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8.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9.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0.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1.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2.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3.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4.xml" ContentType="application/vnd.openxmlformats-officedocument.drawingml.chart+xml"/>
  <Override PartName="/word/charts/style26.xml" ContentType="application/vnd.ms-office.chartstyle+xml"/>
  <Override PartName="/word/charts/colors26.xml" ContentType="application/vnd.ms-office.chartcolorstyle+xml"/>
  <Override PartName="/word/header4.xml" ContentType="application/vnd.openxmlformats-officedocument.wordprocessingml.header+xml"/>
  <Override PartName="/word/charts/chart35.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6.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7.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8.xml" ContentType="application/vnd.openxmlformats-officedocument.drawingml.chart+xml"/>
  <Override PartName="/word/charts/style30.xml" ContentType="application/vnd.ms-office.chartstyle+xml"/>
  <Override PartName="/word/charts/colors30.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3AE07" w14:textId="6BDF469E" w:rsidR="002E302A" w:rsidRDefault="002E302A">
      <w:pPr>
        <w:rPr>
          <w:rFonts w:ascii="Arial" w:eastAsia="Times New Roman" w:hAnsi="Arial" w:cs="Arial"/>
          <w:color w:val="000000"/>
          <w:sz w:val="60"/>
          <w:szCs w:val="60"/>
          <w:lang w:eastAsia="es-ES"/>
        </w:rPr>
      </w:pPr>
      <w:r>
        <w:rPr>
          <w:rFonts w:ascii="Arial" w:hAnsi="Arial" w:cs="Arial"/>
          <w:color w:val="000000"/>
          <w:sz w:val="60"/>
          <w:szCs w:val="60"/>
        </w:rPr>
        <w:br w:type="page"/>
      </w:r>
    </w:p>
    <w:p w14:paraId="6FA4FC0E" w14:textId="77777777" w:rsidR="003D6956" w:rsidRPr="00973028" w:rsidRDefault="003D6956" w:rsidP="000E2A66">
      <w:pPr>
        <w:pStyle w:val="NormalWeb"/>
        <w:spacing w:after="0" w:line="240" w:lineRule="auto"/>
        <w:jc w:val="center"/>
        <w:rPr>
          <w:rFonts w:ascii="Arial" w:hAnsi="Arial" w:cs="Arial"/>
          <w:color w:val="000000"/>
          <w:sz w:val="60"/>
          <w:szCs w:val="60"/>
        </w:rPr>
      </w:pPr>
    </w:p>
    <w:p w14:paraId="071C645A" w14:textId="77777777" w:rsidR="003D6956" w:rsidRPr="00973028" w:rsidRDefault="003D6956" w:rsidP="000E2A66">
      <w:pPr>
        <w:pStyle w:val="NormalWeb"/>
        <w:spacing w:after="0" w:line="240" w:lineRule="auto"/>
        <w:jc w:val="center"/>
        <w:rPr>
          <w:rFonts w:ascii="Arial" w:hAnsi="Arial" w:cs="Arial"/>
          <w:color w:val="000000"/>
          <w:sz w:val="60"/>
          <w:szCs w:val="60"/>
        </w:rPr>
      </w:pPr>
    </w:p>
    <w:p w14:paraId="7CD86909" w14:textId="77777777" w:rsidR="003D6956" w:rsidRPr="00973028" w:rsidRDefault="003D6956" w:rsidP="000E2A66">
      <w:pPr>
        <w:pStyle w:val="NormalWeb"/>
        <w:spacing w:after="0" w:line="240" w:lineRule="auto"/>
        <w:jc w:val="center"/>
        <w:rPr>
          <w:rFonts w:ascii="Arial" w:hAnsi="Arial" w:cs="Arial"/>
          <w:color w:val="000000"/>
          <w:sz w:val="60"/>
          <w:szCs w:val="60"/>
        </w:rPr>
      </w:pPr>
    </w:p>
    <w:p w14:paraId="43872141" w14:textId="67427D93" w:rsidR="000E2A66" w:rsidRPr="00973028" w:rsidRDefault="000E2A66" w:rsidP="000E2A66">
      <w:pPr>
        <w:pStyle w:val="NormalWeb"/>
        <w:spacing w:after="0" w:line="240" w:lineRule="auto"/>
        <w:jc w:val="center"/>
        <w:rPr>
          <w:rFonts w:ascii="Arial" w:hAnsi="Arial" w:cs="Arial"/>
          <w:b/>
          <w:bCs/>
        </w:rPr>
      </w:pPr>
      <w:r w:rsidRPr="00973028">
        <w:rPr>
          <w:rFonts w:ascii="Arial" w:hAnsi="Arial" w:cs="Arial"/>
          <w:b/>
          <w:bCs/>
          <w:color w:val="000000"/>
          <w:sz w:val="60"/>
          <w:szCs w:val="60"/>
        </w:rPr>
        <w:t xml:space="preserve">MEMORIA DE ACTIVIDAD </w:t>
      </w:r>
    </w:p>
    <w:p w14:paraId="32139401" w14:textId="7B9EF621" w:rsidR="000E2A66" w:rsidRPr="00973028" w:rsidRDefault="000E2A66" w:rsidP="000E2A66">
      <w:pPr>
        <w:pStyle w:val="NormalWeb"/>
        <w:spacing w:after="0" w:line="240" w:lineRule="auto"/>
        <w:jc w:val="center"/>
        <w:rPr>
          <w:rFonts w:ascii="Arial" w:hAnsi="Arial" w:cs="Arial"/>
          <w:b/>
          <w:bCs/>
        </w:rPr>
      </w:pPr>
      <w:r w:rsidRPr="00973028">
        <w:rPr>
          <w:rFonts w:ascii="Arial" w:hAnsi="Arial" w:cs="Arial"/>
          <w:b/>
          <w:bCs/>
          <w:color w:val="000000"/>
          <w:sz w:val="60"/>
          <w:szCs w:val="60"/>
        </w:rPr>
        <w:t>EJERCICIO 20</w:t>
      </w:r>
      <w:r w:rsidR="00992EC2" w:rsidRPr="00973028">
        <w:rPr>
          <w:rFonts w:ascii="Arial" w:hAnsi="Arial" w:cs="Arial"/>
          <w:b/>
          <w:bCs/>
          <w:color w:val="000000"/>
          <w:sz w:val="60"/>
          <w:szCs w:val="60"/>
        </w:rPr>
        <w:t>20</w:t>
      </w:r>
    </w:p>
    <w:p w14:paraId="3421B897" w14:textId="77777777" w:rsidR="000E2A66" w:rsidRPr="00973028" w:rsidRDefault="000E2A66" w:rsidP="005945CC">
      <w:pPr>
        <w:pStyle w:val="NormalWeb"/>
        <w:spacing w:after="0" w:line="240" w:lineRule="auto"/>
        <w:jc w:val="center"/>
        <w:rPr>
          <w:rFonts w:ascii="Arial" w:hAnsi="Arial" w:cs="Arial"/>
        </w:rPr>
      </w:pPr>
    </w:p>
    <w:p w14:paraId="0CB3449D" w14:textId="77777777" w:rsidR="000E2A66" w:rsidRPr="00973028" w:rsidRDefault="000E2A66" w:rsidP="000E2A66">
      <w:pPr>
        <w:pStyle w:val="NormalWeb"/>
        <w:spacing w:after="0" w:line="240" w:lineRule="auto"/>
        <w:jc w:val="center"/>
        <w:rPr>
          <w:rFonts w:ascii="Arial" w:hAnsi="Arial" w:cs="Arial"/>
        </w:rPr>
      </w:pPr>
    </w:p>
    <w:p w14:paraId="545BE0A6" w14:textId="76588F26" w:rsidR="000E2A66" w:rsidRPr="00973028" w:rsidRDefault="000E2A66" w:rsidP="000E2A66">
      <w:pPr>
        <w:pStyle w:val="NormalWeb"/>
        <w:spacing w:after="0" w:line="240" w:lineRule="auto"/>
        <w:jc w:val="center"/>
        <w:rPr>
          <w:rFonts w:ascii="Arial" w:hAnsi="Arial" w:cs="Arial"/>
          <w:b/>
          <w:bCs/>
          <w:color w:val="9D2235"/>
        </w:rPr>
      </w:pPr>
      <w:r w:rsidRPr="00973028">
        <w:rPr>
          <w:rFonts w:ascii="Arial" w:hAnsi="Arial" w:cs="Arial"/>
          <w:b/>
          <w:bCs/>
          <w:color w:val="9D2235"/>
          <w:sz w:val="30"/>
          <w:szCs w:val="30"/>
        </w:rPr>
        <w:t>AGENCIA DE PREVENCIÓN Y LUCHA CONTRA EL FRAUDE Y LA CORRUPCIÓN DE LA COMUNITAT VALENCIANA</w:t>
      </w:r>
    </w:p>
    <w:p w14:paraId="63C6212F" w14:textId="77777777" w:rsidR="000E2A66" w:rsidRPr="00973028" w:rsidRDefault="000E2A66" w:rsidP="000E2A66">
      <w:pPr>
        <w:pStyle w:val="NormalWeb"/>
        <w:spacing w:after="0" w:line="240" w:lineRule="auto"/>
        <w:jc w:val="center"/>
        <w:rPr>
          <w:rFonts w:ascii="Arial" w:hAnsi="Arial" w:cs="Arial"/>
        </w:rPr>
      </w:pPr>
    </w:p>
    <w:p w14:paraId="42F402F5" w14:textId="6712AB02" w:rsidR="000E2A66" w:rsidRPr="00973028" w:rsidRDefault="000E2A66" w:rsidP="000E2A66">
      <w:pPr>
        <w:pStyle w:val="NormalWeb"/>
        <w:keepNext/>
        <w:spacing w:after="0" w:line="240" w:lineRule="auto"/>
        <w:jc w:val="center"/>
        <w:rPr>
          <w:rFonts w:ascii="Arial" w:hAnsi="Arial" w:cs="Arial"/>
        </w:rPr>
      </w:pPr>
      <w:r w:rsidRPr="00973028">
        <w:rPr>
          <w:rFonts w:ascii="Arial" w:hAnsi="Arial" w:cs="Arial"/>
          <w:color w:val="000000"/>
        </w:rPr>
        <w:t xml:space="preserve">València, </w:t>
      </w:r>
      <w:r w:rsidR="009568B0" w:rsidRPr="00973028">
        <w:rPr>
          <w:rFonts w:ascii="Arial" w:hAnsi="Arial" w:cs="Arial"/>
          <w:color w:val="000000"/>
        </w:rPr>
        <w:t>30 de marzo de 202</w:t>
      </w:r>
      <w:r w:rsidR="00992EC2" w:rsidRPr="00973028">
        <w:rPr>
          <w:rFonts w:ascii="Arial" w:hAnsi="Arial" w:cs="Arial"/>
          <w:color w:val="000000"/>
        </w:rPr>
        <w:t>1</w:t>
      </w:r>
    </w:p>
    <w:p w14:paraId="262246A6" w14:textId="77777777" w:rsidR="00130C46" w:rsidRPr="00973028" w:rsidRDefault="00130C46">
      <w:pPr>
        <w:rPr>
          <w:rFonts w:ascii="Arial" w:hAnsi="Arial" w:cs="Arial"/>
        </w:rPr>
      </w:pPr>
    </w:p>
    <w:p w14:paraId="0BFD1963" w14:textId="77777777" w:rsidR="000E2A66" w:rsidRPr="00973028" w:rsidRDefault="000E2A66">
      <w:pPr>
        <w:rPr>
          <w:rFonts w:ascii="Arial" w:hAnsi="Arial" w:cs="Arial"/>
        </w:rPr>
      </w:pPr>
    </w:p>
    <w:p w14:paraId="07C39E98" w14:textId="77777777" w:rsidR="000E2A66" w:rsidRPr="00973028" w:rsidRDefault="000E2A66">
      <w:pPr>
        <w:rPr>
          <w:rFonts w:ascii="Arial" w:hAnsi="Arial" w:cs="Arial"/>
        </w:rPr>
      </w:pPr>
    </w:p>
    <w:p w14:paraId="76A7E676" w14:textId="77777777" w:rsidR="000E2A66" w:rsidRPr="00973028" w:rsidRDefault="000E2A66">
      <w:pPr>
        <w:rPr>
          <w:rFonts w:ascii="Arial" w:hAnsi="Arial" w:cs="Arial"/>
        </w:rPr>
      </w:pPr>
    </w:p>
    <w:p w14:paraId="22413461" w14:textId="77777777" w:rsidR="000E2A66" w:rsidRPr="00973028" w:rsidRDefault="000E2A66">
      <w:pPr>
        <w:rPr>
          <w:rFonts w:ascii="Arial" w:hAnsi="Arial" w:cs="Arial"/>
        </w:rPr>
      </w:pPr>
    </w:p>
    <w:p w14:paraId="3A833C4A" w14:textId="77777777" w:rsidR="000E2A66" w:rsidRPr="00973028" w:rsidRDefault="000E2A66">
      <w:pPr>
        <w:rPr>
          <w:rFonts w:ascii="Arial" w:hAnsi="Arial" w:cs="Arial"/>
        </w:rPr>
      </w:pPr>
    </w:p>
    <w:p w14:paraId="6BF15D4E" w14:textId="77777777" w:rsidR="000E2A66" w:rsidRPr="00973028" w:rsidRDefault="000E2A66">
      <w:pPr>
        <w:rPr>
          <w:rFonts w:ascii="Arial" w:hAnsi="Arial" w:cs="Arial"/>
        </w:rPr>
      </w:pPr>
    </w:p>
    <w:p w14:paraId="2595574C" w14:textId="77777777" w:rsidR="000E2A66" w:rsidRPr="00973028" w:rsidRDefault="000E2A66">
      <w:pPr>
        <w:rPr>
          <w:rFonts w:ascii="Arial" w:hAnsi="Arial" w:cs="Arial"/>
        </w:rPr>
      </w:pPr>
    </w:p>
    <w:p w14:paraId="6D42D00E" w14:textId="77777777" w:rsidR="00DD15BF" w:rsidRPr="00973028" w:rsidRDefault="00DD15BF">
      <w:pPr>
        <w:rPr>
          <w:rFonts w:ascii="Arial" w:hAnsi="Arial" w:cs="Arial"/>
        </w:rPr>
        <w:sectPr w:rsidR="00DD15BF" w:rsidRPr="00973028" w:rsidSect="00DD0CB6">
          <w:headerReference w:type="even" r:id="rId7"/>
          <w:headerReference w:type="default" r:id="rId8"/>
          <w:footerReference w:type="even" r:id="rId9"/>
          <w:footerReference w:type="first" r:id="rId10"/>
          <w:pgSz w:w="11906" w:h="16838"/>
          <w:pgMar w:top="1134" w:right="1701" w:bottom="1985" w:left="1701" w:header="708" w:footer="708" w:gutter="0"/>
          <w:cols w:space="708"/>
          <w:docGrid w:linePitch="360"/>
        </w:sectPr>
      </w:pPr>
    </w:p>
    <w:p w14:paraId="373493EF" w14:textId="77777777" w:rsidR="000E2A66" w:rsidRPr="00973028" w:rsidRDefault="000E2A66">
      <w:pPr>
        <w:rPr>
          <w:rFonts w:ascii="Arial" w:hAnsi="Arial" w:cs="Arial"/>
        </w:rPr>
      </w:pPr>
    </w:p>
    <w:p w14:paraId="771C128F" w14:textId="77777777" w:rsidR="00DD15BF" w:rsidRPr="00973028" w:rsidRDefault="00DD15BF">
      <w:pPr>
        <w:rPr>
          <w:rFonts w:ascii="Arial" w:hAnsi="Arial" w:cs="Arial"/>
        </w:rPr>
      </w:pPr>
    </w:p>
    <w:p w14:paraId="0B00F6E2" w14:textId="77777777" w:rsidR="000E2A66" w:rsidRPr="00973028" w:rsidRDefault="000E2A66">
      <w:pPr>
        <w:rPr>
          <w:rFonts w:ascii="Arial" w:hAnsi="Arial" w:cs="Arial"/>
        </w:rPr>
      </w:pPr>
    </w:p>
    <w:p w14:paraId="3F0BE430" w14:textId="77777777" w:rsidR="000E2A66" w:rsidRPr="00973028" w:rsidRDefault="000E2A66">
      <w:pPr>
        <w:rPr>
          <w:rFonts w:ascii="Arial" w:hAnsi="Arial" w:cs="Arial"/>
        </w:rPr>
      </w:pPr>
    </w:p>
    <w:p w14:paraId="463DE618" w14:textId="77777777" w:rsidR="000E2A66" w:rsidRPr="00973028" w:rsidRDefault="000E2A66">
      <w:pPr>
        <w:rPr>
          <w:rFonts w:ascii="Arial" w:hAnsi="Arial" w:cs="Arial"/>
        </w:rPr>
      </w:pPr>
    </w:p>
    <w:p w14:paraId="4FB10CB2" w14:textId="77777777" w:rsidR="000E2A66" w:rsidRPr="00973028" w:rsidRDefault="000E2A66">
      <w:pPr>
        <w:rPr>
          <w:rFonts w:ascii="Arial" w:hAnsi="Arial" w:cs="Arial"/>
        </w:rPr>
      </w:pPr>
    </w:p>
    <w:p w14:paraId="5640EAAB" w14:textId="77777777" w:rsidR="000E2A66" w:rsidRPr="00973028" w:rsidRDefault="000E2A66">
      <w:pPr>
        <w:rPr>
          <w:rFonts w:ascii="Arial" w:hAnsi="Arial" w:cs="Arial"/>
        </w:rPr>
      </w:pPr>
    </w:p>
    <w:p w14:paraId="13779271" w14:textId="77777777" w:rsidR="00DD15BF" w:rsidRPr="00973028" w:rsidRDefault="00DD15BF">
      <w:pPr>
        <w:rPr>
          <w:rFonts w:ascii="Arial" w:hAnsi="Arial" w:cs="Arial"/>
        </w:rPr>
      </w:pPr>
    </w:p>
    <w:p w14:paraId="6D39B73D" w14:textId="77777777" w:rsidR="00DD15BF" w:rsidRPr="00973028" w:rsidRDefault="00DD15BF">
      <w:pPr>
        <w:rPr>
          <w:rFonts w:ascii="Arial" w:hAnsi="Arial" w:cs="Arial"/>
        </w:rPr>
      </w:pPr>
    </w:p>
    <w:p w14:paraId="5A379638" w14:textId="77777777" w:rsidR="00DD15BF" w:rsidRPr="00973028" w:rsidRDefault="00DD15BF">
      <w:pPr>
        <w:rPr>
          <w:rFonts w:ascii="Arial" w:hAnsi="Arial" w:cs="Arial"/>
        </w:rPr>
      </w:pPr>
    </w:p>
    <w:p w14:paraId="218AD450" w14:textId="77777777" w:rsidR="00DD15BF" w:rsidRPr="00973028" w:rsidRDefault="00DD15BF">
      <w:pPr>
        <w:rPr>
          <w:rFonts w:ascii="Arial" w:hAnsi="Arial" w:cs="Arial"/>
        </w:rPr>
      </w:pPr>
    </w:p>
    <w:p w14:paraId="65FFBF1A" w14:textId="77777777" w:rsidR="00DD15BF" w:rsidRPr="00973028" w:rsidRDefault="00DD15BF">
      <w:pPr>
        <w:rPr>
          <w:rFonts w:ascii="Arial" w:hAnsi="Arial" w:cs="Arial"/>
        </w:rPr>
      </w:pPr>
    </w:p>
    <w:p w14:paraId="1F533192" w14:textId="77777777" w:rsidR="00DD15BF" w:rsidRPr="00973028" w:rsidRDefault="00DD15BF">
      <w:pPr>
        <w:rPr>
          <w:rFonts w:ascii="Arial" w:hAnsi="Arial" w:cs="Arial"/>
        </w:rPr>
      </w:pPr>
    </w:p>
    <w:p w14:paraId="55A181CF" w14:textId="77777777" w:rsidR="00DD15BF" w:rsidRPr="00973028" w:rsidRDefault="00DD15BF">
      <w:pPr>
        <w:rPr>
          <w:rFonts w:ascii="Arial" w:hAnsi="Arial" w:cs="Arial"/>
        </w:rPr>
      </w:pPr>
    </w:p>
    <w:p w14:paraId="2FFDBEE3" w14:textId="77777777" w:rsidR="00DD15BF" w:rsidRPr="00973028" w:rsidRDefault="00DD15BF">
      <w:pPr>
        <w:rPr>
          <w:rFonts w:ascii="Arial" w:hAnsi="Arial" w:cs="Arial"/>
        </w:rPr>
      </w:pPr>
    </w:p>
    <w:p w14:paraId="3490D864" w14:textId="77777777" w:rsidR="00DD15BF" w:rsidRPr="00973028" w:rsidRDefault="00DD15BF">
      <w:pPr>
        <w:rPr>
          <w:rFonts w:ascii="Arial" w:hAnsi="Arial" w:cs="Arial"/>
        </w:rPr>
      </w:pPr>
    </w:p>
    <w:p w14:paraId="33CA4A92" w14:textId="77777777" w:rsidR="00DD15BF" w:rsidRPr="00973028" w:rsidRDefault="00DD15BF">
      <w:pPr>
        <w:rPr>
          <w:rFonts w:ascii="Arial" w:hAnsi="Arial" w:cs="Arial"/>
        </w:rPr>
      </w:pPr>
    </w:p>
    <w:p w14:paraId="729B9F7F" w14:textId="77777777" w:rsidR="00DD15BF" w:rsidRPr="00973028" w:rsidRDefault="00DD15BF">
      <w:pPr>
        <w:rPr>
          <w:rFonts w:ascii="Arial" w:hAnsi="Arial" w:cs="Arial"/>
        </w:rPr>
      </w:pPr>
    </w:p>
    <w:p w14:paraId="5742D0E2" w14:textId="77777777" w:rsidR="00DD15BF" w:rsidRPr="00973028" w:rsidRDefault="00DD15BF">
      <w:pPr>
        <w:rPr>
          <w:rFonts w:ascii="Arial" w:hAnsi="Arial" w:cs="Arial"/>
        </w:rPr>
      </w:pPr>
    </w:p>
    <w:p w14:paraId="395450C8" w14:textId="77777777" w:rsidR="00DD15BF" w:rsidRPr="00973028" w:rsidRDefault="00DD15BF">
      <w:pPr>
        <w:rPr>
          <w:rFonts w:ascii="Arial" w:hAnsi="Arial" w:cs="Arial"/>
        </w:rPr>
      </w:pPr>
    </w:p>
    <w:p w14:paraId="72ABEAF6" w14:textId="77777777" w:rsidR="00DD15BF" w:rsidRPr="00973028" w:rsidRDefault="00DD15BF">
      <w:pPr>
        <w:rPr>
          <w:rFonts w:ascii="Arial" w:hAnsi="Arial" w:cs="Arial"/>
        </w:rPr>
      </w:pPr>
    </w:p>
    <w:p w14:paraId="4861C532" w14:textId="77777777" w:rsidR="00DD15BF" w:rsidRPr="00973028" w:rsidRDefault="00DD15BF">
      <w:pPr>
        <w:rPr>
          <w:rFonts w:ascii="Arial" w:hAnsi="Arial" w:cs="Arial"/>
        </w:rPr>
      </w:pPr>
    </w:p>
    <w:p w14:paraId="69D6E34E" w14:textId="77777777" w:rsidR="00DD15BF" w:rsidRPr="00973028" w:rsidRDefault="00DD15BF">
      <w:pPr>
        <w:rPr>
          <w:rFonts w:ascii="Arial" w:hAnsi="Arial" w:cs="Arial"/>
        </w:rPr>
      </w:pPr>
    </w:p>
    <w:p w14:paraId="73DB26DC" w14:textId="3DC7B6AF" w:rsidR="000E2A66" w:rsidRPr="00973028" w:rsidRDefault="000E2A66" w:rsidP="000E2A66">
      <w:pPr>
        <w:pStyle w:val="NormalWeb"/>
        <w:spacing w:after="0" w:line="240" w:lineRule="auto"/>
        <w:rPr>
          <w:rFonts w:ascii="Arial" w:hAnsi="Arial" w:cs="Arial"/>
        </w:rPr>
      </w:pPr>
      <w:r w:rsidRPr="00973028">
        <w:rPr>
          <w:rFonts w:ascii="Arial" w:hAnsi="Arial" w:cs="Arial"/>
          <w:noProof/>
        </w:rPr>
        <w:drawing>
          <wp:anchor distT="57150" distB="57150" distL="57150" distR="57150" simplePos="0" relativeHeight="251655168" behindDoc="0" locked="0" layoutInCell="1" allowOverlap="0" wp14:anchorId="5A1E4B1D" wp14:editId="33A9EDF4">
            <wp:simplePos x="0" y="0"/>
            <wp:positionH relativeFrom="column">
              <wp:align>left</wp:align>
            </wp:positionH>
            <wp:positionV relativeFrom="line">
              <wp:posOffset>0</wp:posOffset>
            </wp:positionV>
            <wp:extent cx="1047750" cy="361950"/>
            <wp:effectExtent l="0" t="0" r="0" b="0"/>
            <wp:wrapSquare wrapText="bothSides"/>
            <wp:docPr id="2" name="Imagen 2" descr="C:\Users\ROSA~1.BOR\AppData\Local\Temp\lu13676wmsrqw.tmp\lu13676wmsrsm_tmp_dfb25262bd3e99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1.BOR\AppData\Local\Temp\lu13676wmsrqw.tmp\lu13676wmsrsm_tmp_dfb25262bd3e99f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028">
        <w:rPr>
          <w:rFonts w:ascii="Arial" w:hAnsi="Arial" w:cs="Arial"/>
        </w:rPr>
        <w:br w:type="textWrapping" w:clear="left"/>
      </w:r>
      <w:r w:rsidRPr="00973028">
        <w:rPr>
          <w:rFonts w:ascii="Arial" w:hAnsi="Arial" w:cs="Arial"/>
          <w:b/>
          <w:bCs/>
          <w:sz w:val="18"/>
          <w:szCs w:val="18"/>
        </w:rPr>
        <w:t>Reconocimiento – No Comercial – Sin Obra Derivada:</w:t>
      </w:r>
      <w:r w:rsidRPr="00973028">
        <w:rPr>
          <w:rFonts w:ascii="Arial" w:hAnsi="Arial" w:cs="Arial"/>
          <w:sz w:val="18"/>
          <w:szCs w:val="18"/>
        </w:rPr>
        <w:t xml:space="preserve"> No se permite un uso comercial de la obra original ni la </w:t>
      </w:r>
      <w:r w:rsidR="00995AF6" w:rsidRPr="00973028">
        <w:rPr>
          <w:rFonts w:ascii="Arial" w:hAnsi="Arial" w:cs="Arial"/>
          <w:sz w:val="18"/>
          <w:szCs w:val="18"/>
        </w:rPr>
        <w:t>generación</w:t>
      </w:r>
      <w:r w:rsidRPr="00973028">
        <w:rPr>
          <w:rFonts w:ascii="Arial" w:hAnsi="Arial" w:cs="Arial"/>
          <w:sz w:val="18"/>
          <w:szCs w:val="18"/>
        </w:rPr>
        <w:t xml:space="preserve"> de obras derivadas. </w:t>
      </w:r>
    </w:p>
    <w:p w14:paraId="396ECBF8" w14:textId="77777777" w:rsidR="000E2A66" w:rsidRPr="00973028" w:rsidRDefault="000E2A66" w:rsidP="000E2A66">
      <w:pPr>
        <w:pStyle w:val="NormalWeb"/>
        <w:spacing w:before="0" w:beforeAutospacing="0" w:after="0" w:line="240" w:lineRule="auto"/>
        <w:rPr>
          <w:rFonts w:ascii="Arial" w:hAnsi="Arial" w:cs="Arial"/>
        </w:rPr>
      </w:pPr>
      <w:r w:rsidRPr="00973028">
        <w:rPr>
          <w:rFonts w:ascii="Arial" w:hAnsi="Arial" w:cs="Arial"/>
          <w:sz w:val="18"/>
          <w:szCs w:val="18"/>
        </w:rPr>
        <w:t>Depósito legal: V-1285-2018</w:t>
      </w:r>
    </w:p>
    <w:p w14:paraId="6A93C148" w14:textId="0AAFCF9F" w:rsidR="000E2A66" w:rsidRPr="00973028" w:rsidRDefault="000E2A66" w:rsidP="000E2A66">
      <w:pPr>
        <w:pStyle w:val="NormalWeb"/>
        <w:spacing w:before="0" w:beforeAutospacing="0" w:after="0" w:line="240" w:lineRule="auto"/>
        <w:rPr>
          <w:rFonts w:ascii="Arial" w:hAnsi="Arial" w:cs="Arial"/>
        </w:rPr>
      </w:pPr>
      <w:r w:rsidRPr="00973028">
        <w:rPr>
          <w:rFonts w:ascii="Arial" w:hAnsi="Arial" w:cs="Arial"/>
          <w:sz w:val="18"/>
          <w:szCs w:val="18"/>
        </w:rPr>
        <w:t>Edita: Ag</w:t>
      </w:r>
      <w:r w:rsidR="007D3D23" w:rsidRPr="00973028">
        <w:rPr>
          <w:rFonts w:ascii="Arial" w:hAnsi="Arial" w:cs="Arial"/>
          <w:sz w:val="18"/>
          <w:szCs w:val="18"/>
        </w:rPr>
        <w:t>e</w:t>
      </w:r>
      <w:r w:rsidRPr="00973028">
        <w:rPr>
          <w:rFonts w:ascii="Arial" w:hAnsi="Arial" w:cs="Arial"/>
          <w:sz w:val="18"/>
          <w:szCs w:val="18"/>
        </w:rPr>
        <w:t>ncia Valenciana Antifrau</w:t>
      </w:r>
      <w:r w:rsidR="00436174" w:rsidRPr="00973028">
        <w:rPr>
          <w:rFonts w:ascii="Arial" w:hAnsi="Arial" w:cs="Arial"/>
          <w:sz w:val="18"/>
          <w:szCs w:val="18"/>
        </w:rPr>
        <w:t>de</w:t>
      </w:r>
    </w:p>
    <w:p w14:paraId="416ADF57" w14:textId="05249D9F" w:rsidR="000E2A66" w:rsidRPr="00973028" w:rsidRDefault="000E2A66" w:rsidP="000E2A66">
      <w:pPr>
        <w:pStyle w:val="NormalWeb"/>
        <w:spacing w:before="0" w:beforeAutospacing="0" w:after="0" w:line="240" w:lineRule="auto"/>
        <w:rPr>
          <w:rFonts w:ascii="Arial" w:hAnsi="Arial" w:cs="Arial"/>
        </w:rPr>
      </w:pPr>
      <w:r w:rsidRPr="00973028">
        <w:rPr>
          <w:rFonts w:ascii="Arial" w:hAnsi="Arial" w:cs="Arial"/>
          <w:sz w:val="18"/>
          <w:szCs w:val="18"/>
        </w:rPr>
        <w:t>Diseño y maquetación: Ag</w:t>
      </w:r>
      <w:r w:rsidR="007D3D23" w:rsidRPr="00973028">
        <w:rPr>
          <w:rFonts w:ascii="Arial" w:hAnsi="Arial" w:cs="Arial"/>
          <w:sz w:val="18"/>
          <w:szCs w:val="18"/>
        </w:rPr>
        <w:t>e</w:t>
      </w:r>
      <w:r w:rsidRPr="00973028">
        <w:rPr>
          <w:rFonts w:ascii="Arial" w:hAnsi="Arial" w:cs="Arial"/>
          <w:sz w:val="18"/>
          <w:szCs w:val="18"/>
        </w:rPr>
        <w:t>ncia Valenciana Antifrau</w:t>
      </w:r>
      <w:r w:rsidR="00436174" w:rsidRPr="00973028">
        <w:rPr>
          <w:rFonts w:ascii="Arial" w:hAnsi="Arial" w:cs="Arial"/>
          <w:sz w:val="18"/>
          <w:szCs w:val="18"/>
        </w:rPr>
        <w:t>de</w:t>
      </w:r>
    </w:p>
    <w:p w14:paraId="3C06F3EF" w14:textId="1E5D43D7" w:rsidR="000E2A66" w:rsidRPr="00973028" w:rsidRDefault="00AF755F" w:rsidP="000E2A66">
      <w:pPr>
        <w:pStyle w:val="NormalWeb"/>
        <w:spacing w:before="0" w:beforeAutospacing="0" w:after="0" w:line="240" w:lineRule="auto"/>
        <w:rPr>
          <w:rFonts w:ascii="Arial" w:hAnsi="Arial" w:cs="Arial"/>
        </w:rPr>
      </w:pPr>
      <w:r w:rsidRPr="00973028">
        <w:rPr>
          <w:rFonts w:ascii="Arial" w:hAnsi="Arial" w:cs="Arial"/>
          <w:sz w:val="18"/>
          <w:szCs w:val="18"/>
        </w:rPr>
        <w:t>M</w:t>
      </w:r>
      <w:r w:rsidR="000E2A66" w:rsidRPr="00973028">
        <w:rPr>
          <w:rFonts w:ascii="Arial" w:hAnsi="Arial" w:cs="Arial"/>
          <w:sz w:val="18"/>
          <w:szCs w:val="18"/>
        </w:rPr>
        <w:t>arzo de 20</w:t>
      </w:r>
      <w:r w:rsidR="009568B0" w:rsidRPr="00973028">
        <w:rPr>
          <w:rFonts w:ascii="Arial" w:hAnsi="Arial" w:cs="Arial"/>
          <w:sz w:val="18"/>
          <w:szCs w:val="18"/>
        </w:rPr>
        <w:t>2</w:t>
      </w:r>
      <w:r w:rsidR="00BB4994" w:rsidRPr="00973028">
        <w:rPr>
          <w:rFonts w:ascii="Arial" w:hAnsi="Arial" w:cs="Arial"/>
          <w:sz w:val="18"/>
          <w:szCs w:val="18"/>
        </w:rPr>
        <w:t>1</w:t>
      </w:r>
    </w:p>
    <w:p w14:paraId="71C8DDCE" w14:textId="029A1DB1" w:rsidR="000E2A66" w:rsidRPr="00973028" w:rsidRDefault="000E2A66" w:rsidP="000E2A66">
      <w:pPr>
        <w:pStyle w:val="NormalWeb"/>
        <w:spacing w:before="0" w:beforeAutospacing="0" w:after="0" w:line="240" w:lineRule="auto"/>
        <w:rPr>
          <w:rFonts w:ascii="Arial" w:hAnsi="Arial" w:cs="Arial"/>
        </w:rPr>
      </w:pPr>
      <w:r w:rsidRPr="00973028">
        <w:rPr>
          <w:rFonts w:ascii="Arial" w:hAnsi="Arial" w:cs="Arial"/>
          <w:sz w:val="18"/>
          <w:szCs w:val="18"/>
        </w:rPr>
        <w:t xml:space="preserve">Primera </w:t>
      </w:r>
      <w:r w:rsidR="00995AF6" w:rsidRPr="00973028">
        <w:rPr>
          <w:rFonts w:ascii="Arial" w:hAnsi="Arial" w:cs="Arial"/>
          <w:sz w:val="18"/>
          <w:szCs w:val="18"/>
        </w:rPr>
        <w:t>edición</w:t>
      </w:r>
      <w:r w:rsidRPr="00973028">
        <w:rPr>
          <w:rFonts w:ascii="Arial" w:hAnsi="Arial" w:cs="Arial"/>
          <w:sz w:val="18"/>
          <w:szCs w:val="18"/>
        </w:rPr>
        <w:t xml:space="preserve"> </w:t>
      </w:r>
    </w:p>
    <w:p w14:paraId="41F21AB4" w14:textId="18AA334D" w:rsidR="000E2A66" w:rsidRPr="00973028" w:rsidRDefault="00BB76EE" w:rsidP="000E2A66">
      <w:pPr>
        <w:pStyle w:val="NormalWeb"/>
        <w:spacing w:before="0" w:beforeAutospacing="0" w:after="0" w:line="240" w:lineRule="auto"/>
        <w:rPr>
          <w:rFonts w:ascii="Arial" w:hAnsi="Arial" w:cs="Arial"/>
          <w:color w:val="000080"/>
        </w:rPr>
      </w:pPr>
      <w:r>
        <w:rPr>
          <w:rFonts w:ascii="Arial" w:hAnsi="Arial" w:cs="Arial"/>
          <w:sz w:val="18"/>
          <w:szCs w:val="18"/>
        </w:rPr>
        <w:t>Este</w:t>
      </w:r>
      <w:r w:rsidR="000E2A66" w:rsidRPr="00973028">
        <w:rPr>
          <w:rFonts w:ascii="Arial" w:hAnsi="Arial" w:cs="Arial"/>
          <w:sz w:val="18"/>
          <w:szCs w:val="18"/>
        </w:rPr>
        <w:t xml:space="preserve"> documento está </w:t>
      </w:r>
      <w:r>
        <w:rPr>
          <w:rFonts w:ascii="Arial" w:hAnsi="Arial" w:cs="Arial"/>
          <w:sz w:val="18"/>
          <w:szCs w:val="18"/>
        </w:rPr>
        <w:t>disponible</w:t>
      </w:r>
      <w:r w:rsidR="000E2A66" w:rsidRPr="00973028">
        <w:rPr>
          <w:rFonts w:ascii="Arial" w:hAnsi="Arial" w:cs="Arial"/>
          <w:sz w:val="18"/>
          <w:szCs w:val="18"/>
        </w:rPr>
        <w:t xml:space="preserve"> en el sitio web: </w:t>
      </w:r>
      <w:hyperlink r:id="rId12" w:history="1">
        <w:r w:rsidR="000E2A66" w:rsidRPr="00973028">
          <w:rPr>
            <w:rStyle w:val="Hipervnculo"/>
            <w:rFonts w:ascii="Arial" w:hAnsi="Arial" w:cs="Arial"/>
            <w:sz w:val="18"/>
            <w:szCs w:val="18"/>
          </w:rPr>
          <w:t>http</w:t>
        </w:r>
      </w:hyperlink>
      <w:hyperlink r:id="rId13" w:history="1">
        <w:r w:rsidR="000E2A66" w:rsidRPr="00973028">
          <w:rPr>
            <w:rStyle w:val="Hipervnculo"/>
            <w:rFonts w:ascii="Arial" w:hAnsi="Arial" w:cs="Arial"/>
            <w:sz w:val="18"/>
            <w:szCs w:val="18"/>
          </w:rPr>
          <w:t>s</w:t>
        </w:r>
      </w:hyperlink>
      <w:hyperlink r:id="rId14" w:history="1">
        <w:r w:rsidR="000E2A66" w:rsidRPr="00973028">
          <w:rPr>
            <w:rStyle w:val="Hipervnculo"/>
            <w:rFonts w:ascii="Arial" w:hAnsi="Arial" w:cs="Arial"/>
            <w:sz w:val="18"/>
            <w:szCs w:val="18"/>
          </w:rPr>
          <w:t>://</w:t>
        </w:r>
      </w:hyperlink>
      <w:hyperlink r:id="rId15" w:history="1">
        <w:r w:rsidR="000E2A66" w:rsidRPr="00973028">
          <w:rPr>
            <w:rStyle w:val="Hipervnculo"/>
            <w:rFonts w:ascii="Arial" w:hAnsi="Arial" w:cs="Arial"/>
            <w:sz w:val="18"/>
            <w:szCs w:val="18"/>
          </w:rPr>
          <w:t>www.antifrau</w:t>
        </w:r>
      </w:hyperlink>
      <w:hyperlink r:id="rId16" w:history="1">
        <w:r w:rsidR="000E2A66" w:rsidRPr="00973028">
          <w:rPr>
            <w:rStyle w:val="Hipervnculo"/>
            <w:rFonts w:ascii="Arial" w:hAnsi="Arial" w:cs="Arial"/>
            <w:sz w:val="18"/>
            <w:szCs w:val="18"/>
          </w:rPr>
          <w:t>cv.e</w:t>
        </w:r>
      </w:hyperlink>
      <w:hyperlink r:id="rId17" w:history="1">
        <w:r w:rsidR="000E2A66" w:rsidRPr="00973028">
          <w:rPr>
            <w:rStyle w:val="Hipervnculo"/>
            <w:rFonts w:ascii="Arial" w:hAnsi="Arial" w:cs="Arial"/>
            <w:sz w:val="18"/>
            <w:szCs w:val="18"/>
          </w:rPr>
          <w:t>s</w:t>
        </w:r>
      </w:hyperlink>
    </w:p>
    <w:p w14:paraId="7FF73065" w14:textId="77777777" w:rsidR="00DD15BF" w:rsidRPr="00973028" w:rsidRDefault="00DD15BF" w:rsidP="000E2A66">
      <w:pPr>
        <w:rPr>
          <w:rFonts w:ascii="Arial" w:hAnsi="Arial" w:cs="Arial"/>
        </w:rPr>
        <w:sectPr w:rsidR="00DD15BF" w:rsidRPr="00973028" w:rsidSect="00DD0CB6">
          <w:pgSz w:w="11906" w:h="16838"/>
          <w:pgMar w:top="1134" w:right="1701" w:bottom="1985" w:left="1701" w:header="708" w:footer="708" w:gutter="0"/>
          <w:cols w:space="708"/>
          <w:titlePg/>
          <w:docGrid w:linePitch="360"/>
        </w:sectPr>
      </w:pPr>
    </w:p>
    <w:p w14:paraId="49089E0F" w14:textId="77777777" w:rsidR="000E2A66" w:rsidRPr="00973028" w:rsidRDefault="000E2A66" w:rsidP="000E2A66">
      <w:pPr>
        <w:rPr>
          <w:rFonts w:ascii="Arial" w:hAnsi="Arial" w:cs="Arial"/>
        </w:rPr>
      </w:pPr>
    </w:p>
    <w:p w14:paraId="6AA47997" w14:textId="453516ED" w:rsidR="000E2A66" w:rsidRPr="00973028" w:rsidRDefault="000E2A66" w:rsidP="00A46175">
      <w:pPr>
        <w:pStyle w:val="NormalWeb"/>
        <w:spacing w:before="5600" w:beforeAutospacing="0" w:after="0" w:line="240" w:lineRule="auto"/>
        <w:jc w:val="both"/>
        <w:rPr>
          <w:rFonts w:ascii="Arial" w:hAnsi="Arial" w:cs="Arial"/>
        </w:rPr>
      </w:pPr>
      <w:bookmarkStart w:id="2" w:name="OBJ_PREFIX_DWT50_com_zimbra_date"/>
      <w:bookmarkEnd w:id="2"/>
      <w:r w:rsidRPr="00973028">
        <w:rPr>
          <w:rFonts w:ascii="Arial" w:hAnsi="Arial" w:cs="Arial"/>
          <w:color w:val="000000"/>
          <w:sz w:val="20"/>
          <w:szCs w:val="20"/>
        </w:rPr>
        <w:t>E</w:t>
      </w:r>
      <w:r w:rsidR="00DD15BF" w:rsidRPr="00973028">
        <w:rPr>
          <w:rFonts w:ascii="Arial" w:hAnsi="Arial" w:cs="Arial"/>
          <w:color w:val="000000"/>
          <w:sz w:val="20"/>
          <w:szCs w:val="20"/>
        </w:rPr>
        <w:t>n</w:t>
      </w:r>
      <w:r w:rsidRPr="00973028">
        <w:rPr>
          <w:rFonts w:ascii="Arial" w:hAnsi="Arial" w:cs="Arial"/>
          <w:color w:val="000000"/>
          <w:sz w:val="20"/>
          <w:szCs w:val="20"/>
        </w:rPr>
        <w:t xml:space="preserve"> cumplimiento del mandato que establece el artículo 22 de la Ley 11/2016, de 28 de noviembre, de la Generalitat, de la Agencia de Prevención y Lucha contra el Fraude y la Corrupción de la Comunitat Valenciana, se presenta la Memoria de las actuaciones desarrolladas por esta entidad durante el año 20</w:t>
      </w:r>
      <w:r w:rsidR="00BB4994" w:rsidRPr="00973028">
        <w:rPr>
          <w:rFonts w:ascii="Arial" w:hAnsi="Arial" w:cs="Arial"/>
          <w:color w:val="000000"/>
          <w:sz w:val="20"/>
          <w:szCs w:val="20"/>
        </w:rPr>
        <w:t>20</w:t>
      </w:r>
      <w:r w:rsidRPr="00973028">
        <w:rPr>
          <w:rFonts w:ascii="Arial" w:hAnsi="Arial" w:cs="Arial"/>
          <w:color w:val="000000"/>
          <w:sz w:val="20"/>
          <w:szCs w:val="20"/>
        </w:rPr>
        <w:t xml:space="preserve"> en el ámbito de sus funciones. </w:t>
      </w:r>
    </w:p>
    <w:p w14:paraId="351047A0" w14:textId="6C8DC204" w:rsidR="00367282" w:rsidRPr="00973028" w:rsidRDefault="00367282">
      <w:pPr>
        <w:rPr>
          <w:rFonts w:ascii="Arial" w:hAnsi="Arial" w:cs="Arial"/>
        </w:rPr>
      </w:pPr>
      <w:r w:rsidRPr="00973028">
        <w:rPr>
          <w:rFonts w:ascii="Arial" w:hAnsi="Arial" w:cs="Arial"/>
        </w:rPr>
        <w:br w:type="page"/>
      </w:r>
    </w:p>
    <w:p w14:paraId="155907E5" w14:textId="77777777" w:rsidR="00DD15BF" w:rsidRPr="00973028" w:rsidRDefault="00DD15BF">
      <w:pPr>
        <w:rPr>
          <w:rFonts w:ascii="Arial" w:hAnsi="Arial" w:cs="Arial"/>
        </w:rPr>
      </w:pPr>
    </w:p>
    <w:p w14:paraId="4C988ABC" w14:textId="77777777" w:rsidR="000E2A66" w:rsidRPr="00973028" w:rsidRDefault="000E2A66">
      <w:pPr>
        <w:rPr>
          <w:rFonts w:ascii="Arial" w:hAnsi="Arial" w:cs="Arial"/>
        </w:rPr>
      </w:pPr>
    </w:p>
    <w:p w14:paraId="130F1E53" w14:textId="77777777" w:rsidR="000E2A66" w:rsidRPr="00973028" w:rsidRDefault="000E2A66" w:rsidP="000E2A66">
      <w:pPr>
        <w:jc w:val="both"/>
        <w:rPr>
          <w:rFonts w:ascii="Arial" w:hAnsi="Arial" w:cs="Arial"/>
        </w:rPr>
      </w:pPr>
    </w:p>
    <w:p w14:paraId="460B0954" w14:textId="77777777" w:rsidR="000E2A66" w:rsidRPr="00973028" w:rsidRDefault="000E2A66" w:rsidP="000E2A66">
      <w:pPr>
        <w:jc w:val="both"/>
        <w:rPr>
          <w:rFonts w:ascii="Arial" w:hAnsi="Arial" w:cs="Arial"/>
        </w:rPr>
      </w:pPr>
    </w:p>
    <w:p w14:paraId="3071B7AE" w14:textId="77777777" w:rsidR="000E2A66" w:rsidRPr="00973028" w:rsidRDefault="000E2A66" w:rsidP="000E2A66">
      <w:pPr>
        <w:jc w:val="both"/>
        <w:rPr>
          <w:rFonts w:ascii="Arial" w:hAnsi="Arial" w:cs="Arial"/>
        </w:rPr>
      </w:pPr>
    </w:p>
    <w:p w14:paraId="15A051B9" w14:textId="77777777" w:rsidR="000E2A66" w:rsidRPr="00973028" w:rsidRDefault="000E2A66" w:rsidP="000E2A66">
      <w:pPr>
        <w:jc w:val="both"/>
        <w:rPr>
          <w:rFonts w:ascii="Arial" w:hAnsi="Arial" w:cs="Arial"/>
        </w:rPr>
      </w:pPr>
    </w:p>
    <w:p w14:paraId="426BF2EF" w14:textId="77777777" w:rsidR="000E2A66" w:rsidRPr="00973028" w:rsidRDefault="000E2A66" w:rsidP="000E2A66">
      <w:pPr>
        <w:jc w:val="both"/>
        <w:rPr>
          <w:rFonts w:ascii="Arial" w:hAnsi="Arial" w:cs="Arial"/>
        </w:rPr>
      </w:pPr>
    </w:p>
    <w:p w14:paraId="425394AA" w14:textId="77777777" w:rsidR="000E2A66" w:rsidRPr="00973028" w:rsidRDefault="000E2A66" w:rsidP="000E2A66">
      <w:pPr>
        <w:jc w:val="both"/>
        <w:rPr>
          <w:rFonts w:ascii="Arial" w:hAnsi="Arial" w:cs="Arial"/>
        </w:rPr>
      </w:pPr>
    </w:p>
    <w:p w14:paraId="1B7B0F6F" w14:textId="77777777" w:rsidR="00A46175" w:rsidRPr="00973028" w:rsidRDefault="00A46175" w:rsidP="000E2A66">
      <w:pPr>
        <w:keepNext/>
        <w:spacing w:after="0" w:line="240" w:lineRule="auto"/>
        <w:ind w:left="1134"/>
        <w:jc w:val="right"/>
        <w:outlineLvl w:val="0"/>
        <w:rPr>
          <w:rFonts w:ascii="Arial" w:eastAsia="Times New Roman" w:hAnsi="Arial" w:cs="Arial"/>
          <w:b/>
          <w:bCs/>
          <w:color w:val="94070A"/>
          <w:spacing w:val="-34"/>
          <w:kern w:val="36"/>
          <w:sz w:val="20"/>
          <w:szCs w:val="20"/>
          <w:lang w:eastAsia="es-ES"/>
        </w:rPr>
      </w:pPr>
    </w:p>
    <w:p w14:paraId="5B0BC859" w14:textId="77777777" w:rsidR="00A46175" w:rsidRPr="00973028" w:rsidRDefault="00A46175" w:rsidP="00043C15">
      <w:pPr>
        <w:keepNext/>
        <w:spacing w:after="0" w:line="240" w:lineRule="auto"/>
        <w:outlineLvl w:val="0"/>
        <w:rPr>
          <w:rFonts w:ascii="Arial" w:eastAsia="Times New Roman" w:hAnsi="Arial" w:cs="Arial"/>
          <w:b/>
          <w:bCs/>
          <w:color w:val="94070A"/>
          <w:spacing w:val="-34"/>
          <w:kern w:val="36"/>
          <w:sz w:val="20"/>
          <w:szCs w:val="20"/>
          <w:lang w:eastAsia="es-ES"/>
        </w:rPr>
      </w:pPr>
    </w:p>
    <w:p w14:paraId="6E11F2EB" w14:textId="77777777" w:rsidR="00C65D36" w:rsidRPr="00973028" w:rsidRDefault="00C65D36" w:rsidP="00043C15">
      <w:pPr>
        <w:keepNext/>
        <w:spacing w:after="0" w:line="240" w:lineRule="auto"/>
        <w:outlineLvl w:val="0"/>
        <w:rPr>
          <w:rFonts w:ascii="Arial" w:eastAsia="Times New Roman" w:hAnsi="Arial" w:cs="Arial"/>
          <w:b/>
          <w:bCs/>
          <w:color w:val="94070A"/>
          <w:spacing w:val="-34"/>
          <w:kern w:val="36"/>
          <w:sz w:val="20"/>
          <w:szCs w:val="20"/>
          <w:lang w:eastAsia="es-ES"/>
        </w:rPr>
      </w:pPr>
    </w:p>
    <w:p w14:paraId="41A1137D" w14:textId="3C0DC56A" w:rsidR="00A46175" w:rsidRPr="00973028" w:rsidRDefault="000E2A66" w:rsidP="007642F6">
      <w:pPr>
        <w:keepNext/>
        <w:spacing w:after="0" w:line="240" w:lineRule="auto"/>
        <w:ind w:left="1134"/>
        <w:jc w:val="right"/>
        <w:outlineLvl w:val="0"/>
        <w:rPr>
          <w:rFonts w:ascii="Arial" w:eastAsia="Times New Roman" w:hAnsi="Arial" w:cs="Arial"/>
          <w:b/>
          <w:bCs/>
          <w:color w:val="9D2235"/>
          <w:spacing w:val="-34"/>
          <w:kern w:val="36"/>
          <w:sz w:val="60"/>
          <w:szCs w:val="60"/>
          <w:lang w:eastAsia="es-ES"/>
        </w:rPr>
      </w:pPr>
      <w:bookmarkStart w:id="3" w:name="_Toc67646215"/>
      <w:r w:rsidRPr="00973028">
        <w:rPr>
          <w:rFonts w:ascii="Arial" w:eastAsia="Times New Roman" w:hAnsi="Arial" w:cs="Arial"/>
          <w:b/>
          <w:bCs/>
          <w:color w:val="9D2235"/>
          <w:spacing w:val="-34"/>
          <w:kern w:val="36"/>
          <w:sz w:val="60"/>
          <w:szCs w:val="60"/>
          <w:lang w:eastAsia="es-ES"/>
        </w:rPr>
        <w:t>La Agencia</w:t>
      </w:r>
      <w:r w:rsidR="00797E9C" w:rsidRPr="00973028">
        <w:rPr>
          <w:rFonts w:ascii="Arial" w:eastAsia="Times New Roman" w:hAnsi="Arial" w:cs="Arial"/>
          <w:b/>
          <w:bCs/>
          <w:color w:val="9D2235"/>
          <w:spacing w:val="-34"/>
          <w:kern w:val="36"/>
          <w:sz w:val="60"/>
          <w:szCs w:val="60"/>
          <w:lang w:eastAsia="es-ES"/>
        </w:rPr>
        <w:t xml:space="preserve"> </w:t>
      </w:r>
      <w:r w:rsidR="007642F6" w:rsidRPr="00973028">
        <w:rPr>
          <w:rFonts w:ascii="Arial" w:eastAsia="Times New Roman" w:hAnsi="Arial" w:cs="Arial"/>
          <w:b/>
          <w:bCs/>
          <w:color w:val="9D2235"/>
          <w:spacing w:val="-34"/>
          <w:kern w:val="36"/>
          <w:sz w:val="60"/>
          <w:szCs w:val="60"/>
          <w:lang w:eastAsia="es-ES"/>
        </w:rPr>
        <w:br/>
      </w:r>
      <w:r w:rsidR="00797E9C" w:rsidRPr="00973028">
        <w:rPr>
          <w:rFonts w:ascii="Arial" w:eastAsia="Times New Roman" w:hAnsi="Arial" w:cs="Arial"/>
          <w:b/>
          <w:bCs/>
          <w:color w:val="9D2235"/>
          <w:spacing w:val="-34"/>
          <w:kern w:val="36"/>
          <w:sz w:val="60"/>
          <w:szCs w:val="60"/>
          <w:lang w:eastAsia="es-ES"/>
        </w:rPr>
        <w:t>AVAF</w:t>
      </w:r>
      <w:bookmarkEnd w:id="3"/>
    </w:p>
    <w:p w14:paraId="5B756E76" w14:textId="77777777" w:rsidR="000E2A66" w:rsidRPr="00973028" w:rsidRDefault="000E2A66" w:rsidP="000E2A66">
      <w:pPr>
        <w:spacing w:before="100" w:beforeAutospacing="1" w:after="0" w:line="240" w:lineRule="auto"/>
        <w:jc w:val="right"/>
        <w:rPr>
          <w:rFonts w:ascii="Arial" w:eastAsia="Times New Roman" w:hAnsi="Arial" w:cs="Arial"/>
          <w:color w:val="9D2235"/>
          <w:sz w:val="24"/>
          <w:szCs w:val="24"/>
          <w:lang w:eastAsia="es-ES"/>
        </w:rPr>
      </w:pPr>
      <w:r w:rsidRPr="00973028">
        <w:rPr>
          <w:rFonts w:ascii="Arial" w:eastAsia="Times New Roman" w:hAnsi="Arial" w:cs="Arial"/>
          <w:b/>
          <w:bCs/>
          <w:color w:val="9D2235"/>
          <w:sz w:val="18"/>
          <w:szCs w:val="18"/>
          <w:lang w:eastAsia="es-ES"/>
        </w:rPr>
        <w:t>Nos encontramos en:</w:t>
      </w:r>
    </w:p>
    <w:p w14:paraId="431B8CB8" w14:textId="77777777" w:rsidR="000E2A66" w:rsidRPr="00973028" w:rsidRDefault="000E2A66" w:rsidP="000E2A66">
      <w:pPr>
        <w:spacing w:after="0" w:line="240" w:lineRule="auto"/>
        <w:jc w:val="right"/>
        <w:rPr>
          <w:rFonts w:ascii="Arial" w:eastAsia="Times New Roman" w:hAnsi="Arial" w:cs="Arial"/>
          <w:sz w:val="24"/>
          <w:szCs w:val="24"/>
          <w:lang w:eastAsia="es-ES"/>
        </w:rPr>
      </w:pPr>
      <w:r w:rsidRPr="00973028">
        <w:rPr>
          <w:rFonts w:ascii="Arial" w:eastAsia="Times New Roman" w:hAnsi="Arial" w:cs="Arial"/>
          <w:color w:val="000000"/>
          <w:sz w:val="18"/>
          <w:szCs w:val="18"/>
          <w:lang w:eastAsia="es-ES"/>
        </w:rPr>
        <w:t>C/ Navellos, 14-3 | 46003 València</w:t>
      </w:r>
    </w:p>
    <w:p w14:paraId="12F23F3F" w14:textId="77777777" w:rsidR="000E2A66" w:rsidRPr="00973028" w:rsidRDefault="000E2A66" w:rsidP="000E2A66">
      <w:pPr>
        <w:spacing w:after="0" w:line="240" w:lineRule="auto"/>
        <w:jc w:val="right"/>
        <w:rPr>
          <w:rFonts w:ascii="Arial" w:eastAsia="Times New Roman" w:hAnsi="Arial" w:cs="Arial"/>
          <w:sz w:val="24"/>
          <w:szCs w:val="24"/>
          <w:lang w:eastAsia="es-ES"/>
        </w:rPr>
      </w:pPr>
      <w:r w:rsidRPr="00973028">
        <w:rPr>
          <w:rFonts w:ascii="Arial" w:eastAsia="Times New Roman" w:hAnsi="Arial" w:cs="Arial"/>
          <w:color w:val="000000"/>
          <w:sz w:val="18"/>
          <w:szCs w:val="18"/>
          <w:lang w:eastAsia="es-ES"/>
        </w:rPr>
        <w:t>96.</w:t>
      </w:r>
      <w:r w:rsidR="008541FB" w:rsidRPr="00973028">
        <w:rPr>
          <w:rFonts w:ascii="Arial" w:eastAsia="Times New Roman" w:hAnsi="Arial" w:cs="Arial"/>
          <w:color w:val="000000"/>
          <w:sz w:val="18"/>
          <w:szCs w:val="18"/>
          <w:lang w:eastAsia="es-ES"/>
        </w:rPr>
        <w:t>278.74.50</w:t>
      </w:r>
    </w:p>
    <w:p w14:paraId="7271038A" w14:textId="7B1C99F1" w:rsidR="000E2A66" w:rsidRPr="00973028" w:rsidRDefault="001400EF" w:rsidP="000E2A66">
      <w:pPr>
        <w:spacing w:after="0" w:line="240" w:lineRule="auto"/>
        <w:jc w:val="right"/>
        <w:rPr>
          <w:rFonts w:ascii="Arial" w:eastAsia="Times New Roman" w:hAnsi="Arial" w:cs="Arial"/>
          <w:sz w:val="24"/>
          <w:szCs w:val="24"/>
          <w:lang w:eastAsia="es-ES"/>
        </w:rPr>
      </w:pPr>
      <w:hyperlink r:id="rId18" w:history="1">
        <w:r w:rsidR="0075154C" w:rsidRPr="00AC28B4">
          <w:rPr>
            <w:rStyle w:val="Hipervnculo"/>
            <w:rFonts w:ascii="Arial" w:eastAsia="Times New Roman" w:hAnsi="Arial" w:cs="Arial"/>
            <w:sz w:val="18"/>
            <w:szCs w:val="18"/>
            <w:lang w:eastAsia="es-ES"/>
          </w:rPr>
          <w:t>https://www.antifraucv.es</w:t>
        </w:r>
      </w:hyperlink>
    </w:p>
    <w:p w14:paraId="74A1B30D" w14:textId="77777777" w:rsidR="000E2A66" w:rsidRPr="00973028" w:rsidRDefault="000E2A66" w:rsidP="000E2A66">
      <w:pPr>
        <w:spacing w:after="0" w:line="240" w:lineRule="auto"/>
        <w:jc w:val="right"/>
        <w:rPr>
          <w:rFonts w:ascii="Arial" w:eastAsia="Times New Roman" w:hAnsi="Arial" w:cs="Arial"/>
          <w:sz w:val="24"/>
          <w:szCs w:val="24"/>
          <w:lang w:eastAsia="es-ES"/>
        </w:rPr>
      </w:pPr>
    </w:p>
    <w:p w14:paraId="7A5EE58B" w14:textId="77777777" w:rsidR="000E2A66" w:rsidRPr="00973028" w:rsidRDefault="000E2A66" w:rsidP="000E2A66">
      <w:pPr>
        <w:spacing w:after="0" w:line="240" w:lineRule="auto"/>
        <w:jc w:val="right"/>
        <w:rPr>
          <w:rFonts w:ascii="Arial" w:eastAsia="Times New Roman" w:hAnsi="Arial" w:cs="Arial"/>
          <w:color w:val="9D2235"/>
          <w:sz w:val="24"/>
          <w:szCs w:val="24"/>
          <w:lang w:eastAsia="es-ES"/>
        </w:rPr>
      </w:pPr>
      <w:r w:rsidRPr="00973028">
        <w:rPr>
          <w:rFonts w:ascii="Arial" w:eastAsia="Times New Roman" w:hAnsi="Arial" w:cs="Arial"/>
          <w:b/>
          <w:bCs/>
          <w:color w:val="9D2235"/>
          <w:sz w:val="18"/>
          <w:szCs w:val="18"/>
          <w:lang w:eastAsia="es-ES"/>
        </w:rPr>
        <w:t>Solicitud de acceso a la información:</w:t>
      </w:r>
    </w:p>
    <w:p w14:paraId="76F01EA3" w14:textId="78665B06" w:rsidR="000E2A66" w:rsidRPr="00973028" w:rsidRDefault="001400EF" w:rsidP="000E2A66">
      <w:pPr>
        <w:spacing w:after="0" w:line="240" w:lineRule="auto"/>
        <w:jc w:val="right"/>
        <w:rPr>
          <w:rFonts w:ascii="Arial" w:hAnsi="Arial" w:cs="Arial"/>
          <w:sz w:val="18"/>
          <w:szCs w:val="18"/>
        </w:rPr>
      </w:pPr>
      <w:hyperlink r:id="rId19" w:history="1">
        <w:r w:rsidR="00BD32F1" w:rsidRPr="00973028">
          <w:rPr>
            <w:rStyle w:val="Hipervnculo"/>
            <w:rFonts w:ascii="Arial" w:hAnsi="Arial" w:cs="Arial"/>
            <w:color w:val="auto"/>
            <w:sz w:val="18"/>
            <w:szCs w:val="18"/>
          </w:rPr>
          <w:t>https://www.antifraucv.es/es/portal-transparencia/acceso-a-la-informacion/</w:t>
        </w:r>
      </w:hyperlink>
    </w:p>
    <w:p w14:paraId="09BEF9F5" w14:textId="77777777" w:rsidR="00BD32F1" w:rsidRPr="00973028" w:rsidRDefault="00BD32F1" w:rsidP="000E2A66">
      <w:pPr>
        <w:spacing w:after="0" w:line="240" w:lineRule="auto"/>
        <w:jc w:val="right"/>
        <w:rPr>
          <w:rFonts w:ascii="Arial" w:eastAsia="Times New Roman" w:hAnsi="Arial" w:cs="Arial"/>
          <w:sz w:val="24"/>
          <w:szCs w:val="24"/>
          <w:lang w:eastAsia="es-ES"/>
        </w:rPr>
      </w:pPr>
    </w:p>
    <w:p w14:paraId="74D457D6" w14:textId="77777777" w:rsidR="000E2A66" w:rsidRPr="00973028" w:rsidRDefault="000E2A66" w:rsidP="000E2A66">
      <w:pPr>
        <w:spacing w:after="0" w:line="240" w:lineRule="auto"/>
        <w:jc w:val="right"/>
        <w:rPr>
          <w:rFonts w:ascii="Arial" w:eastAsia="Times New Roman" w:hAnsi="Arial" w:cs="Arial"/>
          <w:color w:val="9D2235"/>
          <w:sz w:val="24"/>
          <w:szCs w:val="24"/>
          <w:lang w:eastAsia="es-ES"/>
        </w:rPr>
      </w:pPr>
      <w:r w:rsidRPr="00973028">
        <w:rPr>
          <w:rFonts w:ascii="Arial" w:eastAsia="Times New Roman" w:hAnsi="Arial" w:cs="Arial"/>
          <w:b/>
          <w:bCs/>
          <w:color w:val="9D2235"/>
          <w:sz w:val="18"/>
          <w:szCs w:val="18"/>
          <w:lang w:eastAsia="es-ES"/>
        </w:rPr>
        <w:t>Buzón de Denuncias:</w:t>
      </w:r>
    </w:p>
    <w:p w14:paraId="10353241" w14:textId="3A2F0E8A" w:rsidR="000E2A66" w:rsidRPr="00973028" w:rsidRDefault="001400EF" w:rsidP="000E2A66">
      <w:pPr>
        <w:spacing w:after="0" w:line="240" w:lineRule="auto"/>
        <w:jc w:val="right"/>
        <w:rPr>
          <w:rFonts w:ascii="Arial" w:hAnsi="Arial" w:cs="Arial"/>
          <w:sz w:val="18"/>
          <w:szCs w:val="18"/>
        </w:rPr>
      </w:pPr>
      <w:hyperlink r:id="rId20" w:history="1">
        <w:r w:rsidR="00BD32F1" w:rsidRPr="00973028">
          <w:rPr>
            <w:rStyle w:val="Hipervnculo"/>
            <w:rFonts w:ascii="Arial" w:hAnsi="Arial" w:cs="Arial"/>
            <w:color w:val="auto"/>
            <w:sz w:val="18"/>
            <w:szCs w:val="18"/>
          </w:rPr>
          <w:t>https://www.antifraucv.es/es/denuncia/buzon-de-denuncias/</w:t>
        </w:r>
      </w:hyperlink>
    </w:p>
    <w:p w14:paraId="3A4D8ED6" w14:textId="77777777" w:rsidR="00BD32F1" w:rsidRPr="00973028" w:rsidRDefault="00BD32F1" w:rsidP="000E2A66">
      <w:pPr>
        <w:spacing w:after="0" w:line="240" w:lineRule="auto"/>
        <w:jc w:val="right"/>
        <w:rPr>
          <w:rFonts w:ascii="Arial" w:eastAsia="Times New Roman" w:hAnsi="Arial" w:cs="Arial"/>
          <w:sz w:val="24"/>
          <w:szCs w:val="24"/>
          <w:lang w:eastAsia="es-ES"/>
        </w:rPr>
      </w:pPr>
    </w:p>
    <w:p w14:paraId="63D5A44E" w14:textId="77777777" w:rsidR="000E2A66" w:rsidRPr="00973028" w:rsidRDefault="000E2A66" w:rsidP="000E2A66">
      <w:pPr>
        <w:spacing w:after="0" w:line="240" w:lineRule="auto"/>
        <w:jc w:val="right"/>
        <w:rPr>
          <w:rFonts w:ascii="Arial" w:eastAsia="Times New Roman" w:hAnsi="Arial" w:cs="Arial"/>
          <w:color w:val="9D2235"/>
          <w:sz w:val="24"/>
          <w:szCs w:val="24"/>
          <w:lang w:eastAsia="es-ES"/>
        </w:rPr>
      </w:pPr>
      <w:r w:rsidRPr="00973028">
        <w:rPr>
          <w:rFonts w:ascii="Arial" w:eastAsia="Times New Roman" w:hAnsi="Arial" w:cs="Arial"/>
          <w:b/>
          <w:bCs/>
          <w:color w:val="9D2235"/>
          <w:sz w:val="18"/>
          <w:szCs w:val="18"/>
          <w:lang w:eastAsia="es-ES"/>
        </w:rPr>
        <w:t>Gabinete de comunicación:</w:t>
      </w:r>
    </w:p>
    <w:p w14:paraId="160D2320" w14:textId="77777777" w:rsidR="000E2A66" w:rsidRPr="00973028" w:rsidRDefault="000E2A66" w:rsidP="000E2A66">
      <w:pPr>
        <w:spacing w:after="0" w:line="240" w:lineRule="auto"/>
        <w:jc w:val="right"/>
        <w:rPr>
          <w:rFonts w:ascii="Arial" w:eastAsia="Times New Roman" w:hAnsi="Arial" w:cs="Arial"/>
          <w:sz w:val="24"/>
          <w:szCs w:val="24"/>
          <w:lang w:eastAsia="es-ES"/>
        </w:rPr>
      </w:pPr>
      <w:r w:rsidRPr="00973028">
        <w:rPr>
          <w:rFonts w:ascii="Arial" w:eastAsia="Times New Roman" w:hAnsi="Arial" w:cs="Arial"/>
          <w:color w:val="000000"/>
          <w:sz w:val="18"/>
          <w:szCs w:val="18"/>
          <w:lang w:eastAsia="es-ES"/>
        </w:rPr>
        <w:t xml:space="preserve">gabinete@antifraucv.es </w:t>
      </w:r>
    </w:p>
    <w:p w14:paraId="11092D7D" w14:textId="77777777" w:rsidR="000E2A66" w:rsidRPr="00973028" w:rsidRDefault="000E2A66" w:rsidP="000E2A66">
      <w:pPr>
        <w:spacing w:after="0" w:line="240" w:lineRule="auto"/>
        <w:jc w:val="right"/>
        <w:rPr>
          <w:rFonts w:ascii="Arial" w:eastAsia="Times New Roman" w:hAnsi="Arial" w:cs="Arial"/>
          <w:sz w:val="24"/>
          <w:szCs w:val="24"/>
          <w:lang w:eastAsia="es-ES"/>
        </w:rPr>
      </w:pPr>
    </w:p>
    <w:p w14:paraId="2822C3FE" w14:textId="196A7F04" w:rsidR="000E2A66" w:rsidRPr="00973028" w:rsidRDefault="000E2A66" w:rsidP="000E2A66">
      <w:pPr>
        <w:spacing w:after="0" w:line="240" w:lineRule="auto"/>
        <w:jc w:val="right"/>
        <w:rPr>
          <w:rFonts w:ascii="Arial" w:eastAsia="Times New Roman" w:hAnsi="Arial" w:cs="Arial"/>
          <w:b/>
          <w:bCs/>
          <w:color w:val="9D2235"/>
          <w:sz w:val="18"/>
          <w:szCs w:val="18"/>
          <w:lang w:eastAsia="es-ES"/>
        </w:rPr>
      </w:pPr>
      <w:r w:rsidRPr="00973028">
        <w:rPr>
          <w:rFonts w:ascii="Arial" w:eastAsia="Times New Roman" w:hAnsi="Arial" w:cs="Arial"/>
          <w:b/>
          <w:bCs/>
          <w:color w:val="9D2235"/>
          <w:sz w:val="18"/>
          <w:szCs w:val="18"/>
          <w:lang w:eastAsia="es-ES"/>
        </w:rPr>
        <w:t>Redes sociales:</w:t>
      </w:r>
    </w:p>
    <w:p w14:paraId="2597807D" w14:textId="1B59E128" w:rsidR="00995AF6" w:rsidRPr="00973028" w:rsidRDefault="00995AF6" w:rsidP="000E2A66">
      <w:pPr>
        <w:spacing w:after="0" w:line="240" w:lineRule="auto"/>
        <w:jc w:val="right"/>
        <w:rPr>
          <w:rFonts w:ascii="Arial" w:eastAsia="Times New Roman" w:hAnsi="Arial" w:cs="Arial"/>
          <w:b/>
          <w:bCs/>
          <w:color w:val="9D2235"/>
          <w:sz w:val="18"/>
          <w:szCs w:val="18"/>
          <w:lang w:eastAsia="es-ES"/>
        </w:rPr>
      </w:pPr>
      <w:r w:rsidRPr="00973028">
        <w:rPr>
          <w:rFonts w:ascii="Arial" w:eastAsia="Times New Roman" w:hAnsi="Arial" w:cs="Arial"/>
          <w:b/>
          <w:bCs/>
          <w:noProof/>
          <w:color w:val="9D2235"/>
          <w:sz w:val="18"/>
          <w:szCs w:val="18"/>
          <w:lang w:eastAsia="es-ES"/>
        </w:rPr>
        <w:drawing>
          <wp:anchor distT="0" distB="0" distL="114300" distR="114300" simplePos="0" relativeHeight="251951104" behindDoc="0" locked="0" layoutInCell="1" allowOverlap="1" wp14:anchorId="71867A49" wp14:editId="6A3FFFDC">
            <wp:simplePos x="0" y="0"/>
            <wp:positionH relativeFrom="column">
              <wp:posOffset>1872615</wp:posOffset>
            </wp:positionH>
            <wp:positionV relativeFrom="paragraph">
              <wp:posOffset>128270</wp:posOffset>
            </wp:positionV>
            <wp:extent cx="356235" cy="356235"/>
            <wp:effectExtent l="0" t="0" r="5715" b="5715"/>
            <wp:wrapNone/>
            <wp:docPr id="270" name="Imagen 15" descr="Un dibujo de una cara feliz&#10;&#10;Descripción generada automáticamente con confianza baj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n 15" descr="Un dibujo de una cara feliz&#10;&#10;Descripción generada automáticamente con confianza baja">
                      <a:hlinkClick r:id="rId18"/>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028">
        <w:rPr>
          <w:rFonts w:ascii="Arial" w:eastAsia="Times New Roman" w:hAnsi="Arial" w:cs="Arial"/>
          <w:b/>
          <w:bCs/>
          <w:noProof/>
          <w:color w:val="9D2235"/>
          <w:sz w:val="18"/>
          <w:szCs w:val="18"/>
          <w:lang w:eastAsia="es-ES"/>
        </w:rPr>
        <w:drawing>
          <wp:anchor distT="0" distB="0" distL="114300" distR="114300" simplePos="0" relativeHeight="251950080" behindDoc="0" locked="0" layoutInCell="1" allowOverlap="1" wp14:anchorId="44908B26" wp14:editId="283E825A">
            <wp:simplePos x="0" y="0"/>
            <wp:positionH relativeFrom="column">
              <wp:posOffset>4841240</wp:posOffset>
            </wp:positionH>
            <wp:positionV relativeFrom="paragraph">
              <wp:posOffset>128270</wp:posOffset>
            </wp:positionV>
            <wp:extent cx="356235" cy="356235"/>
            <wp:effectExtent l="0" t="0" r="5715" b="5715"/>
            <wp:wrapNone/>
            <wp:docPr id="269" name="Imagen 14" descr="Icono&#10;&#10;Descripción generada automáticament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Icono&#10;&#10;Descripción generada automáticament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028">
        <w:rPr>
          <w:rFonts w:ascii="Arial" w:eastAsia="Times New Roman" w:hAnsi="Arial" w:cs="Arial"/>
          <w:b/>
          <w:bCs/>
          <w:noProof/>
          <w:color w:val="9D2235"/>
          <w:sz w:val="18"/>
          <w:szCs w:val="18"/>
          <w:lang w:eastAsia="es-ES"/>
        </w:rPr>
        <w:drawing>
          <wp:anchor distT="0" distB="0" distL="114300" distR="114300" simplePos="0" relativeHeight="251949056" behindDoc="0" locked="0" layoutInCell="1" allowOverlap="1" wp14:anchorId="508A3669" wp14:editId="011B6EBF">
            <wp:simplePos x="0" y="0"/>
            <wp:positionH relativeFrom="column">
              <wp:posOffset>4359910</wp:posOffset>
            </wp:positionH>
            <wp:positionV relativeFrom="paragraph">
              <wp:posOffset>128270</wp:posOffset>
            </wp:positionV>
            <wp:extent cx="356235" cy="356235"/>
            <wp:effectExtent l="0" t="0" r="5715" b="5715"/>
            <wp:wrapNone/>
            <wp:docPr id="268" name="Imagen 13" descr="Icono&#10;&#10;Descripción generada automáticament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cono&#10;&#10;Descripción generada automáticament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028">
        <w:rPr>
          <w:rFonts w:ascii="Arial" w:eastAsia="Times New Roman" w:hAnsi="Arial" w:cs="Arial"/>
          <w:b/>
          <w:bCs/>
          <w:noProof/>
          <w:color w:val="9D2235"/>
          <w:sz w:val="18"/>
          <w:szCs w:val="18"/>
          <w:lang w:eastAsia="es-ES"/>
        </w:rPr>
        <w:drawing>
          <wp:anchor distT="0" distB="0" distL="114300" distR="114300" simplePos="0" relativeHeight="251948032" behindDoc="0" locked="0" layoutInCell="1" allowOverlap="1" wp14:anchorId="55E5EA62" wp14:editId="147443C5">
            <wp:simplePos x="0" y="0"/>
            <wp:positionH relativeFrom="column">
              <wp:posOffset>3855720</wp:posOffset>
            </wp:positionH>
            <wp:positionV relativeFrom="paragraph">
              <wp:posOffset>128270</wp:posOffset>
            </wp:positionV>
            <wp:extent cx="356235" cy="356235"/>
            <wp:effectExtent l="0" t="0" r="5715" b="5715"/>
            <wp:wrapNone/>
            <wp:docPr id="267" name="Imagen 12" descr="Logotipo, Icono&#10;&#10;Descripción generada automáticament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tipo, Icono&#10;&#10;Descripción generada automáticament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028">
        <w:rPr>
          <w:rFonts w:ascii="Arial" w:eastAsia="Times New Roman" w:hAnsi="Arial" w:cs="Arial"/>
          <w:b/>
          <w:bCs/>
          <w:noProof/>
          <w:color w:val="9D2235"/>
          <w:sz w:val="18"/>
          <w:szCs w:val="18"/>
          <w:lang w:eastAsia="es-ES"/>
        </w:rPr>
        <w:drawing>
          <wp:anchor distT="0" distB="0" distL="114300" distR="114300" simplePos="0" relativeHeight="251947008" behindDoc="0" locked="0" layoutInCell="1" allowOverlap="1" wp14:anchorId="37E37A4A" wp14:editId="4B58A0C1">
            <wp:simplePos x="0" y="0"/>
            <wp:positionH relativeFrom="column">
              <wp:posOffset>3362960</wp:posOffset>
            </wp:positionH>
            <wp:positionV relativeFrom="paragraph">
              <wp:posOffset>128270</wp:posOffset>
            </wp:positionV>
            <wp:extent cx="356235" cy="356235"/>
            <wp:effectExtent l="0" t="0" r="5715" b="5715"/>
            <wp:wrapNone/>
            <wp:docPr id="266" name="Imagen 11" descr="Icono&#10;&#10;Descripción generada automáticamen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cono&#10;&#10;Descripción generada automáticamente">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028">
        <w:rPr>
          <w:rFonts w:ascii="Arial" w:eastAsia="Times New Roman" w:hAnsi="Arial" w:cs="Arial"/>
          <w:b/>
          <w:bCs/>
          <w:noProof/>
          <w:color w:val="9D2235"/>
          <w:sz w:val="18"/>
          <w:szCs w:val="18"/>
          <w:lang w:eastAsia="es-ES"/>
        </w:rPr>
        <w:drawing>
          <wp:anchor distT="0" distB="0" distL="114300" distR="114300" simplePos="0" relativeHeight="251945984" behindDoc="0" locked="0" layoutInCell="1" allowOverlap="1" wp14:anchorId="423055C0" wp14:editId="221BD655">
            <wp:simplePos x="0" y="0"/>
            <wp:positionH relativeFrom="column">
              <wp:posOffset>2869565</wp:posOffset>
            </wp:positionH>
            <wp:positionV relativeFrom="paragraph">
              <wp:posOffset>128270</wp:posOffset>
            </wp:positionV>
            <wp:extent cx="356235" cy="356235"/>
            <wp:effectExtent l="0" t="0" r="5715" b="5715"/>
            <wp:wrapNone/>
            <wp:docPr id="264" name="Imagen 264" descr="Icono&#10;&#10;Descripción generada automáticament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cono&#10;&#10;Descripción generada automáticament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028">
        <w:rPr>
          <w:rFonts w:ascii="Arial" w:eastAsia="Times New Roman" w:hAnsi="Arial" w:cs="Arial"/>
          <w:b/>
          <w:bCs/>
          <w:noProof/>
          <w:color w:val="9D2235"/>
          <w:sz w:val="18"/>
          <w:szCs w:val="18"/>
          <w:lang w:eastAsia="es-ES"/>
        </w:rPr>
        <w:drawing>
          <wp:anchor distT="0" distB="0" distL="114300" distR="114300" simplePos="0" relativeHeight="251944960" behindDoc="0" locked="0" layoutInCell="1" allowOverlap="1" wp14:anchorId="377AD5D4" wp14:editId="20FA3E51">
            <wp:simplePos x="0" y="0"/>
            <wp:positionH relativeFrom="column">
              <wp:posOffset>2376805</wp:posOffset>
            </wp:positionH>
            <wp:positionV relativeFrom="paragraph">
              <wp:posOffset>128270</wp:posOffset>
            </wp:positionV>
            <wp:extent cx="356235" cy="356235"/>
            <wp:effectExtent l="0" t="0" r="5715" b="5715"/>
            <wp:wrapNone/>
            <wp:docPr id="18" name="Imagen 7" descr="Logotipo, Icono&#10;&#10;Descripción generada automáticament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tipo, Icono&#10;&#10;Descripción generada automáticamente">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DC27E" w14:textId="12748689" w:rsidR="00995AF6" w:rsidRPr="00973028" w:rsidRDefault="00995AF6" w:rsidP="00995AF6">
      <w:pPr>
        <w:spacing w:after="0" w:line="240" w:lineRule="auto"/>
        <w:ind w:left="2"/>
        <w:jc w:val="right"/>
        <w:rPr>
          <w:rFonts w:ascii="Arial" w:eastAsia="Times New Roman" w:hAnsi="Arial" w:cs="Arial"/>
          <w:color w:val="9D2235"/>
          <w:sz w:val="24"/>
          <w:szCs w:val="24"/>
          <w:lang w:eastAsia="es-ES"/>
        </w:rPr>
      </w:pPr>
    </w:p>
    <w:p w14:paraId="31C592CA" w14:textId="53DEEFA2" w:rsidR="00367282" w:rsidRPr="00973028" w:rsidRDefault="00367282" w:rsidP="000F347B">
      <w:pPr>
        <w:spacing w:before="100" w:beforeAutospacing="1" w:after="0" w:line="240" w:lineRule="auto"/>
        <w:jc w:val="right"/>
        <w:rPr>
          <w:rFonts w:ascii="Arial" w:eastAsia="Times New Roman" w:hAnsi="Arial" w:cs="Arial"/>
          <w:sz w:val="24"/>
          <w:szCs w:val="24"/>
          <w:lang w:eastAsia="es-ES"/>
        </w:rPr>
      </w:pPr>
    </w:p>
    <w:p w14:paraId="116AFC9C" w14:textId="77777777" w:rsidR="00367282" w:rsidRPr="00973028" w:rsidRDefault="00367282" w:rsidP="00367282">
      <w:pPr>
        <w:rPr>
          <w:rFonts w:ascii="Arial" w:eastAsia="Times New Roman" w:hAnsi="Arial" w:cs="Arial"/>
          <w:sz w:val="24"/>
          <w:szCs w:val="24"/>
          <w:lang w:eastAsia="es-ES"/>
        </w:rPr>
      </w:pPr>
    </w:p>
    <w:p w14:paraId="56344CAB" w14:textId="50699E80" w:rsidR="00367282" w:rsidRPr="00973028" w:rsidRDefault="00367282" w:rsidP="00367282">
      <w:pPr>
        <w:rPr>
          <w:rFonts w:ascii="Arial" w:eastAsia="Times New Roman" w:hAnsi="Arial" w:cs="Arial"/>
          <w:sz w:val="24"/>
          <w:szCs w:val="24"/>
          <w:lang w:eastAsia="es-ES"/>
        </w:rPr>
      </w:pPr>
    </w:p>
    <w:p w14:paraId="105CF3AB" w14:textId="1CF2264F" w:rsidR="00367282" w:rsidRPr="00973028" w:rsidRDefault="00367282" w:rsidP="00367282">
      <w:pPr>
        <w:tabs>
          <w:tab w:val="left" w:pos="7214"/>
        </w:tabs>
        <w:rPr>
          <w:rFonts w:ascii="Arial" w:eastAsia="Times New Roman" w:hAnsi="Arial" w:cs="Arial"/>
          <w:sz w:val="24"/>
          <w:szCs w:val="24"/>
          <w:lang w:eastAsia="es-ES"/>
        </w:rPr>
      </w:pPr>
      <w:r w:rsidRPr="00973028">
        <w:rPr>
          <w:rFonts w:ascii="Arial" w:eastAsia="Times New Roman" w:hAnsi="Arial" w:cs="Arial"/>
          <w:sz w:val="24"/>
          <w:szCs w:val="24"/>
          <w:lang w:eastAsia="es-ES"/>
        </w:rPr>
        <w:tab/>
      </w:r>
    </w:p>
    <w:p w14:paraId="039D307E" w14:textId="4C6D8541" w:rsidR="00CE1008" w:rsidRPr="00973028" w:rsidRDefault="00367282">
      <w:pPr>
        <w:rPr>
          <w:rFonts w:ascii="Arial" w:eastAsia="Times New Roman" w:hAnsi="Arial" w:cs="Arial"/>
          <w:sz w:val="24"/>
          <w:szCs w:val="24"/>
          <w:lang w:eastAsia="es-ES"/>
        </w:rPr>
      </w:pPr>
      <w:r w:rsidRPr="00973028">
        <w:rPr>
          <w:rFonts w:ascii="Arial" w:eastAsia="Times New Roman" w:hAnsi="Arial" w:cs="Arial"/>
          <w:sz w:val="24"/>
          <w:szCs w:val="24"/>
          <w:lang w:eastAsia="es-ES"/>
        </w:rPr>
        <w:br w:type="page"/>
      </w:r>
    </w:p>
    <w:sdt>
      <w:sdtPr>
        <w:rPr>
          <w:rFonts w:asciiTheme="minorHAnsi" w:eastAsiaTheme="minorEastAsia" w:hAnsiTheme="minorHAnsi" w:cstheme="minorBidi"/>
          <w:color w:val="auto"/>
          <w:sz w:val="22"/>
          <w:szCs w:val="22"/>
        </w:rPr>
        <w:id w:val="662976908"/>
        <w:docPartObj>
          <w:docPartGallery w:val="Table of Contents"/>
          <w:docPartUnique/>
        </w:docPartObj>
      </w:sdtPr>
      <w:sdtEndPr/>
      <w:sdtContent>
        <w:p w14:paraId="45349194" w14:textId="39B06397" w:rsidR="00AD0B4D" w:rsidRPr="00973028" w:rsidRDefault="00AD0B4D" w:rsidP="003C28C4">
          <w:pPr>
            <w:pStyle w:val="TtuloTDC"/>
            <w:jc w:val="both"/>
            <w:rPr>
              <w:rFonts w:ascii="Arial" w:hAnsi="Arial" w:cs="Arial"/>
              <w:b/>
              <w:bCs/>
              <w:color w:val="9D2235" w:themeColor="accent1"/>
              <w:sz w:val="60"/>
              <w:szCs w:val="60"/>
            </w:rPr>
          </w:pPr>
          <w:r w:rsidRPr="00973028">
            <w:rPr>
              <w:rFonts w:ascii="Arial" w:hAnsi="Arial" w:cs="Arial"/>
              <w:b/>
              <w:bCs/>
              <w:color w:val="9D2235" w:themeColor="accent1"/>
              <w:sz w:val="60"/>
              <w:szCs w:val="60"/>
            </w:rPr>
            <w:t>Tabla de contenido</w:t>
          </w:r>
          <w:r w:rsidR="00EB3515" w:rsidRPr="00973028">
            <w:rPr>
              <w:rFonts w:ascii="Arial" w:hAnsi="Arial" w:cs="Arial"/>
              <w:b/>
              <w:bCs/>
              <w:color w:val="9D2235" w:themeColor="accent1"/>
              <w:sz w:val="60"/>
              <w:szCs w:val="60"/>
            </w:rPr>
            <w:t>s</w:t>
          </w:r>
        </w:p>
        <w:p w14:paraId="537CA61E" w14:textId="3CAA363A" w:rsidR="000D0217" w:rsidRPr="000D0217" w:rsidRDefault="009C4D4D" w:rsidP="000D0217">
          <w:pPr>
            <w:pStyle w:val="TDC1"/>
            <w:rPr>
              <w:rFonts w:eastAsiaTheme="minorEastAsia"/>
              <w:kern w:val="0"/>
              <w:sz w:val="22"/>
              <w:szCs w:val="22"/>
              <w:lang w:bidi="ar-SA"/>
            </w:rPr>
          </w:pPr>
          <w:r w:rsidRPr="000D0217">
            <w:rPr>
              <w:rFonts w:eastAsia="Droid Sans Fallback"/>
              <w:kern w:val="3"/>
              <w:lang w:eastAsia="zh-CN"/>
            </w:rPr>
            <w:fldChar w:fldCharType="begin"/>
          </w:r>
          <w:r w:rsidRPr="000D0217">
            <w:rPr>
              <w:rFonts w:eastAsia="Droid Sans Fallback"/>
              <w:kern w:val="3"/>
              <w:lang w:eastAsia="zh-CN"/>
            </w:rPr>
            <w:instrText xml:space="preserve"> TOC \o "1-3" \h \z \u </w:instrText>
          </w:r>
          <w:r w:rsidRPr="000D0217">
            <w:rPr>
              <w:rFonts w:eastAsia="Droid Sans Fallback"/>
              <w:kern w:val="3"/>
              <w:lang w:eastAsia="zh-CN"/>
            </w:rPr>
            <w:fldChar w:fldCharType="separate"/>
          </w:r>
          <w:hyperlink w:anchor="_Toc67646215" w:history="1">
            <w:r w:rsidR="000D0217" w:rsidRPr="000D0217">
              <w:rPr>
                <w:rStyle w:val="Hipervnculo"/>
                <w:rFonts w:eastAsia="Times New Roman"/>
                <w:kern w:val="36"/>
              </w:rPr>
              <w:t>La Agencia  AVAF</w:t>
            </w:r>
            <w:r w:rsidR="000D0217" w:rsidRPr="000D0217">
              <w:rPr>
                <w:webHidden/>
              </w:rPr>
              <w:tab/>
            </w:r>
            <w:r w:rsidR="000D0217" w:rsidRPr="000D0217">
              <w:rPr>
                <w:webHidden/>
              </w:rPr>
              <w:fldChar w:fldCharType="begin"/>
            </w:r>
            <w:r w:rsidR="000D0217" w:rsidRPr="000D0217">
              <w:rPr>
                <w:webHidden/>
              </w:rPr>
              <w:instrText xml:space="preserve"> PAGEREF _Toc67646215 \h </w:instrText>
            </w:r>
            <w:r w:rsidR="000D0217" w:rsidRPr="000D0217">
              <w:rPr>
                <w:webHidden/>
              </w:rPr>
            </w:r>
            <w:r w:rsidR="000D0217" w:rsidRPr="000D0217">
              <w:rPr>
                <w:webHidden/>
              </w:rPr>
              <w:fldChar w:fldCharType="separate"/>
            </w:r>
            <w:r w:rsidR="00997C18">
              <w:rPr>
                <w:webHidden/>
              </w:rPr>
              <w:t>5</w:t>
            </w:r>
            <w:r w:rsidR="000D0217" w:rsidRPr="000D0217">
              <w:rPr>
                <w:webHidden/>
              </w:rPr>
              <w:fldChar w:fldCharType="end"/>
            </w:r>
          </w:hyperlink>
        </w:p>
        <w:p w14:paraId="6FFD9C2C" w14:textId="65424112" w:rsidR="000D0217" w:rsidRPr="000D0217" w:rsidRDefault="001400EF" w:rsidP="000D0217">
          <w:pPr>
            <w:pStyle w:val="TDC1"/>
            <w:rPr>
              <w:rFonts w:eastAsiaTheme="minorEastAsia"/>
              <w:kern w:val="0"/>
              <w:sz w:val="22"/>
              <w:szCs w:val="22"/>
              <w:lang w:bidi="ar-SA"/>
            </w:rPr>
          </w:pPr>
          <w:hyperlink w:anchor="_Toc67646216" w:history="1">
            <w:r w:rsidR="000D0217" w:rsidRPr="000D0217">
              <w:rPr>
                <w:rStyle w:val="Hipervnculo"/>
                <w:rFonts w:eastAsia="Calibri"/>
              </w:rPr>
              <w:t>1.</w:t>
            </w:r>
            <w:r w:rsidR="000D0217" w:rsidRPr="000D0217">
              <w:rPr>
                <w:rFonts w:eastAsiaTheme="minorEastAsia"/>
                <w:kern w:val="0"/>
                <w:sz w:val="22"/>
                <w:szCs w:val="22"/>
                <w:lang w:bidi="ar-SA"/>
              </w:rPr>
              <w:tab/>
            </w:r>
            <w:r w:rsidR="000D0217" w:rsidRPr="000D0217">
              <w:rPr>
                <w:rStyle w:val="Hipervnculo"/>
                <w:rFonts w:eastAsia="Calibri"/>
              </w:rPr>
              <w:t>Presentación</w:t>
            </w:r>
            <w:r w:rsidR="000D0217" w:rsidRPr="000D0217">
              <w:rPr>
                <w:webHidden/>
              </w:rPr>
              <w:tab/>
            </w:r>
            <w:r w:rsidR="000D0217" w:rsidRPr="000D0217">
              <w:rPr>
                <w:webHidden/>
              </w:rPr>
              <w:fldChar w:fldCharType="begin"/>
            </w:r>
            <w:r w:rsidR="000D0217" w:rsidRPr="000D0217">
              <w:rPr>
                <w:webHidden/>
              </w:rPr>
              <w:instrText xml:space="preserve"> PAGEREF _Toc67646216 \h </w:instrText>
            </w:r>
            <w:r w:rsidR="000D0217" w:rsidRPr="000D0217">
              <w:rPr>
                <w:webHidden/>
              </w:rPr>
            </w:r>
            <w:r w:rsidR="000D0217" w:rsidRPr="000D0217">
              <w:rPr>
                <w:webHidden/>
              </w:rPr>
              <w:fldChar w:fldCharType="separate"/>
            </w:r>
            <w:r w:rsidR="00997C18">
              <w:rPr>
                <w:webHidden/>
              </w:rPr>
              <w:t>14</w:t>
            </w:r>
            <w:r w:rsidR="000D0217" w:rsidRPr="000D0217">
              <w:rPr>
                <w:webHidden/>
              </w:rPr>
              <w:fldChar w:fldCharType="end"/>
            </w:r>
          </w:hyperlink>
        </w:p>
        <w:p w14:paraId="6F5D2490" w14:textId="55B3933D" w:rsidR="000D0217" w:rsidRPr="000D0217" w:rsidRDefault="001400EF" w:rsidP="000D0217">
          <w:pPr>
            <w:pStyle w:val="TDC1"/>
            <w:rPr>
              <w:rFonts w:eastAsiaTheme="minorEastAsia"/>
              <w:kern w:val="0"/>
              <w:sz w:val="22"/>
              <w:szCs w:val="22"/>
              <w:lang w:bidi="ar-SA"/>
            </w:rPr>
          </w:pPr>
          <w:hyperlink w:anchor="_Toc67646217" w:history="1">
            <w:r w:rsidR="000D0217" w:rsidRPr="000D0217">
              <w:rPr>
                <w:rStyle w:val="Hipervnculo"/>
                <w:rFonts w:eastAsia="Times New Roman"/>
              </w:rPr>
              <w:t>2.</w:t>
            </w:r>
            <w:r w:rsidR="000D0217" w:rsidRPr="000D0217">
              <w:rPr>
                <w:rFonts w:eastAsiaTheme="minorEastAsia"/>
                <w:kern w:val="0"/>
                <w:sz w:val="22"/>
                <w:szCs w:val="22"/>
                <w:lang w:bidi="ar-SA"/>
              </w:rPr>
              <w:tab/>
            </w:r>
            <w:r w:rsidR="000D0217" w:rsidRPr="000D0217">
              <w:rPr>
                <w:rStyle w:val="Hipervnculo"/>
                <w:rFonts w:eastAsia="Times New Roman"/>
              </w:rPr>
              <w:t>Prevención,  formación y documentación</w:t>
            </w:r>
            <w:r w:rsidR="000D0217" w:rsidRPr="000D0217">
              <w:rPr>
                <w:webHidden/>
              </w:rPr>
              <w:tab/>
            </w:r>
            <w:r w:rsidR="000D0217" w:rsidRPr="000D0217">
              <w:rPr>
                <w:webHidden/>
              </w:rPr>
              <w:fldChar w:fldCharType="begin"/>
            </w:r>
            <w:r w:rsidR="000D0217" w:rsidRPr="000D0217">
              <w:rPr>
                <w:webHidden/>
              </w:rPr>
              <w:instrText xml:space="preserve"> PAGEREF _Toc67646217 \h </w:instrText>
            </w:r>
            <w:r w:rsidR="000D0217" w:rsidRPr="000D0217">
              <w:rPr>
                <w:webHidden/>
              </w:rPr>
            </w:r>
            <w:r w:rsidR="000D0217" w:rsidRPr="000D0217">
              <w:rPr>
                <w:webHidden/>
              </w:rPr>
              <w:fldChar w:fldCharType="separate"/>
            </w:r>
            <w:r w:rsidR="00997C18">
              <w:rPr>
                <w:webHidden/>
              </w:rPr>
              <w:t>17</w:t>
            </w:r>
            <w:r w:rsidR="000D0217" w:rsidRPr="000D0217">
              <w:rPr>
                <w:webHidden/>
              </w:rPr>
              <w:fldChar w:fldCharType="end"/>
            </w:r>
          </w:hyperlink>
        </w:p>
        <w:p w14:paraId="6350ADC2" w14:textId="5B3A59D8" w:rsidR="000D0217" w:rsidRPr="000D0217" w:rsidRDefault="001400EF">
          <w:pPr>
            <w:pStyle w:val="TDC2"/>
            <w:rPr>
              <w:rFonts w:eastAsiaTheme="minorEastAsia"/>
              <w:kern w:val="0"/>
              <w:sz w:val="22"/>
              <w:lang w:bidi="ar-SA"/>
            </w:rPr>
          </w:pPr>
          <w:hyperlink w:anchor="_Toc67646218" w:history="1">
            <w:r w:rsidR="000D0217" w:rsidRPr="000D0217">
              <w:rPr>
                <w:rStyle w:val="Hipervnculo"/>
              </w:rPr>
              <w:t>2.1.</w:t>
            </w:r>
            <w:r w:rsidR="000D0217" w:rsidRPr="000D0217">
              <w:rPr>
                <w:rFonts w:eastAsiaTheme="minorEastAsia"/>
                <w:kern w:val="0"/>
                <w:sz w:val="22"/>
                <w:lang w:bidi="ar-SA"/>
              </w:rPr>
              <w:tab/>
            </w:r>
            <w:r w:rsidR="000D0217" w:rsidRPr="000D0217">
              <w:rPr>
                <w:rStyle w:val="Hipervnculo"/>
              </w:rPr>
              <w:t>Introducción</w:t>
            </w:r>
            <w:r w:rsidR="000D0217" w:rsidRPr="000D0217">
              <w:rPr>
                <w:webHidden/>
              </w:rPr>
              <w:tab/>
            </w:r>
            <w:r w:rsidR="000D0217" w:rsidRPr="000D0217">
              <w:rPr>
                <w:webHidden/>
              </w:rPr>
              <w:fldChar w:fldCharType="begin"/>
            </w:r>
            <w:r w:rsidR="000D0217" w:rsidRPr="000D0217">
              <w:rPr>
                <w:webHidden/>
              </w:rPr>
              <w:instrText xml:space="preserve"> PAGEREF _Toc67646218 \h </w:instrText>
            </w:r>
            <w:r w:rsidR="000D0217" w:rsidRPr="000D0217">
              <w:rPr>
                <w:webHidden/>
              </w:rPr>
            </w:r>
            <w:r w:rsidR="000D0217" w:rsidRPr="000D0217">
              <w:rPr>
                <w:webHidden/>
              </w:rPr>
              <w:fldChar w:fldCharType="separate"/>
            </w:r>
            <w:r w:rsidR="00997C18">
              <w:rPr>
                <w:webHidden/>
              </w:rPr>
              <w:t>17</w:t>
            </w:r>
            <w:r w:rsidR="000D0217" w:rsidRPr="000D0217">
              <w:rPr>
                <w:webHidden/>
              </w:rPr>
              <w:fldChar w:fldCharType="end"/>
            </w:r>
          </w:hyperlink>
        </w:p>
        <w:p w14:paraId="2926D8A6" w14:textId="7C2A35B6" w:rsidR="000D0217" w:rsidRPr="000D0217" w:rsidRDefault="001400EF">
          <w:pPr>
            <w:pStyle w:val="TDC2"/>
            <w:rPr>
              <w:rFonts w:eastAsiaTheme="minorEastAsia"/>
              <w:kern w:val="0"/>
              <w:sz w:val="22"/>
              <w:lang w:bidi="ar-SA"/>
            </w:rPr>
          </w:pPr>
          <w:hyperlink w:anchor="_Toc67646219" w:history="1">
            <w:r w:rsidR="000D0217" w:rsidRPr="000D0217">
              <w:rPr>
                <w:rStyle w:val="Hipervnculo"/>
              </w:rPr>
              <w:t>2.2.</w:t>
            </w:r>
            <w:r w:rsidR="000D0217" w:rsidRPr="000D0217">
              <w:rPr>
                <w:rFonts w:eastAsiaTheme="minorEastAsia"/>
                <w:kern w:val="0"/>
                <w:sz w:val="22"/>
                <w:lang w:bidi="ar-SA"/>
              </w:rPr>
              <w:tab/>
            </w:r>
            <w:r w:rsidR="000D0217" w:rsidRPr="000D0217">
              <w:rPr>
                <w:rStyle w:val="Hipervnculo"/>
              </w:rPr>
              <w:t>Servicio de Prevención</w:t>
            </w:r>
            <w:r w:rsidR="000D0217" w:rsidRPr="000D0217">
              <w:rPr>
                <w:webHidden/>
              </w:rPr>
              <w:tab/>
            </w:r>
            <w:r w:rsidR="000D0217" w:rsidRPr="000D0217">
              <w:rPr>
                <w:webHidden/>
              </w:rPr>
              <w:fldChar w:fldCharType="begin"/>
            </w:r>
            <w:r w:rsidR="000D0217" w:rsidRPr="000D0217">
              <w:rPr>
                <w:webHidden/>
              </w:rPr>
              <w:instrText xml:space="preserve"> PAGEREF _Toc67646219 \h </w:instrText>
            </w:r>
            <w:r w:rsidR="000D0217" w:rsidRPr="000D0217">
              <w:rPr>
                <w:webHidden/>
              </w:rPr>
            </w:r>
            <w:r w:rsidR="000D0217" w:rsidRPr="000D0217">
              <w:rPr>
                <w:webHidden/>
              </w:rPr>
              <w:fldChar w:fldCharType="separate"/>
            </w:r>
            <w:r w:rsidR="00997C18">
              <w:rPr>
                <w:webHidden/>
              </w:rPr>
              <w:t>18</w:t>
            </w:r>
            <w:r w:rsidR="000D0217" w:rsidRPr="000D0217">
              <w:rPr>
                <w:webHidden/>
              </w:rPr>
              <w:fldChar w:fldCharType="end"/>
            </w:r>
          </w:hyperlink>
        </w:p>
        <w:p w14:paraId="525224BB" w14:textId="5413E721"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20" w:history="1">
            <w:r w:rsidR="000D0217" w:rsidRPr="000D0217">
              <w:rPr>
                <w:rStyle w:val="Hipervnculo"/>
                <w:rFonts w:ascii="Arial" w:eastAsia="Times New Roman" w:hAnsi="Arial" w:cs="Arial"/>
                <w:noProof/>
              </w:rPr>
              <w:t>2.2.1.</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Funciones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_Toc67646220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18</w:t>
            </w:r>
            <w:r w:rsidR="000D0217" w:rsidRPr="000D0217">
              <w:rPr>
                <w:rFonts w:ascii="Arial" w:hAnsi="Arial" w:cs="Arial"/>
                <w:noProof/>
                <w:webHidden/>
              </w:rPr>
              <w:fldChar w:fldCharType="end"/>
            </w:r>
          </w:hyperlink>
        </w:p>
        <w:p w14:paraId="3457FE43" w14:textId="360E04D3"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21" w:history="1">
            <w:r w:rsidR="000D0217" w:rsidRPr="000D0217">
              <w:rPr>
                <w:rStyle w:val="Hipervnculo"/>
                <w:rFonts w:ascii="Arial" w:eastAsia="Times New Roman" w:hAnsi="Arial" w:cs="Arial"/>
                <w:noProof/>
              </w:rPr>
              <w:t>2.2.2.</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Desarrollo del Plan Estratégico del Servicio de Prevención</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_Toc67646221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19</w:t>
            </w:r>
            <w:r w:rsidR="000D0217" w:rsidRPr="000D0217">
              <w:rPr>
                <w:rFonts w:ascii="Arial" w:hAnsi="Arial" w:cs="Arial"/>
                <w:noProof/>
                <w:webHidden/>
              </w:rPr>
              <w:fldChar w:fldCharType="end"/>
            </w:r>
          </w:hyperlink>
        </w:p>
        <w:p w14:paraId="2EC2327F" w14:textId="28B1D22B"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22" w:history="1">
            <w:r w:rsidR="000D0217" w:rsidRPr="000D0217">
              <w:rPr>
                <w:rStyle w:val="Hipervnculo"/>
                <w:rFonts w:ascii="Arial" w:eastAsia="Times New Roman" w:hAnsi="Arial" w:cs="Arial"/>
                <w:noProof/>
              </w:rPr>
              <w:t>2.2.3.</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Recomendaciones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_Toc67646222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21</w:t>
            </w:r>
            <w:r w:rsidR="000D0217" w:rsidRPr="000D0217">
              <w:rPr>
                <w:rFonts w:ascii="Arial" w:hAnsi="Arial" w:cs="Arial"/>
                <w:noProof/>
                <w:webHidden/>
              </w:rPr>
              <w:fldChar w:fldCharType="end"/>
            </w:r>
          </w:hyperlink>
        </w:p>
        <w:p w14:paraId="6B180A06" w14:textId="1A091159"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23" w:history="1">
            <w:r w:rsidR="000D0217" w:rsidRPr="000D0217">
              <w:rPr>
                <w:rStyle w:val="Hipervnculo"/>
                <w:rFonts w:ascii="Arial" w:eastAsia="Times New Roman" w:hAnsi="Arial" w:cs="Arial"/>
                <w:noProof/>
              </w:rPr>
              <w:t>2.2.4.</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Propuestas sobre disposiciones normativas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_Toc67646223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25</w:t>
            </w:r>
            <w:r w:rsidR="000D0217" w:rsidRPr="000D0217">
              <w:rPr>
                <w:rFonts w:ascii="Arial" w:hAnsi="Arial" w:cs="Arial"/>
                <w:noProof/>
                <w:webHidden/>
              </w:rPr>
              <w:fldChar w:fldCharType="end"/>
            </w:r>
          </w:hyperlink>
        </w:p>
        <w:p w14:paraId="14458ADC" w14:textId="68491B82"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24" w:history="1">
            <w:r w:rsidR="000D0217" w:rsidRPr="000D0217">
              <w:rPr>
                <w:rStyle w:val="Hipervnculo"/>
                <w:rFonts w:ascii="Arial" w:eastAsia="Times New Roman" w:hAnsi="Arial" w:cs="Arial"/>
                <w:noProof/>
              </w:rPr>
              <w:t>2.2.5.</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Identificación de riesgos de corrupción y estrategia de integridad pública</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_Toc67646224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27</w:t>
            </w:r>
            <w:r w:rsidR="000D0217" w:rsidRPr="000D0217">
              <w:rPr>
                <w:rFonts w:ascii="Arial" w:hAnsi="Arial" w:cs="Arial"/>
                <w:noProof/>
                <w:webHidden/>
              </w:rPr>
              <w:fldChar w:fldCharType="end"/>
            </w:r>
          </w:hyperlink>
        </w:p>
        <w:p w14:paraId="4AECC501" w14:textId="507575A6"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25" w:history="1">
            <w:r w:rsidR="000D0217" w:rsidRPr="000D0217">
              <w:rPr>
                <w:rStyle w:val="Hipervnculo"/>
                <w:rFonts w:ascii="Arial" w:eastAsia="Times New Roman" w:hAnsi="Arial" w:cs="Arial"/>
                <w:noProof/>
              </w:rPr>
              <w:t>2.2.6.</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Consultoría, difusión y otras colaboraciones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_Toc67646225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27</w:t>
            </w:r>
            <w:r w:rsidR="000D0217" w:rsidRPr="000D0217">
              <w:rPr>
                <w:rFonts w:ascii="Arial" w:hAnsi="Arial" w:cs="Arial"/>
                <w:noProof/>
                <w:webHidden/>
              </w:rPr>
              <w:fldChar w:fldCharType="end"/>
            </w:r>
          </w:hyperlink>
        </w:p>
        <w:p w14:paraId="784EA235" w14:textId="16E59D00" w:rsidR="000D0217" w:rsidRPr="000D0217" w:rsidRDefault="001400EF">
          <w:pPr>
            <w:pStyle w:val="TDC2"/>
            <w:rPr>
              <w:rFonts w:eastAsiaTheme="minorEastAsia"/>
              <w:kern w:val="0"/>
              <w:sz w:val="22"/>
              <w:lang w:bidi="ar-SA"/>
            </w:rPr>
          </w:pPr>
          <w:hyperlink w:anchor="_Toc67646226" w:history="1">
            <w:r w:rsidR="000D0217" w:rsidRPr="000D0217">
              <w:rPr>
                <w:rStyle w:val="Hipervnculo"/>
              </w:rPr>
              <w:t>2.3.</w:t>
            </w:r>
            <w:r w:rsidR="000D0217" w:rsidRPr="000D0217">
              <w:rPr>
                <w:rFonts w:eastAsiaTheme="minorEastAsia"/>
                <w:kern w:val="0"/>
                <w:sz w:val="22"/>
                <w:lang w:bidi="ar-SA"/>
              </w:rPr>
              <w:tab/>
            </w:r>
            <w:r w:rsidR="000D0217" w:rsidRPr="000D0217">
              <w:rPr>
                <w:rStyle w:val="Hipervnculo"/>
              </w:rPr>
              <w:t>Servicio de Formación</w:t>
            </w:r>
            <w:r w:rsidR="000D0217" w:rsidRPr="000D0217">
              <w:rPr>
                <w:webHidden/>
              </w:rPr>
              <w:tab/>
            </w:r>
            <w:r w:rsidR="000D0217" w:rsidRPr="000D0217">
              <w:rPr>
                <w:webHidden/>
              </w:rPr>
              <w:fldChar w:fldCharType="begin"/>
            </w:r>
            <w:r w:rsidR="000D0217" w:rsidRPr="000D0217">
              <w:rPr>
                <w:webHidden/>
              </w:rPr>
              <w:instrText xml:space="preserve"> PAGEREF _Toc67646226 \h </w:instrText>
            </w:r>
            <w:r w:rsidR="000D0217" w:rsidRPr="000D0217">
              <w:rPr>
                <w:webHidden/>
              </w:rPr>
            </w:r>
            <w:r w:rsidR="000D0217" w:rsidRPr="000D0217">
              <w:rPr>
                <w:webHidden/>
              </w:rPr>
              <w:fldChar w:fldCharType="separate"/>
            </w:r>
            <w:r w:rsidR="00997C18">
              <w:rPr>
                <w:webHidden/>
              </w:rPr>
              <w:t>28</w:t>
            </w:r>
            <w:r w:rsidR="000D0217" w:rsidRPr="000D0217">
              <w:rPr>
                <w:webHidden/>
              </w:rPr>
              <w:fldChar w:fldCharType="end"/>
            </w:r>
          </w:hyperlink>
        </w:p>
        <w:p w14:paraId="7BB1CC34" w14:textId="2CBE78EE"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27" w:history="1">
            <w:r w:rsidR="000D0217" w:rsidRPr="000D0217">
              <w:rPr>
                <w:rStyle w:val="Hipervnculo"/>
                <w:rFonts w:ascii="Arial" w:eastAsia="Times New Roman" w:hAnsi="Arial" w:cs="Arial"/>
                <w:noProof/>
              </w:rPr>
              <w:t>2.3.1.</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Funciones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_Toc67646227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28</w:t>
            </w:r>
            <w:r w:rsidR="000D0217" w:rsidRPr="000D0217">
              <w:rPr>
                <w:rFonts w:ascii="Arial" w:hAnsi="Arial" w:cs="Arial"/>
                <w:noProof/>
                <w:webHidden/>
              </w:rPr>
              <w:fldChar w:fldCharType="end"/>
            </w:r>
          </w:hyperlink>
        </w:p>
        <w:p w14:paraId="6EF3D7F4" w14:textId="34F73EED"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28" w:history="1">
            <w:r w:rsidR="000D0217" w:rsidRPr="000D0217">
              <w:rPr>
                <w:rStyle w:val="Hipervnculo"/>
                <w:rFonts w:ascii="Arial" w:eastAsia="Times New Roman" w:hAnsi="Arial" w:cs="Arial"/>
                <w:noProof/>
              </w:rPr>
              <w:t>2.3.2.</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Formación interna</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_Toc67646228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29</w:t>
            </w:r>
            <w:r w:rsidR="000D0217" w:rsidRPr="000D0217">
              <w:rPr>
                <w:rFonts w:ascii="Arial" w:hAnsi="Arial" w:cs="Arial"/>
                <w:noProof/>
                <w:webHidden/>
              </w:rPr>
              <w:fldChar w:fldCharType="end"/>
            </w:r>
          </w:hyperlink>
        </w:p>
        <w:p w14:paraId="1BB0AF98" w14:textId="295E241D"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29" w:history="1">
            <w:r w:rsidR="000D0217" w:rsidRPr="000D0217">
              <w:rPr>
                <w:rStyle w:val="Hipervnculo"/>
                <w:rFonts w:ascii="Arial" w:eastAsia="Times New Roman" w:hAnsi="Arial" w:cs="Arial"/>
                <w:noProof/>
              </w:rPr>
              <w:t>2.3.3.</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Formación externa</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_Toc67646229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35</w:t>
            </w:r>
            <w:r w:rsidR="000D0217" w:rsidRPr="000D0217">
              <w:rPr>
                <w:rFonts w:ascii="Arial" w:hAnsi="Arial" w:cs="Arial"/>
                <w:noProof/>
                <w:webHidden/>
              </w:rPr>
              <w:fldChar w:fldCharType="end"/>
            </w:r>
          </w:hyperlink>
        </w:p>
        <w:p w14:paraId="644D08BF" w14:textId="2A5D1840"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30" w:history="1">
            <w:r w:rsidR="000D0217" w:rsidRPr="000D0217">
              <w:rPr>
                <w:rStyle w:val="Hipervnculo"/>
                <w:rFonts w:ascii="Arial" w:eastAsia="Times New Roman" w:hAnsi="Arial" w:cs="Arial"/>
                <w:noProof/>
              </w:rPr>
              <w:t>2.3.4.</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Otras acciones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_Toc67646230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40</w:t>
            </w:r>
            <w:r w:rsidR="000D0217" w:rsidRPr="000D0217">
              <w:rPr>
                <w:rFonts w:ascii="Arial" w:hAnsi="Arial" w:cs="Arial"/>
                <w:noProof/>
                <w:webHidden/>
              </w:rPr>
              <w:fldChar w:fldCharType="end"/>
            </w:r>
          </w:hyperlink>
        </w:p>
        <w:p w14:paraId="7A557FDE" w14:textId="3E9ADFF4"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31" w:history="1">
            <w:r w:rsidR="000D0217" w:rsidRPr="000D0217">
              <w:rPr>
                <w:rStyle w:val="Hipervnculo"/>
                <w:rFonts w:ascii="Arial" w:eastAsia="Times New Roman" w:hAnsi="Arial" w:cs="Arial"/>
                <w:noProof/>
              </w:rPr>
              <w:t>2.3.5.</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Reflexiones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_Toc67646231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42</w:t>
            </w:r>
            <w:r w:rsidR="000D0217" w:rsidRPr="000D0217">
              <w:rPr>
                <w:rFonts w:ascii="Arial" w:hAnsi="Arial" w:cs="Arial"/>
                <w:noProof/>
                <w:webHidden/>
              </w:rPr>
              <w:fldChar w:fldCharType="end"/>
            </w:r>
          </w:hyperlink>
        </w:p>
        <w:p w14:paraId="3D176AD9" w14:textId="76C5F58D" w:rsidR="000D0217" w:rsidRPr="000D0217" w:rsidRDefault="001400EF">
          <w:pPr>
            <w:pStyle w:val="TDC2"/>
            <w:rPr>
              <w:rFonts w:eastAsiaTheme="minorEastAsia"/>
              <w:kern w:val="0"/>
              <w:sz w:val="22"/>
              <w:lang w:bidi="ar-SA"/>
            </w:rPr>
          </w:pPr>
          <w:hyperlink w:anchor="_Toc67646232" w:history="1">
            <w:r w:rsidR="000D0217" w:rsidRPr="000D0217">
              <w:rPr>
                <w:rStyle w:val="Hipervnculo"/>
              </w:rPr>
              <w:t>2.4.</w:t>
            </w:r>
            <w:r w:rsidR="000D0217" w:rsidRPr="000D0217">
              <w:rPr>
                <w:rFonts w:eastAsiaTheme="minorEastAsia"/>
                <w:kern w:val="0"/>
                <w:sz w:val="22"/>
                <w:lang w:bidi="ar-SA"/>
              </w:rPr>
              <w:tab/>
            </w:r>
            <w:r w:rsidR="000D0217" w:rsidRPr="000D0217">
              <w:rPr>
                <w:rStyle w:val="Hipervnculo"/>
              </w:rPr>
              <w:t>Servicio de Documentación</w:t>
            </w:r>
            <w:r w:rsidR="000D0217" w:rsidRPr="000D0217">
              <w:rPr>
                <w:webHidden/>
              </w:rPr>
              <w:tab/>
            </w:r>
            <w:r w:rsidR="000D0217" w:rsidRPr="000D0217">
              <w:rPr>
                <w:webHidden/>
              </w:rPr>
              <w:fldChar w:fldCharType="begin"/>
            </w:r>
            <w:r w:rsidR="000D0217" w:rsidRPr="000D0217">
              <w:rPr>
                <w:webHidden/>
              </w:rPr>
              <w:instrText xml:space="preserve"> PAGEREF _Toc67646232 \h </w:instrText>
            </w:r>
            <w:r w:rsidR="000D0217" w:rsidRPr="000D0217">
              <w:rPr>
                <w:webHidden/>
              </w:rPr>
            </w:r>
            <w:r w:rsidR="000D0217" w:rsidRPr="000D0217">
              <w:rPr>
                <w:webHidden/>
              </w:rPr>
              <w:fldChar w:fldCharType="separate"/>
            </w:r>
            <w:r w:rsidR="00997C18">
              <w:rPr>
                <w:webHidden/>
              </w:rPr>
              <w:t>43</w:t>
            </w:r>
            <w:r w:rsidR="000D0217" w:rsidRPr="000D0217">
              <w:rPr>
                <w:webHidden/>
              </w:rPr>
              <w:fldChar w:fldCharType="end"/>
            </w:r>
          </w:hyperlink>
        </w:p>
        <w:p w14:paraId="466AE2C5" w14:textId="40B2CCD1"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33" w:history="1">
            <w:r w:rsidR="000D0217" w:rsidRPr="000D0217">
              <w:rPr>
                <w:rStyle w:val="Hipervnculo"/>
                <w:rFonts w:ascii="Arial" w:eastAsia="Times New Roman" w:hAnsi="Arial" w:cs="Arial"/>
                <w:noProof/>
              </w:rPr>
              <w:t>2.4.1.</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Introducción al Servicio</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_Toc67646233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43</w:t>
            </w:r>
            <w:r w:rsidR="000D0217" w:rsidRPr="000D0217">
              <w:rPr>
                <w:rFonts w:ascii="Arial" w:hAnsi="Arial" w:cs="Arial"/>
                <w:noProof/>
                <w:webHidden/>
              </w:rPr>
              <w:fldChar w:fldCharType="end"/>
            </w:r>
          </w:hyperlink>
        </w:p>
        <w:p w14:paraId="0D8A748A" w14:textId="3E91723B"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34" w:history="1">
            <w:r w:rsidR="000D0217" w:rsidRPr="000D0217">
              <w:rPr>
                <w:rStyle w:val="Hipervnculo"/>
                <w:rFonts w:ascii="Arial" w:eastAsia="Times New Roman" w:hAnsi="Arial" w:cs="Arial"/>
                <w:noProof/>
              </w:rPr>
              <w:t>2.4.2.</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Encuesta sobre el Servicio de Documentación en el contexto de la elaboración del plan estratégico</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_Toc67646234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44</w:t>
            </w:r>
            <w:r w:rsidR="000D0217" w:rsidRPr="000D0217">
              <w:rPr>
                <w:rFonts w:ascii="Arial" w:hAnsi="Arial" w:cs="Arial"/>
                <w:noProof/>
                <w:webHidden/>
              </w:rPr>
              <w:fldChar w:fldCharType="end"/>
            </w:r>
          </w:hyperlink>
        </w:p>
        <w:p w14:paraId="13A584DD" w14:textId="4E488A33"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35" w:history="1">
            <w:r w:rsidR="000D0217" w:rsidRPr="000D0217">
              <w:rPr>
                <w:rStyle w:val="Hipervnculo"/>
                <w:rFonts w:ascii="Arial" w:eastAsia="Times New Roman" w:hAnsi="Arial" w:cs="Arial"/>
                <w:noProof/>
              </w:rPr>
              <w:t>2.4.3.</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Atención a consultas y otros servicios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_Toc67646235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44</w:t>
            </w:r>
            <w:r w:rsidR="000D0217" w:rsidRPr="000D0217">
              <w:rPr>
                <w:rFonts w:ascii="Arial" w:hAnsi="Arial" w:cs="Arial"/>
                <w:noProof/>
                <w:webHidden/>
              </w:rPr>
              <w:fldChar w:fldCharType="end"/>
            </w:r>
          </w:hyperlink>
        </w:p>
        <w:p w14:paraId="4FE6C4A3" w14:textId="6B3F41F0"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36" w:history="1">
            <w:r w:rsidR="000D0217" w:rsidRPr="000D0217">
              <w:rPr>
                <w:rStyle w:val="Hipervnculo"/>
                <w:rFonts w:ascii="Arial" w:eastAsia="Times New Roman" w:hAnsi="Arial" w:cs="Arial"/>
                <w:noProof/>
              </w:rPr>
              <w:t>2.4.4.</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Contrataciones del servicio</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_Toc67646236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45</w:t>
            </w:r>
            <w:r w:rsidR="000D0217" w:rsidRPr="000D0217">
              <w:rPr>
                <w:rFonts w:ascii="Arial" w:hAnsi="Arial" w:cs="Arial"/>
                <w:noProof/>
                <w:webHidden/>
              </w:rPr>
              <w:fldChar w:fldCharType="end"/>
            </w:r>
          </w:hyperlink>
        </w:p>
        <w:p w14:paraId="63127D73" w14:textId="40A63C64"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37" w:history="1">
            <w:r w:rsidR="000D0217" w:rsidRPr="000D0217">
              <w:rPr>
                <w:rStyle w:val="Hipervnculo"/>
                <w:rFonts w:ascii="Arial" w:eastAsia="Times New Roman" w:hAnsi="Arial" w:cs="Arial"/>
                <w:noProof/>
              </w:rPr>
              <w:t>2.4.5.</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Política de gestión de documentos electrónicos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_Toc67646237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46</w:t>
            </w:r>
            <w:r w:rsidR="000D0217" w:rsidRPr="000D0217">
              <w:rPr>
                <w:rFonts w:ascii="Arial" w:hAnsi="Arial" w:cs="Arial"/>
                <w:noProof/>
                <w:webHidden/>
              </w:rPr>
              <w:fldChar w:fldCharType="end"/>
            </w:r>
          </w:hyperlink>
        </w:p>
        <w:p w14:paraId="5763959E" w14:textId="17F027C1" w:rsidR="000D0217" w:rsidRPr="000D0217" w:rsidRDefault="001400EF" w:rsidP="000D0217">
          <w:pPr>
            <w:pStyle w:val="TDC1"/>
            <w:rPr>
              <w:rFonts w:eastAsiaTheme="minorEastAsia"/>
              <w:kern w:val="0"/>
              <w:sz w:val="22"/>
              <w:szCs w:val="22"/>
              <w:lang w:bidi="ar-SA"/>
            </w:rPr>
          </w:pPr>
          <w:hyperlink w:anchor="_Toc67646238" w:history="1">
            <w:r w:rsidR="000D0217" w:rsidRPr="000D0217">
              <w:rPr>
                <w:rStyle w:val="Hipervnculo"/>
                <w:rFonts w:eastAsia="Times New Roman"/>
              </w:rPr>
              <w:t>3.</w:t>
            </w:r>
            <w:r w:rsidR="000D0217" w:rsidRPr="000D0217">
              <w:rPr>
                <w:rFonts w:eastAsiaTheme="minorEastAsia"/>
                <w:kern w:val="0"/>
                <w:sz w:val="22"/>
                <w:szCs w:val="22"/>
                <w:lang w:bidi="ar-SA"/>
              </w:rPr>
              <w:tab/>
            </w:r>
            <w:r w:rsidR="000D0217" w:rsidRPr="000D0217">
              <w:rPr>
                <w:rStyle w:val="Hipervnculo"/>
                <w:rFonts w:eastAsia="Times New Roman"/>
              </w:rPr>
              <w:t>Análisis e  Investigación</w:t>
            </w:r>
            <w:r w:rsidR="000D0217" w:rsidRPr="000D0217">
              <w:rPr>
                <w:webHidden/>
              </w:rPr>
              <w:tab/>
            </w:r>
            <w:r w:rsidR="000D0217" w:rsidRPr="000D0217">
              <w:rPr>
                <w:webHidden/>
              </w:rPr>
              <w:fldChar w:fldCharType="begin"/>
            </w:r>
            <w:r w:rsidR="000D0217" w:rsidRPr="000D0217">
              <w:rPr>
                <w:webHidden/>
              </w:rPr>
              <w:instrText xml:space="preserve"> PAGEREF _Toc67646238 \h </w:instrText>
            </w:r>
            <w:r w:rsidR="000D0217" w:rsidRPr="000D0217">
              <w:rPr>
                <w:webHidden/>
              </w:rPr>
            </w:r>
            <w:r w:rsidR="000D0217" w:rsidRPr="000D0217">
              <w:rPr>
                <w:webHidden/>
              </w:rPr>
              <w:fldChar w:fldCharType="separate"/>
            </w:r>
            <w:r w:rsidR="00997C18">
              <w:rPr>
                <w:webHidden/>
              </w:rPr>
              <w:t>48</w:t>
            </w:r>
            <w:r w:rsidR="000D0217" w:rsidRPr="000D0217">
              <w:rPr>
                <w:webHidden/>
              </w:rPr>
              <w:fldChar w:fldCharType="end"/>
            </w:r>
          </w:hyperlink>
        </w:p>
        <w:p w14:paraId="226FBD5F" w14:textId="5B59DC14" w:rsidR="000D0217" w:rsidRPr="000D0217" w:rsidRDefault="001400EF">
          <w:pPr>
            <w:pStyle w:val="TDC2"/>
            <w:rPr>
              <w:rFonts w:eastAsiaTheme="minorEastAsia"/>
              <w:kern w:val="0"/>
              <w:sz w:val="22"/>
              <w:lang w:bidi="ar-SA"/>
            </w:rPr>
          </w:pPr>
          <w:hyperlink w:anchor="_Toc67646239" w:history="1">
            <w:r w:rsidR="000D0217" w:rsidRPr="000D0217">
              <w:rPr>
                <w:rStyle w:val="Hipervnculo"/>
              </w:rPr>
              <w:t>3.1.</w:t>
            </w:r>
            <w:r w:rsidR="000D0217" w:rsidRPr="000D0217">
              <w:rPr>
                <w:rFonts w:eastAsiaTheme="minorEastAsia"/>
                <w:kern w:val="0"/>
                <w:sz w:val="22"/>
                <w:lang w:bidi="ar-SA"/>
              </w:rPr>
              <w:tab/>
            </w:r>
            <w:r w:rsidR="000D0217" w:rsidRPr="000D0217">
              <w:rPr>
                <w:rStyle w:val="Hipervnculo"/>
              </w:rPr>
              <w:t>Presentación</w:t>
            </w:r>
            <w:r w:rsidR="000D0217" w:rsidRPr="000D0217">
              <w:rPr>
                <w:webHidden/>
              </w:rPr>
              <w:tab/>
            </w:r>
            <w:r w:rsidR="000D0217" w:rsidRPr="000D0217">
              <w:rPr>
                <w:webHidden/>
              </w:rPr>
              <w:fldChar w:fldCharType="begin"/>
            </w:r>
            <w:r w:rsidR="000D0217" w:rsidRPr="000D0217">
              <w:rPr>
                <w:webHidden/>
              </w:rPr>
              <w:instrText xml:space="preserve"> PAGEREF _Toc67646239 \h </w:instrText>
            </w:r>
            <w:r w:rsidR="000D0217" w:rsidRPr="000D0217">
              <w:rPr>
                <w:webHidden/>
              </w:rPr>
            </w:r>
            <w:r w:rsidR="000D0217" w:rsidRPr="000D0217">
              <w:rPr>
                <w:webHidden/>
              </w:rPr>
              <w:fldChar w:fldCharType="separate"/>
            </w:r>
            <w:r w:rsidR="00997C18">
              <w:rPr>
                <w:webHidden/>
              </w:rPr>
              <w:t>48</w:t>
            </w:r>
            <w:r w:rsidR="000D0217" w:rsidRPr="000D0217">
              <w:rPr>
                <w:webHidden/>
              </w:rPr>
              <w:fldChar w:fldCharType="end"/>
            </w:r>
          </w:hyperlink>
        </w:p>
        <w:p w14:paraId="33C0995D" w14:textId="16ADAA33" w:rsidR="000D0217" w:rsidRPr="000D0217" w:rsidRDefault="001400EF">
          <w:pPr>
            <w:pStyle w:val="TDC2"/>
            <w:rPr>
              <w:rFonts w:eastAsiaTheme="minorEastAsia"/>
              <w:kern w:val="0"/>
              <w:sz w:val="22"/>
              <w:lang w:bidi="ar-SA"/>
            </w:rPr>
          </w:pPr>
          <w:hyperlink w:anchor="_Toc67646240" w:history="1">
            <w:r w:rsidR="000D0217" w:rsidRPr="000D0217">
              <w:rPr>
                <w:rStyle w:val="Hipervnculo"/>
              </w:rPr>
              <w:t>3.2.</w:t>
            </w:r>
            <w:r w:rsidR="000D0217" w:rsidRPr="000D0217">
              <w:rPr>
                <w:rFonts w:eastAsiaTheme="minorEastAsia"/>
                <w:kern w:val="0"/>
                <w:sz w:val="22"/>
                <w:lang w:bidi="ar-SA"/>
              </w:rPr>
              <w:tab/>
            </w:r>
            <w:r w:rsidR="000D0217" w:rsidRPr="000D0217">
              <w:rPr>
                <w:rStyle w:val="Hipervnculo"/>
              </w:rPr>
              <w:t>Denuncias presentadas, clasificaciones y evolución</w:t>
            </w:r>
            <w:r w:rsidR="000D0217" w:rsidRPr="000D0217">
              <w:rPr>
                <w:webHidden/>
              </w:rPr>
              <w:tab/>
            </w:r>
            <w:r w:rsidR="000D0217" w:rsidRPr="000D0217">
              <w:rPr>
                <w:webHidden/>
              </w:rPr>
              <w:fldChar w:fldCharType="begin"/>
            </w:r>
            <w:r w:rsidR="000D0217" w:rsidRPr="000D0217">
              <w:rPr>
                <w:webHidden/>
              </w:rPr>
              <w:instrText xml:space="preserve"> PAGEREF _Toc67646240 \h </w:instrText>
            </w:r>
            <w:r w:rsidR="000D0217" w:rsidRPr="000D0217">
              <w:rPr>
                <w:webHidden/>
              </w:rPr>
            </w:r>
            <w:r w:rsidR="000D0217" w:rsidRPr="000D0217">
              <w:rPr>
                <w:webHidden/>
              </w:rPr>
              <w:fldChar w:fldCharType="separate"/>
            </w:r>
            <w:r w:rsidR="00997C18">
              <w:rPr>
                <w:webHidden/>
              </w:rPr>
              <w:t>49</w:t>
            </w:r>
            <w:r w:rsidR="000D0217" w:rsidRPr="000D0217">
              <w:rPr>
                <w:webHidden/>
              </w:rPr>
              <w:fldChar w:fldCharType="end"/>
            </w:r>
          </w:hyperlink>
        </w:p>
        <w:p w14:paraId="7EC852EF" w14:textId="08C8D478"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41" w:history="1">
            <w:r w:rsidR="000D0217" w:rsidRPr="000D0217">
              <w:rPr>
                <w:rStyle w:val="Hipervnculo"/>
                <w:rFonts w:ascii="Arial" w:eastAsia="Times New Roman" w:hAnsi="Arial" w:cs="Arial"/>
                <w:noProof/>
              </w:rPr>
              <w:t>3.2.1.</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Denuncias presentadas por ámbito subjetivo</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_Toc67646241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50</w:t>
            </w:r>
            <w:r w:rsidR="000D0217" w:rsidRPr="000D0217">
              <w:rPr>
                <w:rFonts w:ascii="Arial" w:hAnsi="Arial" w:cs="Arial"/>
                <w:noProof/>
                <w:webHidden/>
              </w:rPr>
              <w:fldChar w:fldCharType="end"/>
            </w:r>
          </w:hyperlink>
        </w:p>
        <w:p w14:paraId="662285F8" w14:textId="60F29541"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42" w:history="1">
            <w:r w:rsidR="000D0217" w:rsidRPr="000D0217">
              <w:rPr>
                <w:rStyle w:val="Hipervnculo"/>
                <w:rFonts w:ascii="Arial" w:eastAsia="Times New Roman" w:hAnsi="Arial" w:cs="Arial"/>
                <w:noProof/>
              </w:rPr>
              <w:t>3.2.2.</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Denuncias presentadas según el canal de comunicación</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_Toc67646242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52</w:t>
            </w:r>
            <w:r w:rsidR="000D0217" w:rsidRPr="000D0217">
              <w:rPr>
                <w:rFonts w:ascii="Arial" w:hAnsi="Arial" w:cs="Arial"/>
                <w:noProof/>
                <w:webHidden/>
              </w:rPr>
              <w:fldChar w:fldCharType="end"/>
            </w:r>
          </w:hyperlink>
        </w:p>
        <w:p w14:paraId="557A71B4" w14:textId="2A416929"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43" w:history="1">
            <w:r w:rsidR="000D0217" w:rsidRPr="000D0217">
              <w:rPr>
                <w:rStyle w:val="Hipervnculo"/>
                <w:rFonts w:ascii="Arial" w:eastAsia="Times New Roman" w:hAnsi="Arial" w:cs="Arial"/>
                <w:noProof/>
              </w:rPr>
              <w:t>3.2.3.</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Denuncias presentadas según la zona geográfica afectada</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_Toc67646243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54</w:t>
            </w:r>
            <w:r w:rsidR="000D0217" w:rsidRPr="000D0217">
              <w:rPr>
                <w:rFonts w:ascii="Arial" w:hAnsi="Arial" w:cs="Arial"/>
                <w:noProof/>
                <w:webHidden/>
              </w:rPr>
              <w:fldChar w:fldCharType="end"/>
            </w:r>
          </w:hyperlink>
        </w:p>
        <w:p w14:paraId="5568F4D5" w14:textId="7DD47C72"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44" w:history="1">
            <w:r w:rsidR="000D0217" w:rsidRPr="000D0217">
              <w:rPr>
                <w:rStyle w:val="Hipervnculo"/>
                <w:rFonts w:ascii="Arial" w:eastAsia="Times New Roman" w:hAnsi="Arial" w:cs="Arial"/>
                <w:noProof/>
              </w:rPr>
              <w:t>3.2.4.</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Denuncias presentadas según el ámbito material</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_Toc67646244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56</w:t>
            </w:r>
            <w:r w:rsidR="000D0217" w:rsidRPr="000D0217">
              <w:rPr>
                <w:rFonts w:ascii="Arial" w:hAnsi="Arial" w:cs="Arial"/>
                <w:noProof/>
                <w:webHidden/>
              </w:rPr>
              <w:fldChar w:fldCharType="end"/>
            </w:r>
          </w:hyperlink>
        </w:p>
        <w:p w14:paraId="3685858B" w14:textId="62C36B77"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45" w:history="1">
            <w:r w:rsidR="000D0217" w:rsidRPr="000D0217">
              <w:rPr>
                <w:rStyle w:val="Hipervnculo"/>
                <w:rFonts w:ascii="Arial" w:eastAsia="Times New Roman" w:hAnsi="Arial" w:cs="Arial"/>
                <w:noProof/>
              </w:rPr>
              <w:t>3.2.5.</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Denuncias presentadas según la tipología, condición o naturaleza del comunicante</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_Toc67646245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57</w:t>
            </w:r>
            <w:r w:rsidR="000D0217" w:rsidRPr="000D0217">
              <w:rPr>
                <w:rFonts w:ascii="Arial" w:hAnsi="Arial" w:cs="Arial"/>
                <w:noProof/>
                <w:webHidden/>
              </w:rPr>
              <w:fldChar w:fldCharType="end"/>
            </w:r>
          </w:hyperlink>
        </w:p>
        <w:p w14:paraId="3B60EA22" w14:textId="4A0FF0F9"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46" w:history="1">
            <w:r w:rsidR="000D0217" w:rsidRPr="000D0217">
              <w:rPr>
                <w:rStyle w:val="Hipervnculo"/>
                <w:rFonts w:ascii="Arial" w:eastAsia="Times New Roman" w:hAnsi="Arial" w:cs="Arial"/>
                <w:noProof/>
              </w:rPr>
              <w:t>3.2.6.</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Denuncias de personas físicas clasificadas por género</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_Toc67646246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59</w:t>
            </w:r>
            <w:r w:rsidR="000D0217" w:rsidRPr="000D0217">
              <w:rPr>
                <w:rFonts w:ascii="Arial" w:hAnsi="Arial" w:cs="Arial"/>
                <w:noProof/>
                <w:webHidden/>
              </w:rPr>
              <w:fldChar w:fldCharType="end"/>
            </w:r>
          </w:hyperlink>
        </w:p>
        <w:p w14:paraId="1002DC84" w14:textId="7D65FF59" w:rsidR="000D0217" w:rsidRPr="000D0217" w:rsidRDefault="001400EF">
          <w:pPr>
            <w:pStyle w:val="TDC2"/>
            <w:rPr>
              <w:rFonts w:eastAsiaTheme="minorEastAsia"/>
              <w:kern w:val="0"/>
              <w:sz w:val="22"/>
              <w:lang w:bidi="ar-SA"/>
            </w:rPr>
          </w:pPr>
          <w:hyperlink w:anchor="_Toc67646247" w:history="1">
            <w:r w:rsidR="000D0217" w:rsidRPr="000D0217">
              <w:rPr>
                <w:rStyle w:val="Hipervnculo"/>
              </w:rPr>
              <w:t>3.3.</w:t>
            </w:r>
            <w:r w:rsidR="000D0217" w:rsidRPr="000D0217">
              <w:rPr>
                <w:rFonts w:eastAsiaTheme="minorEastAsia"/>
                <w:kern w:val="0"/>
                <w:sz w:val="22"/>
                <w:lang w:bidi="ar-SA"/>
              </w:rPr>
              <w:tab/>
            </w:r>
            <w:r w:rsidR="000D0217" w:rsidRPr="000D0217">
              <w:rPr>
                <w:rStyle w:val="Hipervnculo"/>
              </w:rPr>
              <w:t>Seguimiento de la gestión de los expedientes de investigación durante el año 2020 y evolución</w:t>
            </w:r>
            <w:r w:rsidR="000D0217" w:rsidRPr="000D0217">
              <w:rPr>
                <w:webHidden/>
              </w:rPr>
              <w:tab/>
            </w:r>
            <w:r w:rsidR="000D0217" w:rsidRPr="000D0217">
              <w:rPr>
                <w:webHidden/>
              </w:rPr>
              <w:fldChar w:fldCharType="begin"/>
            </w:r>
            <w:r w:rsidR="000D0217" w:rsidRPr="000D0217">
              <w:rPr>
                <w:webHidden/>
              </w:rPr>
              <w:instrText xml:space="preserve"> PAGEREF _Toc67646247 \h </w:instrText>
            </w:r>
            <w:r w:rsidR="000D0217" w:rsidRPr="000D0217">
              <w:rPr>
                <w:webHidden/>
              </w:rPr>
            </w:r>
            <w:r w:rsidR="000D0217" w:rsidRPr="000D0217">
              <w:rPr>
                <w:webHidden/>
              </w:rPr>
              <w:fldChar w:fldCharType="separate"/>
            </w:r>
            <w:r w:rsidR="00997C18">
              <w:rPr>
                <w:webHidden/>
              </w:rPr>
              <w:t>61</w:t>
            </w:r>
            <w:r w:rsidR="000D0217" w:rsidRPr="000D0217">
              <w:rPr>
                <w:webHidden/>
              </w:rPr>
              <w:fldChar w:fldCharType="end"/>
            </w:r>
          </w:hyperlink>
        </w:p>
        <w:p w14:paraId="58D27657" w14:textId="4EBE0541" w:rsidR="000D0217" w:rsidRPr="000D0217" w:rsidRDefault="001400EF">
          <w:pPr>
            <w:pStyle w:val="TDC2"/>
            <w:rPr>
              <w:rFonts w:eastAsiaTheme="minorEastAsia"/>
              <w:kern w:val="0"/>
              <w:sz w:val="22"/>
              <w:lang w:bidi="ar-SA"/>
            </w:rPr>
          </w:pPr>
          <w:hyperlink w:anchor="_Toc67646248" w:history="1">
            <w:r w:rsidR="000D0217" w:rsidRPr="000D0217">
              <w:rPr>
                <w:rStyle w:val="Hipervnculo"/>
              </w:rPr>
              <w:t>3.4.</w:t>
            </w:r>
            <w:r w:rsidR="000D0217" w:rsidRPr="000D0217">
              <w:rPr>
                <w:rFonts w:eastAsiaTheme="minorEastAsia"/>
                <w:kern w:val="0"/>
                <w:sz w:val="22"/>
                <w:lang w:bidi="ar-SA"/>
              </w:rPr>
              <w:tab/>
            </w:r>
            <w:r w:rsidR="000D0217" w:rsidRPr="000D0217">
              <w:rPr>
                <w:rStyle w:val="Hipervnculo"/>
              </w:rPr>
              <w:t>Resumen de las investigaciones finalizadas en 2020</w:t>
            </w:r>
            <w:r w:rsidR="000D0217" w:rsidRPr="000D0217">
              <w:rPr>
                <w:webHidden/>
              </w:rPr>
              <w:tab/>
            </w:r>
            <w:r w:rsidR="000D0217" w:rsidRPr="000D0217">
              <w:rPr>
                <w:webHidden/>
              </w:rPr>
              <w:fldChar w:fldCharType="begin"/>
            </w:r>
            <w:r w:rsidR="000D0217" w:rsidRPr="000D0217">
              <w:rPr>
                <w:webHidden/>
              </w:rPr>
              <w:instrText xml:space="preserve"> PAGEREF _Toc67646248 \h </w:instrText>
            </w:r>
            <w:r w:rsidR="000D0217" w:rsidRPr="000D0217">
              <w:rPr>
                <w:webHidden/>
              </w:rPr>
            </w:r>
            <w:r w:rsidR="000D0217" w:rsidRPr="000D0217">
              <w:rPr>
                <w:webHidden/>
              </w:rPr>
              <w:fldChar w:fldCharType="separate"/>
            </w:r>
            <w:r w:rsidR="00997C18">
              <w:rPr>
                <w:webHidden/>
              </w:rPr>
              <w:t>65</w:t>
            </w:r>
            <w:r w:rsidR="000D0217" w:rsidRPr="000D0217">
              <w:rPr>
                <w:webHidden/>
              </w:rPr>
              <w:fldChar w:fldCharType="end"/>
            </w:r>
          </w:hyperlink>
        </w:p>
        <w:p w14:paraId="1D12BEE6" w14:textId="2480319D"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49" w:history="1">
            <w:r w:rsidR="000D0217" w:rsidRPr="000D0217">
              <w:rPr>
                <w:rStyle w:val="Hipervnculo"/>
                <w:rFonts w:ascii="Arial" w:eastAsia="Times New Roman" w:hAnsi="Arial" w:cs="Arial"/>
                <w:noProof/>
              </w:rPr>
              <w:t>3.4.1.</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Ayuntamiento de Paiporta. Incumplimiento de obligaciones contractuales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_Toc67646249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65</w:t>
            </w:r>
            <w:r w:rsidR="000D0217" w:rsidRPr="000D0217">
              <w:rPr>
                <w:rFonts w:ascii="Arial" w:hAnsi="Arial" w:cs="Arial"/>
                <w:noProof/>
                <w:webHidden/>
              </w:rPr>
              <w:fldChar w:fldCharType="end"/>
            </w:r>
          </w:hyperlink>
        </w:p>
        <w:p w14:paraId="7332487B" w14:textId="022100F9"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50" w:history="1">
            <w:r w:rsidR="000D0217" w:rsidRPr="000D0217">
              <w:rPr>
                <w:rStyle w:val="Hipervnculo"/>
                <w:rFonts w:ascii="Arial" w:eastAsia="Times New Roman" w:hAnsi="Arial" w:cs="Arial"/>
                <w:noProof/>
              </w:rPr>
              <w:t>3.4.2.</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Ayuntamiento de Sueca. Irregularidades en productividades, otras retribuciones de funcionarios y comisión de servicios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_Toc67646250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66</w:t>
            </w:r>
            <w:r w:rsidR="000D0217" w:rsidRPr="000D0217">
              <w:rPr>
                <w:rFonts w:ascii="Arial" w:hAnsi="Arial" w:cs="Arial"/>
                <w:noProof/>
                <w:webHidden/>
              </w:rPr>
              <w:fldChar w:fldCharType="end"/>
            </w:r>
          </w:hyperlink>
        </w:p>
        <w:p w14:paraId="6B138919" w14:textId="7C2A7CA7"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51" w:history="1">
            <w:r w:rsidR="000D0217" w:rsidRPr="000D0217">
              <w:rPr>
                <w:rStyle w:val="Hipervnculo"/>
                <w:rFonts w:ascii="Arial" w:eastAsia="Times New Roman" w:hAnsi="Arial" w:cs="Arial"/>
                <w:noProof/>
              </w:rPr>
              <w:t>3.4.3.</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DIVALTERRA. Irregularidades en relación con el Convenio CICAL firmado con la Federación Valenciana de Municipios y Provincias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_Toc67646251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67</w:t>
            </w:r>
            <w:r w:rsidR="000D0217" w:rsidRPr="000D0217">
              <w:rPr>
                <w:rFonts w:ascii="Arial" w:hAnsi="Arial" w:cs="Arial"/>
                <w:noProof/>
                <w:webHidden/>
              </w:rPr>
              <w:fldChar w:fldCharType="end"/>
            </w:r>
          </w:hyperlink>
        </w:p>
        <w:p w14:paraId="677F6C01" w14:textId="5DF142A3"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52" w:history="1">
            <w:r w:rsidR="000D0217" w:rsidRPr="000D0217">
              <w:rPr>
                <w:rStyle w:val="Hipervnculo"/>
                <w:rFonts w:ascii="Arial" w:eastAsia="Times New Roman" w:hAnsi="Arial" w:cs="Arial"/>
                <w:noProof/>
              </w:rPr>
              <w:t>3.4.4.</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Dirección Territorial e Igualdad y Políticas Inclusivas de Alicante. Irregularidades en los procedimientos de provisión de puestos en centro de recepción de menores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_Toc67646252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68</w:t>
            </w:r>
            <w:r w:rsidR="000D0217" w:rsidRPr="000D0217">
              <w:rPr>
                <w:rFonts w:ascii="Arial" w:hAnsi="Arial" w:cs="Arial"/>
                <w:noProof/>
                <w:webHidden/>
              </w:rPr>
              <w:fldChar w:fldCharType="end"/>
            </w:r>
          </w:hyperlink>
        </w:p>
        <w:p w14:paraId="1E5F602C" w14:textId="6CFC2EAF"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53" w:history="1">
            <w:r w:rsidR="000D0217" w:rsidRPr="000D0217">
              <w:rPr>
                <w:rStyle w:val="Hipervnculo"/>
                <w:rFonts w:ascii="Arial" w:eastAsia="Times New Roman" w:hAnsi="Arial" w:cs="Arial"/>
                <w:noProof/>
              </w:rPr>
              <w:t>3.4.5.</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Ayuntamiento de Aldaia. Gratificaciones y productividades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_Toc67646253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69</w:t>
            </w:r>
            <w:r w:rsidR="000D0217" w:rsidRPr="000D0217">
              <w:rPr>
                <w:rFonts w:ascii="Arial" w:hAnsi="Arial" w:cs="Arial"/>
                <w:noProof/>
                <w:webHidden/>
              </w:rPr>
              <w:fldChar w:fldCharType="end"/>
            </w:r>
          </w:hyperlink>
        </w:p>
        <w:p w14:paraId="4BF92A7C" w14:textId="0FDF251F"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54" w:history="1">
            <w:r w:rsidR="000D0217" w:rsidRPr="000D0217">
              <w:rPr>
                <w:rStyle w:val="Hipervnculo"/>
                <w:rFonts w:ascii="Arial" w:eastAsia="Times New Roman" w:hAnsi="Arial" w:cs="Arial"/>
                <w:noProof/>
              </w:rPr>
              <w:t>3.4.6.</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Ayuntamiento de Callosa d’en Sarrià. Acceso al empleo público, Agentes de Policía Local</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_Toc67646254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71</w:t>
            </w:r>
            <w:r w:rsidR="000D0217" w:rsidRPr="000D0217">
              <w:rPr>
                <w:rFonts w:ascii="Arial" w:hAnsi="Arial" w:cs="Arial"/>
                <w:noProof/>
                <w:webHidden/>
              </w:rPr>
              <w:fldChar w:fldCharType="end"/>
            </w:r>
          </w:hyperlink>
        </w:p>
        <w:p w14:paraId="30DFC139" w14:textId="6400584E"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55" w:history="1">
            <w:r w:rsidR="000D0217" w:rsidRPr="000D0217">
              <w:rPr>
                <w:rStyle w:val="Hipervnculo"/>
                <w:rFonts w:ascii="Arial" w:eastAsia="Times New Roman" w:hAnsi="Arial" w:cs="Arial"/>
                <w:noProof/>
              </w:rPr>
              <w:t>3.4.7.</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Dirección General de Diversidad Funcional. Irregularidades en el nombramiento de los miembros del Comité Evaluador de Perros de Asistencia</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_Toc67646255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71</w:t>
            </w:r>
            <w:r w:rsidR="000D0217" w:rsidRPr="000D0217">
              <w:rPr>
                <w:rFonts w:ascii="Arial" w:hAnsi="Arial" w:cs="Arial"/>
                <w:noProof/>
                <w:webHidden/>
              </w:rPr>
              <w:fldChar w:fldCharType="end"/>
            </w:r>
          </w:hyperlink>
        </w:p>
        <w:p w14:paraId="130469F2" w14:textId="6EC96767"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56" w:history="1">
            <w:r w:rsidR="000D0217" w:rsidRPr="000D0217">
              <w:rPr>
                <w:rStyle w:val="Hipervnculo"/>
                <w:rFonts w:ascii="Arial" w:eastAsia="Times New Roman" w:hAnsi="Arial" w:cs="Arial"/>
                <w:noProof/>
              </w:rPr>
              <w:t>3.4.8.</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Ajuntament d´Alcoi. Irregularidades en los procedimientos de licitación de contratos relacionados con el servicio de recogida de residuos sólidos urbanos y limpieza viaria de Alcoi</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_Toc67646256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72</w:t>
            </w:r>
            <w:r w:rsidR="000D0217" w:rsidRPr="000D0217">
              <w:rPr>
                <w:rFonts w:ascii="Arial" w:hAnsi="Arial" w:cs="Arial"/>
                <w:noProof/>
                <w:webHidden/>
              </w:rPr>
              <w:fldChar w:fldCharType="end"/>
            </w:r>
          </w:hyperlink>
        </w:p>
        <w:p w14:paraId="2B613245" w14:textId="67F5EE08"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57" w:history="1">
            <w:r w:rsidR="000D0217" w:rsidRPr="000D0217">
              <w:rPr>
                <w:rStyle w:val="Hipervnculo"/>
                <w:rFonts w:ascii="Arial" w:eastAsia="Times New Roman" w:hAnsi="Arial" w:cs="Arial"/>
                <w:noProof/>
              </w:rPr>
              <w:t>3.4.9.</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Unión Musical Casinense. Irregularidades en la adjudicación de obras sin concurso en la realización de obras financiadas con fondos públicos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_Toc67646257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73</w:t>
            </w:r>
            <w:r w:rsidR="000D0217" w:rsidRPr="000D0217">
              <w:rPr>
                <w:rFonts w:ascii="Arial" w:hAnsi="Arial" w:cs="Arial"/>
                <w:noProof/>
                <w:webHidden/>
              </w:rPr>
              <w:fldChar w:fldCharType="end"/>
            </w:r>
          </w:hyperlink>
        </w:p>
        <w:p w14:paraId="4AD2543D" w14:textId="68302772"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58" w:history="1">
            <w:r w:rsidR="000D0217" w:rsidRPr="000D0217">
              <w:rPr>
                <w:rStyle w:val="Hipervnculo"/>
                <w:rFonts w:ascii="Arial" w:eastAsia="Times New Roman" w:hAnsi="Arial" w:cs="Arial"/>
                <w:noProof/>
              </w:rPr>
              <w:t>3.4.10.</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Ayuntamiento de València. Contratación del servicio de grúa municipal en situación de enriquecimiento injusto</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_Toc67646258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74</w:t>
            </w:r>
            <w:r w:rsidR="000D0217" w:rsidRPr="000D0217">
              <w:rPr>
                <w:rFonts w:ascii="Arial" w:hAnsi="Arial" w:cs="Arial"/>
                <w:noProof/>
                <w:webHidden/>
              </w:rPr>
              <w:fldChar w:fldCharType="end"/>
            </w:r>
          </w:hyperlink>
        </w:p>
        <w:p w14:paraId="01F67378" w14:textId="541E5FD8"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59" w:history="1">
            <w:r w:rsidR="000D0217" w:rsidRPr="000D0217">
              <w:rPr>
                <w:rStyle w:val="Hipervnculo"/>
                <w:rFonts w:ascii="Arial" w:eastAsia="Times New Roman" w:hAnsi="Arial" w:cs="Arial"/>
                <w:noProof/>
              </w:rPr>
              <w:t>3.4.11.</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Ayuntamiento de Sueca. Irregularidades en materia de contratación pública en el Organismo autónomo de la Residencia de personas mayores San José de Sueca</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_Toc67646259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75</w:t>
            </w:r>
            <w:r w:rsidR="000D0217" w:rsidRPr="000D0217">
              <w:rPr>
                <w:rFonts w:ascii="Arial" w:hAnsi="Arial" w:cs="Arial"/>
                <w:noProof/>
                <w:webHidden/>
              </w:rPr>
              <w:fldChar w:fldCharType="end"/>
            </w:r>
          </w:hyperlink>
        </w:p>
        <w:p w14:paraId="66B864C2" w14:textId="01C29878"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60" w:history="1">
            <w:r w:rsidR="000D0217" w:rsidRPr="000D0217">
              <w:rPr>
                <w:rStyle w:val="Hipervnculo"/>
                <w:rFonts w:ascii="Arial" w:eastAsia="Times New Roman" w:hAnsi="Arial" w:cs="Arial"/>
                <w:noProof/>
              </w:rPr>
              <w:t>3.4.12.</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Ayuntamiento de Daya Nueva. Construcción edificación en Suelo No Urbanizable</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_Toc67646260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76</w:t>
            </w:r>
            <w:r w:rsidR="000D0217" w:rsidRPr="000D0217">
              <w:rPr>
                <w:rFonts w:ascii="Arial" w:hAnsi="Arial" w:cs="Arial"/>
                <w:noProof/>
                <w:webHidden/>
              </w:rPr>
              <w:fldChar w:fldCharType="end"/>
            </w:r>
          </w:hyperlink>
        </w:p>
        <w:p w14:paraId="4AFE6016" w14:textId="710583C4"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61" w:history="1">
            <w:r w:rsidR="000D0217" w:rsidRPr="000D0217">
              <w:rPr>
                <w:rStyle w:val="Hipervnculo"/>
                <w:rFonts w:ascii="Arial" w:eastAsia="Times New Roman" w:hAnsi="Arial" w:cs="Arial"/>
                <w:noProof/>
              </w:rPr>
              <w:t>3.4.13.</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IFA Alicante. Ausencia de facturación de la celebración de un evento del Partido Popular de Alicante</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_Toc67646261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77</w:t>
            </w:r>
            <w:r w:rsidR="000D0217" w:rsidRPr="000D0217">
              <w:rPr>
                <w:rFonts w:ascii="Arial" w:hAnsi="Arial" w:cs="Arial"/>
                <w:noProof/>
                <w:webHidden/>
              </w:rPr>
              <w:fldChar w:fldCharType="end"/>
            </w:r>
          </w:hyperlink>
        </w:p>
        <w:p w14:paraId="1BB91545" w14:textId="05F24863"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62" w:history="1">
            <w:r w:rsidR="000D0217" w:rsidRPr="000D0217">
              <w:rPr>
                <w:rStyle w:val="Hipervnculo"/>
                <w:rFonts w:ascii="Arial" w:eastAsia="Times New Roman" w:hAnsi="Arial" w:cs="Arial"/>
                <w:noProof/>
              </w:rPr>
              <w:t>3.4.14.</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Ayuntamiento de Paterna. Retribución dedicación exclusiva a concejal no adscrita</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_Toc67646262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78</w:t>
            </w:r>
            <w:r w:rsidR="000D0217" w:rsidRPr="000D0217">
              <w:rPr>
                <w:rFonts w:ascii="Arial" w:hAnsi="Arial" w:cs="Arial"/>
                <w:noProof/>
                <w:webHidden/>
              </w:rPr>
              <w:fldChar w:fldCharType="end"/>
            </w:r>
          </w:hyperlink>
        </w:p>
        <w:p w14:paraId="2671B369" w14:textId="6CCCF1EF"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63" w:history="1">
            <w:r w:rsidR="000D0217" w:rsidRPr="000D0217">
              <w:rPr>
                <w:rStyle w:val="Hipervnculo"/>
                <w:rFonts w:ascii="Arial" w:eastAsia="Times New Roman" w:hAnsi="Arial" w:cs="Arial"/>
                <w:noProof/>
              </w:rPr>
              <w:t>3.4.15.</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Conselleria de Justicia, Interior y Administración Pública. Irregularidades en la gestión de las bolsas de trabajo</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_Toc67646263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79</w:t>
            </w:r>
            <w:r w:rsidR="000D0217" w:rsidRPr="000D0217">
              <w:rPr>
                <w:rFonts w:ascii="Arial" w:hAnsi="Arial" w:cs="Arial"/>
                <w:noProof/>
                <w:webHidden/>
              </w:rPr>
              <w:fldChar w:fldCharType="end"/>
            </w:r>
          </w:hyperlink>
        </w:p>
        <w:p w14:paraId="72FC9796" w14:textId="2ED335D2"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64" w:history="1">
            <w:r w:rsidR="000D0217" w:rsidRPr="000D0217">
              <w:rPr>
                <w:rStyle w:val="Hipervnculo"/>
                <w:rFonts w:ascii="Arial" w:eastAsia="Times New Roman" w:hAnsi="Arial" w:cs="Arial"/>
                <w:noProof/>
              </w:rPr>
              <w:t>3.4.16.</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Ayuntamiento de Llíria. Utilización de bolsa de trabajo de otras administraciones sin la formalización del oportuno convenio de colaboración</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_Toc67646264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79</w:t>
            </w:r>
            <w:r w:rsidR="000D0217" w:rsidRPr="000D0217">
              <w:rPr>
                <w:rFonts w:ascii="Arial" w:hAnsi="Arial" w:cs="Arial"/>
                <w:noProof/>
                <w:webHidden/>
              </w:rPr>
              <w:fldChar w:fldCharType="end"/>
            </w:r>
          </w:hyperlink>
        </w:p>
        <w:p w14:paraId="5F504A87" w14:textId="2219A6DD"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65" w:history="1">
            <w:r w:rsidR="000D0217" w:rsidRPr="000D0217">
              <w:rPr>
                <w:rStyle w:val="Hipervnculo"/>
                <w:rFonts w:ascii="Arial" w:eastAsia="Times New Roman" w:hAnsi="Arial" w:cs="Arial"/>
                <w:noProof/>
              </w:rPr>
              <w:t>3.4.17.</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Ayuntamiento de Godella. Irregularidades en el acceso al empleo público</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_Toc67646265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80</w:t>
            </w:r>
            <w:r w:rsidR="000D0217" w:rsidRPr="000D0217">
              <w:rPr>
                <w:rFonts w:ascii="Arial" w:hAnsi="Arial" w:cs="Arial"/>
                <w:noProof/>
                <w:webHidden/>
              </w:rPr>
              <w:fldChar w:fldCharType="end"/>
            </w:r>
          </w:hyperlink>
        </w:p>
        <w:p w14:paraId="264812C2" w14:textId="6DC6B647"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66" w:history="1">
            <w:r w:rsidR="000D0217" w:rsidRPr="000D0217">
              <w:rPr>
                <w:rStyle w:val="Hipervnculo"/>
                <w:rFonts w:ascii="Arial" w:eastAsia="Times New Roman" w:hAnsi="Arial" w:cs="Arial"/>
                <w:noProof/>
              </w:rPr>
              <w:t>3.4.18.</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Ayuntamiento de València. Pago sin contrato para alimentación del casal d’Esplai “El Saler”</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_Toc67646266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81</w:t>
            </w:r>
            <w:r w:rsidR="000D0217" w:rsidRPr="000D0217">
              <w:rPr>
                <w:rFonts w:ascii="Arial" w:hAnsi="Arial" w:cs="Arial"/>
                <w:noProof/>
                <w:webHidden/>
              </w:rPr>
              <w:fldChar w:fldCharType="end"/>
            </w:r>
          </w:hyperlink>
        </w:p>
        <w:p w14:paraId="36045DAA" w14:textId="6E7E6777"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67" w:history="1">
            <w:r w:rsidR="000D0217" w:rsidRPr="000D0217">
              <w:rPr>
                <w:rStyle w:val="Hipervnculo"/>
                <w:rFonts w:ascii="Arial" w:eastAsia="Times New Roman" w:hAnsi="Arial" w:cs="Arial"/>
                <w:noProof/>
              </w:rPr>
              <w:t>3.4.19.</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Ayuntamiento de València. Subvención directa a Escola Valenciana sin la correspondiente justificación</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_Toc67646267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82</w:t>
            </w:r>
            <w:r w:rsidR="000D0217" w:rsidRPr="000D0217">
              <w:rPr>
                <w:rFonts w:ascii="Arial" w:hAnsi="Arial" w:cs="Arial"/>
                <w:noProof/>
                <w:webHidden/>
              </w:rPr>
              <w:fldChar w:fldCharType="end"/>
            </w:r>
          </w:hyperlink>
        </w:p>
        <w:p w14:paraId="608A1DA5" w14:textId="748039BE"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68" w:history="1">
            <w:r w:rsidR="000D0217" w:rsidRPr="000D0217">
              <w:rPr>
                <w:rStyle w:val="Hipervnculo"/>
                <w:rFonts w:ascii="Arial" w:eastAsia="Times New Roman" w:hAnsi="Arial" w:cs="Arial"/>
                <w:noProof/>
              </w:rPr>
              <w:t>3.4.20.</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Ayuntamiento de València. Gastos realizados sin respetar el procedimiento legalmente establecido en materia de contratación</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_Toc67646268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83</w:t>
            </w:r>
            <w:r w:rsidR="000D0217" w:rsidRPr="000D0217">
              <w:rPr>
                <w:rFonts w:ascii="Arial" w:hAnsi="Arial" w:cs="Arial"/>
                <w:noProof/>
                <w:webHidden/>
              </w:rPr>
              <w:fldChar w:fldCharType="end"/>
            </w:r>
          </w:hyperlink>
        </w:p>
        <w:p w14:paraId="2DA02972" w14:textId="273FD292"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69" w:history="1">
            <w:r w:rsidR="000D0217" w:rsidRPr="000D0217">
              <w:rPr>
                <w:rStyle w:val="Hipervnculo"/>
                <w:rFonts w:ascii="Arial" w:eastAsia="Times New Roman" w:hAnsi="Arial" w:cs="Arial"/>
                <w:noProof/>
              </w:rPr>
              <w:t>3.4.21.</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Diputación de Valencia. Irregularidades en el desarrollo del proceso selectivo, por procedimiento de oposición libre, de la plaza de Ingeniero/a Industrial de la OEP 2016, convocatoria 22/2016</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_Toc67646269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83</w:t>
            </w:r>
            <w:r w:rsidR="000D0217" w:rsidRPr="000D0217">
              <w:rPr>
                <w:rFonts w:ascii="Arial" w:hAnsi="Arial" w:cs="Arial"/>
                <w:noProof/>
                <w:webHidden/>
              </w:rPr>
              <w:fldChar w:fldCharType="end"/>
            </w:r>
          </w:hyperlink>
        </w:p>
        <w:p w14:paraId="7462C078" w14:textId="55E71269"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70" w:history="1">
            <w:r w:rsidR="000D0217" w:rsidRPr="000D0217">
              <w:rPr>
                <w:rStyle w:val="Hipervnculo"/>
                <w:rFonts w:ascii="Arial" w:eastAsia="Times New Roman" w:hAnsi="Arial" w:cs="Arial"/>
                <w:noProof/>
              </w:rPr>
              <w:t>3.4.22.</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Diputación de Valencia. Presunto fraccionamiento de facturas relativas a la contratación del servicio de visitas guiadas a la exposición permanente en el Museu Valencià de la Il·lustració i de la Modernitat (MUVIM)</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_Toc67646270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84</w:t>
            </w:r>
            <w:r w:rsidR="000D0217" w:rsidRPr="000D0217">
              <w:rPr>
                <w:rFonts w:ascii="Arial" w:hAnsi="Arial" w:cs="Arial"/>
                <w:noProof/>
                <w:webHidden/>
              </w:rPr>
              <w:fldChar w:fldCharType="end"/>
            </w:r>
          </w:hyperlink>
        </w:p>
        <w:p w14:paraId="0B7EB56E" w14:textId="1C8B9C24"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71" w:history="1">
            <w:r w:rsidR="000D0217" w:rsidRPr="000D0217">
              <w:rPr>
                <w:rStyle w:val="Hipervnculo"/>
                <w:rFonts w:ascii="Arial" w:eastAsia="Times New Roman" w:hAnsi="Arial" w:cs="Arial"/>
                <w:noProof/>
              </w:rPr>
              <w:t>3.4.23.</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Instituto de Medicina Legal de Valencia. Prácticas irregulares en los servicios sanitarios mortuorios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_Toc67646271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85</w:t>
            </w:r>
            <w:r w:rsidR="000D0217" w:rsidRPr="000D0217">
              <w:rPr>
                <w:rFonts w:ascii="Arial" w:hAnsi="Arial" w:cs="Arial"/>
                <w:noProof/>
                <w:webHidden/>
              </w:rPr>
              <w:fldChar w:fldCharType="end"/>
            </w:r>
          </w:hyperlink>
        </w:p>
        <w:p w14:paraId="1702FDED" w14:textId="25A6E15D"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72" w:history="1">
            <w:r w:rsidR="000D0217" w:rsidRPr="000D0217">
              <w:rPr>
                <w:rStyle w:val="Hipervnculo"/>
                <w:rFonts w:ascii="Arial" w:eastAsia="Times New Roman" w:hAnsi="Arial" w:cs="Arial"/>
                <w:noProof/>
              </w:rPr>
              <w:t>3.4.24.</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Empresa Municipal de Transportes (S.A.U). Constitución de una bolsa de conductores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_Toc67646272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86</w:t>
            </w:r>
            <w:r w:rsidR="000D0217" w:rsidRPr="000D0217">
              <w:rPr>
                <w:rFonts w:ascii="Arial" w:hAnsi="Arial" w:cs="Arial"/>
                <w:noProof/>
                <w:webHidden/>
              </w:rPr>
              <w:fldChar w:fldCharType="end"/>
            </w:r>
          </w:hyperlink>
        </w:p>
        <w:p w14:paraId="68D43314" w14:textId="18283AA8"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73" w:history="1">
            <w:r w:rsidR="000D0217" w:rsidRPr="000D0217">
              <w:rPr>
                <w:rStyle w:val="Hipervnculo"/>
                <w:rFonts w:ascii="Arial" w:eastAsia="Times New Roman" w:hAnsi="Arial" w:cs="Arial"/>
                <w:noProof/>
              </w:rPr>
              <w:t>3.4.25.</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Suma Gestión Tributaria Diputación de Alicante. Irregularidades en material contractual, contratos menores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_Toc67646273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87</w:t>
            </w:r>
            <w:r w:rsidR="000D0217" w:rsidRPr="000D0217">
              <w:rPr>
                <w:rFonts w:ascii="Arial" w:hAnsi="Arial" w:cs="Arial"/>
                <w:noProof/>
                <w:webHidden/>
              </w:rPr>
              <w:fldChar w:fldCharType="end"/>
            </w:r>
          </w:hyperlink>
        </w:p>
        <w:p w14:paraId="2FB87922" w14:textId="71D13012"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74" w:history="1">
            <w:r w:rsidR="000D0217" w:rsidRPr="000D0217">
              <w:rPr>
                <w:rStyle w:val="Hipervnculo"/>
                <w:rFonts w:ascii="Arial" w:eastAsia="Times New Roman" w:hAnsi="Arial" w:cs="Arial"/>
                <w:noProof/>
              </w:rPr>
              <w:t>3.4.26.</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Ayuntamiento de Benicàssim. Existencia de vertederos ilegales, irregularidades en la ejecución de los contratos de servicios de limpieza y de jardinería y en la utilización del Ecoparque Municipal y de la Planta de Valorización</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_Toc67646274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88</w:t>
            </w:r>
            <w:r w:rsidR="000D0217" w:rsidRPr="000D0217">
              <w:rPr>
                <w:rFonts w:ascii="Arial" w:hAnsi="Arial" w:cs="Arial"/>
                <w:noProof/>
                <w:webHidden/>
              </w:rPr>
              <w:fldChar w:fldCharType="end"/>
            </w:r>
          </w:hyperlink>
        </w:p>
        <w:p w14:paraId="530BD249" w14:textId="0E097AA3"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75" w:history="1">
            <w:r w:rsidR="000D0217" w:rsidRPr="000D0217">
              <w:rPr>
                <w:rStyle w:val="Hipervnculo"/>
                <w:rFonts w:ascii="Arial" w:eastAsia="Times New Roman" w:hAnsi="Arial" w:cs="Arial"/>
                <w:noProof/>
              </w:rPr>
              <w:t>3.4.27.</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Aeropuerto de Castellón, SL. Diversas irregularidades advertidas en los informes elaborados por la Intervención General de la Generalitat</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_Toc67646275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89</w:t>
            </w:r>
            <w:r w:rsidR="000D0217" w:rsidRPr="000D0217">
              <w:rPr>
                <w:rFonts w:ascii="Arial" w:hAnsi="Arial" w:cs="Arial"/>
                <w:noProof/>
                <w:webHidden/>
              </w:rPr>
              <w:fldChar w:fldCharType="end"/>
            </w:r>
          </w:hyperlink>
        </w:p>
        <w:p w14:paraId="078F188F" w14:textId="470055F5"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76" w:history="1">
            <w:r w:rsidR="000D0217" w:rsidRPr="000D0217">
              <w:rPr>
                <w:rStyle w:val="Hipervnculo"/>
                <w:rFonts w:ascii="Arial" w:eastAsia="Times New Roman" w:hAnsi="Arial" w:cs="Arial"/>
                <w:noProof/>
              </w:rPr>
              <w:t>3.4.28.</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Denominación: Ayuntamiento de Castelló de la Plana. Irregularidades en materia contractual, contratos menores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_Toc67646276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90</w:t>
            </w:r>
            <w:r w:rsidR="000D0217" w:rsidRPr="000D0217">
              <w:rPr>
                <w:rFonts w:ascii="Arial" w:hAnsi="Arial" w:cs="Arial"/>
                <w:noProof/>
                <w:webHidden/>
              </w:rPr>
              <w:fldChar w:fldCharType="end"/>
            </w:r>
          </w:hyperlink>
        </w:p>
        <w:p w14:paraId="17ADD7DB" w14:textId="31429620" w:rsidR="000D0217" w:rsidRPr="000D0217" w:rsidRDefault="001400EF">
          <w:pPr>
            <w:pStyle w:val="TDC2"/>
            <w:rPr>
              <w:rFonts w:eastAsiaTheme="minorEastAsia"/>
              <w:kern w:val="0"/>
              <w:sz w:val="22"/>
              <w:lang w:bidi="ar-SA"/>
            </w:rPr>
          </w:pPr>
          <w:hyperlink w:anchor="_Toc67646277" w:history="1">
            <w:r w:rsidR="000D0217" w:rsidRPr="000D0217">
              <w:rPr>
                <w:rStyle w:val="Hipervnculo"/>
              </w:rPr>
              <w:t>3.5.</w:t>
            </w:r>
            <w:r w:rsidR="000D0217" w:rsidRPr="000D0217">
              <w:rPr>
                <w:rFonts w:eastAsiaTheme="minorEastAsia"/>
                <w:kern w:val="0"/>
                <w:sz w:val="22"/>
                <w:lang w:bidi="ar-SA"/>
              </w:rPr>
              <w:tab/>
            </w:r>
            <w:r w:rsidR="000D0217" w:rsidRPr="000D0217">
              <w:rPr>
                <w:rStyle w:val="Hipervnculo"/>
              </w:rPr>
              <w:t>Administraciones y entidades que no han aceptado las recomendaciones de la Agencia en las investigaciones finalizadas</w:t>
            </w:r>
            <w:r w:rsidR="000D0217" w:rsidRPr="000D0217">
              <w:rPr>
                <w:webHidden/>
              </w:rPr>
              <w:tab/>
            </w:r>
            <w:r w:rsidR="000D0217" w:rsidRPr="000D0217">
              <w:rPr>
                <w:webHidden/>
              </w:rPr>
              <w:fldChar w:fldCharType="begin"/>
            </w:r>
            <w:r w:rsidR="000D0217" w:rsidRPr="000D0217">
              <w:rPr>
                <w:webHidden/>
              </w:rPr>
              <w:instrText xml:space="preserve"> PAGEREF _Toc67646277 \h </w:instrText>
            </w:r>
            <w:r w:rsidR="000D0217" w:rsidRPr="000D0217">
              <w:rPr>
                <w:webHidden/>
              </w:rPr>
            </w:r>
            <w:r w:rsidR="000D0217" w:rsidRPr="000D0217">
              <w:rPr>
                <w:webHidden/>
              </w:rPr>
              <w:fldChar w:fldCharType="separate"/>
            </w:r>
            <w:r w:rsidR="00997C18">
              <w:rPr>
                <w:webHidden/>
              </w:rPr>
              <w:t>92</w:t>
            </w:r>
            <w:r w:rsidR="000D0217" w:rsidRPr="000D0217">
              <w:rPr>
                <w:webHidden/>
              </w:rPr>
              <w:fldChar w:fldCharType="end"/>
            </w:r>
          </w:hyperlink>
        </w:p>
        <w:p w14:paraId="033E9EFD" w14:textId="5F086B68" w:rsidR="000D0217" w:rsidRPr="000D0217" w:rsidRDefault="001400EF">
          <w:pPr>
            <w:pStyle w:val="TDC2"/>
            <w:rPr>
              <w:rFonts w:eastAsiaTheme="minorEastAsia"/>
              <w:kern w:val="0"/>
              <w:sz w:val="22"/>
              <w:lang w:bidi="ar-SA"/>
            </w:rPr>
          </w:pPr>
          <w:hyperlink w:anchor="_Toc67646278" w:history="1">
            <w:r w:rsidR="000D0217" w:rsidRPr="000D0217">
              <w:rPr>
                <w:rStyle w:val="Hipervnculo"/>
              </w:rPr>
              <w:t>3.6.</w:t>
            </w:r>
            <w:r w:rsidR="000D0217" w:rsidRPr="000D0217">
              <w:rPr>
                <w:rFonts w:eastAsiaTheme="minorEastAsia"/>
                <w:kern w:val="0"/>
                <w:sz w:val="22"/>
                <w:lang w:bidi="ar-SA"/>
              </w:rPr>
              <w:tab/>
            </w:r>
            <w:r w:rsidR="000D0217" w:rsidRPr="000D0217">
              <w:rPr>
                <w:rStyle w:val="Hipervnculo"/>
              </w:rPr>
              <w:t>Colaboración con otras instituciones</w:t>
            </w:r>
            <w:r w:rsidR="000D0217" w:rsidRPr="000D0217">
              <w:rPr>
                <w:webHidden/>
              </w:rPr>
              <w:tab/>
            </w:r>
            <w:r w:rsidR="000D0217" w:rsidRPr="000D0217">
              <w:rPr>
                <w:webHidden/>
              </w:rPr>
              <w:fldChar w:fldCharType="begin"/>
            </w:r>
            <w:r w:rsidR="000D0217" w:rsidRPr="000D0217">
              <w:rPr>
                <w:webHidden/>
              </w:rPr>
              <w:instrText xml:space="preserve"> PAGEREF _Toc67646278 \h </w:instrText>
            </w:r>
            <w:r w:rsidR="000D0217" w:rsidRPr="000D0217">
              <w:rPr>
                <w:webHidden/>
              </w:rPr>
            </w:r>
            <w:r w:rsidR="000D0217" w:rsidRPr="000D0217">
              <w:rPr>
                <w:webHidden/>
              </w:rPr>
              <w:fldChar w:fldCharType="separate"/>
            </w:r>
            <w:r w:rsidR="00997C18">
              <w:rPr>
                <w:webHidden/>
              </w:rPr>
              <w:t>93</w:t>
            </w:r>
            <w:r w:rsidR="000D0217" w:rsidRPr="000D0217">
              <w:rPr>
                <w:webHidden/>
              </w:rPr>
              <w:fldChar w:fldCharType="end"/>
            </w:r>
          </w:hyperlink>
        </w:p>
        <w:p w14:paraId="14660CC1" w14:textId="525FBD3B" w:rsidR="000D0217" w:rsidRPr="000D0217" w:rsidRDefault="001400EF">
          <w:pPr>
            <w:pStyle w:val="TDC2"/>
            <w:rPr>
              <w:rFonts w:eastAsiaTheme="minorEastAsia"/>
              <w:kern w:val="0"/>
              <w:sz w:val="22"/>
              <w:lang w:bidi="ar-SA"/>
            </w:rPr>
          </w:pPr>
          <w:hyperlink w:anchor="_Toc67646279" w:history="1">
            <w:r w:rsidR="000D0217" w:rsidRPr="000D0217">
              <w:rPr>
                <w:rStyle w:val="Hipervnculo"/>
              </w:rPr>
              <w:t>3.7.</w:t>
            </w:r>
            <w:r w:rsidR="000D0217" w:rsidRPr="000D0217">
              <w:rPr>
                <w:rFonts w:eastAsiaTheme="minorEastAsia"/>
                <w:kern w:val="0"/>
                <w:sz w:val="22"/>
                <w:lang w:bidi="ar-SA"/>
              </w:rPr>
              <w:tab/>
            </w:r>
            <w:r w:rsidR="000D0217" w:rsidRPr="000D0217">
              <w:rPr>
                <w:rStyle w:val="Hipervnculo"/>
              </w:rPr>
              <w:t>Sistemas de Información y Tecnologías</w:t>
            </w:r>
            <w:r w:rsidR="000D0217" w:rsidRPr="000D0217">
              <w:rPr>
                <w:webHidden/>
              </w:rPr>
              <w:tab/>
            </w:r>
            <w:r w:rsidR="000D0217" w:rsidRPr="000D0217">
              <w:rPr>
                <w:webHidden/>
              </w:rPr>
              <w:fldChar w:fldCharType="begin"/>
            </w:r>
            <w:r w:rsidR="000D0217" w:rsidRPr="000D0217">
              <w:rPr>
                <w:webHidden/>
              </w:rPr>
              <w:instrText xml:space="preserve"> PAGEREF _Toc67646279 \h </w:instrText>
            </w:r>
            <w:r w:rsidR="000D0217" w:rsidRPr="000D0217">
              <w:rPr>
                <w:webHidden/>
              </w:rPr>
            </w:r>
            <w:r w:rsidR="000D0217" w:rsidRPr="000D0217">
              <w:rPr>
                <w:webHidden/>
              </w:rPr>
              <w:fldChar w:fldCharType="separate"/>
            </w:r>
            <w:r w:rsidR="00997C18">
              <w:rPr>
                <w:webHidden/>
              </w:rPr>
              <w:t>94</w:t>
            </w:r>
            <w:r w:rsidR="000D0217" w:rsidRPr="000D0217">
              <w:rPr>
                <w:webHidden/>
              </w:rPr>
              <w:fldChar w:fldCharType="end"/>
            </w:r>
          </w:hyperlink>
        </w:p>
        <w:p w14:paraId="2A040E7A" w14:textId="71A93B48" w:rsidR="000D0217" w:rsidRPr="000D0217" w:rsidRDefault="001400EF" w:rsidP="000D0217">
          <w:pPr>
            <w:pStyle w:val="TDC1"/>
            <w:rPr>
              <w:rFonts w:eastAsiaTheme="minorEastAsia"/>
              <w:kern w:val="0"/>
              <w:sz w:val="22"/>
              <w:szCs w:val="22"/>
              <w:lang w:bidi="ar-SA"/>
            </w:rPr>
          </w:pPr>
          <w:hyperlink w:anchor="_Toc67646280" w:history="1">
            <w:r w:rsidR="000D0217" w:rsidRPr="000D0217">
              <w:rPr>
                <w:rStyle w:val="Hipervnculo"/>
                <w:rFonts w:eastAsia="Times New Roman"/>
              </w:rPr>
              <w:t>4.</w:t>
            </w:r>
            <w:r w:rsidR="000D0217" w:rsidRPr="000D0217">
              <w:rPr>
                <w:rFonts w:eastAsiaTheme="minorEastAsia"/>
                <w:kern w:val="0"/>
                <w:sz w:val="22"/>
                <w:szCs w:val="22"/>
                <w:lang w:bidi="ar-SA"/>
              </w:rPr>
              <w:tab/>
            </w:r>
            <w:r w:rsidR="000D0217" w:rsidRPr="000D0217">
              <w:rPr>
                <w:rStyle w:val="Hipervnculo"/>
                <w:rFonts w:eastAsia="Times New Roman"/>
              </w:rPr>
              <w:t>Asuntos jurídicos</w:t>
            </w:r>
            <w:r w:rsidR="000D0217" w:rsidRPr="000D0217">
              <w:rPr>
                <w:webHidden/>
              </w:rPr>
              <w:tab/>
            </w:r>
            <w:r w:rsidR="000D0217" w:rsidRPr="000D0217">
              <w:rPr>
                <w:webHidden/>
              </w:rPr>
              <w:fldChar w:fldCharType="begin"/>
            </w:r>
            <w:r w:rsidR="000D0217" w:rsidRPr="000D0217">
              <w:rPr>
                <w:webHidden/>
              </w:rPr>
              <w:instrText xml:space="preserve"> PAGEREF _Toc67646280 \h </w:instrText>
            </w:r>
            <w:r w:rsidR="000D0217" w:rsidRPr="000D0217">
              <w:rPr>
                <w:webHidden/>
              </w:rPr>
            </w:r>
            <w:r w:rsidR="000D0217" w:rsidRPr="000D0217">
              <w:rPr>
                <w:webHidden/>
              </w:rPr>
              <w:fldChar w:fldCharType="separate"/>
            </w:r>
            <w:r w:rsidR="00997C18">
              <w:rPr>
                <w:webHidden/>
              </w:rPr>
              <w:t>96</w:t>
            </w:r>
            <w:r w:rsidR="000D0217" w:rsidRPr="000D0217">
              <w:rPr>
                <w:webHidden/>
              </w:rPr>
              <w:fldChar w:fldCharType="end"/>
            </w:r>
          </w:hyperlink>
        </w:p>
        <w:p w14:paraId="78AC17F0" w14:textId="5EFEAA30" w:rsidR="000D0217" w:rsidRPr="000D0217" w:rsidRDefault="001400EF">
          <w:pPr>
            <w:pStyle w:val="TDC2"/>
            <w:rPr>
              <w:rFonts w:eastAsiaTheme="minorEastAsia"/>
              <w:kern w:val="0"/>
              <w:sz w:val="22"/>
              <w:lang w:bidi="ar-SA"/>
            </w:rPr>
          </w:pPr>
          <w:hyperlink w:anchor="_Toc67646281" w:history="1">
            <w:r w:rsidR="000D0217" w:rsidRPr="000D0217">
              <w:rPr>
                <w:rStyle w:val="Hipervnculo"/>
              </w:rPr>
              <w:t>4.1.</w:t>
            </w:r>
            <w:r w:rsidR="000D0217" w:rsidRPr="000D0217">
              <w:rPr>
                <w:rFonts w:eastAsiaTheme="minorEastAsia"/>
                <w:kern w:val="0"/>
                <w:sz w:val="22"/>
                <w:lang w:bidi="ar-SA"/>
              </w:rPr>
              <w:tab/>
            </w:r>
            <w:r w:rsidR="000D0217" w:rsidRPr="000D0217">
              <w:rPr>
                <w:rStyle w:val="Hipervnculo"/>
              </w:rPr>
              <w:t>Funciones</w:t>
            </w:r>
            <w:r w:rsidR="000D0217" w:rsidRPr="000D0217">
              <w:rPr>
                <w:webHidden/>
              </w:rPr>
              <w:tab/>
            </w:r>
            <w:r w:rsidR="000D0217" w:rsidRPr="000D0217">
              <w:rPr>
                <w:webHidden/>
              </w:rPr>
              <w:fldChar w:fldCharType="begin"/>
            </w:r>
            <w:r w:rsidR="000D0217" w:rsidRPr="000D0217">
              <w:rPr>
                <w:webHidden/>
              </w:rPr>
              <w:instrText xml:space="preserve"> PAGEREF _Toc67646281 \h </w:instrText>
            </w:r>
            <w:r w:rsidR="000D0217" w:rsidRPr="000D0217">
              <w:rPr>
                <w:webHidden/>
              </w:rPr>
            </w:r>
            <w:r w:rsidR="000D0217" w:rsidRPr="000D0217">
              <w:rPr>
                <w:webHidden/>
              </w:rPr>
              <w:fldChar w:fldCharType="separate"/>
            </w:r>
            <w:r w:rsidR="00997C18">
              <w:rPr>
                <w:webHidden/>
              </w:rPr>
              <w:t>96</w:t>
            </w:r>
            <w:r w:rsidR="000D0217" w:rsidRPr="000D0217">
              <w:rPr>
                <w:webHidden/>
              </w:rPr>
              <w:fldChar w:fldCharType="end"/>
            </w:r>
          </w:hyperlink>
        </w:p>
        <w:p w14:paraId="7D1F462C" w14:textId="218E08D6" w:rsidR="000D0217" w:rsidRPr="000D0217" w:rsidRDefault="001400EF">
          <w:pPr>
            <w:pStyle w:val="TDC2"/>
            <w:rPr>
              <w:rFonts w:eastAsiaTheme="minorEastAsia"/>
              <w:kern w:val="0"/>
              <w:sz w:val="22"/>
              <w:lang w:bidi="ar-SA"/>
            </w:rPr>
          </w:pPr>
          <w:hyperlink w:anchor="_Toc67646282" w:history="1">
            <w:r w:rsidR="000D0217" w:rsidRPr="000D0217">
              <w:rPr>
                <w:rStyle w:val="Hipervnculo"/>
              </w:rPr>
              <w:t>4.2.</w:t>
            </w:r>
            <w:r w:rsidR="000D0217" w:rsidRPr="000D0217">
              <w:rPr>
                <w:rFonts w:eastAsiaTheme="minorEastAsia"/>
                <w:kern w:val="0"/>
                <w:sz w:val="22"/>
                <w:lang w:bidi="ar-SA"/>
              </w:rPr>
              <w:tab/>
            </w:r>
            <w:r w:rsidR="000D0217" w:rsidRPr="000D0217">
              <w:rPr>
                <w:rStyle w:val="Hipervnculo"/>
              </w:rPr>
              <w:t>Marco normativo</w:t>
            </w:r>
            <w:r w:rsidR="000D0217" w:rsidRPr="000D0217">
              <w:rPr>
                <w:webHidden/>
              </w:rPr>
              <w:tab/>
            </w:r>
            <w:r w:rsidR="000D0217" w:rsidRPr="000D0217">
              <w:rPr>
                <w:webHidden/>
              </w:rPr>
              <w:fldChar w:fldCharType="begin"/>
            </w:r>
            <w:r w:rsidR="000D0217" w:rsidRPr="000D0217">
              <w:rPr>
                <w:webHidden/>
              </w:rPr>
              <w:instrText xml:space="preserve"> PAGEREF _Toc67646282 \h </w:instrText>
            </w:r>
            <w:r w:rsidR="000D0217" w:rsidRPr="000D0217">
              <w:rPr>
                <w:webHidden/>
              </w:rPr>
            </w:r>
            <w:r w:rsidR="000D0217" w:rsidRPr="000D0217">
              <w:rPr>
                <w:webHidden/>
              </w:rPr>
              <w:fldChar w:fldCharType="separate"/>
            </w:r>
            <w:r w:rsidR="00997C18">
              <w:rPr>
                <w:webHidden/>
              </w:rPr>
              <w:t>97</w:t>
            </w:r>
            <w:r w:rsidR="000D0217" w:rsidRPr="000D0217">
              <w:rPr>
                <w:webHidden/>
              </w:rPr>
              <w:fldChar w:fldCharType="end"/>
            </w:r>
          </w:hyperlink>
        </w:p>
        <w:p w14:paraId="33D40D15" w14:textId="106D2CC7" w:rsidR="000D0217" w:rsidRPr="000D0217" w:rsidRDefault="001400EF">
          <w:pPr>
            <w:pStyle w:val="TDC2"/>
            <w:rPr>
              <w:rFonts w:eastAsiaTheme="minorEastAsia"/>
              <w:kern w:val="0"/>
              <w:sz w:val="22"/>
              <w:lang w:bidi="ar-SA"/>
            </w:rPr>
          </w:pPr>
          <w:hyperlink w:anchor="_Toc67646283" w:history="1">
            <w:r w:rsidR="000D0217" w:rsidRPr="000D0217">
              <w:rPr>
                <w:rStyle w:val="Hipervnculo"/>
              </w:rPr>
              <w:t>4.3.</w:t>
            </w:r>
            <w:r w:rsidR="000D0217" w:rsidRPr="000D0217">
              <w:rPr>
                <w:rFonts w:eastAsiaTheme="minorEastAsia"/>
                <w:kern w:val="0"/>
                <w:sz w:val="22"/>
                <w:lang w:bidi="ar-SA"/>
              </w:rPr>
              <w:tab/>
            </w:r>
            <w:r w:rsidR="000D0217" w:rsidRPr="000D0217">
              <w:rPr>
                <w:rStyle w:val="Hipervnculo"/>
              </w:rPr>
              <w:t>Actualización del Proyecto de Ley de la Generalitat, de la Función Pública Valenciana. Propuesta de enmiendas.</w:t>
            </w:r>
            <w:r w:rsidR="000D0217" w:rsidRPr="000D0217">
              <w:rPr>
                <w:webHidden/>
              </w:rPr>
              <w:tab/>
            </w:r>
            <w:r w:rsidR="000D0217" w:rsidRPr="000D0217">
              <w:rPr>
                <w:webHidden/>
              </w:rPr>
              <w:fldChar w:fldCharType="begin"/>
            </w:r>
            <w:r w:rsidR="000D0217" w:rsidRPr="000D0217">
              <w:rPr>
                <w:webHidden/>
              </w:rPr>
              <w:instrText xml:space="preserve"> PAGEREF _Toc67646283 \h </w:instrText>
            </w:r>
            <w:r w:rsidR="000D0217" w:rsidRPr="000D0217">
              <w:rPr>
                <w:webHidden/>
              </w:rPr>
            </w:r>
            <w:r w:rsidR="000D0217" w:rsidRPr="000D0217">
              <w:rPr>
                <w:webHidden/>
              </w:rPr>
              <w:fldChar w:fldCharType="separate"/>
            </w:r>
            <w:r w:rsidR="00997C18">
              <w:rPr>
                <w:webHidden/>
              </w:rPr>
              <w:t>101</w:t>
            </w:r>
            <w:r w:rsidR="000D0217" w:rsidRPr="000D0217">
              <w:rPr>
                <w:webHidden/>
              </w:rPr>
              <w:fldChar w:fldCharType="end"/>
            </w:r>
          </w:hyperlink>
        </w:p>
        <w:p w14:paraId="6906A549" w14:textId="2C5B971C" w:rsidR="000D0217" w:rsidRPr="000D0217" w:rsidRDefault="001400EF">
          <w:pPr>
            <w:pStyle w:val="TDC2"/>
            <w:rPr>
              <w:rFonts w:eastAsiaTheme="minorEastAsia"/>
              <w:kern w:val="0"/>
              <w:sz w:val="22"/>
              <w:lang w:bidi="ar-SA"/>
            </w:rPr>
          </w:pPr>
          <w:hyperlink w:anchor="_Toc67646284" w:history="1">
            <w:r w:rsidR="000D0217" w:rsidRPr="000D0217">
              <w:rPr>
                <w:rStyle w:val="Hipervnculo"/>
              </w:rPr>
              <w:t>4.4.</w:t>
            </w:r>
            <w:r w:rsidR="000D0217" w:rsidRPr="000D0217">
              <w:rPr>
                <w:rFonts w:eastAsiaTheme="minorEastAsia"/>
                <w:kern w:val="0"/>
                <w:sz w:val="22"/>
                <w:lang w:bidi="ar-SA"/>
              </w:rPr>
              <w:tab/>
            </w:r>
            <w:r w:rsidR="000D0217" w:rsidRPr="000D0217">
              <w:rPr>
                <w:rStyle w:val="Hipervnculo"/>
              </w:rPr>
              <w:t>Transposición de la Directiva (UE) 2019/1937, del Parlamento Europeo y del Consejo de 23 de octubre de 2019, relativa a la protección de las personas que informan sobre infracciones del Derecho de la Unión.</w:t>
            </w:r>
            <w:r w:rsidR="000D0217" w:rsidRPr="000D0217">
              <w:rPr>
                <w:webHidden/>
              </w:rPr>
              <w:tab/>
            </w:r>
            <w:r w:rsidR="000D0217" w:rsidRPr="000D0217">
              <w:rPr>
                <w:webHidden/>
              </w:rPr>
              <w:fldChar w:fldCharType="begin"/>
            </w:r>
            <w:r w:rsidR="000D0217" w:rsidRPr="000D0217">
              <w:rPr>
                <w:webHidden/>
              </w:rPr>
              <w:instrText xml:space="preserve"> PAGEREF _Toc67646284 \h </w:instrText>
            </w:r>
            <w:r w:rsidR="000D0217" w:rsidRPr="000D0217">
              <w:rPr>
                <w:webHidden/>
              </w:rPr>
            </w:r>
            <w:r w:rsidR="000D0217" w:rsidRPr="000D0217">
              <w:rPr>
                <w:webHidden/>
              </w:rPr>
              <w:fldChar w:fldCharType="separate"/>
            </w:r>
            <w:r w:rsidR="00997C18">
              <w:rPr>
                <w:webHidden/>
              </w:rPr>
              <w:t>107</w:t>
            </w:r>
            <w:r w:rsidR="000D0217" w:rsidRPr="000D0217">
              <w:rPr>
                <w:webHidden/>
              </w:rPr>
              <w:fldChar w:fldCharType="end"/>
            </w:r>
          </w:hyperlink>
        </w:p>
        <w:p w14:paraId="3EFFC660" w14:textId="47BD5BFC"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85" w:history="1">
            <w:r w:rsidR="000D0217" w:rsidRPr="000D0217">
              <w:rPr>
                <w:rStyle w:val="Hipervnculo"/>
                <w:rFonts w:ascii="Arial" w:eastAsia="Times New Roman" w:hAnsi="Arial" w:cs="Arial"/>
                <w:noProof/>
              </w:rPr>
              <w:t>4.4.1.</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Estado del procedimiento de elaboración de la normativa para la transposición en España de la Directiva (UE) 2019/1937.</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_Toc67646285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107</w:t>
            </w:r>
            <w:r w:rsidR="000D0217" w:rsidRPr="000D0217">
              <w:rPr>
                <w:rFonts w:ascii="Arial" w:hAnsi="Arial" w:cs="Arial"/>
                <w:noProof/>
                <w:webHidden/>
              </w:rPr>
              <w:fldChar w:fldCharType="end"/>
            </w:r>
          </w:hyperlink>
        </w:p>
        <w:p w14:paraId="756A1714" w14:textId="2F934A64"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86" w:history="1">
            <w:r w:rsidR="000D0217" w:rsidRPr="000D0217">
              <w:rPr>
                <w:rStyle w:val="Hipervnculo"/>
                <w:rFonts w:ascii="Arial" w:eastAsia="Times New Roman" w:hAnsi="Arial" w:cs="Arial"/>
                <w:noProof/>
              </w:rPr>
              <w:t>4.4.2.</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Algunas aportaciones para una adecuada transposición de la Directiva (UE) 2019/1937.</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_Toc67646286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111</w:t>
            </w:r>
            <w:r w:rsidR="000D0217" w:rsidRPr="000D0217">
              <w:rPr>
                <w:rFonts w:ascii="Arial" w:hAnsi="Arial" w:cs="Arial"/>
                <w:noProof/>
                <w:webHidden/>
              </w:rPr>
              <w:fldChar w:fldCharType="end"/>
            </w:r>
          </w:hyperlink>
        </w:p>
        <w:p w14:paraId="0204620A" w14:textId="1FE1807C" w:rsidR="000D0217" w:rsidRPr="000D0217" w:rsidRDefault="001400EF">
          <w:pPr>
            <w:pStyle w:val="TDC2"/>
            <w:rPr>
              <w:rFonts w:eastAsiaTheme="minorEastAsia"/>
              <w:kern w:val="0"/>
              <w:sz w:val="22"/>
              <w:lang w:bidi="ar-SA"/>
            </w:rPr>
          </w:pPr>
          <w:hyperlink w:anchor="_Toc67646287" w:history="1">
            <w:r w:rsidR="000D0217" w:rsidRPr="000D0217">
              <w:rPr>
                <w:rStyle w:val="Hipervnculo"/>
              </w:rPr>
              <w:t>4.5.</w:t>
            </w:r>
            <w:r w:rsidR="000D0217" w:rsidRPr="000D0217">
              <w:rPr>
                <w:rFonts w:eastAsiaTheme="minorEastAsia"/>
                <w:kern w:val="0"/>
                <w:sz w:val="22"/>
                <w:lang w:bidi="ar-SA"/>
              </w:rPr>
              <w:tab/>
            </w:r>
            <w:r w:rsidR="000D0217" w:rsidRPr="000D0217">
              <w:rPr>
                <w:rStyle w:val="Hipervnculo"/>
              </w:rPr>
              <w:t>Protección de las personas denunciantes, informadoras o alertadoras de fraude o corrupción</w:t>
            </w:r>
            <w:r w:rsidR="000D0217" w:rsidRPr="000D0217">
              <w:rPr>
                <w:webHidden/>
              </w:rPr>
              <w:tab/>
            </w:r>
            <w:r w:rsidR="000D0217" w:rsidRPr="000D0217">
              <w:rPr>
                <w:webHidden/>
              </w:rPr>
              <w:fldChar w:fldCharType="begin"/>
            </w:r>
            <w:r w:rsidR="000D0217" w:rsidRPr="000D0217">
              <w:rPr>
                <w:webHidden/>
              </w:rPr>
              <w:instrText xml:space="preserve"> PAGEREF _Toc67646287 \h </w:instrText>
            </w:r>
            <w:r w:rsidR="000D0217" w:rsidRPr="000D0217">
              <w:rPr>
                <w:webHidden/>
              </w:rPr>
            </w:r>
            <w:r w:rsidR="000D0217" w:rsidRPr="000D0217">
              <w:rPr>
                <w:webHidden/>
              </w:rPr>
              <w:fldChar w:fldCharType="separate"/>
            </w:r>
            <w:r w:rsidR="00997C18">
              <w:rPr>
                <w:webHidden/>
              </w:rPr>
              <w:t>115</w:t>
            </w:r>
            <w:r w:rsidR="000D0217" w:rsidRPr="000D0217">
              <w:rPr>
                <w:webHidden/>
              </w:rPr>
              <w:fldChar w:fldCharType="end"/>
            </w:r>
          </w:hyperlink>
        </w:p>
        <w:p w14:paraId="7D31D233" w14:textId="5886F557"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88" w:history="1">
            <w:r w:rsidR="000D0217" w:rsidRPr="000D0217">
              <w:rPr>
                <w:rStyle w:val="Hipervnculo"/>
                <w:rFonts w:ascii="Arial" w:eastAsia="Times New Roman" w:hAnsi="Arial" w:cs="Arial"/>
                <w:noProof/>
              </w:rPr>
              <w:t>4.5.1.</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El estatuto de protección: los derechos y deberes de las personas denunciantes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_Toc67646288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115</w:t>
            </w:r>
            <w:r w:rsidR="000D0217" w:rsidRPr="000D0217">
              <w:rPr>
                <w:rFonts w:ascii="Arial" w:hAnsi="Arial" w:cs="Arial"/>
                <w:noProof/>
                <w:webHidden/>
              </w:rPr>
              <w:fldChar w:fldCharType="end"/>
            </w:r>
          </w:hyperlink>
        </w:p>
        <w:p w14:paraId="7B59F40C" w14:textId="6BC45D99"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89" w:history="1">
            <w:r w:rsidR="000D0217" w:rsidRPr="000D0217">
              <w:rPr>
                <w:rStyle w:val="Hipervnculo"/>
                <w:rFonts w:ascii="Arial" w:eastAsia="Times New Roman" w:hAnsi="Arial" w:cs="Arial"/>
                <w:noProof/>
              </w:rPr>
              <w:t>4.5.2.</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Decálogo para la protección de las personas denunciantes y alertadoras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_Toc67646289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117</w:t>
            </w:r>
            <w:r w:rsidR="000D0217" w:rsidRPr="000D0217">
              <w:rPr>
                <w:rFonts w:ascii="Arial" w:hAnsi="Arial" w:cs="Arial"/>
                <w:noProof/>
                <w:webHidden/>
              </w:rPr>
              <w:fldChar w:fldCharType="end"/>
            </w:r>
          </w:hyperlink>
        </w:p>
        <w:p w14:paraId="44F47B80" w14:textId="13178685"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90" w:history="1">
            <w:r w:rsidR="000D0217" w:rsidRPr="000D0217">
              <w:rPr>
                <w:rStyle w:val="Hipervnculo"/>
                <w:rFonts w:ascii="Arial" w:eastAsia="Times New Roman" w:hAnsi="Arial" w:cs="Arial"/>
                <w:noProof/>
              </w:rPr>
              <w:t>4.5.3.</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Seguimiento de la protección de las personas denunciantes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_Toc67646290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122</w:t>
            </w:r>
            <w:r w:rsidR="000D0217" w:rsidRPr="000D0217">
              <w:rPr>
                <w:rFonts w:ascii="Arial" w:hAnsi="Arial" w:cs="Arial"/>
                <w:noProof/>
                <w:webHidden/>
              </w:rPr>
              <w:fldChar w:fldCharType="end"/>
            </w:r>
          </w:hyperlink>
        </w:p>
        <w:p w14:paraId="7232C32D" w14:textId="5A364A14"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91" w:history="1">
            <w:r w:rsidR="000D0217" w:rsidRPr="000D0217">
              <w:rPr>
                <w:rStyle w:val="Hipervnculo"/>
                <w:rFonts w:ascii="Arial" w:eastAsia="Times New Roman" w:hAnsi="Arial" w:cs="Arial"/>
                <w:noProof/>
              </w:rPr>
              <w:t>4.5.4.</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Resultados estadísticos de la protección a personas denunciantes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_Toc67646291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132</w:t>
            </w:r>
            <w:r w:rsidR="000D0217" w:rsidRPr="000D0217">
              <w:rPr>
                <w:rFonts w:ascii="Arial" w:hAnsi="Arial" w:cs="Arial"/>
                <w:noProof/>
                <w:webHidden/>
              </w:rPr>
              <w:fldChar w:fldCharType="end"/>
            </w:r>
          </w:hyperlink>
        </w:p>
        <w:p w14:paraId="207681D9" w14:textId="67A7962A" w:rsidR="000D0217" w:rsidRPr="000D0217" w:rsidRDefault="001400EF">
          <w:pPr>
            <w:pStyle w:val="TDC2"/>
            <w:rPr>
              <w:rFonts w:eastAsiaTheme="minorEastAsia"/>
              <w:kern w:val="0"/>
              <w:sz w:val="22"/>
              <w:lang w:bidi="ar-SA"/>
            </w:rPr>
          </w:pPr>
          <w:hyperlink w:anchor="_Toc67646292" w:history="1">
            <w:r w:rsidR="000D0217" w:rsidRPr="000D0217">
              <w:rPr>
                <w:rStyle w:val="Hipervnculo"/>
              </w:rPr>
              <w:t>4.6.</w:t>
            </w:r>
            <w:r w:rsidR="000D0217" w:rsidRPr="000D0217">
              <w:rPr>
                <w:rFonts w:eastAsiaTheme="minorEastAsia"/>
                <w:kern w:val="0"/>
                <w:sz w:val="22"/>
                <w:lang w:bidi="ar-SA"/>
              </w:rPr>
              <w:tab/>
            </w:r>
            <w:r w:rsidR="000D0217" w:rsidRPr="000D0217">
              <w:rPr>
                <w:rStyle w:val="Hipervnculo"/>
              </w:rPr>
              <w:t>Potestad sancionadora</w:t>
            </w:r>
            <w:r w:rsidR="000D0217" w:rsidRPr="000D0217">
              <w:rPr>
                <w:webHidden/>
              </w:rPr>
              <w:tab/>
            </w:r>
            <w:r w:rsidR="000D0217" w:rsidRPr="000D0217">
              <w:rPr>
                <w:webHidden/>
              </w:rPr>
              <w:fldChar w:fldCharType="begin"/>
            </w:r>
            <w:r w:rsidR="000D0217" w:rsidRPr="000D0217">
              <w:rPr>
                <w:webHidden/>
              </w:rPr>
              <w:instrText xml:space="preserve"> PAGEREF _Toc67646292 \h </w:instrText>
            </w:r>
            <w:r w:rsidR="000D0217" w:rsidRPr="000D0217">
              <w:rPr>
                <w:webHidden/>
              </w:rPr>
            </w:r>
            <w:r w:rsidR="000D0217" w:rsidRPr="000D0217">
              <w:rPr>
                <w:webHidden/>
              </w:rPr>
              <w:fldChar w:fldCharType="separate"/>
            </w:r>
            <w:r w:rsidR="00997C18">
              <w:rPr>
                <w:webHidden/>
              </w:rPr>
              <w:t>136</w:t>
            </w:r>
            <w:r w:rsidR="000D0217" w:rsidRPr="000D0217">
              <w:rPr>
                <w:webHidden/>
              </w:rPr>
              <w:fldChar w:fldCharType="end"/>
            </w:r>
          </w:hyperlink>
        </w:p>
        <w:p w14:paraId="7D6015E7" w14:textId="7FB4655F" w:rsidR="000D0217" w:rsidRPr="000D0217" w:rsidRDefault="001400EF">
          <w:pPr>
            <w:pStyle w:val="TDC2"/>
            <w:rPr>
              <w:rFonts w:eastAsiaTheme="minorEastAsia"/>
              <w:kern w:val="0"/>
              <w:sz w:val="22"/>
              <w:lang w:bidi="ar-SA"/>
            </w:rPr>
          </w:pPr>
          <w:hyperlink w:anchor="_Toc67646293" w:history="1">
            <w:r w:rsidR="000D0217" w:rsidRPr="000D0217">
              <w:rPr>
                <w:rStyle w:val="Hipervnculo"/>
              </w:rPr>
              <w:t>4.7.</w:t>
            </w:r>
            <w:r w:rsidR="000D0217" w:rsidRPr="000D0217">
              <w:rPr>
                <w:rFonts w:eastAsiaTheme="minorEastAsia"/>
                <w:kern w:val="0"/>
                <w:sz w:val="22"/>
                <w:lang w:bidi="ar-SA"/>
              </w:rPr>
              <w:tab/>
            </w:r>
            <w:r w:rsidR="000D0217" w:rsidRPr="000D0217">
              <w:rPr>
                <w:rStyle w:val="Hipervnculo"/>
              </w:rPr>
              <w:t>Convenios y otras colaboraciones</w:t>
            </w:r>
            <w:r w:rsidR="000D0217" w:rsidRPr="000D0217">
              <w:rPr>
                <w:webHidden/>
              </w:rPr>
              <w:tab/>
            </w:r>
            <w:r w:rsidR="000D0217" w:rsidRPr="000D0217">
              <w:rPr>
                <w:webHidden/>
              </w:rPr>
              <w:fldChar w:fldCharType="begin"/>
            </w:r>
            <w:r w:rsidR="000D0217" w:rsidRPr="000D0217">
              <w:rPr>
                <w:webHidden/>
              </w:rPr>
              <w:instrText xml:space="preserve"> PAGEREF _Toc67646293 \h </w:instrText>
            </w:r>
            <w:r w:rsidR="000D0217" w:rsidRPr="000D0217">
              <w:rPr>
                <w:webHidden/>
              </w:rPr>
            </w:r>
            <w:r w:rsidR="000D0217" w:rsidRPr="000D0217">
              <w:rPr>
                <w:webHidden/>
              </w:rPr>
              <w:fldChar w:fldCharType="separate"/>
            </w:r>
            <w:r w:rsidR="00997C18">
              <w:rPr>
                <w:webHidden/>
              </w:rPr>
              <w:t>138</w:t>
            </w:r>
            <w:r w:rsidR="000D0217" w:rsidRPr="000D0217">
              <w:rPr>
                <w:webHidden/>
              </w:rPr>
              <w:fldChar w:fldCharType="end"/>
            </w:r>
          </w:hyperlink>
        </w:p>
        <w:p w14:paraId="6A354856" w14:textId="759B5FAB" w:rsidR="000D0217" w:rsidRPr="000D0217" w:rsidRDefault="001400EF">
          <w:pPr>
            <w:pStyle w:val="TDC2"/>
            <w:rPr>
              <w:rFonts w:eastAsiaTheme="minorEastAsia"/>
              <w:kern w:val="0"/>
              <w:sz w:val="22"/>
              <w:lang w:bidi="ar-SA"/>
            </w:rPr>
          </w:pPr>
          <w:hyperlink w:anchor="_Toc67646294" w:history="1">
            <w:r w:rsidR="000D0217" w:rsidRPr="000D0217">
              <w:rPr>
                <w:rStyle w:val="Hipervnculo"/>
              </w:rPr>
              <w:t>4.8.</w:t>
            </w:r>
            <w:r w:rsidR="000D0217" w:rsidRPr="000D0217">
              <w:rPr>
                <w:rFonts w:eastAsiaTheme="minorEastAsia"/>
                <w:kern w:val="0"/>
                <w:sz w:val="22"/>
                <w:lang w:bidi="ar-SA"/>
              </w:rPr>
              <w:tab/>
            </w:r>
            <w:r w:rsidR="000D0217" w:rsidRPr="000D0217">
              <w:rPr>
                <w:rStyle w:val="Hipervnculo"/>
              </w:rPr>
              <w:t>Asesoramiento jurídico y secretaría de órganos colegiados</w:t>
            </w:r>
            <w:r w:rsidR="000D0217" w:rsidRPr="000D0217">
              <w:rPr>
                <w:webHidden/>
              </w:rPr>
              <w:tab/>
            </w:r>
            <w:r w:rsidR="000D0217" w:rsidRPr="000D0217">
              <w:rPr>
                <w:webHidden/>
              </w:rPr>
              <w:fldChar w:fldCharType="begin"/>
            </w:r>
            <w:r w:rsidR="000D0217" w:rsidRPr="000D0217">
              <w:rPr>
                <w:webHidden/>
              </w:rPr>
              <w:instrText xml:space="preserve"> PAGEREF _Toc67646294 \h </w:instrText>
            </w:r>
            <w:r w:rsidR="000D0217" w:rsidRPr="000D0217">
              <w:rPr>
                <w:webHidden/>
              </w:rPr>
            </w:r>
            <w:r w:rsidR="000D0217" w:rsidRPr="000D0217">
              <w:rPr>
                <w:webHidden/>
              </w:rPr>
              <w:fldChar w:fldCharType="separate"/>
            </w:r>
            <w:r w:rsidR="00997C18">
              <w:rPr>
                <w:webHidden/>
              </w:rPr>
              <w:t>139</w:t>
            </w:r>
            <w:r w:rsidR="000D0217" w:rsidRPr="000D0217">
              <w:rPr>
                <w:webHidden/>
              </w:rPr>
              <w:fldChar w:fldCharType="end"/>
            </w:r>
          </w:hyperlink>
        </w:p>
        <w:p w14:paraId="1924EA2E" w14:textId="758F2320" w:rsidR="000D0217" w:rsidRPr="000D0217" w:rsidRDefault="001400EF">
          <w:pPr>
            <w:pStyle w:val="TDC2"/>
            <w:rPr>
              <w:rFonts w:eastAsiaTheme="minorEastAsia"/>
              <w:kern w:val="0"/>
              <w:sz w:val="22"/>
              <w:lang w:bidi="ar-SA"/>
            </w:rPr>
          </w:pPr>
          <w:hyperlink w:anchor="_Toc67646295" w:history="1">
            <w:r w:rsidR="000D0217" w:rsidRPr="000D0217">
              <w:rPr>
                <w:rStyle w:val="Hipervnculo"/>
              </w:rPr>
              <w:t>4.9.</w:t>
            </w:r>
            <w:r w:rsidR="000D0217" w:rsidRPr="000D0217">
              <w:rPr>
                <w:rFonts w:eastAsiaTheme="minorEastAsia"/>
                <w:kern w:val="0"/>
                <w:sz w:val="22"/>
                <w:lang w:bidi="ar-SA"/>
              </w:rPr>
              <w:tab/>
            </w:r>
            <w:r w:rsidR="000D0217" w:rsidRPr="000D0217">
              <w:rPr>
                <w:rStyle w:val="Hipervnculo"/>
              </w:rPr>
              <w:t>Procedimientos judiciales</w:t>
            </w:r>
            <w:r w:rsidR="000D0217" w:rsidRPr="000D0217">
              <w:rPr>
                <w:webHidden/>
              </w:rPr>
              <w:tab/>
            </w:r>
            <w:r w:rsidR="000D0217" w:rsidRPr="000D0217">
              <w:rPr>
                <w:webHidden/>
              </w:rPr>
              <w:fldChar w:fldCharType="begin"/>
            </w:r>
            <w:r w:rsidR="000D0217" w:rsidRPr="000D0217">
              <w:rPr>
                <w:webHidden/>
              </w:rPr>
              <w:instrText xml:space="preserve"> PAGEREF _Toc67646295 \h </w:instrText>
            </w:r>
            <w:r w:rsidR="000D0217" w:rsidRPr="000D0217">
              <w:rPr>
                <w:webHidden/>
              </w:rPr>
            </w:r>
            <w:r w:rsidR="000D0217" w:rsidRPr="000D0217">
              <w:rPr>
                <w:webHidden/>
              </w:rPr>
              <w:fldChar w:fldCharType="separate"/>
            </w:r>
            <w:r w:rsidR="00997C18">
              <w:rPr>
                <w:webHidden/>
              </w:rPr>
              <w:t>143</w:t>
            </w:r>
            <w:r w:rsidR="000D0217" w:rsidRPr="000D0217">
              <w:rPr>
                <w:webHidden/>
              </w:rPr>
              <w:fldChar w:fldCharType="end"/>
            </w:r>
          </w:hyperlink>
        </w:p>
        <w:p w14:paraId="38389F82" w14:textId="59E81442"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96" w:history="1">
            <w:r w:rsidR="000D0217" w:rsidRPr="000D0217">
              <w:rPr>
                <w:rStyle w:val="Hipervnculo"/>
                <w:rFonts w:ascii="Arial" w:eastAsia="Times New Roman" w:hAnsi="Arial" w:cs="Arial"/>
                <w:noProof/>
              </w:rPr>
              <w:t>4.9.1.</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Sobre la confidencialidad y reserva de las actuaciones de expedientes de investigación en trámite</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_Toc67646296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144</w:t>
            </w:r>
            <w:r w:rsidR="000D0217" w:rsidRPr="000D0217">
              <w:rPr>
                <w:rFonts w:ascii="Arial" w:hAnsi="Arial" w:cs="Arial"/>
                <w:noProof/>
                <w:webHidden/>
              </w:rPr>
              <w:fldChar w:fldCharType="end"/>
            </w:r>
          </w:hyperlink>
        </w:p>
        <w:p w14:paraId="6F4C0BED" w14:textId="6E794942"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97" w:history="1">
            <w:r w:rsidR="000D0217" w:rsidRPr="000D0217">
              <w:rPr>
                <w:rStyle w:val="Hipervnculo"/>
                <w:rFonts w:ascii="Arial" w:eastAsia="Times New Roman" w:hAnsi="Arial" w:cs="Arial"/>
                <w:noProof/>
              </w:rPr>
              <w:t>4.9.2.</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Sobre resoluciones que otorgan o deniegan el estatuto de protección a personas denunciantes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_Toc67646297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151</w:t>
            </w:r>
            <w:r w:rsidR="000D0217" w:rsidRPr="000D0217">
              <w:rPr>
                <w:rFonts w:ascii="Arial" w:hAnsi="Arial" w:cs="Arial"/>
                <w:noProof/>
                <w:webHidden/>
              </w:rPr>
              <w:fldChar w:fldCharType="end"/>
            </w:r>
          </w:hyperlink>
        </w:p>
        <w:p w14:paraId="53726ACC" w14:textId="46833614"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298" w:history="1">
            <w:r w:rsidR="000D0217" w:rsidRPr="000D0217">
              <w:rPr>
                <w:rStyle w:val="Hipervnculo"/>
                <w:rFonts w:ascii="Arial" w:eastAsia="Times New Roman" w:hAnsi="Arial" w:cs="Arial"/>
                <w:noProof/>
              </w:rPr>
              <w:t>4.9.3.</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Sobre cuestiones de personal al servicio de la Agencia</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_Toc67646298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152</w:t>
            </w:r>
            <w:r w:rsidR="000D0217" w:rsidRPr="000D0217">
              <w:rPr>
                <w:rFonts w:ascii="Arial" w:hAnsi="Arial" w:cs="Arial"/>
                <w:noProof/>
                <w:webHidden/>
              </w:rPr>
              <w:fldChar w:fldCharType="end"/>
            </w:r>
          </w:hyperlink>
        </w:p>
        <w:p w14:paraId="6777FCEF" w14:textId="7A665AD9" w:rsidR="000D0217" w:rsidRPr="000D0217" w:rsidRDefault="001400EF" w:rsidP="000D0217">
          <w:pPr>
            <w:pStyle w:val="TDC1"/>
            <w:rPr>
              <w:rFonts w:eastAsiaTheme="minorEastAsia"/>
              <w:kern w:val="0"/>
              <w:sz w:val="22"/>
              <w:szCs w:val="22"/>
              <w:lang w:bidi="ar-SA"/>
            </w:rPr>
          </w:pPr>
          <w:hyperlink w:anchor="_Toc67646299" w:history="1">
            <w:r w:rsidR="000D0217" w:rsidRPr="000D0217">
              <w:rPr>
                <w:rStyle w:val="Hipervnculo"/>
                <w:rFonts w:eastAsia="Times New Roman"/>
              </w:rPr>
              <w:t>5.</w:t>
            </w:r>
            <w:r w:rsidR="000D0217" w:rsidRPr="000D0217">
              <w:rPr>
                <w:rFonts w:eastAsiaTheme="minorEastAsia"/>
                <w:kern w:val="0"/>
                <w:sz w:val="22"/>
                <w:szCs w:val="22"/>
                <w:lang w:bidi="ar-SA"/>
              </w:rPr>
              <w:tab/>
            </w:r>
            <w:r w:rsidR="000D0217" w:rsidRPr="000D0217">
              <w:rPr>
                <w:rStyle w:val="Hipervnculo"/>
                <w:rFonts w:eastAsia="Times New Roman"/>
              </w:rPr>
              <w:t>Actividad  Institucional</w:t>
            </w:r>
            <w:r w:rsidR="000D0217" w:rsidRPr="000D0217">
              <w:rPr>
                <w:webHidden/>
              </w:rPr>
              <w:tab/>
            </w:r>
            <w:r w:rsidR="000D0217" w:rsidRPr="000D0217">
              <w:rPr>
                <w:webHidden/>
              </w:rPr>
              <w:fldChar w:fldCharType="begin"/>
            </w:r>
            <w:r w:rsidR="000D0217" w:rsidRPr="000D0217">
              <w:rPr>
                <w:webHidden/>
              </w:rPr>
              <w:instrText xml:space="preserve"> PAGEREF _Toc67646299 \h </w:instrText>
            </w:r>
            <w:r w:rsidR="000D0217" w:rsidRPr="000D0217">
              <w:rPr>
                <w:webHidden/>
              </w:rPr>
            </w:r>
            <w:r w:rsidR="000D0217" w:rsidRPr="000D0217">
              <w:rPr>
                <w:webHidden/>
              </w:rPr>
              <w:fldChar w:fldCharType="separate"/>
            </w:r>
            <w:r w:rsidR="00997C18">
              <w:rPr>
                <w:webHidden/>
              </w:rPr>
              <w:t>153</w:t>
            </w:r>
            <w:r w:rsidR="000D0217" w:rsidRPr="000D0217">
              <w:rPr>
                <w:webHidden/>
              </w:rPr>
              <w:fldChar w:fldCharType="end"/>
            </w:r>
          </w:hyperlink>
        </w:p>
        <w:p w14:paraId="012F3B17" w14:textId="7DC3988A" w:rsidR="000D0217" w:rsidRPr="000D0217" w:rsidRDefault="001400EF">
          <w:pPr>
            <w:pStyle w:val="TDC2"/>
            <w:rPr>
              <w:rFonts w:eastAsiaTheme="minorEastAsia"/>
              <w:kern w:val="0"/>
              <w:sz w:val="22"/>
              <w:lang w:bidi="ar-SA"/>
            </w:rPr>
          </w:pPr>
          <w:hyperlink w:anchor="_Toc67646300" w:history="1">
            <w:r w:rsidR="000D0217" w:rsidRPr="000D0217">
              <w:rPr>
                <w:rStyle w:val="Hipervnculo"/>
              </w:rPr>
              <w:t>5.1.</w:t>
            </w:r>
            <w:r w:rsidR="000D0217" w:rsidRPr="000D0217">
              <w:rPr>
                <w:rFonts w:eastAsiaTheme="minorEastAsia"/>
                <w:kern w:val="0"/>
                <w:sz w:val="22"/>
                <w:lang w:bidi="ar-SA"/>
              </w:rPr>
              <w:tab/>
            </w:r>
            <w:r w:rsidR="000D0217" w:rsidRPr="000D0217">
              <w:rPr>
                <w:rStyle w:val="Hipervnculo"/>
              </w:rPr>
              <w:t>Introducción</w:t>
            </w:r>
            <w:r w:rsidR="000D0217" w:rsidRPr="000D0217">
              <w:rPr>
                <w:webHidden/>
              </w:rPr>
              <w:tab/>
            </w:r>
            <w:r w:rsidR="000D0217" w:rsidRPr="000D0217">
              <w:rPr>
                <w:webHidden/>
              </w:rPr>
              <w:fldChar w:fldCharType="begin"/>
            </w:r>
            <w:r w:rsidR="000D0217" w:rsidRPr="000D0217">
              <w:rPr>
                <w:webHidden/>
              </w:rPr>
              <w:instrText xml:space="preserve"> PAGEREF _Toc67646300 \h </w:instrText>
            </w:r>
            <w:r w:rsidR="000D0217" w:rsidRPr="000D0217">
              <w:rPr>
                <w:webHidden/>
              </w:rPr>
            </w:r>
            <w:r w:rsidR="000D0217" w:rsidRPr="000D0217">
              <w:rPr>
                <w:webHidden/>
              </w:rPr>
              <w:fldChar w:fldCharType="separate"/>
            </w:r>
            <w:r w:rsidR="00997C18">
              <w:rPr>
                <w:webHidden/>
              </w:rPr>
              <w:t>153</w:t>
            </w:r>
            <w:r w:rsidR="000D0217" w:rsidRPr="000D0217">
              <w:rPr>
                <w:webHidden/>
              </w:rPr>
              <w:fldChar w:fldCharType="end"/>
            </w:r>
          </w:hyperlink>
        </w:p>
        <w:p w14:paraId="0BFA81CE" w14:textId="607A5B8C" w:rsidR="000D0217" w:rsidRPr="000D0217" w:rsidRDefault="001400EF">
          <w:pPr>
            <w:pStyle w:val="TDC2"/>
            <w:rPr>
              <w:rFonts w:eastAsiaTheme="minorEastAsia"/>
              <w:kern w:val="0"/>
              <w:sz w:val="22"/>
              <w:lang w:bidi="ar-SA"/>
            </w:rPr>
          </w:pPr>
          <w:hyperlink w:anchor="_Toc67646301" w:history="1">
            <w:r w:rsidR="000D0217" w:rsidRPr="000D0217">
              <w:rPr>
                <w:rStyle w:val="Hipervnculo"/>
              </w:rPr>
              <w:t>5.2.</w:t>
            </w:r>
            <w:r w:rsidR="000D0217" w:rsidRPr="000D0217">
              <w:rPr>
                <w:rFonts w:eastAsiaTheme="minorEastAsia"/>
                <w:kern w:val="0"/>
                <w:sz w:val="22"/>
                <w:lang w:bidi="ar-SA"/>
              </w:rPr>
              <w:tab/>
            </w:r>
            <w:r w:rsidR="000D0217" w:rsidRPr="000D0217">
              <w:rPr>
                <w:rStyle w:val="Hipervnculo"/>
              </w:rPr>
              <w:t>Actos organizados</w:t>
            </w:r>
            <w:r w:rsidR="000D0217" w:rsidRPr="000D0217">
              <w:rPr>
                <w:webHidden/>
              </w:rPr>
              <w:tab/>
            </w:r>
            <w:r w:rsidR="000D0217" w:rsidRPr="000D0217">
              <w:rPr>
                <w:webHidden/>
              </w:rPr>
              <w:fldChar w:fldCharType="begin"/>
            </w:r>
            <w:r w:rsidR="000D0217" w:rsidRPr="000D0217">
              <w:rPr>
                <w:webHidden/>
              </w:rPr>
              <w:instrText xml:space="preserve"> PAGEREF _Toc67646301 \h </w:instrText>
            </w:r>
            <w:r w:rsidR="000D0217" w:rsidRPr="000D0217">
              <w:rPr>
                <w:webHidden/>
              </w:rPr>
            </w:r>
            <w:r w:rsidR="000D0217" w:rsidRPr="000D0217">
              <w:rPr>
                <w:webHidden/>
              </w:rPr>
              <w:fldChar w:fldCharType="separate"/>
            </w:r>
            <w:r w:rsidR="00997C18">
              <w:rPr>
                <w:webHidden/>
              </w:rPr>
              <w:t>154</w:t>
            </w:r>
            <w:r w:rsidR="000D0217" w:rsidRPr="000D0217">
              <w:rPr>
                <w:webHidden/>
              </w:rPr>
              <w:fldChar w:fldCharType="end"/>
            </w:r>
          </w:hyperlink>
        </w:p>
        <w:p w14:paraId="245261E7" w14:textId="42445ACC"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302" w:history="1">
            <w:r w:rsidR="000D0217" w:rsidRPr="000D0217">
              <w:rPr>
                <w:rStyle w:val="Hipervnculo"/>
                <w:rFonts w:ascii="Arial" w:eastAsia="Times New Roman" w:hAnsi="Arial" w:cs="Arial"/>
                <w:noProof/>
              </w:rPr>
              <w:t>5.2.1.</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Consejo de Participación de la Agencia Valenciana Antifraude</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_Toc67646302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155</w:t>
            </w:r>
            <w:r w:rsidR="000D0217" w:rsidRPr="000D0217">
              <w:rPr>
                <w:rFonts w:ascii="Arial" w:hAnsi="Arial" w:cs="Arial"/>
                <w:noProof/>
                <w:webHidden/>
              </w:rPr>
              <w:fldChar w:fldCharType="end"/>
            </w:r>
          </w:hyperlink>
        </w:p>
        <w:p w14:paraId="0782A464" w14:textId="606C5963"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303" w:history="1">
            <w:r w:rsidR="000D0217" w:rsidRPr="000D0217">
              <w:rPr>
                <w:rStyle w:val="Hipervnculo"/>
                <w:rFonts w:ascii="Arial" w:eastAsia="Times New Roman" w:hAnsi="Arial" w:cs="Arial"/>
                <w:noProof/>
              </w:rPr>
              <w:t>5.2.2.</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Dia Internacional contra la Corrupción, 9 de diciembre</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_Toc67646303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157</w:t>
            </w:r>
            <w:r w:rsidR="000D0217" w:rsidRPr="000D0217">
              <w:rPr>
                <w:rFonts w:ascii="Arial" w:hAnsi="Arial" w:cs="Arial"/>
                <w:noProof/>
                <w:webHidden/>
              </w:rPr>
              <w:fldChar w:fldCharType="end"/>
            </w:r>
          </w:hyperlink>
        </w:p>
        <w:p w14:paraId="39E93468" w14:textId="5358B42D" w:rsidR="000D0217" w:rsidRPr="000D0217" w:rsidRDefault="001400EF">
          <w:pPr>
            <w:pStyle w:val="TDC2"/>
            <w:rPr>
              <w:rFonts w:eastAsiaTheme="minorEastAsia"/>
              <w:kern w:val="0"/>
              <w:sz w:val="22"/>
              <w:lang w:bidi="ar-SA"/>
            </w:rPr>
          </w:pPr>
          <w:hyperlink w:anchor="_Toc67646304" w:history="1">
            <w:r w:rsidR="000D0217" w:rsidRPr="000D0217">
              <w:rPr>
                <w:rStyle w:val="Hipervnculo"/>
              </w:rPr>
              <w:t>5.3.</w:t>
            </w:r>
            <w:r w:rsidR="000D0217" w:rsidRPr="000D0217">
              <w:rPr>
                <w:rFonts w:eastAsiaTheme="minorEastAsia"/>
                <w:kern w:val="0"/>
                <w:sz w:val="22"/>
                <w:lang w:bidi="ar-SA"/>
              </w:rPr>
              <w:tab/>
            </w:r>
            <w:r w:rsidR="000D0217" w:rsidRPr="000D0217">
              <w:rPr>
                <w:rStyle w:val="Hipervnculo"/>
              </w:rPr>
              <w:t>Red de Oficinas y Agencias Anticorrupción del Estado Español</w:t>
            </w:r>
            <w:r w:rsidR="000D0217" w:rsidRPr="000D0217">
              <w:rPr>
                <w:webHidden/>
              </w:rPr>
              <w:tab/>
            </w:r>
            <w:r w:rsidR="000D0217" w:rsidRPr="000D0217">
              <w:rPr>
                <w:webHidden/>
              </w:rPr>
              <w:fldChar w:fldCharType="begin"/>
            </w:r>
            <w:r w:rsidR="000D0217" w:rsidRPr="000D0217">
              <w:rPr>
                <w:webHidden/>
              </w:rPr>
              <w:instrText xml:space="preserve"> PAGEREF _Toc67646304 \h </w:instrText>
            </w:r>
            <w:r w:rsidR="000D0217" w:rsidRPr="000D0217">
              <w:rPr>
                <w:webHidden/>
              </w:rPr>
            </w:r>
            <w:r w:rsidR="000D0217" w:rsidRPr="000D0217">
              <w:rPr>
                <w:webHidden/>
              </w:rPr>
              <w:fldChar w:fldCharType="separate"/>
            </w:r>
            <w:r w:rsidR="00997C18">
              <w:rPr>
                <w:webHidden/>
              </w:rPr>
              <w:t>159</w:t>
            </w:r>
            <w:r w:rsidR="000D0217" w:rsidRPr="000D0217">
              <w:rPr>
                <w:webHidden/>
              </w:rPr>
              <w:fldChar w:fldCharType="end"/>
            </w:r>
          </w:hyperlink>
        </w:p>
        <w:p w14:paraId="428C5216" w14:textId="5CD6033E" w:rsidR="000D0217" w:rsidRPr="000D0217" w:rsidRDefault="001400EF">
          <w:pPr>
            <w:pStyle w:val="TDC2"/>
            <w:rPr>
              <w:rFonts w:eastAsiaTheme="minorEastAsia"/>
              <w:kern w:val="0"/>
              <w:sz w:val="22"/>
              <w:lang w:bidi="ar-SA"/>
            </w:rPr>
          </w:pPr>
          <w:hyperlink w:anchor="_Toc67646305" w:history="1">
            <w:r w:rsidR="000D0217" w:rsidRPr="000D0217">
              <w:rPr>
                <w:rStyle w:val="Hipervnculo"/>
              </w:rPr>
              <w:t>5.4.</w:t>
            </w:r>
            <w:r w:rsidR="000D0217" w:rsidRPr="000D0217">
              <w:rPr>
                <w:rFonts w:eastAsiaTheme="minorEastAsia"/>
                <w:kern w:val="0"/>
                <w:sz w:val="22"/>
                <w:lang w:bidi="ar-SA"/>
              </w:rPr>
              <w:tab/>
            </w:r>
            <w:r w:rsidR="000D0217" w:rsidRPr="000D0217">
              <w:rPr>
                <w:rStyle w:val="Hipervnculo"/>
              </w:rPr>
              <w:t>Actividad nacional e internacional</w:t>
            </w:r>
            <w:r w:rsidR="000D0217" w:rsidRPr="000D0217">
              <w:rPr>
                <w:webHidden/>
              </w:rPr>
              <w:tab/>
            </w:r>
            <w:r w:rsidR="000D0217" w:rsidRPr="000D0217">
              <w:rPr>
                <w:webHidden/>
              </w:rPr>
              <w:fldChar w:fldCharType="begin"/>
            </w:r>
            <w:r w:rsidR="000D0217" w:rsidRPr="000D0217">
              <w:rPr>
                <w:webHidden/>
              </w:rPr>
              <w:instrText xml:space="preserve"> PAGEREF _Toc67646305 \h </w:instrText>
            </w:r>
            <w:r w:rsidR="000D0217" w:rsidRPr="000D0217">
              <w:rPr>
                <w:webHidden/>
              </w:rPr>
            </w:r>
            <w:r w:rsidR="000D0217" w:rsidRPr="000D0217">
              <w:rPr>
                <w:webHidden/>
              </w:rPr>
              <w:fldChar w:fldCharType="separate"/>
            </w:r>
            <w:r w:rsidR="00997C18">
              <w:rPr>
                <w:webHidden/>
              </w:rPr>
              <w:t>162</w:t>
            </w:r>
            <w:r w:rsidR="000D0217" w:rsidRPr="000D0217">
              <w:rPr>
                <w:webHidden/>
              </w:rPr>
              <w:fldChar w:fldCharType="end"/>
            </w:r>
          </w:hyperlink>
        </w:p>
        <w:p w14:paraId="1C35DF20" w14:textId="5E765C4B"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306" w:history="1">
            <w:r w:rsidR="000D0217" w:rsidRPr="000D0217">
              <w:rPr>
                <w:rStyle w:val="Hipervnculo"/>
                <w:rFonts w:ascii="Arial" w:eastAsia="Times New Roman" w:hAnsi="Arial" w:cs="Arial"/>
                <w:noProof/>
              </w:rPr>
              <w:t>5.4.1.</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Firma de convenios y protocolos de colaboración</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_Toc67646306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162</w:t>
            </w:r>
            <w:r w:rsidR="000D0217" w:rsidRPr="000D0217">
              <w:rPr>
                <w:rFonts w:ascii="Arial" w:hAnsi="Arial" w:cs="Arial"/>
                <w:noProof/>
                <w:webHidden/>
              </w:rPr>
              <w:fldChar w:fldCharType="end"/>
            </w:r>
          </w:hyperlink>
        </w:p>
        <w:p w14:paraId="59BD8CE4" w14:textId="458DBE10"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307" w:history="1">
            <w:r w:rsidR="000D0217" w:rsidRPr="000D0217">
              <w:rPr>
                <w:rStyle w:val="Hipervnculo"/>
                <w:rFonts w:ascii="Arial" w:eastAsia="Times New Roman" w:hAnsi="Arial" w:cs="Arial"/>
                <w:noProof/>
              </w:rPr>
              <w:t>5.4.2.</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Organización Internacional EPAC / EACN</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_Toc67646307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163</w:t>
            </w:r>
            <w:r w:rsidR="000D0217" w:rsidRPr="000D0217">
              <w:rPr>
                <w:rFonts w:ascii="Arial" w:hAnsi="Arial" w:cs="Arial"/>
                <w:noProof/>
                <w:webHidden/>
              </w:rPr>
              <w:fldChar w:fldCharType="end"/>
            </w:r>
          </w:hyperlink>
        </w:p>
        <w:p w14:paraId="57D2DE7E" w14:textId="5521FD7C"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308" w:history="1">
            <w:r w:rsidR="000D0217" w:rsidRPr="000D0217">
              <w:rPr>
                <w:rStyle w:val="Hipervnculo"/>
                <w:rFonts w:ascii="Arial" w:eastAsia="Times New Roman" w:hAnsi="Arial" w:cs="Arial"/>
                <w:noProof/>
              </w:rPr>
              <w:t>5.4.3.</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Organización Internacional NEIWA</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_Toc67646308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164</w:t>
            </w:r>
            <w:r w:rsidR="000D0217" w:rsidRPr="000D0217">
              <w:rPr>
                <w:rFonts w:ascii="Arial" w:hAnsi="Arial" w:cs="Arial"/>
                <w:noProof/>
                <w:webHidden/>
              </w:rPr>
              <w:fldChar w:fldCharType="end"/>
            </w:r>
          </w:hyperlink>
        </w:p>
        <w:p w14:paraId="4FAE758B" w14:textId="27438B7C"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309" w:history="1">
            <w:r w:rsidR="000D0217" w:rsidRPr="000D0217">
              <w:rPr>
                <w:rStyle w:val="Hipervnculo"/>
                <w:rFonts w:ascii="Arial" w:eastAsia="Times New Roman" w:hAnsi="Arial" w:cs="Arial"/>
                <w:noProof/>
              </w:rPr>
              <w:t>5.4.4.</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RECORD Project Consortium</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_Toc67646309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165</w:t>
            </w:r>
            <w:r w:rsidR="000D0217" w:rsidRPr="000D0217">
              <w:rPr>
                <w:rFonts w:ascii="Arial" w:hAnsi="Arial" w:cs="Arial"/>
                <w:noProof/>
                <w:webHidden/>
              </w:rPr>
              <w:fldChar w:fldCharType="end"/>
            </w:r>
          </w:hyperlink>
        </w:p>
        <w:p w14:paraId="72E0334E" w14:textId="523705EC" w:rsidR="000D0217" w:rsidRPr="000D0217" w:rsidRDefault="001400EF">
          <w:pPr>
            <w:pStyle w:val="TDC2"/>
            <w:rPr>
              <w:rFonts w:eastAsiaTheme="minorEastAsia"/>
              <w:kern w:val="0"/>
              <w:sz w:val="22"/>
              <w:lang w:bidi="ar-SA"/>
            </w:rPr>
          </w:pPr>
          <w:hyperlink w:anchor="_Toc67646310" w:history="1">
            <w:r w:rsidR="000D0217" w:rsidRPr="000D0217">
              <w:rPr>
                <w:rStyle w:val="Hipervnculo"/>
              </w:rPr>
              <w:t>5.5.</w:t>
            </w:r>
            <w:r w:rsidR="000D0217" w:rsidRPr="000D0217">
              <w:rPr>
                <w:rFonts w:eastAsiaTheme="minorEastAsia"/>
                <w:kern w:val="0"/>
                <w:sz w:val="22"/>
                <w:lang w:bidi="ar-SA"/>
              </w:rPr>
              <w:tab/>
            </w:r>
            <w:r w:rsidR="000D0217" w:rsidRPr="000D0217">
              <w:rPr>
                <w:rStyle w:val="Hipervnculo"/>
              </w:rPr>
              <w:t>Asistencia a actos</w:t>
            </w:r>
            <w:r w:rsidR="000D0217" w:rsidRPr="000D0217">
              <w:rPr>
                <w:webHidden/>
              </w:rPr>
              <w:tab/>
            </w:r>
            <w:r w:rsidR="000D0217" w:rsidRPr="000D0217">
              <w:rPr>
                <w:webHidden/>
              </w:rPr>
              <w:fldChar w:fldCharType="begin"/>
            </w:r>
            <w:r w:rsidR="000D0217" w:rsidRPr="000D0217">
              <w:rPr>
                <w:webHidden/>
              </w:rPr>
              <w:instrText xml:space="preserve"> PAGEREF _Toc67646310 \h </w:instrText>
            </w:r>
            <w:r w:rsidR="000D0217" w:rsidRPr="000D0217">
              <w:rPr>
                <w:webHidden/>
              </w:rPr>
            </w:r>
            <w:r w:rsidR="000D0217" w:rsidRPr="000D0217">
              <w:rPr>
                <w:webHidden/>
              </w:rPr>
              <w:fldChar w:fldCharType="separate"/>
            </w:r>
            <w:r w:rsidR="00997C18">
              <w:rPr>
                <w:webHidden/>
              </w:rPr>
              <w:t>166</w:t>
            </w:r>
            <w:r w:rsidR="000D0217" w:rsidRPr="000D0217">
              <w:rPr>
                <w:webHidden/>
              </w:rPr>
              <w:fldChar w:fldCharType="end"/>
            </w:r>
          </w:hyperlink>
        </w:p>
        <w:p w14:paraId="1E1D2110" w14:textId="4B099065" w:rsidR="000D0217" w:rsidRPr="000D0217" w:rsidRDefault="001400EF">
          <w:pPr>
            <w:pStyle w:val="TDC2"/>
            <w:rPr>
              <w:rFonts w:eastAsiaTheme="minorEastAsia"/>
              <w:kern w:val="0"/>
              <w:sz w:val="22"/>
              <w:lang w:bidi="ar-SA"/>
            </w:rPr>
          </w:pPr>
          <w:hyperlink w:anchor="_Toc67646311" w:history="1">
            <w:r w:rsidR="000D0217" w:rsidRPr="000D0217">
              <w:rPr>
                <w:rStyle w:val="Hipervnculo"/>
              </w:rPr>
              <w:t>5.6.</w:t>
            </w:r>
            <w:r w:rsidR="000D0217" w:rsidRPr="000D0217">
              <w:rPr>
                <w:rFonts w:eastAsiaTheme="minorEastAsia"/>
                <w:kern w:val="0"/>
                <w:sz w:val="22"/>
                <w:lang w:bidi="ar-SA"/>
              </w:rPr>
              <w:tab/>
            </w:r>
            <w:r w:rsidR="000D0217" w:rsidRPr="000D0217">
              <w:rPr>
                <w:rStyle w:val="Hipervnculo"/>
              </w:rPr>
              <w:t>Conferencias impartidas</w:t>
            </w:r>
            <w:r w:rsidR="000D0217" w:rsidRPr="000D0217">
              <w:rPr>
                <w:webHidden/>
              </w:rPr>
              <w:tab/>
            </w:r>
            <w:r w:rsidR="000D0217" w:rsidRPr="000D0217">
              <w:rPr>
                <w:webHidden/>
              </w:rPr>
              <w:fldChar w:fldCharType="begin"/>
            </w:r>
            <w:r w:rsidR="000D0217" w:rsidRPr="000D0217">
              <w:rPr>
                <w:webHidden/>
              </w:rPr>
              <w:instrText xml:space="preserve"> PAGEREF _Toc67646311 \h </w:instrText>
            </w:r>
            <w:r w:rsidR="000D0217" w:rsidRPr="000D0217">
              <w:rPr>
                <w:webHidden/>
              </w:rPr>
            </w:r>
            <w:r w:rsidR="000D0217" w:rsidRPr="000D0217">
              <w:rPr>
                <w:webHidden/>
              </w:rPr>
              <w:fldChar w:fldCharType="separate"/>
            </w:r>
            <w:r w:rsidR="00997C18">
              <w:rPr>
                <w:webHidden/>
              </w:rPr>
              <w:t>166</w:t>
            </w:r>
            <w:r w:rsidR="000D0217" w:rsidRPr="000D0217">
              <w:rPr>
                <w:webHidden/>
              </w:rPr>
              <w:fldChar w:fldCharType="end"/>
            </w:r>
          </w:hyperlink>
        </w:p>
        <w:p w14:paraId="5E8A21AD" w14:textId="716D2414" w:rsidR="000D0217" w:rsidRPr="000D0217" w:rsidRDefault="001400EF">
          <w:pPr>
            <w:pStyle w:val="TDC2"/>
            <w:rPr>
              <w:rFonts w:eastAsiaTheme="minorEastAsia"/>
              <w:kern w:val="0"/>
              <w:sz w:val="22"/>
              <w:lang w:bidi="ar-SA"/>
            </w:rPr>
          </w:pPr>
          <w:hyperlink w:anchor="_Toc67646312" w:history="1">
            <w:r w:rsidR="000D0217" w:rsidRPr="000D0217">
              <w:rPr>
                <w:rStyle w:val="Hipervnculo"/>
              </w:rPr>
              <w:t>5.7.</w:t>
            </w:r>
            <w:r w:rsidR="000D0217" w:rsidRPr="000D0217">
              <w:rPr>
                <w:rFonts w:eastAsiaTheme="minorEastAsia"/>
                <w:kern w:val="0"/>
                <w:sz w:val="22"/>
                <w:lang w:bidi="ar-SA"/>
              </w:rPr>
              <w:tab/>
            </w:r>
            <w:r w:rsidR="000D0217" w:rsidRPr="000D0217">
              <w:rPr>
                <w:rStyle w:val="Hipervnculo"/>
              </w:rPr>
              <w:t>Entrevistas - Reuniones</w:t>
            </w:r>
            <w:r w:rsidR="000D0217" w:rsidRPr="000D0217">
              <w:rPr>
                <w:webHidden/>
              </w:rPr>
              <w:tab/>
            </w:r>
            <w:r w:rsidR="000D0217" w:rsidRPr="000D0217">
              <w:rPr>
                <w:webHidden/>
              </w:rPr>
              <w:fldChar w:fldCharType="begin"/>
            </w:r>
            <w:r w:rsidR="000D0217" w:rsidRPr="000D0217">
              <w:rPr>
                <w:webHidden/>
              </w:rPr>
              <w:instrText xml:space="preserve"> PAGEREF _Toc67646312 \h </w:instrText>
            </w:r>
            <w:r w:rsidR="000D0217" w:rsidRPr="000D0217">
              <w:rPr>
                <w:webHidden/>
              </w:rPr>
            </w:r>
            <w:r w:rsidR="000D0217" w:rsidRPr="000D0217">
              <w:rPr>
                <w:webHidden/>
              </w:rPr>
              <w:fldChar w:fldCharType="separate"/>
            </w:r>
            <w:r w:rsidR="00997C18">
              <w:rPr>
                <w:webHidden/>
              </w:rPr>
              <w:t>169</w:t>
            </w:r>
            <w:r w:rsidR="000D0217" w:rsidRPr="000D0217">
              <w:rPr>
                <w:webHidden/>
              </w:rPr>
              <w:fldChar w:fldCharType="end"/>
            </w:r>
          </w:hyperlink>
        </w:p>
        <w:p w14:paraId="743AD2E5" w14:textId="0579E304" w:rsidR="000D0217" w:rsidRPr="000D0217" w:rsidRDefault="001400EF">
          <w:pPr>
            <w:pStyle w:val="TDC2"/>
            <w:rPr>
              <w:rFonts w:eastAsiaTheme="minorEastAsia"/>
              <w:kern w:val="0"/>
              <w:sz w:val="22"/>
              <w:lang w:bidi="ar-SA"/>
            </w:rPr>
          </w:pPr>
          <w:hyperlink w:anchor="_Toc67646313" w:history="1">
            <w:r w:rsidR="000D0217" w:rsidRPr="000D0217">
              <w:rPr>
                <w:rStyle w:val="Hipervnculo"/>
              </w:rPr>
              <w:t>5.8.</w:t>
            </w:r>
            <w:r w:rsidR="000D0217" w:rsidRPr="000D0217">
              <w:rPr>
                <w:rFonts w:eastAsiaTheme="minorEastAsia"/>
                <w:kern w:val="0"/>
                <w:sz w:val="22"/>
                <w:lang w:bidi="ar-SA"/>
              </w:rPr>
              <w:tab/>
            </w:r>
            <w:r w:rsidR="000D0217" w:rsidRPr="000D0217">
              <w:rPr>
                <w:rStyle w:val="Hipervnculo"/>
              </w:rPr>
              <w:t>Página web de la Agencia y redes sociales</w:t>
            </w:r>
            <w:r w:rsidR="000D0217" w:rsidRPr="000D0217">
              <w:rPr>
                <w:webHidden/>
              </w:rPr>
              <w:tab/>
            </w:r>
            <w:r w:rsidR="000D0217" w:rsidRPr="000D0217">
              <w:rPr>
                <w:webHidden/>
              </w:rPr>
              <w:fldChar w:fldCharType="begin"/>
            </w:r>
            <w:r w:rsidR="000D0217" w:rsidRPr="000D0217">
              <w:rPr>
                <w:webHidden/>
              </w:rPr>
              <w:instrText xml:space="preserve"> PAGEREF _Toc67646313 \h </w:instrText>
            </w:r>
            <w:r w:rsidR="000D0217" w:rsidRPr="000D0217">
              <w:rPr>
                <w:webHidden/>
              </w:rPr>
            </w:r>
            <w:r w:rsidR="000D0217" w:rsidRPr="000D0217">
              <w:rPr>
                <w:webHidden/>
              </w:rPr>
              <w:fldChar w:fldCharType="separate"/>
            </w:r>
            <w:r w:rsidR="00997C18">
              <w:rPr>
                <w:webHidden/>
              </w:rPr>
              <w:t>171</w:t>
            </w:r>
            <w:r w:rsidR="000D0217" w:rsidRPr="000D0217">
              <w:rPr>
                <w:webHidden/>
              </w:rPr>
              <w:fldChar w:fldCharType="end"/>
            </w:r>
          </w:hyperlink>
        </w:p>
        <w:p w14:paraId="0FB98E5C" w14:textId="7BBE4172" w:rsidR="000D0217" w:rsidRPr="000D0217" w:rsidRDefault="001400EF">
          <w:pPr>
            <w:pStyle w:val="TDC2"/>
            <w:rPr>
              <w:rFonts w:eastAsiaTheme="minorEastAsia"/>
              <w:kern w:val="0"/>
              <w:sz w:val="22"/>
              <w:lang w:bidi="ar-SA"/>
            </w:rPr>
          </w:pPr>
          <w:hyperlink w:anchor="_Toc67646314" w:history="1">
            <w:r w:rsidR="000D0217" w:rsidRPr="000D0217">
              <w:rPr>
                <w:rStyle w:val="Hipervnculo"/>
              </w:rPr>
              <w:t>5.9.</w:t>
            </w:r>
            <w:r w:rsidR="000D0217" w:rsidRPr="000D0217">
              <w:rPr>
                <w:rFonts w:eastAsiaTheme="minorEastAsia"/>
                <w:kern w:val="0"/>
                <w:sz w:val="22"/>
                <w:lang w:bidi="ar-SA"/>
              </w:rPr>
              <w:tab/>
            </w:r>
            <w:r w:rsidR="000D0217" w:rsidRPr="000D0217">
              <w:rPr>
                <w:rStyle w:val="Hipervnculo"/>
              </w:rPr>
              <w:t>Medios de comunicación</w:t>
            </w:r>
            <w:r w:rsidR="000D0217" w:rsidRPr="000D0217">
              <w:rPr>
                <w:webHidden/>
              </w:rPr>
              <w:tab/>
            </w:r>
            <w:r w:rsidR="000D0217" w:rsidRPr="000D0217">
              <w:rPr>
                <w:webHidden/>
              </w:rPr>
              <w:fldChar w:fldCharType="begin"/>
            </w:r>
            <w:r w:rsidR="000D0217" w:rsidRPr="000D0217">
              <w:rPr>
                <w:webHidden/>
              </w:rPr>
              <w:instrText xml:space="preserve"> PAGEREF _Toc67646314 \h </w:instrText>
            </w:r>
            <w:r w:rsidR="000D0217" w:rsidRPr="000D0217">
              <w:rPr>
                <w:webHidden/>
              </w:rPr>
            </w:r>
            <w:r w:rsidR="000D0217" w:rsidRPr="000D0217">
              <w:rPr>
                <w:webHidden/>
              </w:rPr>
              <w:fldChar w:fldCharType="separate"/>
            </w:r>
            <w:r w:rsidR="00997C18">
              <w:rPr>
                <w:webHidden/>
              </w:rPr>
              <w:t>174</w:t>
            </w:r>
            <w:r w:rsidR="000D0217" w:rsidRPr="000D0217">
              <w:rPr>
                <w:webHidden/>
              </w:rPr>
              <w:fldChar w:fldCharType="end"/>
            </w:r>
          </w:hyperlink>
        </w:p>
        <w:p w14:paraId="5C9719F1" w14:textId="6F3D3742"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315" w:history="1">
            <w:r w:rsidR="000D0217" w:rsidRPr="000D0217">
              <w:rPr>
                <w:rStyle w:val="Hipervnculo"/>
                <w:rFonts w:ascii="Arial" w:eastAsia="Times New Roman" w:hAnsi="Arial" w:cs="Arial"/>
                <w:noProof/>
              </w:rPr>
              <w:t>5.9.1.</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Grupo de Comunicación</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_Toc67646315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179</w:t>
            </w:r>
            <w:r w:rsidR="000D0217" w:rsidRPr="000D0217">
              <w:rPr>
                <w:rFonts w:ascii="Arial" w:hAnsi="Arial" w:cs="Arial"/>
                <w:noProof/>
                <w:webHidden/>
              </w:rPr>
              <w:fldChar w:fldCharType="end"/>
            </w:r>
          </w:hyperlink>
        </w:p>
        <w:p w14:paraId="2BCB0712" w14:textId="64D6D128"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316" w:history="1">
            <w:r w:rsidR="000D0217" w:rsidRPr="000D0217">
              <w:rPr>
                <w:rStyle w:val="Hipervnculo"/>
                <w:rFonts w:ascii="Arial" w:eastAsia="Times New Roman" w:hAnsi="Arial" w:cs="Arial"/>
                <w:noProof/>
              </w:rPr>
              <w:t>5.9.2.</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Elaboración del Plan de Comunicación</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_Toc67646316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179</w:t>
            </w:r>
            <w:r w:rsidR="000D0217" w:rsidRPr="000D0217">
              <w:rPr>
                <w:rFonts w:ascii="Arial" w:hAnsi="Arial" w:cs="Arial"/>
                <w:noProof/>
                <w:webHidden/>
              </w:rPr>
              <w:fldChar w:fldCharType="end"/>
            </w:r>
          </w:hyperlink>
        </w:p>
        <w:p w14:paraId="26DB132F" w14:textId="3B7EB302" w:rsidR="000D0217" w:rsidRPr="000D0217" w:rsidRDefault="001400EF">
          <w:pPr>
            <w:pStyle w:val="TDC2"/>
            <w:rPr>
              <w:rFonts w:eastAsiaTheme="minorEastAsia"/>
              <w:kern w:val="0"/>
              <w:sz w:val="22"/>
              <w:lang w:bidi="ar-SA"/>
            </w:rPr>
          </w:pPr>
          <w:hyperlink w:anchor="_Toc67646317" w:history="1">
            <w:r w:rsidR="000D0217" w:rsidRPr="000D0217">
              <w:rPr>
                <w:rStyle w:val="Hipervnculo"/>
              </w:rPr>
              <w:t>5.10.</w:t>
            </w:r>
            <w:r w:rsidR="000D0217" w:rsidRPr="000D0217">
              <w:rPr>
                <w:rFonts w:eastAsiaTheme="minorEastAsia"/>
                <w:kern w:val="0"/>
                <w:sz w:val="22"/>
                <w:lang w:bidi="ar-SA"/>
              </w:rPr>
              <w:tab/>
            </w:r>
            <w:r w:rsidR="000D0217" w:rsidRPr="000D0217">
              <w:rPr>
                <w:rStyle w:val="Hipervnculo"/>
              </w:rPr>
              <w:t>Relaciones con las Corts Valencianes</w:t>
            </w:r>
            <w:r w:rsidR="000D0217" w:rsidRPr="000D0217">
              <w:rPr>
                <w:webHidden/>
              </w:rPr>
              <w:tab/>
            </w:r>
            <w:r w:rsidR="000D0217" w:rsidRPr="000D0217">
              <w:rPr>
                <w:webHidden/>
              </w:rPr>
              <w:fldChar w:fldCharType="begin"/>
            </w:r>
            <w:r w:rsidR="000D0217" w:rsidRPr="000D0217">
              <w:rPr>
                <w:webHidden/>
              </w:rPr>
              <w:instrText xml:space="preserve"> PAGEREF _Toc67646317 \h </w:instrText>
            </w:r>
            <w:r w:rsidR="000D0217" w:rsidRPr="000D0217">
              <w:rPr>
                <w:webHidden/>
              </w:rPr>
            </w:r>
            <w:r w:rsidR="000D0217" w:rsidRPr="000D0217">
              <w:rPr>
                <w:webHidden/>
              </w:rPr>
              <w:fldChar w:fldCharType="separate"/>
            </w:r>
            <w:r w:rsidR="00997C18">
              <w:rPr>
                <w:webHidden/>
              </w:rPr>
              <w:t>179</w:t>
            </w:r>
            <w:r w:rsidR="000D0217" w:rsidRPr="000D0217">
              <w:rPr>
                <w:webHidden/>
              </w:rPr>
              <w:fldChar w:fldCharType="end"/>
            </w:r>
          </w:hyperlink>
        </w:p>
        <w:p w14:paraId="3D7BBD27" w14:textId="7E238F39"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318" w:history="1">
            <w:r w:rsidR="000D0217" w:rsidRPr="000D0217">
              <w:rPr>
                <w:rStyle w:val="Hipervnculo"/>
                <w:rFonts w:ascii="Arial" w:eastAsia="Times New Roman" w:hAnsi="Arial" w:cs="Arial"/>
                <w:noProof/>
              </w:rPr>
              <w:t>5.10.1.</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Comparecencias del director ante comisiones parlamentarias</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_Toc67646318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180</w:t>
            </w:r>
            <w:r w:rsidR="000D0217" w:rsidRPr="000D0217">
              <w:rPr>
                <w:rFonts w:ascii="Arial" w:hAnsi="Arial" w:cs="Arial"/>
                <w:noProof/>
                <w:webHidden/>
              </w:rPr>
              <w:fldChar w:fldCharType="end"/>
            </w:r>
          </w:hyperlink>
        </w:p>
        <w:p w14:paraId="4F145B28" w14:textId="18227147" w:rsidR="000D0217" w:rsidRPr="000D0217" w:rsidRDefault="001400EF">
          <w:pPr>
            <w:pStyle w:val="TDC2"/>
            <w:rPr>
              <w:rFonts w:eastAsiaTheme="minorEastAsia"/>
              <w:kern w:val="0"/>
              <w:sz w:val="22"/>
              <w:lang w:bidi="ar-SA"/>
            </w:rPr>
          </w:pPr>
          <w:hyperlink w:anchor="_Toc67646319" w:history="1">
            <w:r w:rsidR="000D0217" w:rsidRPr="000D0217">
              <w:rPr>
                <w:rStyle w:val="Hipervnculo"/>
              </w:rPr>
              <w:t>5.11.</w:t>
            </w:r>
            <w:r w:rsidR="000D0217" w:rsidRPr="000D0217">
              <w:rPr>
                <w:rFonts w:eastAsiaTheme="minorEastAsia"/>
                <w:kern w:val="0"/>
                <w:sz w:val="22"/>
                <w:lang w:bidi="ar-SA"/>
              </w:rPr>
              <w:tab/>
            </w:r>
            <w:r w:rsidR="000D0217" w:rsidRPr="000D0217">
              <w:rPr>
                <w:rStyle w:val="Hipervnculo"/>
              </w:rPr>
              <w:t>Relaciones con otras instituciones</w:t>
            </w:r>
            <w:r w:rsidR="000D0217" w:rsidRPr="000D0217">
              <w:rPr>
                <w:webHidden/>
              </w:rPr>
              <w:tab/>
            </w:r>
            <w:r w:rsidR="000D0217" w:rsidRPr="000D0217">
              <w:rPr>
                <w:webHidden/>
              </w:rPr>
              <w:fldChar w:fldCharType="begin"/>
            </w:r>
            <w:r w:rsidR="000D0217" w:rsidRPr="000D0217">
              <w:rPr>
                <w:webHidden/>
              </w:rPr>
              <w:instrText xml:space="preserve"> PAGEREF _Toc67646319 \h </w:instrText>
            </w:r>
            <w:r w:rsidR="000D0217" w:rsidRPr="000D0217">
              <w:rPr>
                <w:webHidden/>
              </w:rPr>
            </w:r>
            <w:r w:rsidR="000D0217" w:rsidRPr="000D0217">
              <w:rPr>
                <w:webHidden/>
              </w:rPr>
              <w:fldChar w:fldCharType="separate"/>
            </w:r>
            <w:r w:rsidR="00997C18">
              <w:rPr>
                <w:webHidden/>
              </w:rPr>
              <w:t>181</w:t>
            </w:r>
            <w:r w:rsidR="000D0217" w:rsidRPr="000D0217">
              <w:rPr>
                <w:webHidden/>
              </w:rPr>
              <w:fldChar w:fldCharType="end"/>
            </w:r>
          </w:hyperlink>
        </w:p>
        <w:p w14:paraId="5AF9ED23" w14:textId="73786444"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320" w:history="1">
            <w:r w:rsidR="000D0217" w:rsidRPr="000D0217">
              <w:rPr>
                <w:rStyle w:val="Hipervnculo"/>
                <w:rFonts w:ascii="Arial" w:eastAsia="Times New Roman" w:hAnsi="Arial" w:cs="Arial"/>
                <w:noProof/>
              </w:rPr>
              <w:t>5.11.1.</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Parlament de Catalunya</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_Toc67646320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181</w:t>
            </w:r>
            <w:r w:rsidR="000D0217" w:rsidRPr="000D0217">
              <w:rPr>
                <w:rFonts w:ascii="Arial" w:hAnsi="Arial" w:cs="Arial"/>
                <w:noProof/>
                <w:webHidden/>
              </w:rPr>
              <w:fldChar w:fldCharType="end"/>
            </w:r>
          </w:hyperlink>
        </w:p>
        <w:p w14:paraId="410B4F3A" w14:textId="675AAEE3"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321" w:history="1">
            <w:r w:rsidR="000D0217" w:rsidRPr="000D0217">
              <w:rPr>
                <w:rStyle w:val="Hipervnculo"/>
                <w:rFonts w:ascii="Arial" w:eastAsia="Times New Roman" w:hAnsi="Arial" w:cs="Arial"/>
                <w:noProof/>
              </w:rPr>
              <w:t>5.11.2.</w:t>
            </w:r>
            <w:r w:rsidR="000D0217" w:rsidRPr="000D0217">
              <w:rPr>
                <w:rFonts w:ascii="Arial" w:hAnsi="Arial" w:cs="Arial"/>
                <w:iCs w:val="0"/>
                <w:noProof/>
                <w:sz w:val="22"/>
                <w:szCs w:val="22"/>
                <w:lang w:eastAsia="es-ES"/>
              </w:rPr>
              <w:tab/>
            </w:r>
            <w:r w:rsidR="000D0217" w:rsidRPr="000D0217">
              <w:rPr>
                <w:rStyle w:val="Hipervnculo"/>
                <w:rFonts w:ascii="Arial" w:eastAsia="Times New Roman" w:hAnsi="Arial" w:cs="Arial"/>
                <w:noProof/>
              </w:rPr>
              <w:t>Junta de Castilla y León</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_Toc67646321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181</w:t>
            </w:r>
            <w:r w:rsidR="000D0217" w:rsidRPr="000D0217">
              <w:rPr>
                <w:rFonts w:ascii="Arial" w:hAnsi="Arial" w:cs="Arial"/>
                <w:noProof/>
                <w:webHidden/>
              </w:rPr>
              <w:fldChar w:fldCharType="end"/>
            </w:r>
          </w:hyperlink>
        </w:p>
        <w:p w14:paraId="69EB330B" w14:textId="12153F2B" w:rsidR="000D0217" w:rsidRPr="000D0217" w:rsidRDefault="001400EF">
          <w:pPr>
            <w:pStyle w:val="TDC2"/>
            <w:rPr>
              <w:rFonts w:eastAsiaTheme="minorEastAsia"/>
              <w:kern w:val="0"/>
              <w:sz w:val="22"/>
              <w:lang w:bidi="ar-SA"/>
            </w:rPr>
          </w:pPr>
          <w:hyperlink w:anchor="_Toc67646322" w:history="1">
            <w:r w:rsidR="000D0217" w:rsidRPr="000D0217">
              <w:rPr>
                <w:rStyle w:val="Hipervnculo"/>
              </w:rPr>
              <w:t>5.12.</w:t>
            </w:r>
            <w:r w:rsidR="000D0217" w:rsidRPr="000D0217">
              <w:rPr>
                <w:rFonts w:eastAsiaTheme="minorEastAsia"/>
                <w:kern w:val="0"/>
                <w:sz w:val="22"/>
                <w:lang w:bidi="ar-SA"/>
              </w:rPr>
              <w:tab/>
            </w:r>
            <w:r w:rsidR="000D0217" w:rsidRPr="000D0217">
              <w:rPr>
                <w:rStyle w:val="Hipervnculo"/>
              </w:rPr>
              <w:t>Publicaciones en boletines oficiales</w:t>
            </w:r>
            <w:r w:rsidR="000D0217" w:rsidRPr="000D0217">
              <w:rPr>
                <w:webHidden/>
              </w:rPr>
              <w:tab/>
            </w:r>
            <w:r w:rsidR="000D0217" w:rsidRPr="000D0217">
              <w:rPr>
                <w:webHidden/>
              </w:rPr>
              <w:fldChar w:fldCharType="begin"/>
            </w:r>
            <w:r w:rsidR="000D0217" w:rsidRPr="000D0217">
              <w:rPr>
                <w:webHidden/>
              </w:rPr>
              <w:instrText xml:space="preserve"> PAGEREF _Toc67646322 \h </w:instrText>
            </w:r>
            <w:r w:rsidR="000D0217" w:rsidRPr="000D0217">
              <w:rPr>
                <w:webHidden/>
              </w:rPr>
            </w:r>
            <w:r w:rsidR="000D0217" w:rsidRPr="000D0217">
              <w:rPr>
                <w:webHidden/>
              </w:rPr>
              <w:fldChar w:fldCharType="separate"/>
            </w:r>
            <w:r w:rsidR="00997C18">
              <w:rPr>
                <w:webHidden/>
              </w:rPr>
              <w:t>181</w:t>
            </w:r>
            <w:r w:rsidR="000D0217" w:rsidRPr="000D0217">
              <w:rPr>
                <w:webHidden/>
              </w:rPr>
              <w:fldChar w:fldCharType="end"/>
            </w:r>
          </w:hyperlink>
        </w:p>
        <w:p w14:paraId="7F121811" w14:textId="280917B1" w:rsidR="000D0217" w:rsidRPr="000D0217" w:rsidRDefault="001400EF" w:rsidP="000D0217">
          <w:pPr>
            <w:pStyle w:val="TDC1"/>
            <w:rPr>
              <w:rFonts w:eastAsiaTheme="minorEastAsia"/>
              <w:kern w:val="0"/>
              <w:sz w:val="22"/>
              <w:szCs w:val="22"/>
              <w:lang w:bidi="ar-SA"/>
            </w:rPr>
          </w:pPr>
          <w:hyperlink w:anchor="_Toc67646323" w:history="1">
            <w:r w:rsidR="000D0217" w:rsidRPr="000D0217">
              <w:rPr>
                <w:rStyle w:val="Hipervnculo"/>
              </w:rPr>
              <w:t>6.</w:t>
            </w:r>
            <w:r w:rsidR="000D0217" w:rsidRPr="000D0217">
              <w:rPr>
                <w:rFonts w:eastAsiaTheme="minorEastAsia"/>
                <w:kern w:val="0"/>
                <w:sz w:val="22"/>
                <w:szCs w:val="22"/>
                <w:lang w:bidi="ar-SA"/>
              </w:rPr>
              <w:tab/>
            </w:r>
            <w:r w:rsidR="000D0217" w:rsidRPr="000D0217">
              <w:rPr>
                <w:rStyle w:val="Hipervnculo"/>
                <w:rFonts w:eastAsia="Calibri"/>
              </w:rPr>
              <w:t>Administración, organización y recursos</w:t>
            </w:r>
            <w:r w:rsidR="000D0217" w:rsidRPr="000D0217">
              <w:rPr>
                <w:webHidden/>
              </w:rPr>
              <w:tab/>
            </w:r>
            <w:r w:rsidR="000D0217" w:rsidRPr="000D0217">
              <w:rPr>
                <w:webHidden/>
              </w:rPr>
              <w:fldChar w:fldCharType="begin"/>
            </w:r>
            <w:r w:rsidR="000D0217" w:rsidRPr="000D0217">
              <w:rPr>
                <w:webHidden/>
              </w:rPr>
              <w:instrText xml:space="preserve"> PAGEREF _Toc67646323 \h </w:instrText>
            </w:r>
            <w:r w:rsidR="000D0217" w:rsidRPr="000D0217">
              <w:rPr>
                <w:webHidden/>
              </w:rPr>
            </w:r>
            <w:r w:rsidR="000D0217" w:rsidRPr="000D0217">
              <w:rPr>
                <w:webHidden/>
              </w:rPr>
              <w:fldChar w:fldCharType="separate"/>
            </w:r>
            <w:r w:rsidR="00997C18">
              <w:rPr>
                <w:webHidden/>
              </w:rPr>
              <w:t>187</w:t>
            </w:r>
            <w:r w:rsidR="000D0217" w:rsidRPr="000D0217">
              <w:rPr>
                <w:webHidden/>
              </w:rPr>
              <w:fldChar w:fldCharType="end"/>
            </w:r>
          </w:hyperlink>
        </w:p>
        <w:p w14:paraId="743233AB" w14:textId="27979619" w:rsidR="000D0217" w:rsidRPr="000D0217" w:rsidRDefault="001400EF">
          <w:pPr>
            <w:pStyle w:val="TDC2"/>
            <w:rPr>
              <w:rFonts w:eastAsiaTheme="minorEastAsia"/>
              <w:kern w:val="0"/>
              <w:sz w:val="22"/>
              <w:lang w:bidi="ar-SA"/>
            </w:rPr>
          </w:pPr>
          <w:hyperlink w:anchor="_Toc67646324" w:history="1">
            <w:r w:rsidR="000D0217" w:rsidRPr="000D0217">
              <w:rPr>
                <w:rStyle w:val="Hipervnculo"/>
                <w:rFonts w:eastAsiaTheme="majorEastAsia"/>
              </w:rPr>
              <w:t>6.1.</w:t>
            </w:r>
            <w:r w:rsidR="000D0217" w:rsidRPr="000D0217">
              <w:rPr>
                <w:rFonts w:eastAsiaTheme="minorEastAsia"/>
                <w:kern w:val="0"/>
                <w:sz w:val="22"/>
                <w:lang w:bidi="ar-SA"/>
              </w:rPr>
              <w:tab/>
            </w:r>
            <w:r w:rsidR="000D0217" w:rsidRPr="000D0217">
              <w:rPr>
                <w:rStyle w:val="Hipervnculo"/>
                <w:rFonts w:eastAsiaTheme="majorEastAsia"/>
              </w:rPr>
              <w:t>Estructura organizativa</w:t>
            </w:r>
            <w:r w:rsidR="000D0217" w:rsidRPr="000D0217">
              <w:rPr>
                <w:webHidden/>
              </w:rPr>
              <w:tab/>
            </w:r>
            <w:r w:rsidR="000D0217" w:rsidRPr="000D0217">
              <w:rPr>
                <w:webHidden/>
              </w:rPr>
              <w:fldChar w:fldCharType="begin"/>
            </w:r>
            <w:r w:rsidR="000D0217" w:rsidRPr="000D0217">
              <w:rPr>
                <w:webHidden/>
              </w:rPr>
              <w:instrText xml:space="preserve"> PAGEREF _Toc67646324 \h </w:instrText>
            </w:r>
            <w:r w:rsidR="000D0217" w:rsidRPr="000D0217">
              <w:rPr>
                <w:webHidden/>
              </w:rPr>
            </w:r>
            <w:r w:rsidR="000D0217" w:rsidRPr="000D0217">
              <w:rPr>
                <w:webHidden/>
              </w:rPr>
              <w:fldChar w:fldCharType="separate"/>
            </w:r>
            <w:r w:rsidR="00997C18">
              <w:rPr>
                <w:webHidden/>
              </w:rPr>
              <w:t>187</w:t>
            </w:r>
            <w:r w:rsidR="000D0217" w:rsidRPr="000D0217">
              <w:rPr>
                <w:webHidden/>
              </w:rPr>
              <w:fldChar w:fldCharType="end"/>
            </w:r>
          </w:hyperlink>
        </w:p>
        <w:p w14:paraId="44F50BC0" w14:textId="0BE55079"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325" w:history="1">
            <w:r w:rsidR="000D0217" w:rsidRPr="000D0217">
              <w:rPr>
                <w:rStyle w:val="Hipervnculo"/>
                <w:rFonts w:ascii="Arial" w:hAnsi="Arial" w:cs="Arial"/>
                <w:noProof/>
              </w:rPr>
              <w:t>6.1.1.</w:t>
            </w:r>
            <w:r w:rsidR="000D0217" w:rsidRPr="000D0217">
              <w:rPr>
                <w:rFonts w:ascii="Arial" w:hAnsi="Arial" w:cs="Arial"/>
                <w:iCs w:val="0"/>
                <w:noProof/>
                <w:sz w:val="22"/>
                <w:szCs w:val="22"/>
                <w:lang w:eastAsia="es-ES"/>
              </w:rPr>
              <w:tab/>
            </w:r>
            <w:r w:rsidR="000D0217" w:rsidRPr="000D0217">
              <w:rPr>
                <w:rStyle w:val="Hipervnculo"/>
                <w:rFonts w:ascii="Arial" w:hAnsi="Arial" w:cs="Arial"/>
                <w:noProof/>
              </w:rPr>
              <w:t>Organigrama</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_Toc67646325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188</w:t>
            </w:r>
            <w:r w:rsidR="000D0217" w:rsidRPr="000D0217">
              <w:rPr>
                <w:rFonts w:ascii="Arial" w:hAnsi="Arial" w:cs="Arial"/>
                <w:noProof/>
                <w:webHidden/>
              </w:rPr>
              <w:fldChar w:fldCharType="end"/>
            </w:r>
          </w:hyperlink>
        </w:p>
        <w:p w14:paraId="07D09C7F" w14:textId="6C61000C"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326" w:history="1">
            <w:r w:rsidR="000D0217" w:rsidRPr="000D0217">
              <w:rPr>
                <w:rStyle w:val="Hipervnculo"/>
                <w:rFonts w:ascii="Arial" w:hAnsi="Arial" w:cs="Arial"/>
                <w:noProof/>
              </w:rPr>
              <w:t>6.1.2.</w:t>
            </w:r>
            <w:r w:rsidR="000D0217" w:rsidRPr="000D0217">
              <w:rPr>
                <w:rFonts w:ascii="Arial" w:hAnsi="Arial" w:cs="Arial"/>
                <w:iCs w:val="0"/>
                <w:noProof/>
                <w:sz w:val="22"/>
                <w:szCs w:val="22"/>
                <w:lang w:eastAsia="es-ES"/>
              </w:rPr>
              <w:tab/>
            </w:r>
            <w:r w:rsidR="000D0217" w:rsidRPr="000D0217">
              <w:rPr>
                <w:rStyle w:val="Hipervnculo"/>
                <w:rFonts w:ascii="Arial" w:hAnsi="Arial" w:cs="Arial"/>
                <w:noProof/>
              </w:rPr>
              <w:t>Relación de puestos de trabajo</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_Toc67646326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188</w:t>
            </w:r>
            <w:r w:rsidR="000D0217" w:rsidRPr="000D0217">
              <w:rPr>
                <w:rFonts w:ascii="Arial" w:hAnsi="Arial" w:cs="Arial"/>
                <w:noProof/>
                <w:webHidden/>
              </w:rPr>
              <w:fldChar w:fldCharType="end"/>
            </w:r>
          </w:hyperlink>
        </w:p>
        <w:p w14:paraId="69105C25" w14:textId="2F74283A"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327" w:history="1">
            <w:r w:rsidR="000D0217" w:rsidRPr="000D0217">
              <w:rPr>
                <w:rStyle w:val="Hipervnculo"/>
                <w:rFonts w:ascii="Arial" w:hAnsi="Arial" w:cs="Arial"/>
                <w:noProof/>
              </w:rPr>
              <w:t>6.1.3.</w:t>
            </w:r>
            <w:r w:rsidR="000D0217" w:rsidRPr="000D0217">
              <w:rPr>
                <w:rFonts w:ascii="Arial" w:hAnsi="Arial" w:cs="Arial"/>
                <w:iCs w:val="0"/>
                <w:noProof/>
                <w:sz w:val="22"/>
                <w:szCs w:val="22"/>
                <w:lang w:eastAsia="es-ES"/>
              </w:rPr>
              <w:tab/>
            </w:r>
            <w:r w:rsidR="000D0217" w:rsidRPr="000D0217">
              <w:rPr>
                <w:rStyle w:val="Hipervnculo"/>
                <w:rFonts w:ascii="Arial" w:hAnsi="Arial" w:cs="Arial"/>
                <w:noProof/>
              </w:rPr>
              <w:t>Los procedimientos de provisión de personal</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_Toc67646327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191</w:t>
            </w:r>
            <w:r w:rsidR="000D0217" w:rsidRPr="000D0217">
              <w:rPr>
                <w:rFonts w:ascii="Arial" w:hAnsi="Arial" w:cs="Arial"/>
                <w:noProof/>
                <w:webHidden/>
              </w:rPr>
              <w:fldChar w:fldCharType="end"/>
            </w:r>
          </w:hyperlink>
        </w:p>
        <w:p w14:paraId="33ABF77F" w14:textId="6AE47685" w:rsidR="000D0217" w:rsidRPr="000D0217" w:rsidRDefault="001400EF">
          <w:pPr>
            <w:pStyle w:val="TDC2"/>
            <w:rPr>
              <w:rFonts w:eastAsiaTheme="minorEastAsia"/>
              <w:kern w:val="0"/>
              <w:sz w:val="22"/>
              <w:lang w:bidi="ar-SA"/>
            </w:rPr>
          </w:pPr>
          <w:hyperlink w:anchor="_Toc67646328" w:history="1">
            <w:r w:rsidR="000D0217" w:rsidRPr="000D0217">
              <w:rPr>
                <w:rStyle w:val="Hipervnculo"/>
                <w:rFonts w:eastAsiaTheme="majorEastAsia"/>
              </w:rPr>
              <w:t>6.2.</w:t>
            </w:r>
            <w:r w:rsidR="000D0217" w:rsidRPr="000D0217">
              <w:rPr>
                <w:rFonts w:eastAsiaTheme="minorEastAsia"/>
                <w:kern w:val="0"/>
                <w:sz w:val="22"/>
                <w:lang w:bidi="ar-SA"/>
              </w:rPr>
              <w:tab/>
            </w:r>
            <w:r w:rsidR="000D0217" w:rsidRPr="000D0217">
              <w:rPr>
                <w:rStyle w:val="Hipervnculo"/>
                <w:rFonts w:eastAsiaTheme="majorEastAsia"/>
              </w:rPr>
              <w:t>Gestión económica y contratación de la Agencia</w:t>
            </w:r>
            <w:r w:rsidR="000D0217" w:rsidRPr="000D0217">
              <w:rPr>
                <w:webHidden/>
              </w:rPr>
              <w:tab/>
            </w:r>
            <w:r w:rsidR="000D0217" w:rsidRPr="000D0217">
              <w:rPr>
                <w:webHidden/>
              </w:rPr>
              <w:fldChar w:fldCharType="begin"/>
            </w:r>
            <w:r w:rsidR="000D0217" w:rsidRPr="000D0217">
              <w:rPr>
                <w:webHidden/>
              </w:rPr>
              <w:instrText xml:space="preserve"> PAGEREF _Toc67646328 \h </w:instrText>
            </w:r>
            <w:r w:rsidR="000D0217" w:rsidRPr="000D0217">
              <w:rPr>
                <w:webHidden/>
              </w:rPr>
            </w:r>
            <w:r w:rsidR="000D0217" w:rsidRPr="000D0217">
              <w:rPr>
                <w:webHidden/>
              </w:rPr>
              <w:fldChar w:fldCharType="separate"/>
            </w:r>
            <w:r w:rsidR="00997C18">
              <w:rPr>
                <w:webHidden/>
              </w:rPr>
              <w:t>199</w:t>
            </w:r>
            <w:r w:rsidR="000D0217" w:rsidRPr="000D0217">
              <w:rPr>
                <w:webHidden/>
              </w:rPr>
              <w:fldChar w:fldCharType="end"/>
            </w:r>
          </w:hyperlink>
        </w:p>
        <w:p w14:paraId="674286DF" w14:textId="0AF8119C"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329" w:history="1">
            <w:r w:rsidR="000D0217" w:rsidRPr="000D0217">
              <w:rPr>
                <w:rStyle w:val="Hipervnculo"/>
                <w:rFonts w:ascii="Arial" w:hAnsi="Arial" w:cs="Arial"/>
                <w:noProof/>
              </w:rPr>
              <w:t>6.2.1.</w:t>
            </w:r>
            <w:r w:rsidR="000D0217" w:rsidRPr="000D0217">
              <w:rPr>
                <w:rFonts w:ascii="Arial" w:hAnsi="Arial" w:cs="Arial"/>
                <w:iCs w:val="0"/>
                <w:noProof/>
                <w:sz w:val="22"/>
                <w:szCs w:val="22"/>
                <w:lang w:eastAsia="es-ES"/>
              </w:rPr>
              <w:tab/>
            </w:r>
            <w:r w:rsidR="000D0217" w:rsidRPr="000D0217">
              <w:rPr>
                <w:rStyle w:val="Hipervnculo"/>
                <w:rFonts w:ascii="Arial" w:hAnsi="Arial" w:cs="Arial"/>
                <w:noProof/>
              </w:rPr>
              <w:t>Ejecución presupuestaria 2020</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_Toc67646329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200</w:t>
            </w:r>
            <w:r w:rsidR="000D0217" w:rsidRPr="000D0217">
              <w:rPr>
                <w:rFonts w:ascii="Arial" w:hAnsi="Arial" w:cs="Arial"/>
                <w:noProof/>
                <w:webHidden/>
              </w:rPr>
              <w:fldChar w:fldCharType="end"/>
            </w:r>
          </w:hyperlink>
        </w:p>
        <w:p w14:paraId="7E3CFAA4" w14:textId="139BDDA6" w:rsidR="000D0217" w:rsidRPr="000D0217" w:rsidRDefault="001400EF">
          <w:pPr>
            <w:pStyle w:val="TDC3"/>
            <w:tabs>
              <w:tab w:val="left" w:pos="1320"/>
              <w:tab w:val="right" w:leader="dot" w:pos="8212"/>
            </w:tabs>
            <w:rPr>
              <w:rFonts w:ascii="Arial" w:hAnsi="Arial" w:cs="Arial"/>
              <w:iCs w:val="0"/>
              <w:noProof/>
              <w:sz w:val="22"/>
              <w:szCs w:val="22"/>
              <w:lang w:eastAsia="es-ES"/>
            </w:rPr>
          </w:pPr>
          <w:hyperlink w:anchor="_Toc67646330" w:history="1">
            <w:r w:rsidR="000D0217" w:rsidRPr="000D0217">
              <w:rPr>
                <w:rStyle w:val="Hipervnculo"/>
                <w:rFonts w:ascii="Arial" w:hAnsi="Arial" w:cs="Arial"/>
                <w:noProof/>
              </w:rPr>
              <w:t>6.2.2.</w:t>
            </w:r>
            <w:r w:rsidR="000D0217" w:rsidRPr="000D0217">
              <w:rPr>
                <w:rFonts w:ascii="Arial" w:hAnsi="Arial" w:cs="Arial"/>
                <w:iCs w:val="0"/>
                <w:noProof/>
                <w:sz w:val="22"/>
                <w:szCs w:val="22"/>
                <w:lang w:eastAsia="es-ES"/>
              </w:rPr>
              <w:tab/>
            </w:r>
            <w:r w:rsidR="000D0217" w:rsidRPr="000D0217">
              <w:rPr>
                <w:rStyle w:val="Hipervnculo"/>
                <w:rFonts w:ascii="Arial" w:hAnsi="Arial" w:cs="Arial"/>
                <w:noProof/>
              </w:rPr>
              <w:t>Contratación</w:t>
            </w:r>
            <w:r w:rsidR="000D0217" w:rsidRPr="000D0217">
              <w:rPr>
                <w:rFonts w:ascii="Arial" w:hAnsi="Arial" w:cs="Arial"/>
                <w:noProof/>
                <w:webHidden/>
              </w:rPr>
              <w:tab/>
            </w:r>
            <w:r w:rsidR="000D0217" w:rsidRPr="000D0217">
              <w:rPr>
                <w:rFonts w:ascii="Arial" w:hAnsi="Arial" w:cs="Arial"/>
                <w:noProof/>
                <w:webHidden/>
              </w:rPr>
              <w:fldChar w:fldCharType="begin"/>
            </w:r>
            <w:r w:rsidR="000D0217" w:rsidRPr="000D0217">
              <w:rPr>
                <w:rFonts w:ascii="Arial" w:hAnsi="Arial" w:cs="Arial"/>
                <w:noProof/>
                <w:webHidden/>
              </w:rPr>
              <w:instrText xml:space="preserve"> PAGEREF _Toc67646330 \h </w:instrText>
            </w:r>
            <w:r w:rsidR="000D0217" w:rsidRPr="000D0217">
              <w:rPr>
                <w:rFonts w:ascii="Arial" w:hAnsi="Arial" w:cs="Arial"/>
                <w:noProof/>
                <w:webHidden/>
              </w:rPr>
            </w:r>
            <w:r w:rsidR="000D0217" w:rsidRPr="000D0217">
              <w:rPr>
                <w:rFonts w:ascii="Arial" w:hAnsi="Arial" w:cs="Arial"/>
                <w:noProof/>
                <w:webHidden/>
              </w:rPr>
              <w:fldChar w:fldCharType="separate"/>
            </w:r>
            <w:r w:rsidR="00997C18">
              <w:rPr>
                <w:rFonts w:ascii="Arial" w:hAnsi="Arial" w:cs="Arial"/>
                <w:noProof/>
                <w:webHidden/>
              </w:rPr>
              <w:t>205</w:t>
            </w:r>
            <w:r w:rsidR="000D0217" w:rsidRPr="000D0217">
              <w:rPr>
                <w:rFonts w:ascii="Arial" w:hAnsi="Arial" w:cs="Arial"/>
                <w:noProof/>
                <w:webHidden/>
              </w:rPr>
              <w:fldChar w:fldCharType="end"/>
            </w:r>
          </w:hyperlink>
        </w:p>
        <w:p w14:paraId="0468596C" w14:textId="1B0AC48E" w:rsidR="000D0217" w:rsidRPr="000D0217" w:rsidRDefault="001400EF">
          <w:pPr>
            <w:pStyle w:val="TDC2"/>
            <w:rPr>
              <w:rFonts w:eastAsiaTheme="minorEastAsia"/>
              <w:kern w:val="0"/>
              <w:sz w:val="22"/>
              <w:lang w:bidi="ar-SA"/>
            </w:rPr>
          </w:pPr>
          <w:hyperlink w:anchor="_Toc67646331" w:history="1">
            <w:r w:rsidR="000D0217" w:rsidRPr="000D0217">
              <w:rPr>
                <w:rStyle w:val="Hipervnculo"/>
                <w:rFonts w:eastAsiaTheme="majorEastAsia"/>
              </w:rPr>
              <w:t>6.3.</w:t>
            </w:r>
            <w:r w:rsidR="000D0217" w:rsidRPr="000D0217">
              <w:rPr>
                <w:rFonts w:eastAsiaTheme="minorEastAsia"/>
                <w:kern w:val="0"/>
                <w:sz w:val="22"/>
                <w:lang w:bidi="ar-SA"/>
              </w:rPr>
              <w:tab/>
            </w:r>
            <w:r w:rsidR="000D0217" w:rsidRPr="000D0217">
              <w:rPr>
                <w:rStyle w:val="Hipervnculo"/>
                <w:rFonts w:eastAsiaTheme="majorEastAsia"/>
              </w:rPr>
              <w:t>Fiscalización externa de la Agencia. Ejercicio 2020</w:t>
            </w:r>
            <w:r w:rsidR="000D0217" w:rsidRPr="000D0217">
              <w:rPr>
                <w:webHidden/>
              </w:rPr>
              <w:tab/>
            </w:r>
            <w:r w:rsidR="000D0217" w:rsidRPr="000D0217">
              <w:rPr>
                <w:webHidden/>
              </w:rPr>
              <w:fldChar w:fldCharType="begin"/>
            </w:r>
            <w:r w:rsidR="000D0217" w:rsidRPr="000D0217">
              <w:rPr>
                <w:webHidden/>
              </w:rPr>
              <w:instrText xml:space="preserve"> PAGEREF _Toc67646331 \h </w:instrText>
            </w:r>
            <w:r w:rsidR="000D0217" w:rsidRPr="000D0217">
              <w:rPr>
                <w:webHidden/>
              </w:rPr>
            </w:r>
            <w:r w:rsidR="000D0217" w:rsidRPr="000D0217">
              <w:rPr>
                <w:webHidden/>
              </w:rPr>
              <w:fldChar w:fldCharType="separate"/>
            </w:r>
            <w:r w:rsidR="00997C18">
              <w:rPr>
                <w:webHidden/>
              </w:rPr>
              <w:t>210</w:t>
            </w:r>
            <w:r w:rsidR="000D0217" w:rsidRPr="000D0217">
              <w:rPr>
                <w:webHidden/>
              </w:rPr>
              <w:fldChar w:fldCharType="end"/>
            </w:r>
          </w:hyperlink>
        </w:p>
        <w:p w14:paraId="323B30D1" w14:textId="3F197C9A" w:rsidR="000D0217" w:rsidRPr="000D0217" w:rsidRDefault="001400EF" w:rsidP="000D0217">
          <w:pPr>
            <w:pStyle w:val="TDC1"/>
            <w:rPr>
              <w:rFonts w:eastAsiaTheme="minorEastAsia"/>
              <w:kern w:val="0"/>
              <w:sz w:val="22"/>
              <w:szCs w:val="22"/>
              <w:lang w:bidi="ar-SA"/>
            </w:rPr>
          </w:pPr>
          <w:hyperlink w:anchor="_Toc67646332" w:history="1">
            <w:r w:rsidR="000D0217" w:rsidRPr="000D0217">
              <w:rPr>
                <w:rStyle w:val="Hipervnculo"/>
              </w:rPr>
              <w:t>7.</w:t>
            </w:r>
            <w:r w:rsidR="000D0217" w:rsidRPr="000D0217">
              <w:rPr>
                <w:rFonts w:eastAsiaTheme="minorEastAsia"/>
                <w:kern w:val="0"/>
                <w:sz w:val="22"/>
                <w:szCs w:val="22"/>
                <w:lang w:bidi="ar-SA"/>
              </w:rPr>
              <w:tab/>
            </w:r>
            <w:r w:rsidR="000D0217" w:rsidRPr="000D0217">
              <w:rPr>
                <w:rStyle w:val="Hipervnculo"/>
              </w:rPr>
              <w:t>Conclusiones y recomendaciones</w:t>
            </w:r>
            <w:r w:rsidR="000D0217" w:rsidRPr="000D0217">
              <w:rPr>
                <w:webHidden/>
              </w:rPr>
              <w:tab/>
            </w:r>
            <w:r w:rsidR="000D0217" w:rsidRPr="000D0217">
              <w:rPr>
                <w:webHidden/>
              </w:rPr>
              <w:fldChar w:fldCharType="begin"/>
            </w:r>
            <w:r w:rsidR="000D0217" w:rsidRPr="000D0217">
              <w:rPr>
                <w:webHidden/>
              </w:rPr>
              <w:instrText xml:space="preserve"> PAGEREF _Toc67646332 \h </w:instrText>
            </w:r>
            <w:r w:rsidR="000D0217" w:rsidRPr="000D0217">
              <w:rPr>
                <w:webHidden/>
              </w:rPr>
            </w:r>
            <w:r w:rsidR="000D0217" w:rsidRPr="000D0217">
              <w:rPr>
                <w:webHidden/>
              </w:rPr>
              <w:fldChar w:fldCharType="separate"/>
            </w:r>
            <w:r w:rsidR="00997C18">
              <w:rPr>
                <w:webHidden/>
              </w:rPr>
              <w:t>211</w:t>
            </w:r>
            <w:r w:rsidR="000D0217" w:rsidRPr="000D0217">
              <w:rPr>
                <w:webHidden/>
              </w:rPr>
              <w:fldChar w:fldCharType="end"/>
            </w:r>
          </w:hyperlink>
        </w:p>
        <w:p w14:paraId="23CC9EB0" w14:textId="71B9AA4F" w:rsidR="000D0217" w:rsidRPr="000D0217" w:rsidRDefault="001400EF">
          <w:pPr>
            <w:pStyle w:val="TDC2"/>
            <w:rPr>
              <w:rFonts w:eastAsiaTheme="minorEastAsia"/>
              <w:kern w:val="0"/>
              <w:sz w:val="22"/>
              <w:lang w:bidi="ar-SA"/>
            </w:rPr>
          </w:pPr>
          <w:hyperlink w:anchor="_Toc67646333" w:history="1">
            <w:r w:rsidR="000D0217" w:rsidRPr="000D0217">
              <w:rPr>
                <w:rStyle w:val="Hipervnculo"/>
                <w:rFonts w:eastAsiaTheme="majorEastAsia"/>
              </w:rPr>
              <w:t>7.1.</w:t>
            </w:r>
            <w:r w:rsidR="000D0217" w:rsidRPr="000D0217">
              <w:rPr>
                <w:rFonts w:eastAsiaTheme="minorEastAsia"/>
                <w:kern w:val="0"/>
                <w:sz w:val="22"/>
                <w:lang w:bidi="ar-SA"/>
              </w:rPr>
              <w:tab/>
            </w:r>
            <w:r w:rsidR="000D0217" w:rsidRPr="000D0217">
              <w:rPr>
                <w:rStyle w:val="Hipervnculo"/>
                <w:rFonts w:eastAsiaTheme="majorEastAsia"/>
              </w:rPr>
              <w:t>Sobre la necesidad de mecanismos de prevención e integridad en la gestión pública de la COVID-19</w:t>
            </w:r>
            <w:r w:rsidR="000D0217" w:rsidRPr="000D0217">
              <w:rPr>
                <w:webHidden/>
              </w:rPr>
              <w:tab/>
            </w:r>
            <w:r w:rsidR="000D0217" w:rsidRPr="000D0217">
              <w:rPr>
                <w:webHidden/>
              </w:rPr>
              <w:fldChar w:fldCharType="begin"/>
            </w:r>
            <w:r w:rsidR="000D0217" w:rsidRPr="000D0217">
              <w:rPr>
                <w:webHidden/>
              </w:rPr>
              <w:instrText xml:space="preserve"> PAGEREF _Toc67646333 \h </w:instrText>
            </w:r>
            <w:r w:rsidR="000D0217" w:rsidRPr="000D0217">
              <w:rPr>
                <w:webHidden/>
              </w:rPr>
            </w:r>
            <w:r w:rsidR="000D0217" w:rsidRPr="000D0217">
              <w:rPr>
                <w:webHidden/>
              </w:rPr>
              <w:fldChar w:fldCharType="separate"/>
            </w:r>
            <w:r w:rsidR="00997C18">
              <w:rPr>
                <w:webHidden/>
              </w:rPr>
              <w:t>211</w:t>
            </w:r>
            <w:r w:rsidR="000D0217" w:rsidRPr="000D0217">
              <w:rPr>
                <w:webHidden/>
              </w:rPr>
              <w:fldChar w:fldCharType="end"/>
            </w:r>
          </w:hyperlink>
        </w:p>
        <w:p w14:paraId="7BF09AD4" w14:textId="6EF2D064" w:rsidR="000D0217" w:rsidRPr="000D0217" w:rsidRDefault="001400EF">
          <w:pPr>
            <w:pStyle w:val="TDC2"/>
            <w:rPr>
              <w:rFonts w:eastAsiaTheme="minorEastAsia"/>
              <w:kern w:val="0"/>
              <w:sz w:val="22"/>
              <w:lang w:bidi="ar-SA"/>
            </w:rPr>
          </w:pPr>
          <w:hyperlink w:anchor="_Toc67646334" w:history="1">
            <w:r w:rsidR="000D0217" w:rsidRPr="000D0217">
              <w:rPr>
                <w:rStyle w:val="Hipervnculo"/>
                <w:rFonts w:eastAsiaTheme="majorEastAsia"/>
              </w:rPr>
              <w:t>7.2.</w:t>
            </w:r>
            <w:r w:rsidR="000D0217" w:rsidRPr="000D0217">
              <w:rPr>
                <w:rFonts w:eastAsiaTheme="minorEastAsia"/>
                <w:kern w:val="0"/>
                <w:sz w:val="22"/>
                <w:lang w:bidi="ar-SA"/>
              </w:rPr>
              <w:tab/>
            </w:r>
            <w:r w:rsidR="000D0217" w:rsidRPr="000D0217">
              <w:rPr>
                <w:rStyle w:val="Hipervnculo"/>
                <w:rFonts w:eastAsiaTheme="majorEastAsia"/>
              </w:rPr>
              <w:t>Sobre la necesidad de frenar el abuso del enriquecimiento injusto para “pagar” encargos alegales.</w:t>
            </w:r>
            <w:r w:rsidR="000D0217" w:rsidRPr="000D0217">
              <w:rPr>
                <w:webHidden/>
              </w:rPr>
              <w:tab/>
            </w:r>
            <w:r w:rsidR="000D0217" w:rsidRPr="000D0217">
              <w:rPr>
                <w:webHidden/>
              </w:rPr>
              <w:fldChar w:fldCharType="begin"/>
            </w:r>
            <w:r w:rsidR="000D0217" w:rsidRPr="000D0217">
              <w:rPr>
                <w:webHidden/>
              </w:rPr>
              <w:instrText xml:space="preserve"> PAGEREF _Toc67646334 \h </w:instrText>
            </w:r>
            <w:r w:rsidR="000D0217" w:rsidRPr="000D0217">
              <w:rPr>
                <w:webHidden/>
              </w:rPr>
            </w:r>
            <w:r w:rsidR="000D0217" w:rsidRPr="000D0217">
              <w:rPr>
                <w:webHidden/>
              </w:rPr>
              <w:fldChar w:fldCharType="separate"/>
            </w:r>
            <w:r w:rsidR="00997C18">
              <w:rPr>
                <w:webHidden/>
              </w:rPr>
              <w:t>213</w:t>
            </w:r>
            <w:r w:rsidR="000D0217" w:rsidRPr="000D0217">
              <w:rPr>
                <w:webHidden/>
              </w:rPr>
              <w:fldChar w:fldCharType="end"/>
            </w:r>
          </w:hyperlink>
        </w:p>
        <w:p w14:paraId="5870AF80" w14:textId="3A9A85A5" w:rsidR="000D0217" w:rsidRPr="000D0217" w:rsidRDefault="001400EF">
          <w:pPr>
            <w:pStyle w:val="TDC2"/>
            <w:rPr>
              <w:rFonts w:eastAsiaTheme="minorEastAsia"/>
              <w:kern w:val="0"/>
              <w:sz w:val="22"/>
              <w:lang w:bidi="ar-SA"/>
            </w:rPr>
          </w:pPr>
          <w:hyperlink w:anchor="_Toc67646335" w:history="1">
            <w:r w:rsidR="000D0217" w:rsidRPr="000D0217">
              <w:rPr>
                <w:rStyle w:val="Hipervnculo"/>
                <w:rFonts w:eastAsiaTheme="majorEastAsia"/>
              </w:rPr>
              <w:t>7.3.</w:t>
            </w:r>
            <w:r w:rsidR="000D0217" w:rsidRPr="000D0217">
              <w:rPr>
                <w:rFonts w:eastAsiaTheme="minorEastAsia"/>
                <w:kern w:val="0"/>
                <w:sz w:val="22"/>
                <w:lang w:bidi="ar-SA"/>
              </w:rPr>
              <w:tab/>
            </w:r>
            <w:r w:rsidR="000D0217" w:rsidRPr="000D0217">
              <w:rPr>
                <w:rStyle w:val="Hipervnculo"/>
                <w:rFonts w:eastAsiaTheme="majorEastAsia"/>
              </w:rPr>
              <w:t>Sobre la formación y la lucha contra la corrupción</w:t>
            </w:r>
            <w:r w:rsidR="000D0217" w:rsidRPr="000D0217">
              <w:rPr>
                <w:webHidden/>
              </w:rPr>
              <w:tab/>
            </w:r>
            <w:r w:rsidR="000D0217" w:rsidRPr="000D0217">
              <w:rPr>
                <w:webHidden/>
              </w:rPr>
              <w:fldChar w:fldCharType="begin"/>
            </w:r>
            <w:r w:rsidR="000D0217" w:rsidRPr="000D0217">
              <w:rPr>
                <w:webHidden/>
              </w:rPr>
              <w:instrText xml:space="preserve"> PAGEREF _Toc67646335 \h </w:instrText>
            </w:r>
            <w:r w:rsidR="000D0217" w:rsidRPr="000D0217">
              <w:rPr>
                <w:webHidden/>
              </w:rPr>
            </w:r>
            <w:r w:rsidR="000D0217" w:rsidRPr="000D0217">
              <w:rPr>
                <w:webHidden/>
              </w:rPr>
              <w:fldChar w:fldCharType="separate"/>
            </w:r>
            <w:r w:rsidR="00997C18">
              <w:rPr>
                <w:webHidden/>
              </w:rPr>
              <w:t>215</w:t>
            </w:r>
            <w:r w:rsidR="000D0217" w:rsidRPr="000D0217">
              <w:rPr>
                <w:webHidden/>
              </w:rPr>
              <w:fldChar w:fldCharType="end"/>
            </w:r>
          </w:hyperlink>
        </w:p>
        <w:p w14:paraId="76099E55" w14:textId="55681393" w:rsidR="000D0217" w:rsidRPr="000D0217" w:rsidRDefault="001400EF">
          <w:pPr>
            <w:pStyle w:val="TDC2"/>
            <w:rPr>
              <w:rFonts w:eastAsiaTheme="minorEastAsia"/>
              <w:kern w:val="0"/>
              <w:sz w:val="22"/>
              <w:lang w:bidi="ar-SA"/>
            </w:rPr>
          </w:pPr>
          <w:hyperlink w:anchor="_Toc67646336" w:history="1">
            <w:r w:rsidR="000D0217" w:rsidRPr="000D0217">
              <w:rPr>
                <w:rStyle w:val="Hipervnculo"/>
                <w:rFonts w:eastAsiaTheme="majorEastAsia"/>
              </w:rPr>
              <w:t>7.4.</w:t>
            </w:r>
            <w:r w:rsidR="000D0217" w:rsidRPr="000D0217">
              <w:rPr>
                <w:rFonts w:eastAsiaTheme="minorEastAsia"/>
                <w:kern w:val="0"/>
                <w:sz w:val="22"/>
                <w:lang w:bidi="ar-SA"/>
              </w:rPr>
              <w:tab/>
            </w:r>
            <w:r w:rsidR="000D0217" w:rsidRPr="000D0217">
              <w:rPr>
                <w:rStyle w:val="Hipervnculo"/>
                <w:rFonts w:eastAsiaTheme="majorEastAsia"/>
              </w:rPr>
              <w:t>Sobre el importante avance en el control de las subvenciones asignadas a los grupos parlamentarios en las Corts Valencianes</w:t>
            </w:r>
            <w:r w:rsidR="000D0217" w:rsidRPr="000D0217">
              <w:rPr>
                <w:webHidden/>
              </w:rPr>
              <w:tab/>
            </w:r>
            <w:r w:rsidR="000D0217" w:rsidRPr="000D0217">
              <w:rPr>
                <w:webHidden/>
              </w:rPr>
              <w:fldChar w:fldCharType="begin"/>
            </w:r>
            <w:r w:rsidR="000D0217" w:rsidRPr="000D0217">
              <w:rPr>
                <w:webHidden/>
              </w:rPr>
              <w:instrText xml:space="preserve"> PAGEREF _Toc67646336 \h </w:instrText>
            </w:r>
            <w:r w:rsidR="000D0217" w:rsidRPr="000D0217">
              <w:rPr>
                <w:webHidden/>
              </w:rPr>
            </w:r>
            <w:r w:rsidR="000D0217" w:rsidRPr="000D0217">
              <w:rPr>
                <w:webHidden/>
              </w:rPr>
              <w:fldChar w:fldCharType="separate"/>
            </w:r>
            <w:r w:rsidR="00997C18">
              <w:rPr>
                <w:webHidden/>
              </w:rPr>
              <w:t>217</w:t>
            </w:r>
            <w:r w:rsidR="000D0217" w:rsidRPr="000D0217">
              <w:rPr>
                <w:webHidden/>
              </w:rPr>
              <w:fldChar w:fldCharType="end"/>
            </w:r>
          </w:hyperlink>
        </w:p>
        <w:p w14:paraId="6A0C251A" w14:textId="08F66AE2" w:rsidR="000D0217" w:rsidRPr="000D0217" w:rsidRDefault="001400EF">
          <w:pPr>
            <w:pStyle w:val="TDC2"/>
            <w:rPr>
              <w:rFonts w:asciiTheme="minorHAnsi" w:eastAsiaTheme="minorEastAsia" w:hAnsiTheme="minorHAnsi" w:cstheme="minorBidi"/>
              <w:kern w:val="0"/>
              <w:sz w:val="22"/>
              <w:lang w:bidi="ar-SA"/>
            </w:rPr>
          </w:pPr>
          <w:hyperlink w:anchor="_Toc67646337" w:history="1">
            <w:r w:rsidR="000D0217" w:rsidRPr="000D0217">
              <w:rPr>
                <w:rStyle w:val="Hipervnculo"/>
                <w:rFonts w:eastAsiaTheme="majorEastAsia"/>
              </w:rPr>
              <w:t>7.5.</w:t>
            </w:r>
            <w:r w:rsidR="000D0217" w:rsidRPr="000D0217">
              <w:rPr>
                <w:rFonts w:eastAsiaTheme="minorEastAsia"/>
                <w:kern w:val="0"/>
                <w:sz w:val="22"/>
                <w:lang w:bidi="ar-SA"/>
              </w:rPr>
              <w:tab/>
            </w:r>
            <w:r w:rsidR="000D0217" w:rsidRPr="000D0217">
              <w:rPr>
                <w:rStyle w:val="Hipervnculo"/>
                <w:rFonts w:eastAsiaTheme="majorEastAsia"/>
              </w:rPr>
              <w:t>Hacia una estrategia nacional de lucha contra el fraude y la corrupción</w:t>
            </w:r>
            <w:r w:rsidR="000D0217" w:rsidRPr="000D0217">
              <w:rPr>
                <w:webHidden/>
              </w:rPr>
              <w:tab/>
            </w:r>
            <w:r w:rsidR="000D0217" w:rsidRPr="000D0217">
              <w:rPr>
                <w:webHidden/>
              </w:rPr>
              <w:fldChar w:fldCharType="begin"/>
            </w:r>
            <w:r w:rsidR="000D0217" w:rsidRPr="000D0217">
              <w:rPr>
                <w:webHidden/>
              </w:rPr>
              <w:instrText xml:space="preserve"> PAGEREF _Toc67646337 \h </w:instrText>
            </w:r>
            <w:r w:rsidR="000D0217" w:rsidRPr="000D0217">
              <w:rPr>
                <w:webHidden/>
              </w:rPr>
            </w:r>
            <w:r w:rsidR="000D0217" w:rsidRPr="000D0217">
              <w:rPr>
                <w:webHidden/>
              </w:rPr>
              <w:fldChar w:fldCharType="separate"/>
            </w:r>
            <w:r w:rsidR="00997C18">
              <w:rPr>
                <w:webHidden/>
              </w:rPr>
              <w:t>220</w:t>
            </w:r>
            <w:r w:rsidR="000D0217" w:rsidRPr="000D0217">
              <w:rPr>
                <w:webHidden/>
              </w:rPr>
              <w:fldChar w:fldCharType="end"/>
            </w:r>
          </w:hyperlink>
        </w:p>
        <w:p w14:paraId="0CC1BA74" w14:textId="6EF84AF5" w:rsidR="00AD0B4D" w:rsidRPr="009202BF" w:rsidRDefault="009C4D4D" w:rsidP="003C28C4">
          <w:pPr>
            <w:jc w:val="both"/>
          </w:pPr>
          <w:r w:rsidRPr="000D0217">
            <w:rPr>
              <w:rFonts w:ascii="Arial" w:eastAsia="Droid Sans Fallback" w:hAnsi="Arial" w:cs="Arial"/>
              <w:noProof/>
              <w:kern w:val="3"/>
              <w:sz w:val="20"/>
              <w:szCs w:val="20"/>
              <w:lang w:eastAsia="zh-CN" w:bidi="hi-IN"/>
            </w:rPr>
            <w:fldChar w:fldCharType="end"/>
          </w:r>
        </w:p>
      </w:sdtContent>
    </w:sdt>
    <w:p w14:paraId="05BAF825" w14:textId="77777777" w:rsidR="00AD140C" w:rsidRPr="00973028" w:rsidRDefault="00AD140C" w:rsidP="00AD140C">
      <w:pPr>
        <w:pStyle w:val="Prrafodelista"/>
        <w:spacing w:after="0" w:line="276" w:lineRule="auto"/>
        <w:ind w:left="357"/>
        <w:jc w:val="both"/>
        <w:rPr>
          <w:rFonts w:ascii="Arial" w:hAnsi="Arial" w:cs="Arial"/>
          <w:sz w:val="20"/>
          <w:szCs w:val="20"/>
        </w:rPr>
      </w:pPr>
    </w:p>
    <w:p w14:paraId="29C76582" w14:textId="554412EE" w:rsidR="00A32227" w:rsidRPr="00973028" w:rsidRDefault="00A46175">
      <w:pPr>
        <w:rPr>
          <w:rFonts w:ascii="Arial" w:hAnsi="Arial" w:cs="Arial"/>
          <w:sz w:val="21"/>
          <w:szCs w:val="21"/>
        </w:rPr>
      </w:pPr>
      <w:r w:rsidRPr="00973028">
        <w:rPr>
          <w:rFonts w:ascii="Arial" w:hAnsi="Arial" w:cs="Arial"/>
          <w:sz w:val="21"/>
          <w:szCs w:val="21"/>
        </w:rPr>
        <w:br w:type="page"/>
      </w:r>
    </w:p>
    <w:p w14:paraId="04170D00" w14:textId="77777777" w:rsidR="002A4453" w:rsidRPr="00973028" w:rsidRDefault="002A4453">
      <w:pPr>
        <w:rPr>
          <w:rFonts w:ascii="Arial" w:hAnsi="Arial" w:cs="Arial"/>
          <w:b/>
          <w:bCs/>
          <w:color w:val="9D2235" w:themeColor="accent1"/>
          <w:sz w:val="60"/>
          <w:szCs w:val="60"/>
        </w:rPr>
      </w:pPr>
      <w:r w:rsidRPr="00973028">
        <w:rPr>
          <w:rFonts w:ascii="Arial" w:hAnsi="Arial" w:cs="Arial"/>
          <w:b/>
          <w:bCs/>
          <w:color w:val="9D2235" w:themeColor="accent1"/>
          <w:sz w:val="60"/>
          <w:szCs w:val="60"/>
        </w:rPr>
        <w:lastRenderedPageBreak/>
        <w:t>Índice de Tablas</w:t>
      </w:r>
    </w:p>
    <w:p w14:paraId="48C66B59" w14:textId="6A6717AC" w:rsidR="000D0217" w:rsidRDefault="002A4453" w:rsidP="004E3698">
      <w:pPr>
        <w:pStyle w:val="Tabladeilustraciones"/>
        <w:tabs>
          <w:tab w:val="right" w:leader="dot" w:pos="8212"/>
        </w:tabs>
        <w:rPr>
          <w:rFonts w:asciiTheme="minorHAnsi" w:eastAsiaTheme="minorEastAsia" w:hAnsiTheme="minorHAnsi" w:cstheme="minorBidi"/>
          <w:bCs w:val="0"/>
          <w:noProof/>
          <w:sz w:val="22"/>
          <w:szCs w:val="22"/>
          <w:lang w:eastAsia="es-ES"/>
        </w:rPr>
      </w:pPr>
      <w:r w:rsidRPr="00973028">
        <w:rPr>
          <w:rFonts w:cs="Arial"/>
          <w:color w:val="FF0000"/>
        </w:rPr>
        <w:fldChar w:fldCharType="begin"/>
      </w:r>
      <w:r w:rsidRPr="00973028">
        <w:rPr>
          <w:rFonts w:cs="Arial"/>
          <w:color w:val="FF0000"/>
        </w:rPr>
        <w:instrText xml:space="preserve"> TOC \h \z \c "Tabla" </w:instrText>
      </w:r>
      <w:r w:rsidRPr="00973028">
        <w:rPr>
          <w:rFonts w:cs="Arial"/>
          <w:color w:val="FF0000"/>
        </w:rPr>
        <w:fldChar w:fldCharType="separate"/>
      </w:r>
      <w:hyperlink w:anchor="_Toc67646338" w:history="1">
        <w:r w:rsidR="000D0217" w:rsidRPr="00C529C9">
          <w:rPr>
            <w:rStyle w:val="Hipervnculo"/>
            <w:rFonts w:cs="Arial"/>
            <w:noProof/>
          </w:rPr>
          <w:t>Tabla 1. Líneas estratégicas del Servicio de Prevención</w:t>
        </w:r>
        <w:r w:rsidR="000D0217">
          <w:rPr>
            <w:noProof/>
            <w:webHidden/>
          </w:rPr>
          <w:tab/>
        </w:r>
        <w:r w:rsidR="000D0217">
          <w:rPr>
            <w:noProof/>
            <w:webHidden/>
          </w:rPr>
          <w:fldChar w:fldCharType="begin"/>
        </w:r>
        <w:r w:rsidR="000D0217">
          <w:rPr>
            <w:noProof/>
            <w:webHidden/>
          </w:rPr>
          <w:instrText xml:space="preserve"> PAGEREF _Toc67646338 \h </w:instrText>
        </w:r>
        <w:r w:rsidR="000D0217">
          <w:rPr>
            <w:noProof/>
            <w:webHidden/>
          </w:rPr>
        </w:r>
        <w:r w:rsidR="000D0217">
          <w:rPr>
            <w:noProof/>
            <w:webHidden/>
          </w:rPr>
          <w:fldChar w:fldCharType="separate"/>
        </w:r>
        <w:r w:rsidR="00997C18">
          <w:rPr>
            <w:noProof/>
            <w:webHidden/>
          </w:rPr>
          <w:t>20</w:t>
        </w:r>
        <w:r w:rsidR="000D0217">
          <w:rPr>
            <w:noProof/>
            <w:webHidden/>
          </w:rPr>
          <w:fldChar w:fldCharType="end"/>
        </w:r>
      </w:hyperlink>
    </w:p>
    <w:p w14:paraId="7F10FE9C" w14:textId="263EAA4E"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39" w:history="1">
        <w:r w:rsidR="000D0217" w:rsidRPr="00C529C9">
          <w:rPr>
            <w:rStyle w:val="Hipervnculo"/>
            <w:rFonts w:cs="Arial"/>
            <w:noProof/>
          </w:rPr>
          <w:t>Tabla 2. Resumen de Formación interna</w:t>
        </w:r>
        <w:r w:rsidR="000D0217">
          <w:rPr>
            <w:noProof/>
            <w:webHidden/>
          </w:rPr>
          <w:tab/>
        </w:r>
        <w:r w:rsidR="000D0217">
          <w:rPr>
            <w:noProof/>
            <w:webHidden/>
          </w:rPr>
          <w:fldChar w:fldCharType="begin"/>
        </w:r>
        <w:r w:rsidR="000D0217">
          <w:rPr>
            <w:noProof/>
            <w:webHidden/>
          </w:rPr>
          <w:instrText xml:space="preserve"> PAGEREF _Toc67646339 \h </w:instrText>
        </w:r>
        <w:r w:rsidR="000D0217">
          <w:rPr>
            <w:noProof/>
            <w:webHidden/>
          </w:rPr>
        </w:r>
        <w:r w:rsidR="000D0217">
          <w:rPr>
            <w:noProof/>
            <w:webHidden/>
          </w:rPr>
          <w:fldChar w:fldCharType="separate"/>
        </w:r>
        <w:r w:rsidR="00997C18">
          <w:rPr>
            <w:noProof/>
            <w:webHidden/>
          </w:rPr>
          <w:t>33</w:t>
        </w:r>
        <w:r w:rsidR="000D0217">
          <w:rPr>
            <w:noProof/>
            <w:webHidden/>
          </w:rPr>
          <w:fldChar w:fldCharType="end"/>
        </w:r>
      </w:hyperlink>
    </w:p>
    <w:p w14:paraId="4A04993D" w14:textId="6FADAB65"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40" w:history="1">
        <w:r w:rsidR="000D0217" w:rsidRPr="00C529C9">
          <w:rPr>
            <w:rStyle w:val="Hipervnculo"/>
            <w:rFonts w:cs="Arial"/>
            <w:noProof/>
          </w:rPr>
          <w:t>Tabla 3. Resumen actividades docufórum en universidades valencianas</w:t>
        </w:r>
        <w:r w:rsidR="000D0217">
          <w:rPr>
            <w:noProof/>
            <w:webHidden/>
          </w:rPr>
          <w:tab/>
        </w:r>
        <w:r w:rsidR="000D0217">
          <w:rPr>
            <w:noProof/>
            <w:webHidden/>
          </w:rPr>
          <w:fldChar w:fldCharType="begin"/>
        </w:r>
        <w:r w:rsidR="000D0217">
          <w:rPr>
            <w:noProof/>
            <w:webHidden/>
          </w:rPr>
          <w:instrText xml:space="preserve"> PAGEREF _Toc67646340 \h </w:instrText>
        </w:r>
        <w:r w:rsidR="000D0217">
          <w:rPr>
            <w:noProof/>
            <w:webHidden/>
          </w:rPr>
        </w:r>
        <w:r w:rsidR="000D0217">
          <w:rPr>
            <w:noProof/>
            <w:webHidden/>
          </w:rPr>
          <w:fldChar w:fldCharType="separate"/>
        </w:r>
        <w:r w:rsidR="00997C18">
          <w:rPr>
            <w:noProof/>
            <w:webHidden/>
          </w:rPr>
          <w:t>37</w:t>
        </w:r>
        <w:r w:rsidR="000D0217">
          <w:rPr>
            <w:noProof/>
            <w:webHidden/>
          </w:rPr>
          <w:fldChar w:fldCharType="end"/>
        </w:r>
      </w:hyperlink>
    </w:p>
    <w:p w14:paraId="2D7788A9" w14:textId="2C2BE494"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41" w:history="1">
        <w:r w:rsidR="000D0217" w:rsidRPr="00C529C9">
          <w:rPr>
            <w:rStyle w:val="Hipervnculo"/>
            <w:rFonts w:cs="Arial"/>
            <w:noProof/>
          </w:rPr>
          <w:t>Tabla 4. Conferencias para la ciudadanía en el programa Unisocietat</w:t>
        </w:r>
        <w:r w:rsidR="000D0217">
          <w:rPr>
            <w:noProof/>
            <w:webHidden/>
          </w:rPr>
          <w:tab/>
        </w:r>
        <w:r w:rsidR="000D0217">
          <w:rPr>
            <w:noProof/>
            <w:webHidden/>
          </w:rPr>
          <w:fldChar w:fldCharType="begin"/>
        </w:r>
        <w:r w:rsidR="000D0217">
          <w:rPr>
            <w:noProof/>
            <w:webHidden/>
          </w:rPr>
          <w:instrText xml:space="preserve"> PAGEREF _Toc67646341 \h </w:instrText>
        </w:r>
        <w:r w:rsidR="000D0217">
          <w:rPr>
            <w:noProof/>
            <w:webHidden/>
          </w:rPr>
        </w:r>
        <w:r w:rsidR="000D0217">
          <w:rPr>
            <w:noProof/>
            <w:webHidden/>
          </w:rPr>
          <w:fldChar w:fldCharType="separate"/>
        </w:r>
        <w:r w:rsidR="00997C18">
          <w:rPr>
            <w:noProof/>
            <w:webHidden/>
          </w:rPr>
          <w:t>38</w:t>
        </w:r>
        <w:r w:rsidR="000D0217">
          <w:rPr>
            <w:noProof/>
            <w:webHidden/>
          </w:rPr>
          <w:fldChar w:fldCharType="end"/>
        </w:r>
      </w:hyperlink>
    </w:p>
    <w:p w14:paraId="5DC28A84" w14:textId="630DAD37"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42" w:history="1">
        <w:r w:rsidR="000D0217" w:rsidRPr="00C529C9">
          <w:rPr>
            <w:rStyle w:val="Hipervnculo"/>
            <w:rFonts w:cs="Arial"/>
            <w:noProof/>
          </w:rPr>
          <w:t>Tabla 5. Resumen de las conferencias para la ciudadanía impartidas en el programa Universitats Estacionals de la Universitat de València</w:t>
        </w:r>
        <w:r w:rsidR="000D0217">
          <w:rPr>
            <w:noProof/>
            <w:webHidden/>
          </w:rPr>
          <w:tab/>
        </w:r>
        <w:r w:rsidR="000D0217">
          <w:rPr>
            <w:noProof/>
            <w:webHidden/>
          </w:rPr>
          <w:fldChar w:fldCharType="begin"/>
        </w:r>
        <w:r w:rsidR="000D0217">
          <w:rPr>
            <w:noProof/>
            <w:webHidden/>
          </w:rPr>
          <w:instrText xml:space="preserve"> PAGEREF _Toc67646342 \h </w:instrText>
        </w:r>
        <w:r w:rsidR="000D0217">
          <w:rPr>
            <w:noProof/>
            <w:webHidden/>
          </w:rPr>
        </w:r>
        <w:r w:rsidR="000D0217">
          <w:rPr>
            <w:noProof/>
            <w:webHidden/>
          </w:rPr>
          <w:fldChar w:fldCharType="separate"/>
        </w:r>
        <w:r w:rsidR="00997C18">
          <w:rPr>
            <w:noProof/>
            <w:webHidden/>
          </w:rPr>
          <w:t>39</w:t>
        </w:r>
        <w:r w:rsidR="000D0217">
          <w:rPr>
            <w:noProof/>
            <w:webHidden/>
          </w:rPr>
          <w:fldChar w:fldCharType="end"/>
        </w:r>
      </w:hyperlink>
    </w:p>
    <w:p w14:paraId="0B48E2F7" w14:textId="05D5E5EC"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43" w:history="1">
        <w:r w:rsidR="000D0217" w:rsidRPr="00C529C9">
          <w:rPr>
            <w:rStyle w:val="Hipervnculo"/>
            <w:rFonts w:cs="Arial"/>
            <w:noProof/>
          </w:rPr>
          <w:t>Tabla 6. Denuncias presentadas por ámbito subjetivo</w:t>
        </w:r>
        <w:r w:rsidR="000D0217">
          <w:rPr>
            <w:noProof/>
            <w:webHidden/>
          </w:rPr>
          <w:tab/>
        </w:r>
        <w:r w:rsidR="000D0217">
          <w:rPr>
            <w:noProof/>
            <w:webHidden/>
          </w:rPr>
          <w:fldChar w:fldCharType="begin"/>
        </w:r>
        <w:r w:rsidR="000D0217">
          <w:rPr>
            <w:noProof/>
            <w:webHidden/>
          </w:rPr>
          <w:instrText xml:space="preserve"> PAGEREF _Toc67646343 \h </w:instrText>
        </w:r>
        <w:r w:rsidR="000D0217">
          <w:rPr>
            <w:noProof/>
            <w:webHidden/>
          </w:rPr>
        </w:r>
        <w:r w:rsidR="000D0217">
          <w:rPr>
            <w:noProof/>
            <w:webHidden/>
          </w:rPr>
          <w:fldChar w:fldCharType="separate"/>
        </w:r>
        <w:r w:rsidR="00997C18">
          <w:rPr>
            <w:noProof/>
            <w:webHidden/>
          </w:rPr>
          <w:t>51</w:t>
        </w:r>
        <w:r w:rsidR="000D0217">
          <w:rPr>
            <w:noProof/>
            <w:webHidden/>
          </w:rPr>
          <w:fldChar w:fldCharType="end"/>
        </w:r>
      </w:hyperlink>
    </w:p>
    <w:p w14:paraId="0637DE9F" w14:textId="0DF6A514"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44" w:history="1">
        <w:r w:rsidR="000D0217" w:rsidRPr="00C529C9">
          <w:rPr>
            <w:rStyle w:val="Hipervnculo"/>
            <w:rFonts w:cs="Arial"/>
            <w:noProof/>
          </w:rPr>
          <w:t>Tabla 7. Denuncias presentadas según el canal de comunicación</w:t>
        </w:r>
        <w:r w:rsidR="000D0217">
          <w:rPr>
            <w:noProof/>
            <w:webHidden/>
          </w:rPr>
          <w:tab/>
        </w:r>
        <w:r w:rsidR="000D0217">
          <w:rPr>
            <w:noProof/>
            <w:webHidden/>
          </w:rPr>
          <w:fldChar w:fldCharType="begin"/>
        </w:r>
        <w:r w:rsidR="000D0217">
          <w:rPr>
            <w:noProof/>
            <w:webHidden/>
          </w:rPr>
          <w:instrText xml:space="preserve"> PAGEREF _Toc67646344 \h </w:instrText>
        </w:r>
        <w:r w:rsidR="000D0217">
          <w:rPr>
            <w:noProof/>
            <w:webHidden/>
          </w:rPr>
        </w:r>
        <w:r w:rsidR="000D0217">
          <w:rPr>
            <w:noProof/>
            <w:webHidden/>
          </w:rPr>
          <w:fldChar w:fldCharType="separate"/>
        </w:r>
        <w:r w:rsidR="00997C18">
          <w:rPr>
            <w:noProof/>
            <w:webHidden/>
          </w:rPr>
          <w:t>53</w:t>
        </w:r>
        <w:r w:rsidR="000D0217">
          <w:rPr>
            <w:noProof/>
            <w:webHidden/>
          </w:rPr>
          <w:fldChar w:fldCharType="end"/>
        </w:r>
      </w:hyperlink>
    </w:p>
    <w:p w14:paraId="286438C7" w14:textId="260AEC65"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45" w:history="1">
        <w:r w:rsidR="000D0217" w:rsidRPr="00C529C9">
          <w:rPr>
            <w:rStyle w:val="Hipervnculo"/>
            <w:rFonts w:cs="Arial"/>
            <w:noProof/>
          </w:rPr>
          <w:t>Tabla 8. Denuncias presentadas según la zona geográfica afectada</w:t>
        </w:r>
        <w:r w:rsidR="000D0217">
          <w:rPr>
            <w:noProof/>
            <w:webHidden/>
          </w:rPr>
          <w:tab/>
        </w:r>
        <w:r w:rsidR="000D0217">
          <w:rPr>
            <w:noProof/>
            <w:webHidden/>
          </w:rPr>
          <w:fldChar w:fldCharType="begin"/>
        </w:r>
        <w:r w:rsidR="000D0217">
          <w:rPr>
            <w:noProof/>
            <w:webHidden/>
          </w:rPr>
          <w:instrText xml:space="preserve"> PAGEREF _Toc67646345 \h </w:instrText>
        </w:r>
        <w:r w:rsidR="000D0217">
          <w:rPr>
            <w:noProof/>
            <w:webHidden/>
          </w:rPr>
        </w:r>
        <w:r w:rsidR="000D0217">
          <w:rPr>
            <w:noProof/>
            <w:webHidden/>
          </w:rPr>
          <w:fldChar w:fldCharType="separate"/>
        </w:r>
        <w:r w:rsidR="00997C18">
          <w:rPr>
            <w:noProof/>
            <w:webHidden/>
          </w:rPr>
          <w:t>54</w:t>
        </w:r>
        <w:r w:rsidR="000D0217">
          <w:rPr>
            <w:noProof/>
            <w:webHidden/>
          </w:rPr>
          <w:fldChar w:fldCharType="end"/>
        </w:r>
      </w:hyperlink>
    </w:p>
    <w:p w14:paraId="27E2FAEB" w14:textId="16FC9B36"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46" w:history="1">
        <w:r w:rsidR="000D0217" w:rsidRPr="00C529C9">
          <w:rPr>
            <w:rStyle w:val="Hipervnculo"/>
            <w:rFonts w:cs="Arial"/>
            <w:noProof/>
          </w:rPr>
          <w:t>Tabla 9. Denuncias presentadas según el ámbito material</w:t>
        </w:r>
        <w:r w:rsidR="000D0217">
          <w:rPr>
            <w:noProof/>
            <w:webHidden/>
          </w:rPr>
          <w:tab/>
        </w:r>
        <w:r w:rsidR="000D0217">
          <w:rPr>
            <w:noProof/>
            <w:webHidden/>
          </w:rPr>
          <w:fldChar w:fldCharType="begin"/>
        </w:r>
        <w:r w:rsidR="000D0217">
          <w:rPr>
            <w:noProof/>
            <w:webHidden/>
          </w:rPr>
          <w:instrText xml:space="preserve"> PAGEREF _Toc67646346 \h </w:instrText>
        </w:r>
        <w:r w:rsidR="000D0217">
          <w:rPr>
            <w:noProof/>
            <w:webHidden/>
          </w:rPr>
        </w:r>
        <w:r w:rsidR="000D0217">
          <w:rPr>
            <w:noProof/>
            <w:webHidden/>
          </w:rPr>
          <w:fldChar w:fldCharType="separate"/>
        </w:r>
        <w:r w:rsidR="00997C18">
          <w:rPr>
            <w:noProof/>
            <w:webHidden/>
          </w:rPr>
          <w:t>56</w:t>
        </w:r>
        <w:r w:rsidR="000D0217">
          <w:rPr>
            <w:noProof/>
            <w:webHidden/>
          </w:rPr>
          <w:fldChar w:fldCharType="end"/>
        </w:r>
      </w:hyperlink>
    </w:p>
    <w:p w14:paraId="49C0CDEE" w14:textId="1E4FCE91"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47" w:history="1">
        <w:r w:rsidR="000D0217" w:rsidRPr="00C529C9">
          <w:rPr>
            <w:rStyle w:val="Hipervnculo"/>
            <w:rFonts w:cs="Arial"/>
            <w:noProof/>
          </w:rPr>
          <w:t>Tabla 10. Denuncias presentadas según la tipología, condición o naturaleza del comunicante</w:t>
        </w:r>
        <w:r w:rsidR="000D0217">
          <w:rPr>
            <w:noProof/>
            <w:webHidden/>
          </w:rPr>
          <w:tab/>
        </w:r>
        <w:r w:rsidR="000D0217">
          <w:rPr>
            <w:noProof/>
            <w:webHidden/>
          </w:rPr>
          <w:fldChar w:fldCharType="begin"/>
        </w:r>
        <w:r w:rsidR="000D0217">
          <w:rPr>
            <w:noProof/>
            <w:webHidden/>
          </w:rPr>
          <w:instrText xml:space="preserve"> PAGEREF _Toc67646347 \h </w:instrText>
        </w:r>
        <w:r w:rsidR="000D0217">
          <w:rPr>
            <w:noProof/>
            <w:webHidden/>
          </w:rPr>
        </w:r>
        <w:r w:rsidR="000D0217">
          <w:rPr>
            <w:noProof/>
            <w:webHidden/>
          </w:rPr>
          <w:fldChar w:fldCharType="separate"/>
        </w:r>
        <w:r w:rsidR="00997C18">
          <w:rPr>
            <w:noProof/>
            <w:webHidden/>
          </w:rPr>
          <w:t>58</w:t>
        </w:r>
        <w:r w:rsidR="000D0217">
          <w:rPr>
            <w:noProof/>
            <w:webHidden/>
          </w:rPr>
          <w:fldChar w:fldCharType="end"/>
        </w:r>
      </w:hyperlink>
    </w:p>
    <w:p w14:paraId="04A90506" w14:textId="164EAD2F"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48" w:history="1">
        <w:r w:rsidR="000D0217" w:rsidRPr="00C529C9">
          <w:rPr>
            <w:rStyle w:val="Hipervnculo"/>
            <w:rFonts w:cs="Arial"/>
            <w:noProof/>
          </w:rPr>
          <w:t>Tabla 11. Denuncias de personas físicas clasificadas por género</w:t>
        </w:r>
        <w:r w:rsidR="000D0217">
          <w:rPr>
            <w:noProof/>
            <w:webHidden/>
          </w:rPr>
          <w:tab/>
        </w:r>
        <w:r w:rsidR="000D0217">
          <w:rPr>
            <w:noProof/>
            <w:webHidden/>
          </w:rPr>
          <w:fldChar w:fldCharType="begin"/>
        </w:r>
        <w:r w:rsidR="000D0217">
          <w:rPr>
            <w:noProof/>
            <w:webHidden/>
          </w:rPr>
          <w:instrText xml:space="preserve"> PAGEREF _Toc67646348 \h </w:instrText>
        </w:r>
        <w:r w:rsidR="000D0217">
          <w:rPr>
            <w:noProof/>
            <w:webHidden/>
          </w:rPr>
        </w:r>
        <w:r w:rsidR="000D0217">
          <w:rPr>
            <w:noProof/>
            <w:webHidden/>
          </w:rPr>
          <w:fldChar w:fldCharType="separate"/>
        </w:r>
        <w:r w:rsidR="00997C18">
          <w:rPr>
            <w:noProof/>
            <w:webHidden/>
          </w:rPr>
          <w:t>60</w:t>
        </w:r>
        <w:r w:rsidR="000D0217">
          <w:rPr>
            <w:noProof/>
            <w:webHidden/>
          </w:rPr>
          <w:fldChar w:fldCharType="end"/>
        </w:r>
      </w:hyperlink>
    </w:p>
    <w:p w14:paraId="63325752" w14:textId="13C2854E"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49" w:history="1">
        <w:r w:rsidR="000D0217" w:rsidRPr="00C529C9">
          <w:rPr>
            <w:rStyle w:val="Hipervnculo"/>
            <w:rFonts w:cs="Arial"/>
            <w:noProof/>
          </w:rPr>
          <w:t>Tabla 12. Estado de situación de los expedientes de análisis e investigación</w:t>
        </w:r>
        <w:r w:rsidR="000D0217">
          <w:rPr>
            <w:noProof/>
            <w:webHidden/>
          </w:rPr>
          <w:tab/>
        </w:r>
        <w:r w:rsidR="000D0217">
          <w:rPr>
            <w:noProof/>
            <w:webHidden/>
          </w:rPr>
          <w:fldChar w:fldCharType="begin"/>
        </w:r>
        <w:r w:rsidR="000D0217">
          <w:rPr>
            <w:noProof/>
            <w:webHidden/>
          </w:rPr>
          <w:instrText xml:space="preserve"> PAGEREF _Toc67646349 \h </w:instrText>
        </w:r>
        <w:r w:rsidR="000D0217">
          <w:rPr>
            <w:noProof/>
            <w:webHidden/>
          </w:rPr>
        </w:r>
        <w:r w:rsidR="000D0217">
          <w:rPr>
            <w:noProof/>
            <w:webHidden/>
          </w:rPr>
          <w:fldChar w:fldCharType="separate"/>
        </w:r>
        <w:r w:rsidR="00997C18">
          <w:rPr>
            <w:noProof/>
            <w:webHidden/>
          </w:rPr>
          <w:t>61</w:t>
        </w:r>
        <w:r w:rsidR="000D0217">
          <w:rPr>
            <w:noProof/>
            <w:webHidden/>
          </w:rPr>
          <w:fldChar w:fldCharType="end"/>
        </w:r>
      </w:hyperlink>
    </w:p>
    <w:p w14:paraId="1D4CE212" w14:textId="50345FBF"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50" w:history="1">
        <w:r w:rsidR="000D0217" w:rsidRPr="00C529C9">
          <w:rPr>
            <w:rStyle w:val="Hipervnculo"/>
            <w:rFonts w:cs="Arial"/>
            <w:noProof/>
          </w:rPr>
          <w:t>Tabla 13. Tabla resumen de expedientes tramitados en 2020 y comparativa con el año precedente</w:t>
        </w:r>
        <w:r w:rsidR="000D0217">
          <w:rPr>
            <w:noProof/>
            <w:webHidden/>
          </w:rPr>
          <w:tab/>
        </w:r>
        <w:r w:rsidR="000D0217">
          <w:rPr>
            <w:noProof/>
            <w:webHidden/>
          </w:rPr>
          <w:fldChar w:fldCharType="begin"/>
        </w:r>
        <w:r w:rsidR="000D0217">
          <w:rPr>
            <w:noProof/>
            <w:webHidden/>
          </w:rPr>
          <w:instrText xml:space="preserve"> PAGEREF _Toc67646350 \h </w:instrText>
        </w:r>
        <w:r w:rsidR="000D0217">
          <w:rPr>
            <w:noProof/>
            <w:webHidden/>
          </w:rPr>
        </w:r>
        <w:r w:rsidR="000D0217">
          <w:rPr>
            <w:noProof/>
            <w:webHidden/>
          </w:rPr>
          <w:fldChar w:fldCharType="separate"/>
        </w:r>
        <w:r w:rsidR="00997C18">
          <w:rPr>
            <w:noProof/>
            <w:webHidden/>
          </w:rPr>
          <w:t>63</w:t>
        </w:r>
        <w:r w:rsidR="000D0217">
          <w:rPr>
            <w:noProof/>
            <w:webHidden/>
          </w:rPr>
          <w:fldChar w:fldCharType="end"/>
        </w:r>
      </w:hyperlink>
    </w:p>
    <w:p w14:paraId="29899AFE" w14:textId="2C806D19"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51" w:history="1">
        <w:r w:rsidR="000D0217" w:rsidRPr="00C529C9">
          <w:rPr>
            <w:rStyle w:val="Hipervnculo"/>
            <w:rFonts w:cs="Arial"/>
            <w:noProof/>
          </w:rPr>
          <w:t>Tabla 14. Comparación entre registros presenciales y telemáticos</w:t>
        </w:r>
        <w:r w:rsidR="000D0217">
          <w:rPr>
            <w:noProof/>
            <w:webHidden/>
          </w:rPr>
          <w:tab/>
        </w:r>
        <w:r w:rsidR="000D0217">
          <w:rPr>
            <w:noProof/>
            <w:webHidden/>
          </w:rPr>
          <w:fldChar w:fldCharType="begin"/>
        </w:r>
        <w:r w:rsidR="000D0217">
          <w:rPr>
            <w:noProof/>
            <w:webHidden/>
          </w:rPr>
          <w:instrText xml:space="preserve"> PAGEREF _Toc67646351 \h </w:instrText>
        </w:r>
        <w:r w:rsidR="000D0217">
          <w:rPr>
            <w:noProof/>
            <w:webHidden/>
          </w:rPr>
        </w:r>
        <w:r w:rsidR="000D0217">
          <w:rPr>
            <w:noProof/>
            <w:webHidden/>
          </w:rPr>
          <w:fldChar w:fldCharType="separate"/>
        </w:r>
        <w:r w:rsidR="00997C18">
          <w:rPr>
            <w:noProof/>
            <w:webHidden/>
          </w:rPr>
          <w:t>95</w:t>
        </w:r>
        <w:r w:rsidR="000D0217">
          <w:rPr>
            <w:noProof/>
            <w:webHidden/>
          </w:rPr>
          <w:fldChar w:fldCharType="end"/>
        </w:r>
      </w:hyperlink>
    </w:p>
    <w:p w14:paraId="1F0BBC92" w14:textId="062ABD8F"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52" w:history="1">
        <w:r w:rsidR="000D0217" w:rsidRPr="00C529C9">
          <w:rPr>
            <w:rStyle w:val="Hipervnculo"/>
            <w:rFonts w:cs="Arial"/>
            <w:noProof/>
          </w:rPr>
          <w:t>Tabla 15. Convenios vigentes a 31 de diciembre de 2020</w:t>
        </w:r>
        <w:r w:rsidR="000D0217">
          <w:rPr>
            <w:noProof/>
            <w:webHidden/>
          </w:rPr>
          <w:tab/>
        </w:r>
        <w:r w:rsidR="000D0217">
          <w:rPr>
            <w:noProof/>
            <w:webHidden/>
          </w:rPr>
          <w:fldChar w:fldCharType="begin"/>
        </w:r>
        <w:r w:rsidR="000D0217">
          <w:rPr>
            <w:noProof/>
            <w:webHidden/>
          </w:rPr>
          <w:instrText xml:space="preserve"> PAGEREF _Toc67646352 \h </w:instrText>
        </w:r>
        <w:r w:rsidR="000D0217">
          <w:rPr>
            <w:noProof/>
            <w:webHidden/>
          </w:rPr>
        </w:r>
        <w:r w:rsidR="000D0217">
          <w:rPr>
            <w:noProof/>
            <w:webHidden/>
          </w:rPr>
          <w:fldChar w:fldCharType="separate"/>
        </w:r>
        <w:r w:rsidR="00997C18">
          <w:rPr>
            <w:noProof/>
            <w:webHidden/>
          </w:rPr>
          <w:t>138</w:t>
        </w:r>
        <w:r w:rsidR="000D0217">
          <w:rPr>
            <w:noProof/>
            <w:webHidden/>
          </w:rPr>
          <w:fldChar w:fldCharType="end"/>
        </w:r>
      </w:hyperlink>
    </w:p>
    <w:p w14:paraId="204DECA8" w14:textId="16020823"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53" w:history="1">
        <w:r w:rsidR="000D0217" w:rsidRPr="00C529C9">
          <w:rPr>
            <w:rStyle w:val="Hipervnculo"/>
            <w:rFonts w:cs="Arial"/>
            <w:noProof/>
          </w:rPr>
          <w:t>Tabla 16. Recursos contencioso-administrativos en tramitación a 31 de diciembre de 2020</w:t>
        </w:r>
        <w:r w:rsidR="000D0217">
          <w:rPr>
            <w:noProof/>
            <w:webHidden/>
          </w:rPr>
          <w:tab/>
        </w:r>
        <w:r w:rsidR="000D0217">
          <w:rPr>
            <w:noProof/>
            <w:webHidden/>
          </w:rPr>
          <w:fldChar w:fldCharType="begin"/>
        </w:r>
        <w:r w:rsidR="000D0217">
          <w:rPr>
            <w:noProof/>
            <w:webHidden/>
          </w:rPr>
          <w:instrText xml:space="preserve"> PAGEREF _Toc67646353 \h </w:instrText>
        </w:r>
        <w:r w:rsidR="000D0217">
          <w:rPr>
            <w:noProof/>
            <w:webHidden/>
          </w:rPr>
        </w:r>
        <w:r w:rsidR="000D0217">
          <w:rPr>
            <w:noProof/>
            <w:webHidden/>
          </w:rPr>
          <w:fldChar w:fldCharType="separate"/>
        </w:r>
        <w:r w:rsidR="00997C18">
          <w:rPr>
            <w:noProof/>
            <w:webHidden/>
          </w:rPr>
          <w:t>144</w:t>
        </w:r>
        <w:r w:rsidR="000D0217">
          <w:rPr>
            <w:noProof/>
            <w:webHidden/>
          </w:rPr>
          <w:fldChar w:fldCharType="end"/>
        </w:r>
      </w:hyperlink>
    </w:p>
    <w:p w14:paraId="687CA4AC" w14:textId="63220CA2"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54" w:history="1">
        <w:r w:rsidR="000D0217" w:rsidRPr="00C529C9">
          <w:rPr>
            <w:rStyle w:val="Hipervnculo"/>
            <w:rFonts w:cs="Arial"/>
            <w:noProof/>
          </w:rPr>
          <w:t>Tabla 17.</w:t>
        </w:r>
        <w:r w:rsidR="000D0217" w:rsidRPr="00C529C9">
          <w:rPr>
            <w:rStyle w:val="Hipervnculo"/>
            <w:rFonts w:eastAsia="Times New Roman" w:cs="Arial"/>
            <w:noProof/>
            <w:lang w:eastAsia="es-ES"/>
          </w:rPr>
          <w:t xml:space="preserve"> Actos con participación de la Agencia</w:t>
        </w:r>
        <w:r w:rsidR="000D0217">
          <w:rPr>
            <w:noProof/>
            <w:webHidden/>
          </w:rPr>
          <w:tab/>
        </w:r>
        <w:r w:rsidR="000D0217">
          <w:rPr>
            <w:noProof/>
            <w:webHidden/>
          </w:rPr>
          <w:fldChar w:fldCharType="begin"/>
        </w:r>
        <w:r w:rsidR="000D0217">
          <w:rPr>
            <w:noProof/>
            <w:webHidden/>
          </w:rPr>
          <w:instrText xml:space="preserve"> PAGEREF _Toc67646354 \h </w:instrText>
        </w:r>
        <w:r w:rsidR="000D0217">
          <w:rPr>
            <w:noProof/>
            <w:webHidden/>
          </w:rPr>
        </w:r>
        <w:r w:rsidR="000D0217">
          <w:rPr>
            <w:noProof/>
            <w:webHidden/>
          </w:rPr>
          <w:fldChar w:fldCharType="separate"/>
        </w:r>
        <w:r w:rsidR="00997C18">
          <w:rPr>
            <w:noProof/>
            <w:webHidden/>
          </w:rPr>
          <w:t>166</w:t>
        </w:r>
        <w:r w:rsidR="000D0217">
          <w:rPr>
            <w:noProof/>
            <w:webHidden/>
          </w:rPr>
          <w:fldChar w:fldCharType="end"/>
        </w:r>
      </w:hyperlink>
    </w:p>
    <w:p w14:paraId="10C64ACE" w14:textId="6E8C4735"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55" w:history="1">
        <w:r w:rsidR="000D0217" w:rsidRPr="00C529C9">
          <w:rPr>
            <w:rStyle w:val="Hipervnculo"/>
            <w:rFonts w:cs="Arial"/>
            <w:noProof/>
          </w:rPr>
          <w:t>Tabla 18. Conferencias impartidas por la Agencia.</w:t>
        </w:r>
        <w:r w:rsidR="000D0217">
          <w:rPr>
            <w:noProof/>
            <w:webHidden/>
          </w:rPr>
          <w:tab/>
        </w:r>
        <w:r w:rsidR="000D0217">
          <w:rPr>
            <w:noProof/>
            <w:webHidden/>
          </w:rPr>
          <w:fldChar w:fldCharType="begin"/>
        </w:r>
        <w:r w:rsidR="000D0217">
          <w:rPr>
            <w:noProof/>
            <w:webHidden/>
          </w:rPr>
          <w:instrText xml:space="preserve"> PAGEREF _Toc67646355 \h </w:instrText>
        </w:r>
        <w:r w:rsidR="000D0217">
          <w:rPr>
            <w:noProof/>
            <w:webHidden/>
          </w:rPr>
        </w:r>
        <w:r w:rsidR="000D0217">
          <w:rPr>
            <w:noProof/>
            <w:webHidden/>
          </w:rPr>
          <w:fldChar w:fldCharType="separate"/>
        </w:r>
        <w:r w:rsidR="00997C18">
          <w:rPr>
            <w:noProof/>
            <w:webHidden/>
          </w:rPr>
          <w:t>167</w:t>
        </w:r>
        <w:r w:rsidR="000D0217">
          <w:rPr>
            <w:noProof/>
            <w:webHidden/>
          </w:rPr>
          <w:fldChar w:fldCharType="end"/>
        </w:r>
      </w:hyperlink>
    </w:p>
    <w:p w14:paraId="22307F07" w14:textId="7140A05B"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56" w:history="1">
        <w:r w:rsidR="000D0217" w:rsidRPr="00C529C9">
          <w:rPr>
            <w:rStyle w:val="Hipervnculo"/>
            <w:rFonts w:cs="Arial"/>
            <w:noProof/>
          </w:rPr>
          <w:t>Tabla 19. Entrevistas y reuniones mantenidas por el director de la Agencia.</w:t>
        </w:r>
        <w:r w:rsidR="000D0217">
          <w:rPr>
            <w:noProof/>
            <w:webHidden/>
          </w:rPr>
          <w:tab/>
        </w:r>
        <w:r w:rsidR="000D0217">
          <w:rPr>
            <w:noProof/>
            <w:webHidden/>
          </w:rPr>
          <w:fldChar w:fldCharType="begin"/>
        </w:r>
        <w:r w:rsidR="000D0217">
          <w:rPr>
            <w:noProof/>
            <w:webHidden/>
          </w:rPr>
          <w:instrText xml:space="preserve"> PAGEREF _Toc67646356 \h </w:instrText>
        </w:r>
        <w:r w:rsidR="000D0217">
          <w:rPr>
            <w:noProof/>
            <w:webHidden/>
          </w:rPr>
        </w:r>
        <w:r w:rsidR="000D0217">
          <w:rPr>
            <w:noProof/>
            <w:webHidden/>
          </w:rPr>
          <w:fldChar w:fldCharType="separate"/>
        </w:r>
        <w:r w:rsidR="00997C18">
          <w:rPr>
            <w:noProof/>
            <w:webHidden/>
          </w:rPr>
          <w:t>169</w:t>
        </w:r>
        <w:r w:rsidR="000D0217">
          <w:rPr>
            <w:noProof/>
            <w:webHidden/>
          </w:rPr>
          <w:fldChar w:fldCharType="end"/>
        </w:r>
      </w:hyperlink>
    </w:p>
    <w:p w14:paraId="3986003E" w14:textId="65CA9C11"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57" w:history="1">
        <w:r w:rsidR="000D0217" w:rsidRPr="00C529C9">
          <w:rPr>
            <w:rStyle w:val="Hipervnculo"/>
            <w:rFonts w:cs="Arial"/>
            <w:noProof/>
          </w:rPr>
          <w:t>Tabla 20. Notas de prensa enviadas</w:t>
        </w:r>
        <w:r w:rsidR="000D0217">
          <w:rPr>
            <w:noProof/>
            <w:webHidden/>
          </w:rPr>
          <w:tab/>
        </w:r>
        <w:r w:rsidR="000D0217">
          <w:rPr>
            <w:noProof/>
            <w:webHidden/>
          </w:rPr>
          <w:fldChar w:fldCharType="begin"/>
        </w:r>
        <w:r w:rsidR="000D0217">
          <w:rPr>
            <w:noProof/>
            <w:webHidden/>
          </w:rPr>
          <w:instrText xml:space="preserve"> PAGEREF _Toc67646357 \h </w:instrText>
        </w:r>
        <w:r w:rsidR="000D0217">
          <w:rPr>
            <w:noProof/>
            <w:webHidden/>
          </w:rPr>
        </w:r>
        <w:r w:rsidR="000D0217">
          <w:rPr>
            <w:noProof/>
            <w:webHidden/>
          </w:rPr>
          <w:fldChar w:fldCharType="separate"/>
        </w:r>
        <w:r w:rsidR="00997C18">
          <w:rPr>
            <w:noProof/>
            <w:webHidden/>
          </w:rPr>
          <w:t>177</w:t>
        </w:r>
        <w:r w:rsidR="000D0217">
          <w:rPr>
            <w:noProof/>
            <w:webHidden/>
          </w:rPr>
          <w:fldChar w:fldCharType="end"/>
        </w:r>
      </w:hyperlink>
    </w:p>
    <w:p w14:paraId="64C4160D" w14:textId="33609C98"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58" w:history="1">
        <w:r w:rsidR="000D0217" w:rsidRPr="00C529C9">
          <w:rPr>
            <w:rStyle w:val="Hipervnculo"/>
            <w:rFonts w:cs="Arial"/>
            <w:noProof/>
          </w:rPr>
          <w:t>Tabla 21. Reuniones informativas con los grupos parlamentarios sobre el Proyecto de ley de la Función Pública valenciana</w:t>
        </w:r>
        <w:r w:rsidR="000D0217">
          <w:rPr>
            <w:noProof/>
            <w:webHidden/>
          </w:rPr>
          <w:tab/>
        </w:r>
        <w:r w:rsidR="000D0217">
          <w:rPr>
            <w:noProof/>
            <w:webHidden/>
          </w:rPr>
          <w:fldChar w:fldCharType="begin"/>
        </w:r>
        <w:r w:rsidR="000D0217">
          <w:rPr>
            <w:noProof/>
            <w:webHidden/>
          </w:rPr>
          <w:instrText xml:space="preserve"> PAGEREF _Toc67646358 \h </w:instrText>
        </w:r>
        <w:r w:rsidR="000D0217">
          <w:rPr>
            <w:noProof/>
            <w:webHidden/>
          </w:rPr>
        </w:r>
        <w:r w:rsidR="000D0217">
          <w:rPr>
            <w:noProof/>
            <w:webHidden/>
          </w:rPr>
          <w:fldChar w:fldCharType="separate"/>
        </w:r>
        <w:r w:rsidR="00997C18">
          <w:rPr>
            <w:noProof/>
            <w:webHidden/>
          </w:rPr>
          <w:t>180</w:t>
        </w:r>
        <w:r w:rsidR="000D0217">
          <w:rPr>
            <w:noProof/>
            <w:webHidden/>
          </w:rPr>
          <w:fldChar w:fldCharType="end"/>
        </w:r>
      </w:hyperlink>
    </w:p>
    <w:p w14:paraId="518ECE28" w14:textId="0457B46C"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59" w:history="1">
        <w:r w:rsidR="000D0217" w:rsidRPr="00C529C9">
          <w:rPr>
            <w:rStyle w:val="Hipervnculo"/>
            <w:rFonts w:cs="Arial"/>
            <w:noProof/>
          </w:rPr>
          <w:t>Tabla 22. Publicaciones en boletines oficiales año 2020</w:t>
        </w:r>
        <w:r w:rsidR="000D0217">
          <w:rPr>
            <w:noProof/>
            <w:webHidden/>
          </w:rPr>
          <w:tab/>
        </w:r>
        <w:r w:rsidR="000D0217">
          <w:rPr>
            <w:noProof/>
            <w:webHidden/>
          </w:rPr>
          <w:fldChar w:fldCharType="begin"/>
        </w:r>
        <w:r w:rsidR="000D0217">
          <w:rPr>
            <w:noProof/>
            <w:webHidden/>
          </w:rPr>
          <w:instrText xml:space="preserve"> PAGEREF _Toc67646359 \h </w:instrText>
        </w:r>
        <w:r w:rsidR="000D0217">
          <w:rPr>
            <w:noProof/>
            <w:webHidden/>
          </w:rPr>
        </w:r>
        <w:r w:rsidR="000D0217">
          <w:rPr>
            <w:noProof/>
            <w:webHidden/>
          </w:rPr>
          <w:fldChar w:fldCharType="separate"/>
        </w:r>
        <w:r w:rsidR="00997C18">
          <w:rPr>
            <w:noProof/>
            <w:webHidden/>
          </w:rPr>
          <w:t>182</w:t>
        </w:r>
        <w:r w:rsidR="000D0217">
          <w:rPr>
            <w:noProof/>
            <w:webHidden/>
          </w:rPr>
          <w:fldChar w:fldCharType="end"/>
        </w:r>
      </w:hyperlink>
    </w:p>
    <w:p w14:paraId="6E87C1C6" w14:textId="1CC53590"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60" w:history="1">
        <w:r w:rsidR="000D0217" w:rsidRPr="00C529C9">
          <w:rPr>
            <w:rStyle w:val="Hipervnculo"/>
            <w:rFonts w:cs="Arial"/>
            <w:noProof/>
          </w:rPr>
          <w:t>Tabla 23: Puestos de trabajo adscritos a las unidades administrativas en las que se organiza la Agencia.</w:t>
        </w:r>
        <w:r w:rsidR="000D0217">
          <w:rPr>
            <w:noProof/>
            <w:webHidden/>
          </w:rPr>
          <w:tab/>
        </w:r>
        <w:r w:rsidR="000D0217">
          <w:rPr>
            <w:noProof/>
            <w:webHidden/>
          </w:rPr>
          <w:fldChar w:fldCharType="begin"/>
        </w:r>
        <w:r w:rsidR="000D0217">
          <w:rPr>
            <w:noProof/>
            <w:webHidden/>
          </w:rPr>
          <w:instrText xml:space="preserve"> PAGEREF _Toc67646360 \h </w:instrText>
        </w:r>
        <w:r w:rsidR="000D0217">
          <w:rPr>
            <w:noProof/>
            <w:webHidden/>
          </w:rPr>
        </w:r>
        <w:r w:rsidR="000D0217">
          <w:rPr>
            <w:noProof/>
            <w:webHidden/>
          </w:rPr>
          <w:fldChar w:fldCharType="separate"/>
        </w:r>
        <w:r w:rsidR="00997C18">
          <w:rPr>
            <w:noProof/>
            <w:webHidden/>
          </w:rPr>
          <w:t>189</w:t>
        </w:r>
        <w:r w:rsidR="000D0217">
          <w:rPr>
            <w:noProof/>
            <w:webHidden/>
          </w:rPr>
          <w:fldChar w:fldCharType="end"/>
        </w:r>
      </w:hyperlink>
    </w:p>
    <w:p w14:paraId="6921C2B0" w14:textId="720A0D55"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61" w:history="1">
        <w:r w:rsidR="000D0217" w:rsidRPr="00C529C9">
          <w:rPr>
            <w:rStyle w:val="Hipervnculo"/>
            <w:rFonts w:cs="Arial"/>
            <w:noProof/>
          </w:rPr>
          <w:t>Tabla 24: Procedimientos de provisión de puestos de trabajo durante el ejercicio 2020</w:t>
        </w:r>
        <w:r w:rsidR="000D0217">
          <w:rPr>
            <w:noProof/>
            <w:webHidden/>
          </w:rPr>
          <w:tab/>
        </w:r>
        <w:r w:rsidR="000D0217">
          <w:rPr>
            <w:noProof/>
            <w:webHidden/>
          </w:rPr>
          <w:fldChar w:fldCharType="begin"/>
        </w:r>
        <w:r w:rsidR="000D0217">
          <w:rPr>
            <w:noProof/>
            <w:webHidden/>
          </w:rPr>
          <w:instrText xml:space="preserve"> PAGEREF _Toc67646361 \h </w:instrText>
        </w:r>
        <w:r w:rsidR="000D0217">
          <w:rPr>
            <w:noProof/>
            <w:webHidden/>
          </w:rPr>
        </w:r>
        <w:r w:rsidR="000D0217">
          <w:rPr>
            <w:noProof/>
            <w:webHidden/>
          </w:rPr>
          <w:fldChar w:fldCharType="separate"/>
        </w:r>
        <w:r w:rsidR="00997C18">
          <w:rPr>
            <w:noProof/>
            <w:webHidden/>
          </w:rPr>
          <w:t>192</w:t>
        </w:r>
        <w:r w:rsidR="000D0217">
          <w:rPr>
            <w:noProof/>
            <w:webHidden/>
          </w:rPr>
          <w:fldChar w:fldCharType="end"/>
        </w:r>
      </w:hyperlink>
    </w:p>
    <w:p w14:paraId="4F36BA38" w14:textId="02A75E7A"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62" w:history="1">
        <w:r w:rsidR="000D0217" w:rsidRPr="00C529C9">
          <w:rPr>
            <w:rStyle w:val="Hipervnculo"/>
            <w:rFonts w:cs="Arial"/>
            <w:noProof/>
          </w:rPr>
          <w:t>Tabla 25: Descripción de unidades administrativas, puestos de trabajo adscritos, su clasificación y estado de ocupación a 31 de diciembre. Ejercicios 2017, 2018, 2019 y 2020.</w:t>
        </w:r>
        <w:r w:rsidR="000D0217">
          <w:rPr>
            <w:noProof/>
            <w:webHidden/>
          </w:rPr>
          <w:tab/>
        </w:r>
        <w:r w:rsidR="000D0217">
          <w:rPr>
            <w:noProof/>
            <w:webHidden/>
          </w:rPr>
          <w:fldChar w:fldCharType="begin"/>
        </w:r>
        <w:r w:rsidR="000D0217">
          <w:rPr>
            <w:noProof/>
            <w:webHidden/>
          </w:rPr>
          <w:instrText xml:space="preserve"> PAGEREF _Toc67646362 \h </w:instrText>
        </w:r>
        <w:r w:rsidR="000D0217">
          <w:rPr>
            <w:noProof/>
            <w:webHidden/>
          </w:rPr>
        </w:r>
        <w:r w:rsidR="000D0217">
          <w:rPr>
            <w:noProof/>
            <w:webHidden/>
          </w:rPr>
          <w:fldChar w:fldCharType="separate"/>
        </w:r>
        <w:r w:rsidR="00997C18">
          <w:rPr>
            <w:noProof/>
            <w:webHidden/>
          </w:rPr>
          <w:t>193</w:t>
        </w:r>
        <w:r w:rsidR="000D0217">
          <w:rPr>
            <w:noProof/>
            <w:webHidden/>
          </w:rPr>
          <w:fldChar w:fldCharType="end"/>
        </w:r>
      </w:hyperlink>
    </w:p>
    <w:p w14:paraId="0192DFD9" w14:textId="462BBB0E"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63" w:history="1">
        <w:r w:rsidR="000D0217" w:rsidRPr="00C529C9">
          <w:rPr>
            <w:rStyle w:val="Hipervnculo"/>
            <w:rFonts w:cs="Arial"/>
            <w:noProof/>
          </w:rPr>
          <w:t>Tabla 26: Administración de origen de los funcionarios de la Agencia, según procedencia.</w:t>
        </w:r>
        <w:r w:rsidR="000D0217">
          <w:rPr>
            <w:noProof/>
            <w:webHidden/>
          </w:rPr>
          <w:tab/>
        </w:r>
        <w:r w:rsidR="000D0217">
          <w:rPr>
            <w:noProof/>
            <w:webHidden/>
          </w:rPr>
          <w:fldChar w:fldCharType="begin"/>
        </w:r>
        <w:r w:rsidR="000D0217">
          <w:rPr>
            <w:noProof/>
            <w:webHidden/>
          </w:rPr>
          <w:instrText xml:space="preserve"> PAGEREF _Toc67646363 \h </w:instrText>
        </w:r>
        <w:r w:rsidR="000D0217">
          <w:rPr>
            <w:noProof/>
            <w:webHidden/>
          </w:rPr>
        </w:r>
        <w:r w:rsidR="000D0217">
          <w:rPr>
            <w:noProof/>
            <w:webHidden/>
          </w:rPr>
          <w:fldChar w:fldCharType="separate"/>
        </w:r>
        <w:r w:rsidR="00997C18">
          <w:rPr>
            <w:noProof/>
            <w:webHidden/>
          </w:rPr>
          <w:t>197</w:t>
        </w:r>
        <w:r w:rsidR="000D0217">
          <w:rPr>
            <w:noProof/>
            <w:webHidden/>
          </w:rPr>
          <w:fldChar w:fldCharType="end"/>
        </w:r>
      </w:hyperlink>
    </w:p>
    <w:p w14:paraId="7AA231B7" w14:textId="66FAB123"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64" w:history="1">
        <w:r w:rsidR="000D0217" w:rsidRPr="00C529C9">
          <w:rPr>
            <w:rStyle w:val="Hipervnculo"/>
            <w:rFonts w:cs="Arial"/>
            <w:noProof/>
          </w:rPr>
          <w:t>Tabla 27. Presupuesto de gastos ejercicio 2020</w:t>
        </w:r>
        <w:r w:rsidR="000D0217">
          <w:rPr>
            <w:noProof/>
            <w:webHidden/>
          </w:rPr>
          <w:tab/>
        </w:r>
        <w:r w:rsidR="000D0217">
          <w:rPr>
            <w:noProof/>
            <w:webHidden/>
          </w:rPr>
          <w:fldChar w:fldCharType="begin"/>
        </w:r>
        <w:r w:rsidR="000D0217">
          <w:rPr>
            <w:noProof/>
            <w:webHidden/>
          </w:rPr>
          <w:instrText xml:space="preserve"> PAGEREF _Toc67646364 \h </w:instrText>
        </w:r>
        <w:r w:rsidR="000D0217">
          <w:rPr>
            <w:noProof/>
            <w:webHidden/>
          </w:rPr>
        </w:r>
        <w:r w:rsidR="000D0217">
          <w:rPr>
            <w:noProof/>
            <w:webHidden/>
          </w:rPr>
          <w:fldChar w:fldCharType="separate"/>
        </w:r>
        <w:r w:rsidR="00997C18">
          <w:rPr>
            <w:noProof/>
            <w:webHidden/>
          </w:rPr>
          <w:t>200</w:t>
        </w:r>
        <w:r w:rsidR="000D0217">
          <w:rPr>
            <w:noProof/>
            <w:webHidden/>
          </w:rPr>
          <w:fldChar w:fldCharType="end"/>
        </w:r>
      </w:hyperlink>
    </w:p>
    <w:p w14:paraId="3B5A27ED" w14:textId="5CC57B43"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65" w:history="1">
        <w:r w:rsidR="000D0217" w:rsidRPr="00C529C9">
          <w:rPr>
            <w:rStyle w:val="Hipervnculo"/>
            <w:rFonts w:cs="Arial"/>
            <w:noProof/>
          </w:rPr>
          <w:t>Tabla 28. Presupuesto de ingresos ejercicio 2020</w:t>
        </w:r>
        <w:r w:rsidR="000D0217">
          <w:rPr>
            <w:noProof/>
            <w:webHidden/>
          </w:rPr>
          <w:tab/>
        </w:r>
        <w:r w:rsidR="000D0217">
          <w:rPr>
            <w:noProof/>
            <w:webHidden/>
          </w:rPr>
          <w:fldChar w:fldCharType="begin"/>
        </w:r>
        <w:r w:rsidR="000D0217">
          <w:rPr>
            <w:noProof/>
            <w:webHidden/>
          </w:rPr>
          <w:instrText xml:space="preserve"> PAGEREF _Toc67646365 \h </w:instrText>
        </w:r>
        <w:r w:rsidR="000D0217">
          <w:rPr>
            <w:noProof/>
            <w:webHidden/>
          </w:rPr>
        </w:r>
        <w:r w:rsidR="000D0217">
          <w:rPr>
            <w:noProof/>
            <w:webHidden/>
          </w:rPr>
          <w:fldChar w:fldCharType="separate"/>
        </w:r>
        <w:r w:rsidR="00997C18">
          <w:rPr>
            <w:noProof/>
            <w:webHidden/>
          </w:rPr>
          <w:t>200</w:t>
        </w:r>
        <w:r w:rsidR="000D0217">
          <w:rPr>
            <w:noProof/>
            <w:webHidden/>
          </w:rPr>
          <w:fldChar w:fldCharType="end"/>
        </w:r>
      </w:hyperlink>
    </w:p>
    <w:p w14:paraId="0CBA8A70" w14:textId="247BF866"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66" w:history="1">
        <w:r w:rsidR="000D0217" w:rsidRPr="00C529C9">
          <w:rPr>
            <w:rStyle w:val="Hipervnculo"/>
            <w:rFonts w:cs="Arial"/>
            <w:noProof/>
          </w:rPr>
          <w:t>Tabla 29. Ejecución del presupuesto de ingresos ejercicio 2020</w:t>
        </w:r>
        <w:r w:rsidR="000D0217">
          <w:rPr>
            <w:noProof/>
            <w:webHidden/>
          </w:rPr>
          <w:tab/>
        </w:r>
        <w:r w:rsidR="000D0217">
          <w:rPr>
            <w:noProof/>
            <w:webHidden/>
          </w:rPr>
          <w:fldChar w:fldCharType="begin"/>
        </w:r>
        <w:r w:rsidR="000D0217">
          <w:rPr>
            <w:noProof/>
            <w:webHidden/>
          </w:rPr>
          <w:instrText xml:space="preserve"> PAGEREF _Toc67646366 \h </w:instrText>
        </w:r>
        <w:r w:rsidR="000D0217">
          <w:rPr>
            <w:noProof/>
            <w:webHidden/>
          </w:rPr>
        </w:r>
        <w:r w:rsidR="000D0217">
          <w:rPr>
            <w:noProof/>
            <w:webHidden/>
          </w:rPr>
          <w:fldChar w:fldCharType="separate"/>
        </w:r>
        <w:r w:rsidR="00997C18">
          <w:rPr>
            <w:noProof/>
            <w:webHidden/>
          </w:rPr>
          <w:t>201</w:t>
        </w:r>
        <w:r w:rsidR="000D0217">
          <w:rPr>
            <w:noProof/>
            <w:webHidden/>
          </w:rPr>
          <w:fldChar w:fldCharType="end"/>
        </w:r>
      </w:hyperlink>
    </w:p>
    <w:p w14:paraId="6B5DAE45" w14:textId="37D23EA6"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67" w:history="1">
        <w:r w:rsidR="000D0217" w:rsidRPr="00C529C9">
          <w:rPr>
            <w:rStyle w:val="Hipervnculo"/>
            <w:rFonts w:cs="Arial"/>
            <w:noProof/>
          </w:rPr>
          <w:t>Tabla 30. Comparativa estado ejecución a 31/12 del estado de ingresos correspondiente a los ejercicios 2020 y 2019</w:t>
        </w:r>
        <w:r w:rsidR="000D0217">
          <w:rPr>
            <w:noProof/>
            <w:webHidden/>
          </w:rPr>
          <w:tab/>
        </w:r>
        <w:r w:rsidR="000D0217">
          <w:rPr>
            <w:noProof/>
            <w:webHidden/>
          </w:rPr>
          <w:fldChar w:fldCharType="begin"/>
        </w:r>
        <w:r w:rsidR="000D0217">
          <w:rPr>
            <w:noProof/>
            <w:webHidden/>
          </w:rPr>
          <w:instrText xml:space="preserve"> PAGEREF _Toc67646367 \h </w:instrText>
        </w:r>
        <w:r w:rsidR="000D0217">
          <w:rPr>
            <w:noProof/>
            <w:webHidden/>
          </w:rPr>
        </w:r>
        <w:r w:rsidR="000D0217">
          <w:rPr>
            <w:noProof/>
            <w:webHidden/>
          </w:rPr>
          <w:fldChar w:fldCharType="separate"/>
        </w:r>
        <w:r w:rsidR="00997C18">
          <w:rPr>
            <w:noProof/>
            <w:webHidden/>
          </w:rPr>
          <w:t>201</w:t>
        </w:r>
        <w:r w:rsidR="000D0217">
          <w:rPr>
            <w:noProof/>
            <w:webHidden/>
          </w:rPr>
          <w:fldChar w:fldCharType="end"/>
        </w:r>
      </w:hyperlink>
    </w:p>
    <w:p w14:paraId="03F38721" w14:textId="2C6E64CE"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68" w:history="1">
        <w:r w:rsidR="000D0217" w:rsidRPr="00C529C9">
          <w:rPr>
            <w:rStyle w:val="Hipervnculo"/>
            <w:rFonts w:cs="Arial"/>
            <w:noProof/>
          </w:rPr>
          <w:t>Tabla 31. Resultado presupuestario 2020</w:t>
        </w:r>
        <w:r w:rsidR="000D0217">
          <w:rPr>
            <w:noProof/>
            <w:webHidden/>
          </w:rPr>
          <w:tab/>
        </w:r>
        <w:r w:rsidR="000D0217">
          <w:rPr>
            <w:noProof/>
            <w:webHidden/>
          </w:rPr>
          <w:fldChar w:fldCharType="begin"/>
        </w:r>
        <w:r w:rsidR="000D0217">
          <w:rPr>
            <w:noProof/>
            <w:webHidden/>
          </w:rPr>
          <w:instrText xml:space="preserve"> PAGEREF _Toc67646368 \h </w:instrText>
        </w:r>
        <w:r w:rsidR="000D0217">
          <w:rPr>
            <w:noProof/>
            <w:webHidden/>
          </w:rPr>
        </w:r>
        <w:r w:rsidR="000D0217">
          <w:rPr>
            <w:noProof/>
            <w:webHidden/>
          </w:rPr>
          <w:fldChar w:fldCharType="separate"/>
        </w:r>
        <w:r w:rsidR="00997C18">
          <w:rPr>
            <w:noProof/>
            <w:webHidden/>
          </w:rPr>
          <w:t>202</w:t>
        </w:r>
        <w:r w:rsidR="000D0217">
          <w:rPr>
            <w:noProof/>
            <w:webHidden/>
          </w:rPr>
          <w:fldChar w:fldCharType="end"/>
        </w:r>
      </w:hyperlink>
    </w:p>
    <w:p w14:paraId="3093AC6B" w14:textId="70692604"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69" w:history="1">
        <w:r w:rsidR="000D0217" w:rsidRPr="00C529C9">
          <w:rPr>
            <w:rStyle w:val="Hipervnculo"/>
            <w:rFonts w:cs="Arial"/>
            <w:noProof/>
          </w:rPr>
          <w:t>Tabla 32. Situación y evolución de los fondos de la cuenta corriente</w:t>
        </w:r>
        <w:r w:rsidR="000D0217">
          <w:rPr>
            <w:noProof/>
            <w:webHidden/>
          </w:rPr>
          <w:tab/>
        </w:r>
        <w:r w:rsidR="000D0217">
          <w:rPr>
            <w:noProof/>
            <w:webHidden/>
          </w:rPr>
          <w:fldChar w:fldCharType="begin"/>
        </w:r>
        <w:r w:rsidR="000D0217">
          <w:rPr>
            <w:noProof/>
            <w:webHidden/>
          </w:rPr>
          <w:instrText xml:space="preserve"> PAGEREF _Toc67646369 \h </w:instrText>
        </w:r>
        <w:r w:rsidR="000D0217">
          <w:rPr>
            <w:noProof/>
            <w:webHidden/>
          </w:rPr>
        </w:r>
        <w:r w:rsidR="000D0217">
          <w:rPr>
            <w:noProof/>
            <w:webHidden/>
          </w:rPr>
          <w:fldChar w:fldCharType="separate"/>
        </w:r>
        <w:r w:rsidR="00997C18">
          <w:rPr>
            <w:noProof/>
            <w:webHidden/>
          </w:rPr>
          <w:t>202</w:t>
        </w:r>
        <w:r w:rsidR="000D0217">
          <w:rPr>
            <w:noProof/>
            <w:webHidden/>
          </w:rPr>
          <w:fldChar w:fldCharType="end"/>
        </w:r>
      </w:hyperlink>
    </w:p>
    <w:p w14:paraId="2C4A5DE3" w14:textId="790B4C05"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70" w:history="1">
        <w:r w:rsidR="000D0217" w:rsidRPr="00C529C9">
          <w:rPr>
            <w:rStyle w:val="Hipervnculo"/>
            <w:rFonts w:cs="Arial"/>
            <w:noProof/>
          </w:rPr>
          <w:t>Tabla 33. Estado del remanente de tesorería</w:t>
        </w:r>
        <w:r w:rsidR="000D0217">
          <w:rPr>
            <w:noProof/>
            <w:webHidden/>
          </w:rPr>
          <w:tab/>
        </w:r>
        <w:r w:rsidR="000D0217">
          <w:rPr>
            <w:noProof/>
            <w:webHidden/>
          </w:rPr>
          <w:fldChar w:fldCharType="begin"/>
        </w:r>
        <w:r w:rsidR="000D0217">
          <w:rPr>
            <w:noProof/>
            <w:webHidden/>
          </w:rPr>
          <w:instrText xml:space="preserve"> PAGEREF _Toc67646370 \h </w:instrText>
        </w:r>
        <w:r w:rsidR="000D0217">
          <w:rPr>
            <w:noProof/>
            <w:webHidden/>
          </w:rPr>
        </w:r>
        <w:r w:rsidR="000D0217">
          <w:rPr>
            <w:noProof/>
            <w:webHidden/>
          </w:rPr>
          <w:fldChar w:fldCharType="separate"/>
        </w:r>
        <w:r w:rsidR="00997C18">
          <w:rPr>
            <w:noProof/>
            <w:webHidden/>
          </w:rPr>
          <w:t>203</w:t>
        </w:r>
        <w:r w:rsidR="000D0217">
          <w:rPr>
            <w:noProof/>
            <w:webHidden/>
          </w:rPr>
          <w:fldChar w:fldCharType="end"/>
        </w:r>
      </w:hyperlink>
    </w:p>
    <w:p w14:paraId="3C009F36" w14:textId="5BC88E84"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71" w:history="1">
        <w:r w:rsidR="000D0217" w:rsidRPr="00C529C9">
          <w:rPr>
            <w:rStyle w:val="Hipervnculo"/>
            <w:rFonts w:cs="Arial"/>
            <w:noProof/>
          </w:rPr>
          <w:t>Tabla 34. Periodo medio de pago 2020</w:t>
        </w:r>
        <w:r w:rsidR="000D0217">
          <w:rPr>
            <w:noProof/>
            <w:webHidden/>
          </w:rPr>
          <w:tab/>
        </w:r>
        <w:r w:rsidR="000D0217">
          <w:rPr>
            <w:noProof/>
            <w:webHidden/>
          </w:rPr>
          <w:fldChar w:fldCharType="begin"/>
        </w:r>
        <w:r w:rsidR="000D0217">
          <w:rPr>
            <w:noProof/>
            <w:webHidden/>
          </w:rPr>
          <w:instrText xml:space="preserve"> PAGEREF _Toc67646371 \h </w:instrText>
        </w:r>
        <w:r w:rsidR="000D0217">
          <w:rPr>
            <w:noProof/>
            <w:webHidden/>
          </w:rPr>
        </w:r>
        <w:r w:rsidR="000D0217">
          <w:rPr>
            <w:noProof/>
            <w:webHidden/>
          </w:rPr>
          <w:fldChar w:fldCharType="separate"/>
        </w:r>
        <w:r w:rsidR="00997C18">
          <w:rPr>
            <w:noProof/>
            <w:webHidden/>
          </w:rPr>
          <w:t>205</w:t>
        </w:r>
        <w:r w:rsidR="000D0217">
          <w:rPr>
            <w:noProof/>
            <w:webHidden/>
          </w:rPr>
          <w:fldChar w:fldCharType="end"/>
        </w:r>
      </w:hyperlink>
    </w:p>
    <w:p w14:paraId="7EE8BAF9" w14:textId="25BA5176"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72" w:history="1">
        <w:r w:rsidR="000D0217" w:rsidRPr="00C529C9">
          <w:rPr>
            <w:rStyle w:val="Hipervnculo"/>
            <w:rFonts w:cs="Arial"/>
            <w:noProof/>
          </w:rPr>
          <w:t>Tabla 35. Acuerdos Marco de la Central de Compras de la Generalitat a los que la Agencia está adherida a 31/12/2020</w:t>
        </w:r>
        <w:r w:rsidR="000D0217">
          <w:rPr>
            <w:noProof/>
            <w:webHidden/>
          </w:rPr>
          <w:tab/>
        </w:r>
        <w:r w:rsidR="000D0217">
          <w:rPr>
            <w:noProof/>
            <w:webHidden/>
          </w:rPr>
          <w:fldChar w:fldCharType="begin"/>
        </w:r>
        <w:r w:rsidR="000D0217">
          <w:rPr>
            <w:noProof/>
            <w:webHidden/>
          </w:rPr>
          <w:instrText xml:space="preserve"> PAGEREF _Toc67646372 \h </w:instrText>
        </w:r>
        <w:r w:rsidR="000D0217">
          <w:rPr>
            <w:noProof/>
            <w:webHidden/>
          </w:rPr>
        </w:r>
        <w:r w:rsidR="000D0217">
          <w:rPr>
            <w:noProof/>
            <w:webHidden/>
          </w:rPr>
          <w:fldChar w:fldCharType="separate"/>
        </w:r>
        <w:r w:rsidR="00997C18">
          <w:rPr>
            <w:noProof/>
            <w:webHidden/>
          </w:rPr>
          <w:t>205</w:t>
        </w:r>
        <w:r w:rsidR="000D0217">
          <w:rPr>
            <w:noProof/>
            <w:webHidden/>
          </w:rPr>
          <w:fldChar w:fldCharType="end"/>
        </w:r>
      </w:hyperlink>
    </w:p>
    <w:p w14:paraId="4159D2ED" w14:textId="7C2917F1"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73" w:history="1">
        <w:r w:rsidR="000D0217" w:rsidRPr="00C529C9">
          <w:rPr>
            <w:rStyle w:val="Hipervnculo"/>
            <w:rFonts w:cs="Arial"/>
            <w:noProof/>
          </w:rPr>
          <w:t>Tabla 36. Acuerdos Marco de la Central de Compras del Estado a los que la Agencia está adherida a 31/12/2020</w:t>
        </w:r>
        <w:r w:rsidR="000D0217">
          <w:rPr>
            <w:noProof/>
            <w:webHidden/>
          </w:rPr>
          <w:tab/>
        </w:r>
        <w:r w:rsidR="000D0217">
          <w:rPr>
            <w:noProof/>
            <w:webHidden/>
          </w:rPr>
          <w:fldChar w:fldCharType="begin"/>
        </w:r>
        <w:r w:rsidR="000D0217">
          <w:rPr>
            <w:noProof/>
            <w:webHidden/>
          </w:rPr>
          <w:instrText xml:space="preserve"> PAGEREF _Toc67646373 \h </w:instrText>
        </w:r>
        <w:r w:rsidR="000D0217">
          <w:rPr>
            <w:noProof/>
            <w:webHidden/>
          </w:rPr>
        </w:r>
        <w:r w:rsidR="000D0217">
          <w:rPr>
            <w:noProof/>
            <w:webHidden/>
          </w:rPr>
          <w:fldChar w:fldCharType="separate"/>
        </w:r>
        <w:r w:rsidR="00997C18">
          <w:rPr>
            <w:noProof/>
            <w:webHidden/>
          </w:rPr>
          <w:t>206</w:t>
        </w:r>
        <w:r w:rsidR="000D0217">
          <w:rPr>
            <w:noProof/>
            <w:webHidden/>
          </w:rPr>
          <w:fldChar w:fldCharType="end"/>
        </w:r>
      </w:hyperlink>
    </w:p>
    <w:p w14:paraId="2DFD9A4D" w14:textId="6A137E62"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74" w:history="1">
        <w:r w:rsidR="000D0217" w:rsidRPr="00C529C9">
          <w:rPr>
            <w:rStyle w:val="Hipervnculo"/>
            <w:rFonts w:cs="Arial"/>
            <w:noProof/>
          </w:rPr>
          <w:t>Tabla 37. Resumen actividad contractual de la Agencia</w:t>
        </w:r>
        <w:r w:rsidR="000D0217">
          <w:rPr>
            <w:noProof/>
            <w:webHidden/>
          </w:rPr>
          <w:tab/>
        </w:r>
        <w:r w:rsidR="000D0217">
          <w:rPr>
            <w:noProof/>
            <w:webHidden/>
          </w:rPr>
          <w:fldChar w:fldCharType="begin"/>
        </w:r>
        <w:r w:rsidR="000D0217">
          <w:rPr>
            <w:noProof/>
            <w:webHidden/>
          </w:rPr>
          <w:instrText xml:space="preserve"> PAGEREF _Toc67646374 \h </w:instrText>
        </w:r>
        <w:r w:rsidR="000D0217">
          <w:rPr>
            <w:noProof/>
            <w:webHidden/>
          </w:rPr>
        </w:r>
        <w:r w:rsidR="000D0217">
          <w:rPr>
            <w:noProof/>
            <w:webHidden/>
          </w:rPr>
          <w:fldChar w:fldCharType="separate"/>
        </w:r>
        <w:r w:rsidR="00997C18">
          <w:rPr>
            <w:noProof/>
            <w:webHidden/>
          </w:rPr>
          <w:t>207</w:t>
        </w:r>
        <w:r w:rsidR="000D0217">
          <w:rPr>
            <w:noProof/>
            <w:webHidden/>
          </w:rPr>
          <w:fldChar w:fldCharType="end"/>
        </w:r>
      </w:hyperlink>
    </w:p>
    <w:p w14:paraId="75154B65" w14:textId="539CFEC3"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75" w:history="1">
        <w:r w:rsidR="000D0217" w:rsidRPr="00C529C9">
          <w:rPr>
            <w:rStyle w:val="Hipervnculo"/>
            <w:rFonts w:cs="Arial"/>
            <w:noProof/>
          </w:rPr>
          <w:t>Tabla 38. Porcentaje del volumen presupuestario del 1 de enero al 31 de diciembre de 2020 a través de los procedimientos de adjudicación</w:t>
        </w:r>
        <w:r w:rsidR="000D0217">
          <w:rPr>
            <w:noProof/>
            <w:webHidden/>
          </w:rPr>
          <w:tab/>
        </w:r>
        <w:r w:rsidR="000D0217">
          <w:rPr>
            <w:noProof/>
            <w:webHidden/>
          </w:rPr>
          <w:fldChar w:fldCharType="begin"/>
        </w:r>
        <w:r w:rsidR="000D0217">
          <w:rPr>
            <w:noProof/>
            <w:webHidden/>
          </w:rPr>
          <w:instrText xml:space="preserve"> PAGEREF _Toc67646375 \h </w:instrText>
        </w:r>
        <w:r w:rsidR="000D0217">
          <w:rPr>
            <w:noProof/>
            <w:webHidden/>
          </w:rPr>
        </w:r>
        <w:r w:rsidR="000D0217">
          <w:rPr>
            <w:noProof/>
            <w:webHidden/>
          </w:rPr>
          <w:fldChar w:fldCharType="separate"/>
        </w:r>
        <w:r w:rsidR="00997C18">
          <w:rPr>
            <w:noProof/>
            <w:webHidden/>
          </w:rPr>
          <w:t>207</w:t>
        </w:r>
        <w:r w:rsidR="000D0217">
          <w:rPr>
            <w:noProof/>
            <w:webHidden/>
          </w:rPr>
          <w:fldChar w:fldCharType="end"/>
        </w:r>
      </w:hyperlink>
    </w:p>
    <w:p w14:paraId="4CFA5036" w14:textId="3384303C" w:rsidR="000D0217" w:rsidRDefault="001400EF" w:rsidP="004E3698">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76" w:history="1">
        <w:r w:rsidR="000D0217" w:rsidRPr="00C529C9">
          <w:rPr>
            <w:rStyle w:val="Hipervnculo"/>
            <w:rFonts w:cs="Arial"/>
            <w:noProof/>
          </w:rPr>
          <w:t>Tabla 39. Comparativa actividad contractual de la Agencia. Ejercicios 2019 y 2020</w:t>
        </w:r>
        <w:r w:rsidR="000D0217">
          <w:rPr>
            <w:noProof/>
            <w:webHidden/>
          </w:rPr>
          <w:tab/>
        </w:r>
        <w:r w:rsidR="000D0217">
          <w:rPr>
            <w:noProof/>
            <w:webHidden/>
          </w:rPr>
          <w:fldChar w:fldCharType="begin"/>
        </w:r>
        <w:r w:rsidR="000D0217">
          <w:rPr>
            <w:noProof/>
            <w:webHidden/>
          </w:rPr>
          <w:instrText xml:space="preserve"> PAGEREF _Toc67646376 \h </w:instrText>
        </w:r>
        <w:r w:rsidR="000D0217">
          <w:rPr>
            <w:noProof/>
            <w:webHidden/>
          </w:rPr>
        </w:r>
        <w:r w:rsidR="000D0217">
          <w:rPr>
            <w:noProof/>
            <w:webHidden/>
          </w:rPr>
          <w:fldChar w:fldCharType="separate"/>
        </w:r>
        <w:r w:rsidR="00997C18">
          <w:rPr>
            <w:noProof/>
            <w:webHidden/>
          </w:rPr>
          <w:t>209</w:t>
        </w:r>
        <w:r w:rsidR="000D0217">
          <w:rPr>
            <w:noProof/>
            <w:webHidden/>
          </w:rPr>
          <w:fldChar w:fldCharType="end"/>
        </w:r>
      </w:hyperlink>
    </w:p>
    <w:p w14:paraId="689BD77D" w14:textId="39E3FE76" w:rsidR="004927C3" w:rsidRPr="00973028" w:rsidRDefault="002A4453" w:rsidP="004E3698">
      <w:pPr>
        <w:rPr>
          <w:rFonts w:ascii="Arial" w:hAnsi="Arial" w:cs="Arial"/>
          <w:bCs/>
          <w:color w:val="FF0000"/>
          <w:sz w:val="20"/>
          <w:szCs w:val="20"/>
        </w:rPr>
      </w:pPr>
      <w:r w:rsidRPr="00973028">
        <w:rPr>
          <w:rFonts w:ascii="Arial" w:hAnsi="Arial" w:cs="Arial"/>
          <w:bCs/>
          <w:color w:val="FF0000"/>
          <w:sz w:val="20"/>
          <w:szCs w:val="20"/>
        </w:rPr>
        <w:fldChar w:fldCharType="end"/>
      </w:r>
    </w:p>
    <w:p w14:paraId="5EADAF5A" w14:textId="77777777" w:rsidR="004927C3" w:rsidRPr="00973028" w:rsidRDefault="004927C3">
      <w:pPr>
        <w:rPr>
          <w:rFonts w:ascii="Arial" w:hAnsi="Arial" w:cs="Arial"/>
          <w:b/>
          <w:color w:val="9D2235" w:themeColor="accent1"/>
          <w:sz w:val="60"/>
          <w:szCs w:val="60"/>
        </w:rPr>
      </w:pPr>
      <w:r w:rsidRPr="00973028">
        <w:rPr>
          <w:rFonts w:ascii="Arial" w:hAnsi="Arial" w:cs="Arial"/>
          <w:b/>
          <w:color w:val="9D2235" w:themeColor="accent1"/>
          <w:sz w:val="60"/>
          <w:szCs w:val="60"/>
        </w:rPr>
        <w:t>Índice de imágenes</w:t>
      </w:r>
    </w:p>
    <w:p w14:paraId="771016D2" w14:textId="4C4635A1" w:rsidR="002E302A" w:rsidRDefault="004927C3">
      <w:pPr>
        <w:pStyle w:val="Tabladeilustraciones"/>
        <w:tabs>
          <w:tab w:val="right" w:leader="dot" w:pos="8212"/>
        </w:tabs>
        <w:rPr>
          <w:rFonts w:asciiTheme="minorHAnsi" w:eastAsiaTheme="minorEastAsia" w:hAnsiTheme="minorHAnsi" w:cstheme="minorBidi"/>
          <w:bCs w:val="0"/>
          <w:noProof/>
          <w:sz w:val="22"/>
          <w:szCs w:val="22"/>
          <w:lang w:eastAsia="es-ES"/>
        </w:rPr>
      </w:pPr>
      <w:r w:rsidRPr="00973028">
        <w:rPr>
          <w:rFonts w:cs="Arial"/>
          <w:bCs w:val="0"/>
          <w:color w:val="FF0000"/>
        </w:rPr>
        <w:fldChar w:fldCharType="begin"/>
      </w:r>
      <w:r w:rsidRPr="00973028">
        <w:rPr>
          <w:rFonts w:cs="Arial"/>
          <w:bCs w:val="0"/>
          <w:color w:val="FF0000"/>
        </w:rPr>
        <w:instrText xml:space="preserve"> TOC \h \z \c "Imagen" </w:instrText>
      </w:r>
      <w:r w:rsidRPr="00973028">
        <w:rPr>
          <w:rFonts w:cs="Arial"/>
          <w:bCs w:val="0"/>
          <w:color w:val="FF0000"/>
        </w:rPr>
        <w:fldChar w:fldCharType="separate"/>
      </w:r>
      <w:hyperlink r:id="rId34" w:anchor="_Toc67659162" w:history="1">
        <w:r w:rsidR="002E302A" w:rsidRPr="00AF5819">
          <w:rPr>
            <w:rStyle w:val="Hipervnculo"/>
            <w:rFonts w:cs="Arial"/>
            <w:noProof/>
          </w:rPr>
          <w:t>Imagen 1. Reflexiones en el estado de alarma declarado ante la pandemia del COVID-19</w:t>
        </w:r>
        <w:r w:rsidR="002E302A">
          <w:rPr>
            <w:noProof/>
            <w:webHidden/>
          </w:rPr>
          <w:tab/>
        </w:r>
        <w:r w:rsidR="002E302A">
          <w:rPr>
            <w:noProof/>
            <w:webHidden/>
          </w:rPr>
          <w:fldChar w:fldCharType="begin"/>
        </w:r>
        <w:r w:rsidR="002E302A">
          <w:rPr>
            <w:noProof/>
            <w:webHidden/>
          </w:rPr>
          <w:instrText xml:space="preserve"> PAGEREF _Toc67659162 \h </w:instrText>
        </w:r>
        <w:r w:rsidR="002E302A">
          <w:rPr>
            <w:noProof/>
            <w:webHidden/>
          </w:rPr>
        </w:r>
        <w:r w:rsidR="002E302A">
          <w:rPr>
            <w:noProof/>
            <w:webHidden/>
          </w:rPr>
          <w:fldChar w:fldCharType="separate"/>
        </w:r>
        <w:r w:rsidR="00997C18">
          <w:rPr>
            <w:noProof/>
            <w:webHidden/>
          </w:rPr>
          <w:t>21</w:t>
        </w:r>
        <w:r w:rsidR="002E302A">
          <w:rPr>
            <w:noProof/>
            <w:webHidden/>
          </w:rPr>
          <w:fldChar w:fldCharType="end"/>
        </w:r>
      </w:hyperlink>
    </w:p>
    <w:p w14:paraId="3F48804F" w14:textId="0AA55590" w:rsidR="002E302A"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r:id="rId35" w:anchor="_Toc67659163" w:history="1">
        <w:r w:rsidR="002E302A" w:rsidRPr="00AF5819">
          <w:rPr>
            <w:rStyle w:val="Hipervnculo"/>
            <w:rFonts w:cs="Arial"/>
            <w:noProof/>
          </w:rPr>
          <w:t>Imagen 2. La vía del enriquecimiento injusto en el sector público: ¿uso o abuso?</w:t>
        </w:r>
        <w:r w:rsidR="002E302A">
          <w:rPr>
            <w:noProof/>
            <w:webHidden/>
          </w:rPr>
          <w:tab/>
        </w:r>
        <w:r w:rsidR="002E302A">
          <w:rPr>
            <w:noProof/>
            <w:webHidden/>
          </w:rPr>
          <w:fldChar w:fldCharType="begin"/>
        </w:r>
        <w:r w:rsidR="002E302A">
          <w:rPr>
            <w:noProof/>
            <w:webHidden/>
          </w:rPr>
          <w:instrText xml:space="preserve"> PAGEREF _Toc67659163 \h </w:instrText>
        </w:r>
        <w:r w:rsidR="002E302A">
          <w:rPr>
            <w:noProof/>
            <w:webHidden/>
          </w:rPr>
        </w:r>
        <w:r w:rsidR="002E302A">
          <w:rPr>
            <w:noProof/>
            <w:webHidden/>
          </w:rPr>
          <w:fldChar w:fldCharType="separate"/>
        </w:r>
        <w:r w:rsidR="00997C18">
          <w:rPr>
            <w:noProof/>
            <w:webHidden/>
          </w:rPr>
          <w:t>22</w:t>
        </w:r>
        <w:r w:rsidR="002E302A">
          <w:rPr>
            <w:noProof/>
            <w:webHidden/>
          </w:rPr>
          <w:fldChar w:fldCharType="end"/>
        </w:r>
      </w:hyperlink>
    </w:p>
    <w:p w14:paraId="5B6F20A7" w14:textId="7AE34F18" w:rsidR="002E302A"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r:id="rId36" w:anchor="_Toc67659164" w:history="1">
        <w:r w:rsidR="002E302A" w:rsidRPr="00AF5819">
          <w:rPr>
            <w:rStyle w:val="Hipervnculo"/>
            <w:rFonts w:cs="Arial"/>
            <w:noProof/>
          </w:rPr>
          <w:t>Imagen 3. La planificación: herramienta clave para prevenir los riesgos de corrupción en las organizaciones.</w:t>
        </w:r>
        <w:r w:rsidR="002E302A">
          <w:rPr>
            <w:noProof/>
            <w:webHidden/>
          </w:rPr>
          <w:tab/>
        </w:r>
        <w:r w:rsidR="002E302A">
          <w:rPr>
            <w:noProof/>
            <w:webHidden/>
          </w:rPr>
          <w:fldChar w:fldCharType="begin"/>
        </w:r>
        <w:r w:rsidR="002E302A">
          <w:rPr>
            <w:noProof/>
            <w:webHidden/>
          </w:rPr>
          <w:instrText xml:space="preserve"> PAGEREF _Toc67659164 \h </w:instrText>
        </w:r>
        <w:r w:rsidR="002E302A">
          <w:rPr>
            <w:noProof/>
            <w:webHidden/>
          </w:rPr>
        </w:r>
        <w:r w:rsidR="002E302A">
          <w:rPr>
            <w:noProof/>
            <w:webHidden/>
          </w:rPr>
          <w:fldChar w:fldCharType="separate"/>
        </w:r>
        <w:r w:rsidR="00997C18">
          <w:rPr>
            <w:noProof/>
            <w:webHidden/>
          </w:rPr>
          <w:t>23</w:t>
        </w:r>
        <w:r w:rsidR="002E302A">
          <w:rPr>
            <w:noProof/>
            <w:webHidden/>
          </w:rPr>
          <w:fldChar w:fldCharType="end"/>
        </w:r>
      </w:hyperlink>
    </w:p>
    <w:p w14:paraId="51448B39" w14:textId="632B1052" w:rsidR="002E302A"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r:id="rId37" w:anchor="_Toc67659165" w:history="1">
        <w:r w:rsidR="002E302A" w:rsidRPr="00AF5819">
          <w:rPr>
            <w:rStyle w:val="Hipervnculo"/>
            <w:rFonts w:cs="Arial"/>
            <w:noProof/>
          </w:rPr>
          <w:t>Imagen 4. Reflexiones sobre el conflicto de interés: su desconocimiento, la antesala de la corrupción</w:t>
        </w:r>
        <w:r w:rsidR="002E302A">
          <w:rPr>
            <w:noProof/>
            <w:webHidden/>
          </w:rPr>
          <w:tab/>
        </w:r>
        <w:r w:rsidR="002E302A">
          <w:rPr>
            <w:noProof/>
            <w:webHidden/>
          </w:rPr>
          <w:fldChar w:fldCharType="begin"/>
        </w:r>
        <w:r w:rsidR="002E302A">
          <w:rPr>
            <w:noProof/>
            <w:webHidden/>
          </w:rPr>
          <w:instrText xml:space="preserve"> PAGEREF _Toc67659165 \h </w:instrText>
        </w:r>
        <w:r w:rsidR="002E302A">
          <w:rPr>
            <w:noProof/>
            <w:webHidden/>
          </w:rPr>
        </w:r>
        <w:r w:rsidR="002E302A">
          <w:rPr>
            <w:noProof/>
            <w:webHidden/>
          </w:rPr>
          <w:fldChar w:fldCharType="separate"/>
        </w:r>
        <w:r w:rsidR="00997C18">
          <w:rPr>
            <w:noProof/>
            <w:webHidden/>
          </w:rPr>
          <w:t>24</w:t>
        </w:r>
        <w:r w:rsidR="002E302A">
          <w:rPr>
            <w:noProof/>
            <w:webHidden/>
          </w:rPr>
          <w:fldChar w:fldCharType="end"/>
        </w:r>
      </w:hyperlink>
    </w:p>
    <w:p w14:paraId="4D9DDA68" w14:textId="3DF62D75" w:rsidR="002E302A"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59166" w:history="1">
        <w:r w:rsidR="002E302A" w:rsidRPr="00AF5819">
          <w:rPr>
            <w:rStyle w:val="Hipervnculo"/>
            <w:rFonts w:cs="Arial"/>
            <w:noProof/>
          </w:rPr>
          <w:t>Imagen 5. II Reunión del Consejo de Participación.</w:t>
        </w:r>
        <w:r w:rsidR="002E302A">
          <w:rPr>
            <w:noProof/>
            <w:webHidden/>
          </w:rPr>
          <w:tab/>
        </w:r>
        <w:r w:rsidR="002E302A">
          <w:rPr>
            <w:noProof/>
            <w:webHidden/>
          </w:rPr>
          <w:fldChar w:fldCharType="begin"/>
        </w:r>
        <w:r w:rsidR="002E302A">
          <w:rPr>
            <w:noProof/>
            <w:webHidden/>
          </w:rPr>
          <w:instrText xml:space="preserve"> PAGEREF _Toc67659166 \h </w:instrText>
        </w:r>
        <w:r w:rsidR="002E302A">
          <w:rPr>
            <w:noProof/>
            <w:webHidden/>
          </w:rPr>
        </w:r>
        <w:r w:rsidR="002E302A">
          <w:rPr>
            <w:noProof/>
            <w:webHidden/>
          </w:rPr>
          <w:fldChar w:fldCharType="separate"/>
        </w:r>
        <w:r w:rsidR="00997C18">
          <w:rPr>
            <w:noProof/>
            <w:webHidden/>
          </w:rPr>
          <w:t>156</w:t>
        </w:r>
        <w:r w:rsidR="002E302A">
          <w:rPr>
            <w:noProof/>
            <w:webHidden/>
          </w:rPr>
          <w:fldChar w:fldCharType="end"/>
        </w:r>
      </w:hyperlink>
    </w:p>
    <w:p w14:paraId="3BD0934F" w14:textId="6469E2C7" w:rsidR="002E302A"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59167" w:history="1">
        <w:r w:rsidR="002E302A" w:rsidRPr="00AF5819">
          <w:rPr>
            <w:rStyle w:val="Hipervnculo"/>
            <w:rFonts w:cs="Arial"/>
            <w:noProof/>
          </w:rPr>
          <w:t>Imagen 6. III Reunión del Consejo de Participación</w:t>
        </w:r>
        <w:r w:rsidR="002E302A">
          <w:rPr>
            <w:noProof/>
            <w:webHidden/>
          </w:rPr>
          <w:tab/>
        </w:r>
        <w:r w:rsidR="002E302A">
          <w:rPr>
            <w:noProof/>
            <w:webHidden/>
          </w:rPr>
          <w:fldChar w:fldCharType="begin"/>
        </w:r>
        <w:r w:rsidR="002E302A">
          <w:rPr>
            <w:noProof/>
            <w:webHidden/>
          </w:rPr>
          <w:instrText xml:space="preserve"> PAGEREF _Toc67659167 \h </w:instrText>
        </w:r>
        <w:r w:rsidR="002E302A">
          <w:rPr>
            <w:noProof/>
            <w:webHidden/>
          </w:rPr>
        </w:r>
        <w:r w:rsidR="002E302A">
          <w:rPr>
            <w:noProof/>
            <w:webHidden/>
          </w:rPr>
          <w:fldChar w:fldCharType="separate"/>
        </w:r>
        <w:r w:rsidR="00997C18">
          <w:rPr>
            <w:noProof/>
            <w:webHidden/>
          </w:rPr>
          <w:t>157</w:t>
        </w:r>
        <w:r w:rsidR="002E302A">
          <w:rPr>
            <w:noProof/>
            <w:webHidden/>
          </w:rPr>
          <w:fldChar w:fldCharType="end"/>
        </w:r>
      </w:hyperlink>
    </w:p>
    <w:p w14:paraId="4BB01B22" w14:textId="0163A97F" w:rsidR="002E302A"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59168" w:history="1">
        <w:r w:rsidR="002E302A" w:rsidRPr="00AF5819">
          <w:rPr>
            <w:rStyle w:val="Hipervnculo"/>
            <w:rFonts w:cs="Arial"/>
            <w:noProof/>
          </w:rPr>
          <w:t>Imagen 7. V Encuentro de la Red de Oficinas y Agencias Anticorrupción de España</w:t>
        </w:r>
        <w:r w:rsidR="002E302A">
          <w:rPr>
            <w:noProof/>
            <w:webHidden/>
          </w:rPr>
          <w:tab/>
        </w:r>
        <w:r w:rsidR="002E302A">
          <w:rPr>
            <w:noProof/>
            <w:webHidden/>
          </w:rPr>
          <w:fldChar w:fldCharType="begin"/>
        </w:r>
        <w:r w:rsidR="002E302A">
          <w:rPr>
            <w:noProof/>
            <w:webHidden/>
          </w:rPr>
          <w:instrText xml:space="preserve"> PAGEREF _Toc67659168 \h </w:instrText>
        </w:r>
        <w:r w:rsidR="002E302A">
          <w:rPr>
            <w:noProof/>
            <w:webHidden/>
          </w:rPr>
        </w:r>
        <w:r w:rsidR="002E302A">
          <w:rPr>
            <w:noProof/>
            <w:webHidden/>
          </w:rPr>
          <w:fldChar w:fldCharType="separate"/>
        </w:r>
        <w:r w:rsidR="00997C18">
          <w:rPr>
            <w:noProof/>
            <w:webHidden/>
          </w:rPr>
          <w:t>160</w:t>
        </w:r>
        <w:r w:rsidR="002E302A">
          <w:rPr>
            <w:noProof/>
            <w:webHidden/>
          </w:rPr>
          <w:fldChar w:fldCharType="end"/>
        </w:r>
      </w:hyperlink>
    </w:p>
    <w:p w14:paraId="3E0DD499" w14:textId="309382FD" w:rsidR="002E302A"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59169" w:history="1">
        <w:r w:rsidR="002E302A" w:rsidRPr="00AF5819">
          <w:rPr>
            <w:rStyle w:val="Hipervnculo"/>
            <w:rFonts w:cs="Arial"/>
            <w:noProof/>
          </w:rPr>
          <w:t>Imagen 8. VI Encuentro de la Red de Oficinas y Agencias Anticorrupción de España</w:t>
        </w:r>
        <w:r w:rsidR="002E302A">
          <w:rPr>
            <w:noProof/>
            <w:webHidden/>
          </w:rPr>
          <w:tab/>
        </w:r>
        <w:r w:rsidR="002E302A">
          <w:rPr>
            <w:noProof/>
            <w:webHidden/>
          </w:rPr>
          <w:fldChar w:fldCharType="begin"/>
        </w:r>
        <w:r w:rsidR="002E302A">
          <w:rPr>
            <w:noProof/>
            <w:webHidden/>
          </w:rPr>
          <w:instrText xml:space="preserve"> PAGEREF _Toc67659169 \h </w:instrText>
        </w:r>
        <w:r w:rsidR="002E302A">
          <w:rPr>
            <w:noProof/>
            <w:webHidden/>
          </w:rPr>
        </w:r>
        <w:r w:rsidR="002E302A">
          <w:rPr>
            <w:noProof/>
            <w:webHidden/>
          </w:rPr>
          <w:fldChar w:fldCharType="separate"/>
        </w:r>
        <w:r w:rsidR="00997C18">
          <w:rPr>
            <w:noProof/>
            <w:webHidden/>
          </w:rPr>
          <w:t>161</w:t>
        </w:r>
        <w:r w:rsidR="002E302A">
          <w:rPr>
            <w:noProof/>
            <w:webHidden/>
          </w:rPr>
          <w:fldChar w:fldCharType="end"/>
        </w:r>
      </w:hyperlink>
    </w:p>
    <w:p w14:paraId="33A1C4FA" w14:textId="4A9534EC" w:rsidR="002E302A"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59170" w:history="1">
        <w:r w:rsidR="002E302A" w:rsidRPr="00AF5819">
          <w:rPr>
            <w:rStyle w:val="Hipervnculo"/>
            <w:rFonts w:cs="Arial"/>
            <w:noProof/>
          </w:rPr>
          <w:t>Imagen 9. El director de la AVAF junto al Rector de la Universitat CEU Cardenal Herrera,  Excmo. Sr. Vicente Navarro Luján</w:t>
        </w:r>
        <w:r w:rsidR="002E302A">
          <w:rPr>
            <w:noProof/>
            <w:webHidden/>
          </w:rPr>
          <w:tab/>
        </w:r>
        <w:r w:rsidR="002E302A">
          <w:rPr>
            <w:noProof/>
            <w:webHidden/>
          </w:rPr>
          <w:fldChar w:fldCharType="begin"/>
        </w:r>
        <w:r w:rsidR="002E302A">
          <w:rPr>
            <w:noProof/>
            <w:webHidden/>
          </w:rPr>
          <w:instrText xml:space="preserve"> PAGEREF _Toc67659170 \h </w:instrText>
        </w:r>
        <w:r w:rsidR="002E302A">
          <w:rPr>
            <w:noProof/>
            <w:webHidden/>
          </w:rPr>
        </w:r>
        <w:r w:rsidR="002E302A">
          <w:rPr>
            <w:noProof/>
            <w:webHidden/>
          </w:rPr>
          <w:fldChar w:fldCharType="separate"/>
        </w:r>
        <w:r w:rsidR="00997C18">
          <w:rPr>
            <w:noProof/>
            <w:webHidden/>
          </w:rPr>
          <w:t>162</w:t>
        </w:r>
        <w:r w:rsidR="002E302A">
          <w:rPr>
            <w:noProof/>
            <w:webHidden/>
          </w:rPr>
          <w:fldChar w:fldCharType="end"/>
        </w:r>
      </w:hyperlink>
    </w:p>
    <w:p w14:paraId="600E8B07" w14:textId="5D051AD1" w:rsidR="002E302A"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59171" w:history="1">
        <w:r w:rsidR="002E302A" w:rsidRPr="00AF5819">
          <w:rPr>
            <w:rStyle w:val="Hipervnculo"/>
            <w:rFonts w:cs="Arial"/>
            <w:noProof/>
          </w:rPr>
          <w:t>Imagen 10. El director de la AVAF y la rectora de la Universitat de València, Excma. Sra. Mª Vicenta Mestre Escrivà</w:t>
        </w:r>
        <w:r w:rsidR="002E302A">
          <w:rPr>
            <w:noProof/>
            <w:webHidden/>
          </w:rPr>
          <w:tab/>
        </w:r>
        <w:r w:rsidR="002E302A">
          <w:rPr>
            <w:noProof/>
            <w:webHidden/>
          </w:rPr>
          <w:fldChar w:fldCharType="begin"/>
        </w:r>
        <w:r w:rsidR="002E302A">
          <w:rPr>
            <w:noProof/>
            <w:webHidden/>
          </w:rPr>
          <w:instrText xml:space="preserve"> PAGEREF _Toc67659171 \h </w:instrText>
        </w:r>
        <w:r w:rsidR="002E302A">
          <w:rPr>
            <w:noProof/>
            <w:webHidden/>
          </w:rPr>
        </w:r>
        <w:r w:rsidR="002E302A">
          <w:rPr>
            <w:noProof/>
            <w:webHidden/>
          </w:rPr>
          <w:fldChar w:fldCharType="separate"/>
        </w:r>
        <w:r w:rsidR="00997C18">
          <w:rPr>
            <w:noProof/>
            <w:webHidden/>
          </w:rPr>
          <w:t>163</w:t>
        </w:r>
        <w:r w:rsidR="002E302A">
          <w:rPr>
            <w:noProof/>
            <w:webHidden/>
          </w:rPr>
          <w:fldChar w:fldCharType="end"/>
        </w:r>
      </w:hyperlink>
    </w:p>
    <w:p w14:paraId="7963A27E" w14:textId="28F86E13" w:rsidR="004927C3" w:rsidRPr="00973028" w:rsidRDefault="004927C3">
      <w:pPr>
        <w:rPr>
          <w:rFonts w:ascii="Arial" w:hAnsi="Arial" w:cs="Arial"/>
          <w:bCs/>
          <w:color w:val="FF0000"/>
          <w:sz w:val="20"/>
          <w:szCs w:val="20"/>
        </w:rPr>
      </w:pPr>
      <w:r w:rsidRPr="00973028">
        <w:rPr>
          <w:rFonts w:ascii="Arial" w:hAnsi="Arial" w:cs="Arial"/>
          <w:bCs/>
          <w:color w:val="FF0000"/>
          <w:sz w:val="20"/>
          <w:szCs w:val="20"/>
        </w:rPr>
        <w:fldChar w:fldCharType="end"/>
      </w:r>
    </w:p>
    <w:p w14:paraId="7FE1BA88" w14:textId="77777777" w:rsidR="004927C3" w:rsidRPr="00973028" w:rsidRDefault="004927C3">
      <w:pPr>
        <w:rPr>
          <w:rFonts w:ascii="Arial" w:hAnsi="Arial" w:cs="Arial"/>
          <w:b/>
          <w:color w:val="9D2235" w:themeColor="accent1"/>
          <w:sz w:val="60"/>
          <w:szCs w:val="60"/>
        </w:rPr>
      </w:pPr>
      <w:r w:rsidRPr="00973028">
        <w:rPr>
          <w:rFonts w:ascii="Arial" w:hAnsi="Arial" w:cs="Arial"/>
          <w:b/>
          <w:color w:val="9D2235" w:themeColor="accent1"/>
          <w:sz w:val="60"/>
          <w:szCs w:val="60"/>
        </w:rPr>
        <w:t>Índice de gráficos</w:t>
      </w:r>
    </w:p>
    <w:p w14:paraId="4351289C" w14:textId="769E554B" w:rsidR="000D0217" w:rsidRDefault="004927C3">
      <w:pPr>
        <w:pStyle w:val="Tabladeilustraciones"/>
        <w:tabs>
          <w:tab w:val="right" w:leader="dot" w:pos="8212"/>
        </w:tabs>
        <w:rPr>
          <w:rFonts w:asciiTheme="minorHAnsi" w:eastAsiaTheme="minorEastAsia" w:hAnsiTheme="minorHAnsi" w:cstheme="minorBidi"/>
          <w:bCs w:val="0"/>
          <w:noProof/>
          <w:sz w:val="22"/>
          <w:szCs w:val="22"/>
          <w:lang w:eastAsia="es-ES"/>
        </w:rPr>
      </w:pPr>
      <w:r w:rsidRPr="00973028">
        <w:rPr>
          <w:rFonts w:cs="Arial"/>
          <w:bCs w:val="0"/>
          <w:color w:val="FF0000"/>
        </w:rPr>
        <w:fldChar w:fldCharType="begin"/>
      </w:r>
      <w:r w:rsidRPr="00973028">
        <w:rPr>
          <w:rFonts w:cs="Arial"/>
          <w:bCs w:val="0"/>
          <w:color w:val="FF0000"/>
        </w:rPr>
        <w:instrText xml:space="preserve"> TOC \h \z \c "Gráfico" </w:instrText>
      </w:r>
      <w:r w:rsidRPr="00973028">
        <w:rPr>
          <w:rFonts w:cs="Arial"/>
          <w:bCs w:val="0"/>
          <w:color w:val="FF0000"/>
        </w:rPr>
        <w:fldChar w:fldCharType="separate"/>
      </w:r>
      <w:hyperlink w:anchor="_Toc67646397" w:history="1">
        <w:r w:rsidR="000D0217" w:rsidRPr="00A458FB">
          <w:rPr>
            <w:rStyle w:val="Hipervnculo"/>
            <w:rFonts w:cs="Arial"/>
            <w:noProof/>
          </w:rPr>
          <w:t>Gráfico 1. Denuncias presentadas por ámbito subjetivo</w:t>
        </w:r>
        <w:r w:rsidR="000D0217">
          <w:rPr>
            <w:noProof/>
            <w:webHidden/>
          </w:rPr>
          <w:tab/>
        </w:r>
        <w:r w:rsidR="000D0217">
          <w:rPr>
            <w:noProof/>
            <w:webHidden/>
          </w:rPr>
          <w:fldChar w:fldCharType="begin"/>
        </w:r>
        <w:r w:rsidR="000D0217">
          <w:rPr>
            <w:noProof/>
            <w:webHidden/>
          </w:rPr>
          <w:instrText xml:space="preserve"> PAGEREF _Toc67646397 \h </w:instrText>
        </w:r>
        <w:r w:rsidR="000D0217">
          <w:rPr>
            <w:noProof/>
            <w:webHidden/>
          </w:rPr>
        </w:r>
        <w:r w:rsidR="000D0217">
          <w:rPr>
            <w:noProof/>
            <w:webHidden/>
          </w:rPr>
          <w:fldChar w:fldCharType="separate"/>
        </w:r>
        <w:r w:rsidR="00997C18">
          <w:rPr>
            <w:noProof/>
            <w:webHidden/>
          </w:rPr>
          <w:t>50</w:t>
        </w:r>
        <w:r w:rsidR="000D0217">
          <w:rPr>
            <w:noProof/>
            <w:webHidden/>
          </w:rPr>
          <w:fldChar w:fldCharType="end"/>
        </w:r>
      </w:hyperlink>
    </w:p>
    <w:p w14:paraId="1B8FCF07" w14:textId="3FAA0A82"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r:id="rId38" w:anchor="_Toc67646398" w:history="1">
        <w:r w:rsidR="000D0217" w:rsidRPr="00A458FB">
          <w:rPr>
            <w:rStyle w:val="Hipervnculo"/>
            <w:rFonts w:cs="Arial"/>
            <w:noProof/>
          </w:rPr>
          <w:t>Gráfico 2. Denuncias presentadas según el canal de comunicación.</w:t>
        </w:r>
        <w:r w:rsidR="000D0217">
          <w:rPr>
            <w:noProof/>
            <w:webHidden/>
          </w:rPr>
          <w:tab/>
        </w:r>
        <w:r w:rsidR="000D0217">
          <w:rPr>
            <w:noProof/>
            <w:webHidden/>
          </w:rPr>
          <w:fldChar w:fldCharType="begin"/>
        </w:r>
        <w:r w:rsidR="000D0217">
          <w:rPr>
            <w:noProof/>
            <w:webHidden/>
          </w:rPr>
          <w:instrText xml:space="preserve"> PAGEREF _Toc67646398 \h </w:instrText>
        </w:r>
        <w:r w:rsidR="000D0217">
          <w:rPr>
            <w:noProof/>
            <w:webHidden/>
          </w:rPr>
        </w:r>
        <w:r w:rsidR="000D0217">
          <w:rPr>
            <w:noProof/>
            <w:webHidden/>
          </w:rPr>
          <w:fldChar w:fldCharType="separate"/>
        </w:r>
        <w:r w:rsidR="00997C18">
          <w:rPr>
            <w:noProof/>
            <w:webHidden/>
          </w:rPr>
          <w:t>53</w:t>
        </w:r>
        <w:r w:rsidR="000D0217">
          <w:rPr>
            <w:noProof/>
            <w:webHidden/>
          </w:rPr>
          <w:fldChar w:fldCharType="end"/>
        </w:r>
      </w:hyperlink>
    </w:p>
    <w:p w14:paraId="7705F7A9" w14:textId="628B4E30"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399" w:history="1">
        <w:r w:rsidR="000D0217" w:rsidRPr="00A458FB">
          <w:rPr>
            <w:rStyle w:val="Hipervnculo"/>
            <w:rFonts w:cs="Arial"/>
            <w:noProof/>
          </w:rPr>
          <w:t>Gráfico 3. Distribución del acumulado denuncias 2017-2020</w:t>
        </w:r>
        <w:r w:rsidR="000D0217">
          <w:rPr>
            <w:noProof/>
            <w:webHidden/>
          </w:rPr>
          <w:tab/>
        </w:r>
        <w:r w:rsidR="000D0217">
          <w:rPr>
            <w:noProof/>
            <w:webHidden/>
          </w:rPr>
          <w:fldChar w:fldCharType="begin"/>
        </w:r>
        <w:r w:rsidR="000D0217">
          <w:rPr>
            <w:noProof/>
            <w:webHidden/>
          </w:rPr>
          <w:instrText xml:space="preserve"> PAGEREF _Toc67646399 \h </w:instrText>
        </w:r>
        <w:r w:rsidR="000D0217">
          <w:rPr>
            <w:noProof/>
            <w:webHidden/>
          </w:rPr>
        </w:r>
        <w:r w:rsidR="000D0217">
          <w:rPr>
            <w:noProof/>
            <w:webHidden/>
          </w:rPr>
          <w:fldChar w:fldCharType="separate"/>
        </w:r>
        <w:r w:rsidR="00997C18">
          <w:rPr>
            <w:noProof/>
            <w:webHidden/>
          </w:rPr>
          <w:t>55</w:t>
        </w:r>
        <w:r w:rsidR="000D0217">
          <w:rPr>
            <w:noProof/>
            <w:webHidden/>
          </w:rPr>
          <w:fldChar w:fldCharType="end"/>
        </w:r>
      </w:hyperlink>
    </w:p>
    <w:p w14:paraId="3AFB1078" w14:textId="4EC37A4D"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00" w:history="1">
        <w:r w:rsidR="000D0217" w:rsidRPr="00A458FB">
          <w:rPr>
            <w:rStyle w:val="Hipervnculo"/>
            <w:rFonts w:cs="Arial"/>
            <w:noProof/>
          </w:rPr>
          <w:t>Gráfico 4. Evolución de denuncias por territorio y año</w:t>
        </w:r>
        <w:r w:rsidR="000D0217">
          <w:rPr>
            <w:noProof/>
            <w:webHidden/>
          </w:rPr>
          <w:tab/>
        </w:r>
        <w:r w:rsidR="000D0217">
          <w:rPr>
            <w:noProof/>
            <w:webHidden/>
          </w:rPr>
          <w:fldChar w:fldCharType="begin"/>
        </w:r>
        <w:r w:rsidR="000D0217">
          <w:rPr>
            <w:noProof/>
            <w:webHidden/>
          </w:rPr>
          <w:instrText xml:space="preserve"> PAGEREF _Toc67646400 \h </w:instrText>
        </w:r>
        <w:r w:rsidR="000D0217">
          <w:rPr>
            <w:noProof/>
            <w:webHidden/>
          </w:rPr>
        </w:r>
        <w:r w:rsidR="000D0217">
          <w:rPr>
            <w:noProof/>
            <w:webHidden/>
          </w:rPr>
          <w:fldChar w:fldCharType="separate"/>
        </w:r>
        <w:r w:rsidR="00997C18">
          <w:rPr>
            <w:noProof/>
            <w:webHidden/>
          </w:rPr>
          <w:t>55</w:t>
        </w:r>
        <w:r w:rsidR="000D0217">
          <w:rPr>
            <w:noProof/>
            <w:webHidden/>
          </w:rPr>
          <w:fldChar w:fldCharType="end"/>
        </w:r>
      </w:hyperlink>
    </w:p>
    <w:p w14:paraId="4CB3B205" w14:textId="6CE4D880"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01" w:history="1">
        <w:r w:rsidR="000D0217" w:rsidRPr="00A458FB">
          <w:rPr>
            <w:rStyle w:val="Hipervnculo"/>
            <w:rFonts w:cs="Arial"/>
            <w:noProof/>
          </w:rPr>
          <w:t>Gráfico 5. Denuncias presentadas según el ámbito material.</w:t>
        </w:r>
        <w:r w:rsidR="000D0217">
          <w:rPr>
            <w:noProof/>
            <w:webHidden/>
          </w:rPr>
          <w:tab/>
        </w:r>
        <w:r w:rsidR="000D0217">
          <w:rPr>
            <w:noProof/>
            <w:webHidden/>
          </w:rPr>
          <w:fldChar w:fldCharType="begin"/>
        </w:r>
        <w:r w:rsidR="000D0217">
          <w:rPr>
            <w:noProof/>
            <w:webHidden/>
          </w:rPr>
          <w:instrText xml:space="preserve"> PAGEREF _Toc67646401 \h </w:instrText>
        </w:r>
        <w:r w:rsidR="000D0217">
          <w:rPr>
            <w:noProof/>
            <w:webHidden/>
          </w:rPr>
        </w:r>
        <w:r w:rsidR="000D0217">
          <w:rPr>
            <w:noProof/>
            <w:webHidden/>
          </w:rPr>
          <w:fldChar w:fldCharType="separate"/>
        </w:r>
        <w:r w:rsidR="00997C18">
          <w:rPr>
            <w:noProof/>
            <w:webHidden/>
          </w:rPr>
          <w:t>57</w:t>
        </w:r>
        <w:r w:rsidR="000D0217">
          <w:rPr>
            <w:noProof/>
            <w:webHidden/>
          </w:rPr>
          <w:fldChar w:fldCharType="end"/>
        </w:r>
      </w:hyperlink>
    </w:p>
    <w:p w14:paraId="24C14F45" w14:textId="382A57B7"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02" w:history="1">
        <w:r w:rsidR="000D0217" w:rsidRPr="00A458FB">
          <w:rPr>
            <w:rStyle w:val="Hipervnculo"/>
            <w:rFonts w:cs="Arial"/>
            <w:noProof/>
          </w:rPr>
          <w:t>Gráfico 6. Denuncias presentadas según la tipología, condición o naturaleza del comunicante.</w:t>
        </w:r>
        <w:r w:rsidR="000D0217">
          <w:rPr>
            <w:noProof/>
            <w:webHidden/>
          </w:rPr>
          <w:tab/>
        </w:r>
        <w:r w:rsidR="000D0217">
          <w:rPr>
            <w:noProof/>
            <w:webHidden/>
          </w:rPr>
          <w:fldChar w:fldCharType="begin"/>
        </w:r>
        <w:r w:rsidR="000D0217">
          <w:rPr>
            <w:noProof/>
            <w:webHidden/>
          </w:rPr>
          <w:instrText xml:space="preserve"> PAGEREF _Toc67646402 \h </w:instrText>
        </w:r>
        <w:r w:rsidR="000D0217">
          <w:rPr>
            <w:noProof/>
            <w:webHidden/>
          </w:rPr>
        </w:r>
        <w:r w:rsidR="000D0217">
          <w:rPr>
            <w:noProof/>
            <w:webHidden/>
          </w:rPr>
          <w:fldChar w:fldCharType="separate"/>
        </w:r>
        <w:r w:rsidR="00997C18">
          <w:rPr>
            <w:noProof/>
            <w:webHidden/>
          </w:rPr>
          <w:t>59</w:t>
        </w:r>
        <w:r w:rsidR="000D0217">
          <w:rPr>
            <w:noProof/>
            <w:webHidden/>
          </w:rPr>
          <w:fldChar w:fldCharType="end"/>
        </w:r>
      </w:hyperlink>
    </w:p>
    <w:p w14:paraId="270AE1A9" w14:textId="3DE3BCC9"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03" w:history="1">
        <w:r w:rsidR="000D0217" w:rsidRPr="00A458FB">
          <w:rPr>
            <w:rStyle w:val="Hipervnculo"/>
            <w:rFonts w:cs="Arial"/>
            <w:noProof/>
          </w:rPr>
          <w:t>Gráfico 7. Denuncias de personas físicas clasificadas por género</w:t>
        </w:r>
        <w:r w:rsidR="000D0217">
          <w:rPr>
            <w:noProof/>
            <w:webHidden/>
          </w:rPr>
          <w:tab/>
        </w:r>
        <w:r w:rsidR="000D0217">
          <w:rPr>
            <w:noProof/>
            <w:webHidden/>
          </w:rPr>
          <w:fldChar w:fldCharType="begin"/>
        </w:r>
        <w:r w:rsidR="000D0217">
          <w:rPr>
            <w:noProof/>
            <w:webHidden/>
          </w:rPr>
          <w:instrText xml:space="preserve"> PAGEREF _Toc67646403 \h </w:instrText>
        </w:r>
        <w:r w:rsidR="000D0217">
          <w:rPr>
            <w:noProof/>
            <w:webHidden/>
          </w:rPr>
        </w:r>
        <w:r w:rsidR="000D0217">
          <w:rPr>
            <w:noProof/>
            <w:webHidden/>
          </w:rPr>
          <w:fldChar w:fldCharType="separate"/>
        </w:r>
        <w:r w:rsidR="00997C18">
          <w:rPr>
            <w:noProof/>
            <w:webHidden/>
          </w:rPr>
          <w:t>60</w:t>
        </w:r>
        <w:r w:rsidR="000D0217">
          <w:rPr>
            <w:noProof/>
            <w:webHidden/>
          </w:rPr>
          <w:fldChar w:fldCharType="end"/>
        </w:r>
      </w:hyperlink>
    </w:p>
    <w:p w14:paraId="677FD0D5" w14:textId="39AF6338"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04" w:history="1">
        <w:r w:rsidR="000D0217" w:rsidRPr="00A458FB">
          <w:rPr>
            <w:rStyle w:val="Hipervnculo"/>
            <w:rFonts w:cs="Arial"/>
            <w:noProof/>
          </w:rPr>
          <w:t>Gráfico 8. Estado de situación de los expedientes de Análisis e Investigación (totales)</w:t>
        </w:r>
        <w:r w:rsidR="000D0217">
          <w:rPr>
            <w:noProof/>
            <w:webHidden/>
          </w:rPr>
          <w:tab/>
        </w:r>
        <w:r w:rsidR="000D0217">
          <w:rPr>
            <w:noProof/>
            <w:webHidden/>
          </w:rPr>
          <w:fldChar w:fldCharType="begin"/>
        </w:r>
        <w:r w:rsidR="000D0217">
          <w:rPr>
            <w:noProof/>
            <w:webHidden/>
          </w:rPr>
          <w:instrText xml:space="preserve"> PAGEREF _Toc67646404 \h </w:instrText>
        </w:r>
        <w:r w:rsidR="000D0217">
          <w:rPr>
            <w:noProof/>
            <w:webHidden/>
          </w:rPr>
        </w:r>
        <w:r w:rsidR="000D0217">
          <w:rPr>
            <w:noProof/>
            <w:webHidden/>
          </w:rPr>
          <w:fldChar w:fldCharType="separate"/>
        </w:r>
        <w:r w:rsidR="00997C18">
          <w:rPr>
            <w:noProof/>
            <w:webHidden/>
          </w:rPr>
          <w:t>62</w:t>
        </w:r>
        <w:r w:rsidR="000D0217">
          <w:rPr>
            <w:noProof/>
            <w:webHidden/>
          </w:rPr>
          <w:fldChar w:fldCharType="end"/>
        </w:r>
      </w:hyperlink>
    </w:p>
    <w:p w14:paraId="2D7B5D50" w14:textId="7F3CA4C3"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05" w:history="1">
        <w:r w:rsidR="000D0217" w:rsidRPr="00A458FB">
          <w:rPr>
            <w:rStyle w:val="Hipervnculo"/>
            <w:rFonts w:cs="Arial"/>
            <w:noProof/>
          </w:rPr>
          <w:t>Gráfico 9. Estado de situación de los expedientes de análisis e investigación (2017-2020)</w:t>
        </w:r>
        <w:r w:rsidR="000D0217">
          <w:rPr>
            <w:noProof/>
            <w:webHidden/>
          </w:rPr>
          <w:tab/>
        </w:r>
        <w:r w:rsidR="000D0217">
          <w:rPr>
            <w:noProof/>
            <w:webHidden/>
          </w:rPr>
          <w:fldChar w:fldCharType="begin"/>
        </w:r>
        <w:r w:rsidR="000D0217">
          <w:rPr>
            <w:noProof/>
            <w:webHidden/>
          </w:rPr>
          <w:instrText xml:space="preserve"> PAGEREF _Toc67646405 \h </w:instrText>
        </w:r>
        <w:r w:rsidR="000D0217">
          <w:rPr>
            <w:noProof/>
            <w:webHidden/>
          </w:rPr>
        </w:r>
        <w:r w:rsidR="000D0217">
          <w:rPr>
            <w:noProof/>
            <w:webHidden/>
          </w:rPr>
          <w:fldChar w:fldCharType="separate"/>
        </w:r>
        <w:r w:rsidR="00997C18">
          <w:rPr>
            <w:noProof/>
            <w:webHidden/>
          </w:rPr>
          <w:t>62</w:t>
        </w:r>
        <w:r w:rsidR="000D0217">
          <w:rPr>
            <w:noProof/>
            <w:webHidden/>
          </w:rPr>
          <w:fldChar w:fldCharType="end"/>
        </w:r>
      </w:hyperlink>
    </w:p>
    <w:p w14:paraId="70B7890C" w14:textId="4E601374"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06" w:history="1">
        <w:r w:rsidR="000D0217" w:rsidRPr="00A458FB">
          <w:rPr>
            <w:rStyle w:val="Hipervnculo"/>
            <w:rFonts w:cs="Arial"/>
            <w:noProof/>
          </w:rPr>
          <w:t>Gráfico 10. Resumen de expedientes en fase de análisis tramitados en 2020 y 2019</w:t>
        </w:r>
        <w:r w:rsidR="000D0217">
          <w:rPr>
            <w:noProof/>
            <w:webHidden/>
          </w:rPr>
          <w:tab/>
        </w:r>
        <w:r w:rsidR="000D0217">
          <w:rPr>
            <w:noProof/>
            <w:webHidden/>
          </w:rPr>
          <w:fldChar w:fldCharType="begin"/>
        </w:r>
        <w:r w:rsidR="000D0217">
          <w:rPr>
            <w:noProof/>
            <w:webHidden/>
          </w:rPr>
          <w:instrText xml:space="preserve"> PAGEREF _Toc67646406 \h </w:instrText>
        </w:r>
        <w:r w:rsidR="000D0217">
          <w:rPr>
            <w:noProof/>
            <w:webHidden/>
          </w:rPr>
        </w:r>
        <w:r w:rsidR="000D0217">
          <w:rPr>
            <w:noProof/>
            <w:webHidden/>
          </w:rPr>
          <w:fldChar w:fldCharType="separate"/>
        </w:r>
        <w:r w:rsidR="00997C18">
          <w:rPr>
            <w:noProof/>
            <w:webHidden/>
          </w:rPr>
          <w:t>64</w:t>
        </w:r>
        <w:r w:rsidR="000D0217">
          <w:rPr>
            <w:noProof/>
            <w:webHidden/>
          </w:rPr>
          <w:fldChar w:fldCharType="end"/>
        </w:r>
      </w:hyperlink>
    </w:p>
    <w:p w14:paraId="4C117A09" w14:textId="0C819FAE"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07" w:history="1">
        <w:r w:rsidR="000D0217" w:rsidRPr="00A458FB">
          <w:rPr>
            <w:rStyle w:val="Hipervnculo"/>
            <w:rFonts w:cs="Arial"/>
            <w:noProof/>
          </w:rPr>
          <w:t>Gráfico 11. Resumen de expedientes en fase de investigación tramitados en 2020 y 2019</w:t>
        </w:r>
        <w:r w:rsidR="000D0217">
          <w:rPr>
            <w:noProof/>
            <w:webHidden/>
          </w:rPr>
          <w:tab/>
        </w:r>
        <w:r w:rsidR="000D0217">
          <w:rPr>
            <w:noProof/>
            <w:webHidden/>
          </w:rPr>
          <w:fldChar w:fldCharType="begin"/>
        </w:r>
        <w:r w:rsidR="000D0217">
          <w:rPr>
            <w:noProof/>
            <w:webHidden/>
          </w:rPr>
          <w:instrText xml:space="preserve"> PAGEREF _Toc67646407 \h </w:instrText>
        </w:r>
        <w:r w:rsidR="000D0217">
          <w:rPr>
            <w:noProof/>
            <w:webHidden/>
          </w:rPr>
        </w:r>
        <w:r w:rsidR="000D0217">
          <w:rPr>
            <w:noProof/>
            <w:webHidden/>
          </w:rPr>
          <w:fldChar w:fldCharType="separate"/>
        </w:r>
        <w:r w:rsidR="00997C18">
          <w:rPr>
            <w:noProof/>
            <w:webHidden/>
          </w:rPr>
          <w:t>64</w:t>
        </w:r>
        <w:r w:rsidR="000D0217">
          <w:rPr>
            <w:noProof/>
            <w:webHidden/>
          </w:rPr>
          <w:fldChar w:fldCharType="end"/>
        </w:r>
      </w:hyperlink>
    </w:p>
    <w:p w14:paraId="55837BAB" w14:textId="24106A9F"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08" w:history="1">
        <w:r w:rsidR="000D0217" w:rsidRPr="00A458FB">
          <w:rPr>
            <w:rStyle w:val="Hipervnculo"/>
            <w:rFonts w:cs="Arial"/>
            <w:noProof/>
          </w:rPr>
          <w:t>Gráfico 12. Número de solicitudes de protección presentadas desde la puesta en marcha de la Agencia en noviembre de 2017 hasta diciembre de 2020.</w:t>
        </w:r>
        <w:r w:rsidR="000D0217">
          <w:rPr>
            <w:noProof/>
            <w:webHidden/>
          </w:rPr>
          <w:tab/>
        </w:r>
        <w:r w:rsidR="000D0217">
          <w:rPr>
            <w:noProof/>
            <w:webHidden/>
          </w:rPr>
          <w:fldChar w:fldCharType="begin"/>
        </w:r>
        <w:r w:rsidR="000D0217">
          <w:rPr>
            <w:noProof/>
            <w:webHidden/>
          </w:rPr>
          <w:instrText xml:space="preserve"> PAGEREF _Toc67646408 \h </w:instrText>
        </w:r>
        <w:r w:rsidR="000D0217">
          <w:rPr>
            <w:noProof/>
            <w:webHidden/>
          </w:rPr>
        </w:r>
        <w:r w:rsidR="000D0217">
          <w:rPr>
            <w:noProof/>
            <w:webHidden/>
          </w:rPr>
          <w:fldChar w:fldCharType="separate"/>
        </w:r>
        <w:r w:rsidR="00997C18">
          <w:rPr>
            <w:noProof/>
            <w:webHidden/>
          </w:rPr>
          <w:t>132</w:t>
        </w:r>
        <w:r w:rsidR="000D0217">
          <w:rPr>
            <w:noProof/>
            <w:webHidden/>
          </w:rPr>
          <w:fldChar w:fldCharType="end"/>
        </w:r>
      </w:hyperlink>
    </w:p>
    <w:p w14:paraId="302C2524" w14:textId="56E74675"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09" w:history="1">
        <w:r w:rsidR="000D0217" w:rsidRPr="00A458FB">
          <w:rPr>
            <w:rStyle w:val="Hipervnculo"/>
            <w:rFonts w:cs="Arial"/>
            <w:noProof/>
          </w:rPr>
          <w:t>Gráfico 13. Canal o medio de representación de las solicitudes de protección desde 2017 a 2020</w:t>
        </w:r>
        <w:r w:rsidR="000D0217">
          <w:rPr>
            <w:noProof/>
            <w:webHidden/>
          </w:rPr>
          <w:tab/>
        </w:r>
        <w:r w:rsidR="000D0217">
          <w:rPr>
            <w:noProof/>
            <w:webHidden/>
          </w:rPr>
          <w:fldChar w:fldCharType="begin"/>
        </w:r>
        <w:r w:rsidR="000D0217">
          <w:rPr>
            <w:noProof/>
            <w:webHidden/>
          </w:rPr>
          <w:instrText xml:space="preserve"> PAGEREF _Toc67646409 \h </w:instrText>
        </w:r>
        <w:r w:rsidR="000D0217">
          <w:rPr>
            <w:noProof/>
            <w:webHidden/>
          </w:rPr>
        </w:r>
        <w:r w:rsidR="000D0217">
          <w:rPr>
            <w:noProof/>
            <w:webHidden/>
          </w:rPr>
          <w:fldChar w:fldCharType="separate"/>
        </w:r>
        <w:r w:rsidR="00997C18">
          <w:rPr>
            <w:noProof/>
            <w:webHidden/>
          </w:rPr>
          <w:t>132</w:t>
        </w:r>
        <w:r w:rsidR="000D0217">
          <w:rPr>
            <w:noProof/>
            <w:webHidden/>
          </w:rPr>
          <w:fldChar w:fldCharType="end"/>
        </w:r>
      </w:hyperlink>
    </w:p>
    <w:p w14:paraId="28999DA3" w14:textId="260A2B5F"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10" w:history="1">
        <w:r w:rsidR="000D0217" w:rsidRPr="00A458FB">
          <w:rPr>
            <w:rStyle w:val="Hipervnculo"/>
            <w:rFonts w:cs="Arial"/>
            <w:noProof/>
          </w:rPr>
          <w:t>Gráfico 14. Número de solicitudes de protección presentadas según el tipo de administración, institución o entidad afectada por la denuncia desde 2017 a 2020</w:t>
        </w:r>
        <w:r w:rsidR="000D0217">
          <w:rPr>
            <w:noProof/>
            <w:webHidden/>
          </w:rPr>
          <w:tab/>
        </w:r>
        <w:r w:rsidR="000D0217">
          <w:rPr>
            <w:noProof/>
            <w:webHidden/>
          </w:rPr>
          <w:fldChar w:fldCharType="begin"/>
        </w:r>
        <w:r w:rsidR="000D0217">
          <w:rPr>
            <w:noProof/>
            <w:webHidden/>
          </w:rPr>
          <w:instrText xml:space="preserve"> PAGEREF _Toc67646410 \h </w:instrText>
        </w:r>
        <w:r w:rsidR="000D0217">
          <w:rPr>
            <w:noProof/>
            <w:webHidden/>
          </w:rPr>
        </w:r>
        <w:r w:rsidR="000D0217">
          <w:rPr>
            <w:noProof/>
            <w:webHidden/>
          </w:rPr>
          <w:fldChar w:fldCharType="separate"/>
        </w:r>
        <w:r w:rsidR="00997C18">
          <w:rPr>
            <w:noProof/>
            <w:webHidden/>
          </w:rPr>
          <w:t>133</w:t>
        </w:r>
        <w:r w:rsidR="000D0217">
          <w:rPr>
            <w:noProof/>
            <w:webHidden/>
          </w:rPr>
          <w:fldChar w:fldCharType="end"/>
        </w:r>
      </w:hyperlink>
    </w:p>
    <w:p w14:paraId="28413B9A" w14:textId="7D14C2AC"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11" w:history="1">
        <w:r w:rsidR="000D0217" w:rsidRPr="00A458FB">
          <w:rPr>
            <w:rStyle w:val="Hipervnculo"/>
            <w:rFonts w:cs="Arial"/>
            <w:noProof/>
          </w:rPr>
          <w:t>Gráfico 15. Número de solicitudes presentadas desde 2017 a 2020 según la provincia en la que se ubica la administración o entidad demandada</w:t>
        </w:r>
        <w:r w:rsidR="000D0217">
          <w:rPr>
            <w:noProof/>
            <w:webHidden/>
          </w:rPr>
          <w:tab/>
        </w:r>
        <w:r w:rsidR="000D0217">
          <w:rPr>
            <w:noProof/>
            <w:webHidden/>
          </w:rPr>
          <w:fldChar w:fldCharType="begin"/>
        </w:r>
        <w:r w:rsidR="000D0217">
          <w:rPr>
            <w:noProof/>
            <w:webHidden/>
          </w:rPr>
          <w:instrText xml:space="preserve"> PAGEREF _Toc67646411 \h </w:instrText>
        </w:r>
        <w:r w:rsidR="000D0217">
          <w:rPr>
            <w:noProof/>
            <w:webHidden/>
          </w:rPr>
        </w:r>
        <w:r w:rsidR="000D0217">
          <w:rPr>
            <w:noProof/>
            <w:webHidden/>
          </w:rPr>
          <w:fldChar w:fldCharType="separate"/>
        </w:r>
        <w:r w:rsidR="00997C18">
          <w:rPr>
            <w:noProof/>
            <w:webHidden/>
          </w:rPr>
          <w:t>133</w:t>
        </w:r>
        <w:r w:rsidR="000D0217">
          <w:rPr>
            <w:noProof/>
            <w:webHidden/>
          </w:rPr>
          <w:fldChar w:fldCharType="end"/>
        </w:r>
      </w:hyperlink>
    </w:p>
    <w:p w14:paraId="69983E10" w14:textId="4ED34A85"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12" w:history="1">
        <w:r w:rsidR="000D0217" w:rsidRPr="00A458FB">
          <w:rPr>
            <w:rStyle w:val="Hipervnculo"/>
            <w:rFonts w:cs="Arial"/>
            <w:noProof/>
          </w:rPr>
          <w:t>Gráfico 16. Condición laboral de los trabajadores a los que se le ha concedido el estatuto de persona denunciante (años 2017 a 2020)</w:t>
        </w:r>
        <w:r w:rsidR="000D0217">
          <w:rPr>
            <w:noProof/>
            <w:webHidden/>
          </w:rPr>
          <w:tab/>
        </w:r>
        <w:r w:rsidR="000D0217">
          <w:rPr>
            <w:noProof/>
            <w:webHidden/>
          </w:rPr>
          <w:fldChar w:fldCharType="begin"/>
        </w:r>
        <w:r w:rsidR="000D0217">
          <w:rPr>
            <w:noProof/>
            <w:webHidden/>
          </w:rPr>
          <w:instrText xml:space="preserve"> PAGEREF _Toc67646412 \h </w:instrText>
        </w:r>
        <w:r w:rsidR="000D0217">
          <w:rPr>
            <w:noProof/>
            <w:webHidden/>
          </w:rPr>
        </w:r>
        <w:r w:rsidR="000D0217">
          <w:rPr>
            <w:noProof/>
            <w:webHidden/>
          </w:rPr>
          <w:fldChar w:fldCharType="separate"/>
        </w:r>
        <w:r w:rsidR="00997C18">
          <w:rPr>
            <w:noProof/>
            <w:webHidden/>
          </w:rPr>
          <w:t>134</w:t>
        </w:r>
        <w:r w:rsidR="000D0217">
          <w:rPr>
            <w:noProof/>
            <w:webHidden/>
          </w:rPr>
          <w:fldChar w:fldCharType="end"/>
        </w:r>
      </w:hyperlink>
    </w:p>
    <w:p w14:paraId="1091D1B8" w14:textId="334AA6B7"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13" w:history="1">
        <w:r w:rsidR="000D0217" w:rsidRPr="00A458FB">
          <w:rPr>
            <w:rStyle w:val="Hipervnculo"/>
            <w:rFonts w:cs="Arial"/>
            <w:noProof/>
          </w:rPr>
          <w:t>Gráfico 17. Distribución de las solicitudes de protección según el estado de tramitación del expediente administrativo</w:t>
        </w:r>
        <w:r w:rsidR="000D0217">
          <w:rPr>
            <w:noProof/>
            <w:webHidden/>
          </w:rPr>
          <w:tab/>
        </w:r>
        <w:r w:rsidR="000D0217">
          <w:rPr>
            <w:noProof/>
            <w:webHidden/>
          </w:rPr>
          <w:fldChar w:fldCharType="begin"/>
        </w:r>
        <w:r w:rsidR="000D0217">
          <w:rPr>
            <w:noProof/>
            <w:webHidden/>
          </w:rPr>
          <w:instrText xml:space="preserve"> PAGEREF _Toc67646413 \h </w:instrText>
        </w:r>
        <w:r w:rsidR="000D0217">
          <w:rPr>
            <w:noProof/>
            <w:webHidden/>
          </w:rPr>
        </w:r>
        <w:r w:rsidR="000D0217">
          <w:rPr>
            <w:noProof/>
            <w:webHidden/>
          </w:rPr>
          <w:fldChar w:fldCharType="separate"/>
        </w:r>
        <w:r w:rsidR="00997C18">
          <w:rPr>
            <w:noProof/>
            <w:webHidden/>
          </w:rPr>
          <w:t>134</w:t>
        </w:r>
        <w:r w:rsidR="000D0217">
          <w:rPr>
            <w:noProof/>
            <w:webHidden/>
          </w:rPr>
          <w:fldChar w:fldCharType="end"/>
        </w:r>
      </w:hyperlink>
    </w:p>
    <w:p w14:paraId="45273485" w14:textId="76F90DAD"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14" w:history="1">
        <w:r w:rsidR="000D0217" w:rsidRPr="00A458FB">
          <w:rPr>
            <w:rStyle w:val="Hipervnculo"/>
            <w:rFonts w:cs="Arial"/>
            <w:noProof/>
          </w:rPr>
          <w:t>Gráfico 18. Personas denunciantes protegidas clasificadas por género (años 2017 a 2020)</w:t>
        </w:r>
        <w:r w:rsidR="000D0217">
          <w:rPr>
            <w:noProof/>
            <w:webHidden/>
          </w:rPr>
          <w:tab/>
        </w:r>
        <w:r w:rsidR="000D0217">
          <w:rPr>
            <w:noProof/>
            <w:webHidden/>
          </w:rPr>
          <w:fldChar w:fldCharType="begin"/>
        </w:r>
        <w:r w:rsidR="000D0217">
          <w:rPr>
            <w:noProof/>
            <w:webHidden/>
          </w:rPr>
          <w:instrText xml:space="preserve"> PAGEREF _Toc67646414 \h </w:instrText>
        </w:r>
        <w:r w:rsidR="000D0217">
          <w:rPr>
            <w:noProof/>
            <w:webHidden/>
          </w:rPr>
        </w:r>
        <w:r w:rsidR="000D0217">
          <w:rPr>
            <w:noProof/>
            <w:webHidden/>
          </w:rPr>
          <w:fldChar w:fldCharType="separate"/>
        </w:r>
        <w:r w:rsidR="00997C18">
          <w:rPr>
            <w:noProof/>
            <w:webHidden/>
          </w:rPr>
          <w:t>135</w:t>
        </w:r>
        <w:r w:rsidR="000D0217">
          <w:rPr>
            <w:noProof/>
            <w:webHidden/>
          </w:rPr>
          <w:fldChar w:fldCharType="end"/>
        </w:r>
      </w:hyperlink>
    </w:p>
    <w:p w14:paraId="0C16A065" w14:textId="5F321538"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15" w:history="1">
        <w:r w:rsidR="000D0217" w:rsidRPr="00A458FB">
          <w:rPr>
            <w:rStyle w:val="Hipervnculo"/>
            <w:rFonts w:cs="Arial"/>
            <w:noProof/>
          </w:rPr>
          <w:t>Gráfico 19. Según el contenido de la denuncia realizada por los denunciantes protegidos (años 2017 a 2020)</w:t>
        </w:r>
        <w:r w:rsidR="000D0217">
          <w:rPr>
            <w:noProof/>
            <w:webHidden/>
          </w:rPr>
          <w:tab/>
        </w:r>
        <w:r w:rsidR="000D0217">
          <w:rPr>
            <w:noProof/>
            <w:webHidden/>
          </w:rPr>
          <w:fldChar w:fldCharType="begin"/>
        </w:r>
        <w:r w:rsidR="000D0217">
          <w:rPr>
            <w:noProof/>
            <w:webHidden/>
          </w:rPr>
          <w:instrText xml:space="preserve"> PAGEREF _Toc67646415 \h </w:instrText>
        </w:r>
        <w:r w:rsidR="000D0217">
          <w:rPr>
            <w:noProof/>
            <w:webHidden/>
          </w:rPr>
        </w:r>
        <w:r w:rsidR="000D0217">
          <w:rPr>
            <w:noProof/>
            <w:webHidden/>
          </w:rPr>
          <w:fldChar w:fldCharType="separate"/>
        </w:r>
        <w:r w:rsidR="00997C18">
          <w:rPr>
            <w:noProof/>
            <w:webHidden/>
          </w:rPr>
          <w:t>135</w:t>
        </w:r>
        <w:r w:rsidR="000D0217">
          <w:rPr>
            <w:noProof/>
            <w:webHidden/>
          </w:rPr>
          <w:fldChar w:fldCharType="end"/>
        </w:r>
      </w:hyperlink>
    </w:p>
    <w:p w14:paraId="5B140082" w14:textId="716CF26F"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16" w:history="1">
        <w:r w:rsidR="000D0217" w:rsidRPr="00A458FB">
          <w:rPr>
            <w:rStyle w:val="Hipervnculo"/>
            <w:rFonts w:cs="Arial"/>
            <w:noProof/>
          </w:rPr>
          <w:t>Gráfico 20. Usuarios/as de la web por año. Comparativa 2019-2020.</w:t>
        </w:r>
        <w:r w:rsidR="000D0217">
          <w:rPr>
            <w:noProof/>
            <w:webHidden/>
          </w:rPr>
          <w:tab/>
        </w:r>
        <w:r w:rsidR="000D0217">
          <w:rPr>
            <w:noProof/>
            <w:webHidden/>
          </w:rPr>
          <w:fldChar w:fldCharType="begin"/>
        </w:r>
        <w:r w:rsidR="000D0217">
          <w:rPr>
            <w:noProof/>
            <w:webHidden/>
          </w:rPr>
          <w:instrText xml:space="preserve"> PAGEREF _Toc67646416 \h </w:instrText>
        </w:r>
        <w:r w:rsidR="000D0217">
          <w:rPr>
            <w:noProof/>
            <w:webHidden/>
          </w:rPr>
        </w:r>
        <w:r w:rsidR="000D0217">
          <w:rPr>
            <w:noProof/>
            <w:webHidden/>
          </w:rPr>
          <w:fldChar w:fldCharType="separate"/>
        </w:r>
        <w:r w:rsidR="00997C18">
          <w:rPr>
            <w:noProof/>
            <w:webHidden/>
          </w:rPr>
          <w:t>172</w:t>
        </w:r>
        <w:r w:rsidR="000D0217">
          <w:rPr>
            <w:noProof/>
            <w:webHidden/>
          </w:rPr>
          <w:fldChar w:fldCharType="end"/>
        </w:r>
      </w:hyperlink>
    </w:p>
    <w:p w14:paraId="29644F73" w14:textId="119C43F1"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17" w:history="1">
        <w:r w:rsidR="000D0217" w:rsidRPr="00A458FB">
          <w:rPr>
            <w:rStyle w:val="Hipervnculo"/>
            <w:rFonts w:cs="Arial"/>
            <w:noProof/>
          </w:rPr>
          <w:t>Gráfico 21. Conexiones de usuarios/as a la web desde otros países</w:t>
        </w:r>
        <w:r w:rsidR="000D0217">
          <w:rPr>
            <w:noProof/>
            <w:webHidden/>
          </w:rPr>
          <w:tab/>
        </w:r>
        <w:r w:rsidR="000D0217">
          <w:rPr>
            <w:noProof/>
            <w:webHidden/>
          </w:rPr>
          <w:fldChar w:fldCharType="begin"/>
        </w:r>
        <w:r w:rsidR="000D0217">
          <w:rPr>
            <w:noProof/>
            <w:webHidden/>
          </w:rPr>
          <w:instrText xml:space="preserve"> PAGEREF _Toc67646417 \h </w:instrText>
        </w:r>
        <w:r w:rsidR="000D0217">
          <w:rPr>
            <w:noProof/>
            <w:webHidden/>
          </w:rPr>
        </w:r>
        <w:r w:rsidR="000D0217">
          <w:rPr>
            <w:noProof/>
            <w:webHidden/>
          </w:rPr>
          <w:fldChar w:fldCharType="separate"/>
        </w:r>
        <w:r w:rsidR="00997C18">
          <w:rPr>
            <w:noProof/>
            <w:webHidden/>
          </w:rPr>
          <w:t>172</w:t>
        </w:r>
        <w:r w:rsidR="000D0217">
          <w:rPr>
            <w:noProof/>
            <w:webHidden/>
          </w:rPr>
          <w:fldChar w:fldCharType="end"/>
        </w:r>
      </w:hyperlink>
    </w:p>
    <w:p w14:paraId="0848A88D" w14:textId="7FBAB6CB"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18" w:history="1">
        <w:r w:rsidR="000D0217" w:rsidRPr="00A458FB">
          <w:rPr>
            <w:rStyle w:val="Hipervnculo"/>
            <w:rFonts w:cs="Arial"/>
            <w:noProof/>
          </w:rPr>
          <w:t>Gráfico 22. Usuarios/as de la web por meses del año 2020</w:t>
        </w:r>
        <w:r w:rsidR="000D0217">
          <w:rPr>
            <w:noProof/>
            <w:webHidden/>
          </w:rPr>
          <w:tab/>
        </w:r>
        <w:r w:rsidR="000D0217">
          <w:rPr>
            <w:noProof/>
            <w:webHidden/>
          </w:rPr>
          <w:fldChar w:fldCharType="begin"/>
        </w:r>
        <w:r w:rsidR="000D0217">
          <w:rPr>
            <w:noProof/>
            <w:webHidden/>
          </w:rPr>
          <w:instrText xml:space="preserve"> PAGEREF _Toc67646418 \h </w:instrText>
        </w:r>
        <w:r w:rsidR="000D0217">
          <w:rPr>
            <w:noProof/>
            <w:webHidden/>
          </w:rPr>
        </w:r>
        <w:r w:rsidR="000D0217">
          <w:rPr>
            <w:noProof/>
            <w:webHidden/>
          </w:rPr>
          <w:fldChar w:fldCharType="separate"/>
        </w:r>
        <w:r w:rsidR="00997C18">
          <w:rPr>
            <w:noProof/>
            <w:webHidden/>
          </w:rPr>
          <w:t>173</w:t>
        </w:r>
        <w:r w:rsidR="000D0217">
          <w:rPr>
            <w:noProof/>
            <w:webHidden/>
          </w:rPr>
          <w:fldChar w:fldCharType="end"/>
        </w:r>
      </w:hyperlink>
    </w:p>
    <w:p w14:paraId="6676DE6B" w14:textId="40761599"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19" w:history="1">
        <w:r w:rsidR="000D0217" w:rsidRPr="00A458FB">
          <w:rPr>
            <w:rStyle w:val="Hipervnculo"/>
            <w:rFonts w:cs="Arial"/>
            <w:noProof/>
          </w:rPr>
          <w:t>Gráfico 23. Menciones de la Agencia Valenciana Antifraude según el medio de comunicación.</w:t>
        </w:r>
        <w:r w:rsidR="000D0217">
          <w:rPr>
            <w:noProof/>
            <w:webHidden/>
          </w:rPr>
          <w:tab/>
        </w:r>
        <w:r w:rsidR="000D0217">
          <w:rPr>
            <w:noProof/>
            <w:webHidden/>
          </w:rPr>
          <w:fldChar w:fldCharType="begin"/>
        </w:r>
        <w:r w:rsidR="000D0217">
          <w:rPr>
            <w:noProof/>
            <w:webHidden/>
          </w:rPr>
          <w:instrText xml:space="preserve"> PAGEREF _Toc67646419 \h </w:instrText>
        </w:r>
        <w:r w:rsidR="000D0217">
          <w:rPr>
            <w:noProof/>
            <w:webHidden/>
          </w:rPr>
        </w:r>
        <w:r w:rsidR="000D0217">
          <w:rPr>
            <w:noProof/>
            <w:webHidden/>
          </w:rPr>
          <w:fldChar w:fldCharType="separate"/>
        </w:r>
        <w:r w:rsidR="00997C18">
          <w:rPr>
            <w:noProof/>
            <w:webHidden/>
          </w:rPr>
          <w:t>176</w:t>
        </w:r>
        <w:r w:rsidR="000D0217">
          <w:rPr>
            <w:noProof/>
            <w:webHidden/>
          </w:rPr>
          <w:fldChar w:fldCharType="end"/>
        </w:r>
      </w:hyperlink>
    </w:p>
    <w:p w14:paraId="793FADB9" w14:textId="36FBEAF2"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20" w:history="1">
        <w:r w:rsidR="000D0217" w:rsidRPr="00A458FB">
          <w:rPr>
            <w:rStyle w:val="Hipervnculo"/>
            <w:rFonts w:cs="Arial"/>
            <w:noProof/>
          </w:rPr>
          <w:t>Gráfico 24. Número de menciones en medios de la Agencia Valenciana Antifraude.</w:t>
        </w:r>
        <w:r w:rsidR="000D0217">
          <w:rPr>
            <w:noProof/>
            <w:webHidden/>
          </w:rPr>
          <w:tab/>
        </w:r>
        <w:r w:rsidR="000D0217">
          <w:rPr>
            <w:noProof/>
            <w:webHidden/>
          </w:rPr>
          <w:fldChar w:fldCharType="begin"/>
        </w:r>
        <w:r w:rsidR="000D0217">
          <w:rPr>
            <w:noProof/>
            <w:webHidden/>
          </w:rPr>
          <w:instrText xml:space="preserve"> PAGEREF _Toc67646420 \h </w:instrText>
        </w:r>
        <w:r w:rsidR="000D0217">
          <w:rPr>
            <w:noProof/>
            <w:webHidden/>
          </w:rPr>
        </w:r>
        <w:r w:rsidR="000D0217">
          <w:rPr>
            <w:noProof/>
            <w:webHidden/>
          </w:rPr>
          <w:fldChar w:fldCharType="separate"/>
        </w:r>
        <w:r w:rsidR="00997C18">
          <w:rPr>
            <w:noProof/>
            <w:webHidden/>
          </w:rPr>
          <w:t>176</w:t>
        </w:r>
        <w:r w:rsidR="000D0217">
          <w:rPr>
            <w:noProof/>
            <w:webHidden/>
          </w:rPr>
          <w:fldChar w:fldCharType="end"/>
        </w:r>
      </w:hyperlink>
    </w:p>
    <w:p w14:paraId="1AF87FE8" w14:textId="31D1A5D9"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21" w:history="1">
        <w:r w:rsidR="000D0217" w:rsidRPr="00A458FB">
          <w:rPr>
            <w:rStyle w:val="Hipervnculo"/>
            <w:rFonts w:cs="Arial"/>
            <w:noProof/>
          </w:rPr>
          <w:t>Gráfico 25: Número de puestos de trabajo de las unidades administrativas de la Agencia desde su creación.</w:t>
        </w:r>
        <w:r w:rsidR="000D0217">
          <w:rPr>
            <w:noProof/>
            <w:webHidden/>
          </w:rPr>
          <w:tab/>
        </w:r>
        <w:r w:rsidR="000D0217">
          <w:rPr>
            <w:noProof/>
            <w:webHidden/>
          </w:rPr>
          <w:fldChar w:fldCharType="begin"/>
        </w:r>
        <w:r w:rsidR="000D0217">
          <w:rPr>
            <w:noProof/>
            <w:webHidden/>
          </w:rPr>
          <w:instrText xml:space="preserve"> PAGEREF _Toc67646421 \h </w:instrText>
        </w:r>
        <w:r w:rsidR="000D0217">
          <w:rPr>
            <w:noProof/>
            <w:webHidden/>
          </w:rPr>
        </w:r>
        <w:r w:rsidR="000D0217">
          <w:rPr>
            <w:noProof/>
            <w:webHidden/>
          </w:rPr>
          <w:fldChar w:fldCharType="separate"/>
        </w:r>
        <w:r w:rsidR="00997C18">
          <w:rPr>
            <w:noProof/>
            <w:webHidden/>
          </w:rPr>
          <w:t>191</w:t>
        </w:r>
        <w:r w:rsidR="000D0217">
          <w:rPr>
            <w:noProof/>
            <w:webHidden/>
          </w:rPr>
          <w:fldChar w:fldCharType="end"/>
        </w:r>
      </w:hyperlink>
    </w:p>
    <w:p w14:paraId="4A4F97C2" w14:textId="4F710C7E"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22" w:history="1">
        <w:r w:rsidR="000D0217" w:rsidRPr="00A458FB">
          <w:rPr>
            <w:rStyle w:val="Hipervnculo"/>
            <w:rFonts w:cs="Arial"/>
            <w:noProof/>
          </w:rPr>
          <w:t>Gráfico 26. Clasificación y número de puestos de trabajo por subgrupo</w:t>
        </w:r>
        <w:r w:rsidR="000D0217">
          <w:rPr>
            <w:noProof/>
            <w:webHidden/>
          </w:rPr>
          <w:tab/>
        </w:r>
        <w:r w:rsidR="000D0217">
          <w:rPr>
            <w:noProof/>
            <w:webHidden/>
          </w:rPr>
          <w:fldChar w:fldCharType="begin"/>
        </w:r>
        <w:r w:rsidR="000D0217">
          <w:rPr>
            <w:noProof/>
            <w:webHidden/>
          </w:rPr>
          <w:instrText xml:space="preserve"> PAGEREF _Toc67646422 \h </w:instrText>
        </w:r>
        <w:r w:rsidR="000D0217">
          <w:rPr>
            <w:noProof/>
            <w:webHidden/>
          </w:rPr>
        </w:r>
        <w:r w:rsidR="000D0217">
          <w:rPr>
            <w:noProof/>
            <w:webHidden/>
          </w:rPr>
          <w:fldChar w:fldCharType="separate"/>
        </w:r>
        <w:r w:rsidR="00997C18">
          <w:rPr>
            <w:noProof/>
            <w:webHidden/>
          </w:rPr>
          <w:t>194</w:t>
        </w:r>
        <w:r w:rsidR="000D0217">
          <w:rPr>
            <w:noProof/>
            <w:webHidden/>
          </w:rPr>
          <w:fldChar w:fldCharType="end"/>
        </w:r>
      </w:hyperlink>
    </w:p>
    <w:p w14:paraId="6A7DDB52" w14:textId="29D33EFD"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23" w:history="1">
        <w:r w:rsidR="000D0217" w:rsidRPr="00A458FB">
          <w:rPr>
            <w:rStyle w:val="Hipervnculo"/>
            <w:rFonts w:cs="Arial"/>
            <w:noProof/>
          </w:rPr>
          <w:t>Gráfico 27: Grado de ocupación de los puestos de trabajo de la Agencia a 31/12/2017</w:t>
        </w:r>
        <w:r w:rsidR="000D0217">
          <w:rPr>
            <w:noProof/>
            <w:webHidden/>
          </w:rPr>
          <w:tab/>
        </w:r>
        <w:r w:rsidR="000D0217">
          <w:rPr>
            <w:noProof/>
            <w:webHidden/>
          </w:rPr>
          <w:fldChar w:fldCharType="begin"/>
        </w:r>
        <w:r w:rsidR="000D0217">
          <w:rPr>
            <w:noProof/>
            <w:webHidden/>
          </w:rPr>
          <w:instrText xml:space="preserve"> PAGEREF _Toc67646423 \h </w:instrText>
        </w:r>
        <w:r w:rsidR="000D0217">
          <w:rPr>
            <w:noProof/>
            <w:webHidden/>
          </w:rPr>
        </w:r>
        <w:r w:rsidR="000D0217">
          <w:rPr>
            <w:noProof/>
            <w:webHidden/>
          </w:rPr>
          <w:fldChar w:fldCharType="separate"/>
        </w:r>
        <w:r w:rsidR="00997C18">
          <w:rPr>
            <w:noProof/>
            <w:webHidden/>
          </w:rPr>
          <w:t>195</w:t>
        </w:r>
        <w:r w:rsidR="000D0217">
          <w:rPr>
            <w:noProof/>
            <w:webHidden/>
          </w:rPr>
          <w:fldChar w:fldCharType="end"/>
        </w:r>
      </w:hyperlink>
    </w:p>
    <w:p w14:paraId="7953BD90" w14:textId="14E7BBAE"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24" w:history="1">
        <w:r w:rsidR="000D0217" w:rsidRPr="00A458FB">
          <w:rPr>
            <w:rStyle w:val="Hipervnculo"/>
            <w:rFonts w:cs="Arial"/>
            <w:noProof/>
          </w:rPr>
          <w:t>Gráfico 28: Grado de ocupación de los puestos de trabajo de la Agencia a 31/12/2018</w:t>
        </w:r>
        <w:r w:rsidR="000D0217">
          <w:rPr>
            <w:noProof/>
            <w:webHidden/>
          </w:rPr>
          <w:tab/>
        </w:r>
        <w:r w:rsidR="000D0217">
          <w:rPr>
            <w:noProof/>
            <w:webHidden/>
          </w:rPr>
          <w:fldChar w:fldCharType="begin"/>
        </w:r>
        <w:r w:rsidR="000D0217">
          <w:rPr>
            <w:noProof/>
            <w:webHidden/>
          </w:rPr>
          <w:instrText xml:space="preserve"> PAGEREF _Toc67646424 \h </w:instrText>
        </w:r>
        <w:r w:rsidR="000D0217">
          <w:rPr>
            <w:noProof/>
            <w:webHidden/>
          </w:rPr>
        </w:r>
        <w:r w:rsidR="000D0217">
          <w:rPr>
            <w:noProof/>
            <w:webHidden/>
          </w:rPr>
          <w:fldChar w:fldCharType="separate"/>
        </w:r>
        <w:r w:rsidR="00997C18">
          <w:rPr>
            <w:noProof/>
            <w:webHidden/>
          </w:rPr>
          <w:t>195</w:t>
        </w:r>
        <w:r w:rsidR="000D0217">
          <w:rPr>
            <w:noProof/>
            <w:webHidden/>
          </w:rPr>
          <w:fldChar w:fldCharType="end"/>
        </w:r>
      </w:hyperlink>
    </w:p>
    <w:p w14:paraId="1C9C4948" w14:textId="3C2B0253"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25" w:history="1">
        <w:r w:rsidR="000D0217" w:rsidRPr="00A458FB">
          <w:rPr>
            <w:rStyle w:val="Hipervnculo"/>
            <w:rFonts w:cs="Arial"/>
            <w:noProof/>
          </w:rPr>
          <w:t>Gráfico 29: Grado de ocupación de los puestos de trabajo de la Agencia a 31/12/2019</w:t>
        </w:r>
        <w:r w:rsidR="000D0217">
          <w:rPr>
            <w:noProof/>
            <w:webHidden/>
          </w:rPr>
          <w:tab/>
        </w:r>
        <w:r w:rsidR="000D0217">
          <w:rPr>
            <w:noProof/>
            <w:webHidden/>
          </w:rPr>
          <w:fldChar w:fldCharType="begin"/>
        </w:r>
        <w:r w:rsidR="000D0217">
          <w:rPr>
            <w:noProof/>
            <w:webHidden/>
          </w:rPr>
          <w:instrText xml:space="preserve"> PAGEREF _Toc67646425 \h </w:instrText>
        </w:r>
        <w:r w:rsidR="000D0217">
          <w:rPr>
            <w:noProof/>
            <w:webHidden/>
          </w:rPr>
        </w:r>
        <w:r w:rsidR="000D0217">
          <w:rPr>
            <w:noProof/>
            <w:webHidden/>
          </w:rPr>
          <w:fldChar w:fldCharType="separate"/>
        </w:r>
        <w:r w:rsidR="00997C18">
          <w:rPr>
            <w:noProof/>
            <w:webHidden/>
          </w:rPr>
          <w:t>196</w:t>
        </w:r>
        <w:r w:rsidR="000D0217">
          <w:rPr>
            <w:noProof/>
            <w:webHidden/>
          </w:rPr>
          <w:fldChar w:fldCharType="end"/>
        </w:r>
      </w:hyperlink>
    </w:p>
    <w:p w14:paraId="32B40E52" w14:textId="27C83798"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26" w:history="1">
        <w:r w:rsidR="000D0217" w:rsidRPr="00A458FB">
          <w:rPr>
            <w:rStyle w:val="Hipervnculo"/>
            <w:rFonts w:cs="Arial"/>
            <w:noProof/>
          </w:rPr>
          <w:t>Gráfico 30: Grado de ocupación de los puestos de trabajo de la Agencia a 31/12/2020</w:t>
        </w:r>
        <w:r w:rsidR="000D0217">
          <w:rPr>
            <w:noProof/>
            <w:webHidden/>
          </w:rPr>
          <w:tab/>
        </w:r>
        <w:r w:rsidR="000D0217">
          <w:rPr>
            <w:noProof/>
            <w:webHidden/>
          </w:rPr>
          <w:fldChar w:fldCharType="begin"/>
        </w:r>
        <w:r w:rsidR="000D0217">
          <w:rPr>
            <w:noProof/>
            <w:webHidden/>
          </w:rPr>
          <w:instrText xml:space="preserve"> PAGEREF _Toc67646426 \h </w:instrText>
        </w:r>
        <w:r w:rsidR="000D0217">
          <w:rPr>
            <w:noProof/>
            <w:webHidden/>
          </w:rPr>
        </w:r>
        <w:r w:rsidR="000D0217">
          <w:rPr>
            <w:noProof/>
            <w:webHidden/>
          </w:rPr>
          <w:fldChar w:fldCharType="separate"/>
        </w:r>
        <w:r w:rsidR="00997C18">
          <w:rPr>
            <w:noProof/>
            <w:webHidden/>
          </w:rPr>
          <w:t>196</w:t>
        </w:r>
        <w:r w:rsidR="000D0217">
          <w:rPr>
            <w:noProof/>
            <w:webHidden/>
          </w:rPr>
          <w:fldChar w:fldCharType="end"/>
        </w:r>
      </w:hyperlink>
    </w:p>
    <w:p w14:paraId="40963E59" w14:textId="7B4985FE"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27" w:history="1">
        <w:r w:rsidR="000D0217" w:rsidRPr="00A458FB">
          <w:rPr>
            <w:rStyle w:val="Hipervnculo"/>
            <w:rFonts w:cs="Arial"/>
            <w:noProof/>
          </w:rPr>
          <w:t>Gráfico 31: Comparativa ocupación de los puestos de trabajo de la Agencia a 31/12/2020. Ejercicios 2017, 2018, 2019 y 2020</w:t>
        </w:r>
        <w:r w:rsidR="000D0217">
          <w:rPr>
            <w:noProof/>
            <w:webHidden/>
          </w:rPr>
          <w:tab/>
        </w:r>
        <w:r w:rsidR="000D0217">
          <w:rPr>
            <w:noProof/>
            <w:webHidden/>
          </w:rPr>
          <w:fldChar w:fldCharType="begin"/>
        </w:r>
        <w:r w:rsidR="000D0217">
          <w:rPr>
            <w:noProof/>
            <w:webHidden/>
          </w:rPr>
          <w:instrText xml:space="preserve"> PAGEREF _Toc67646427 \h </w:instrText>
        </w:r>
        <w:r w:rsidR="000D0217">
          <w:rPr>
            <w:noProof/>
            <w:webHidden/>
          </w:rPr>
        </w:r>
        <w:r w:rsidR="000D0217">
          <w:rPr>
            <w:noProof/>
            <w:webHidden/>
          </w:rPr>
          <w:fldChar w:fldCharType="separate"/>
        </w:r>
        <w:r w:rsidR="00997C18">
          <w:rPr>
            <w:noProof/>
            <w:webHidden/>
          </w:rPr>
          <w:t>197</w:t>
        </w:r>
        <w:r w:rsidR="000D0217">
          <w:rPr>
            <w:noProof/>
            <w:webHidden/>
          </w:rPr>
          <w:fldChar w:fldCharType="end"/>
        </w:r>
      </w:hyperlink>
    </w:p>
    <w:p w14:paraId="5EE2BF03" w14:textId="35AAE249"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28" w:history="1">
        <w:r w:rsidR="000D0217" w:rsidRPr="00A458FB">
          <w:rPr>
            <w:rStyle w:val="Hipervnculo"/>
            <w:rFonts w:cs="Arial"/>
            <w:noProof/>
          </w:rPr>
          <w:t>Gráfico 32: Administración de procedencia del personal funcionario de la Agencia 31/12/2020.</w:t>
        </w:r>
        <w:r w:rsidR="000D0217">
          <w:rPr>
            <w:noProof/>
            <w:webHidden/>
          </w:rPr>
          <w:tab/>
        </w:r>
        <w:r w:rsidR="000D0217">
          <w:rPr>
            <w:noProof/>
            <w:webHidden/>
          </w:rPr>
          <w:fldChar w:fldCharType="begin"/>
        </w:r>
        <w:r w:rsidR="000D0217">
          <w:rPr>
            <w:noProof/>
            <w:webHidden/>
          </w:rPr>
          <w:instrText xml:space="preserve"> PAGEREF _Toc67646428 \h </w:instrText>
        </w:r>
        <w:r w:rsidR="000D0217">
          <w:rPr>
            <w:noProof/>
            <w:webHidden/>
          </w:rPr>
        </w:r>
        <w:r w:rsidR="000D0217">
          <w:rPr>
            <w:noProof/>
            <w:webHidden/>
          </w:rPr>
          <w:fldChar w:fldCharType="separate"/>
        </w:r>
        <w:r w:rsidR="00997C18">
          <w:rPr>
            <w:noProof/>
            <w:webHidden/>
          </w:rPr>
          <w:t>198</w:t>
        </w:r>
        <w:r w:rsidR="000D0217">
          <w:rPr>
            <w:noProof/>
            <w:webHidden/>
          </w:rPr>
          <w:fldChar w:fldCharType="end"/>
        </w:r>
      </w:hyperlink>
    </w:p>
    <w:p w14:paraId="3BC6B865" w14:textId="31B32DD4"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29" w:history="1">
        <w:r w:rsidR="000D0217" w:rsidRPr="00A458FB">
          <w:rPr>
            <w:rStyle w:val="Hipervnculo"/>
            <w:rFonts w:cs="Arial"/>
            <w:noProof/>
          </w:rPr>
          <w:t>Gráfico 33: Ocupación de puestos de trabajo por edad a 31/12/2020</w:t>
        </w:r>
        <w:r w:rsidR="000D0217">
          <w:rPr>
            <w:noProof/>
            <w:webHidden/>
          </w:rPr>
          <w:tab/>
        </w:r>
        <w:r w:rsidR="000D0217">
          <w:rPr>
            <w:noProof/>
            <w:webHidden/>
          </w:rPr>
          <w:fldChar w:fldCharType="begin"/>
        </w:r>
        <w:r w:rsidR="000D0217">
          <w:rPr>
            <w:noProof/>
            <w:webHidden/>
          </w:rPr>
          <w:instrText xml:space="preserve"> PAGEREF _Toc67646429 \h </w:instrText>
        </w:r>
        <w:r w:rsidR="000D0217">
          <w:rPr>
            <w:noProof/>
            <w:webHidden/>
          </w:rPr>
        </w:r>
        <w:r w:rsidR="000D0217">
          <w:rPr>
            <w:noProof/>
            <w:webHidden/>
          </w:rPr>
          <w:fldChar w:fldCharType="separate"/>
        </w:r>
        <w:r w:rsidR="00997C18">
          <w:rPr>
            <w:noProof/>
            <w:webHidden/>
          </w:rPr>
          <w:t>198</w:t>
        </w:r>
        <w:r w:rsidR="000D0217">
          <w:rPr>
            <w:noProof/>
            <w:webHidden/>
          </w:rPr>
          <w:fldChar w:fldCharType="end"/>
        </w:r>
      </w:hyperlink>
    </w:p>
    <w:p w14:paraId="519CE085" w14:textId="4CD1C55F"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30" w:history="1">
        <w:r w:rsidR="000D0217" w:rsidRPr="00A458FB">
          <w:rPr>
            <w:rStyle w:val="Hipervnculo"/>
            <w:rFonts w:cs="Arial"/>
            <w:noProof/>
          </w:rPr>
          <w:t>Gráfico 34: Ocupación de puestos de trabajo por género a 31/12/2020</w:t>
        </w:r>
        <w:r w:rsidR="000D0217">
          <w:rPr>
            <w:noProof/>
            <w:webHidden/>
          </w:rPr>
          <w:tab/>
        </w:r>
        <w:r w:rsidR="000D0217">
          <w:rPr>
            <w:noProof/>
            <w:webHidden/>
          </w:rPr>
          <w:fldChar w:fldCharType="begin"/>
        </w:r>
        <w:r w:rsidR="000D0217">
          <w:rPr>
            <w:noProof/>
            <w:webHidden/>
          </w:rPr>
          <w:instrText xml:space="preserve"> PAGEREF _Toc67646430 \h </w:instrText>
        </w:r>
        <w:r w:rsidR="000D0217">
          <w:rPr>
            <w:noProof/>
            <w:webHidden/>
          </w:rPr>
        </w:r>
        <w:r w:rsidR="000D0217">
          <w:rPr>
            <w:noProof/>
            <w:webHidden/>
          </w:rPr>
          <w:fldChar w:fldCharType="separate"/>
        </w:r>
        <w:r w:rsidR="00997C18">
          <w:rPr>
            <w:noProof/>
            <w:webHidden/>
          </w:rPr>
          <w:t>199</w:t>
        </w:r>
        <w:r w:rsidR="000D0217">
          <w:rPr>
            <w:noProof/>
            <w:webHidden/>
          </w:rPr>
          <w:fldChar w:fldCharType="end"/>
        </w:r>
      </w:hyperlink>
    </w:p>
    <w:p w14:paraId="0A5E2264" w14:textId="443DF038"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31" w:history="1">
        <w:r w:rsidR="000D0217" w:rsidRPr="00A458FB">
          <w:rPr>
            <w:rStyle w:val="Hipervnculo"/>
            <w:rFonts w:cs="Arial"/>
            <w:noProof/>
          </w:rPr>
          <w:t>Gráfico 35. Porcentaje sobre el importe del presupuesto de adjudicación según procedimiento de contratación. Ejercicio 2020</w:t>
        </w:r>
        <w:r w:rsidR="000D0217">
          <w:rPr>
            <w:noProof/>
            <w:webHidden/>
          </w:rPr>
          <w:tab/>
        </w:r>
        <w:r w:rsidR="000D0217">
          <w:rPr>
            <w:noProof/>
            <w:webHidden/>
          </w:rPr>
          <w:fldChar w:fldCharType="begin"/>
        </w:r>
        <w:r w:rsidR="000D0217">
          <w:rPr>
            <w:noProof/>
            <w:webHidden/>
          </w:rPr>
          <w:instrText xml:space="preserve"> PAGEREF _Toc67646431 \h </w:instrText>
        </w:r>
        <w:r w:rsidR="000D0217">
          <w:rPr>
            <w:noProof/>
            <w:webHidden/>
          </w:rPr>
        </w:r>
        <w:r w:rsidR="000D0217">
          <w:rPr>
            <w:noProof/>
            <w:webHidden/>
          </w:rPr>
          <w:fldChar w:fldCharType="separate"/>
        </w:r>
        <w:r w:rsidR="00997C18">
          <w:rPr>
            <w:noProof/>
            <w:webHidden/>
          </w:rPr>
          <w:t>208</w:t>
        </w:r>
        <w:r w:rsidR="000D0217">
          <w:rPr>
            <w:noProof/>
            <w:webHidden/>
          </w:rPr>
          <w:fldChar w:fldCharType="end"/>
        </w:r>
      </w:hyperlink>
    </w:p>
    <w:p w14:paraId="585A0229" w14:textId="46AAF02A"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32" w:history="1">
        <w:r w:rsidR="000D0217" w:rsidRPr="00A458FB">
          <w:rPr>
            <w:rStyle w:val="Hipervnculo"/>
            <w:rFonts w:cs="Arial"/>
            <w:noProof/>
          </w:rPr>
          <w:t>Gráfico 36. Porcentaje sobre el importe del presupuesto de licitación según procedimiento de contratación. Ejercicio 2020.</w:t>
        </w:r>
        <w:r w:rsidR="000D0217">
          <w:rPr>
            <w:noProof/>
            <w:webHidden/>
          </w:rPr>
          <w:tab/>
        </w:r>
        <w:r w:rsidR="000D0217">
          <w:rPr>
            <w:noProof/>
            <w:webHidden/>
          </w:rPr>
          <w:fldChar w:fldCharType="begin"/>
        </w:r>
        <w:r w:rsidR="000D0217">
          <w:rPr>
            <w:noProof/>
            <w:webHidden/>
          </w:rPr>
          <w:instrText xml:space="preserve"> PAGEREF _Toc67646432 \h </w:instrText>
        </w:r>
        <w:r w:rsidR="000D0217">
          <w:rPr>
            <w:noProof/>
            <w:webHidden/>
          </w:rPr>
        </w:r>
        <w:r w:rsidR="000D0217">
          <w:rPr>
            <w:noProof/>
            <w:webHidden/>
          </w:rPr>
          <w:fldChar w:fldCharType="separate"/>
        </w:r>
        <w:r w:rsidR="00997C18">
          <w:rPr>
            <w:noProof/>
            <w:webHidden/>
          </w:rPr>
          <w:t>208</w:t>
        </w:r>
        <w:r w:rsidR="000D0217">
          <w:rPr>
            <w:noProof/>
            <w:webHidden/>
          </w:rPr>
          <w:fldChar w:fldCharType="end"/>
        </w:r>
      </w:hyperlink>
    </w:p>
    <w:p w14:paraId="1011C2B4" w14:textId="01DA3434"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33" w:history="1">
        <w:r w:rsidR="000D0217" w:rsidRPr="00A458FB">
          <w:rPr>
            <w:rStyle w:val="Hipervnculo"/>
            <w:rFonts w:cs="Arial"/>
            <w:noProof/>
          </w:rPr>
          <w:t>Gráfico 37. Contratos por tipo y volumen de gasto (2019-2020)</w:t>
        </w:r>
        <w:r w:rsidR="000D0217">
          <w:rPr>
            <w:noProof/>
            <w:webHidden/>
          </w:rPr>
          <w:tab/>
        </w:r>
        <w:r w:rsidR="000D0217">
          <w:rPr>
            <w:noProof/>
            <w:webHidden/>
          </w:rPr>
          <w:fldChar w:fldCharType="begin"/>
        </w:r>
        <w:r w:rsidR="000D0217">
          <w:rPr>
            <w:noProof/>
            <w:webHidden/>
          </w:rPr>
          <w:instrText xml:space="preserve"> PAGEREF _Toc67646433 \h </w:instrText>
        </w:r>
        <w:r w:rsidR="000D0217">
          <w:rPr>
            <w:noProof/>
            <w:webHidden/>
          </w:rPr>
        </w:r>
        <w:r w:rsidR="000D0217">
          <w:rPr>
            <w:noProof/>
            <w:webHidden/>
          </w:rPr>
          <w:fldChar w:fldCharType="separate"/>
        </w:r>
        <w:r w:rsidR="00997C18">
          <w:rPr>
            <w:noProof/>
            <w:webHidden/>
          </w:rPr>
          <w:t>209</w:t>
        </w:r>
        <w:r w:rsidR="000D0217">
          <w:rPr>
            <w:noProof/>
            <w:webHidden/>
          </w:rPr>
          <w:fldChar w:fldCharType="end"/>
        </w:r>
      </w:hyperlink>
    </w:p>
    <w:p w14:paraId="146724C5" w14:textId="38808111"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34" w:history="1">
        <w:r w:rsidR="000D0217" w:rsidRPr="00A458FB">
          <w:rPr>
            <w:rStyle w:val="Hipervnculo"/>
            <w:rFonts w:cs="Arial"/>
            <w:noProof/>
          </w:rPr>
          <w:t>Gráfico 38. Número y tipo de contratos (2019-2020)</w:t>
        </w:r>
        <w:r w:rsidR="000D0217">
          <w:rPr>
            <w:noProof/>
            <w:webHidden/>
          </w:rPr>
          <w:tab/>
        </w:r>
        <w:r w:rsidR="000D0217">
          <w:rPr>
            <w:noProof/>
            <w:webHidden/>
          </w:rPr>
          <w:fldChar w:fldCharType="begin"/>
        </w:r>
        <w:r w:rsidR="000D0217">
          <w:rPr>
            <w:noProof/>
            <w:webHidden/>
          </w:rPr>
          <w:instrText xml:space="preserve"> PAGEREF _Toc67646434 \h </w:instrText>
        </w:r>
        <w:r w:rsidR="000D0217">
          <w:rPr>
            <w:noProof/>
            <w:webHidden/>
          </w:rPr>
        </w:r>
        <w:r w:rsidR="000D0217">
          <w:rPr>
            <w:noProof/>
            <w:webHidden/>
          </w:rPr>
          <w:fldChar w:fldCharType="separate"/>
        </w:r>
        <w:r w:rsidR="00997C18">
          <w:rPr>
            <w:noProof/>
            <w:webHidden/>
          </w:rPr>
          <w:t>209</w:t>
        </w:r>
        <w:r w:rsidR="000D0217">
          <w:rPr>
            <w:noProof/>
            <w:webHidden/>
          </w:rPr>
          <w:fldChar w:fldCharType="end"/>
        </w:r>
      </w:hyperlink>
    </w:p>
    <w:p w14:paraId="2603516D" w14:textId="3DAFBD0E" w:rsidR="004927C3" w:rsidRPr="000D0217" w:rsidRDefault="004927C3">
      <w:pPr>
        <w:rPr>
          <w:rFonts w:ascii="Arial" w:hAnsi="Arial" w:cs="Arial"/>
          <w:bCs/>
          <w:color w:val="FF0000"/>
          <w:sz w:val="20"/>
          <w:szCs w:val="20"/>
        </w:rPr>
      </w:pPr>
      <w:r w:rsidRPr="00973028">
        <w:rPr>
          <w:rFonts w:ascii="Arial" w:hAnsi="Arial" w:cs="Arial"/>
          <w:bCs/>
          <w:color w:val="FF0000"/>
          <w:sz w:val="20"/>
          <w:szCs w:val="20"/>
        </w:rPr>
        <w:fldChar w:fldCharType="end"/>
      </w:r>
    </w:p>
    <w:p w14:paraId="7928FBD0" w14:textId="2E8100AA" w:rsidR="004927C3" w:rsidRPr="00973028" w:rsidRDefault="004927C3">
      <w:pPr>
        <w:rPr>
          <w:rFonts w:ascii="Arial" w:hAnsi="Arial" w:cs="Arial"/>
          <w:b/>
          <w:color w:val="9D2235" w:themeColor="accent1"/>
          <w:sz w:val="60"/>
          <w:szCs w:val="60"/>
        </w:rPr>
      </w:pPr>
      <w:r w:rsidRPr="00973028">
        <w:rPr>
          <w:rFonts w:ascii="Arial" w:hAnsi="Arial" w:cs="Arial"/>
          <w:b/>
          <w:color w:val="9D2235" w:themeColor="accent1"/>
          <w:sz w:val="60"/>
          <w:szCs w:val="60"/>
        </w:rPr>
        <w:t>Índice de ilustraciones</w:t>
      </w:r>
    </w:p>
    <w:p w14:paraId="35BE9263" w14:textId="3795AE27" w:rsidR="000D0217" w:rsidRDefault="004927C3">
      <w:pPr>
        <w:pStyle w:val="Tabladeilustraciones"/>
        <w:tabs>
          <w:tab w:val="right" w:leader="dot" w:pos="8212"/>
        </w:tabs>
        <w:rPr>
          <w:rFonts w:asciiTheme="minorHAnsi" w:eastAsiaTheme="minorEastAsia" w:hAnsiTheme="minorHAnsi" w:cstheme="minorBidi"/>
          <w:bCs w:val="0"/>
          <w:noProof/>
          <w:sz w:val="22"/>
          <w:szCs w:val="22"/>
          <w:lang w:eastAsia="es-ES"/>
        </w:rPr>
      </w:pPr>
      <w:r w:rsidRPr="00973028">
        <w:rPr>
          <w:rFonts w:cs="Arial"/>
          <w:bCs w:val="0"/>
          <w:color w:val="FF0000"/>
        </w:rPr>
        <w:fldChar w:fldCharType="begin"/>
      </w:r>
      <w:r w:rsidRPr="00973028">
        <w:rPr>
          <w:rFonts w:cs="Arial"/>
          <w:bCs w:val="0"/>
          <w:color w:val="FF0000"/>
        </w:rPr>
        <w:instrText xml:space="preserve"> TOC \h \z \c "Ilustración" </w:instrText>
      </w:r>
      <w:r w:rsidRPr="00973028">
        <w:rPr>
          <w:rFonts w:cs="Arial"/>
          <w:bCs w:val="0"/>
          <w:color w:val="FF0000"/>
        </w:rPr>
        <w:fldChar w:fldCharType="separate"/>
      </w:r>
      <w:hyperlink w:anchor="_Toc67646435" w:history="1">
        <w:r w:rsidR="000D0217" w:rsidRPr="00BB0CC4">
          <w:rPr>
            <w:rStyle w:val="Hipervnculo"/>
            <w:rFonts w:cs="Arial"/>
            <w:noProof/>
          </w:rPr>
          <w:t>Ilustración 1. Jornada del Día Internacional contra la Corrupción, 9 de diciembre</w:t>
        </w:r>
        <w:r w:rsidR="000D0217">
          <w:rPr>
            <w:noProof/>
            <w:webHidden/>
          </w:rPr>
          <w:tab/>
        </w:r>
        <w:r w:rsidR="000D0217">
          <w:rPr>
            <w:noProof/>
            <w:webHidden/>
          </w:rPr>
          <w:fldChar w:fldCharType="begin"/>
        </w:r>
        <w:r w:rsidR="000D0217">
          <w:rPr>
            <w:noProof/>
            <w:webHidden/>
          </w:rPr>
          <w:instrText xml:space="preserve"> PAGEREF _Toc67646435 \h </w:instrText>
        </w:r>
        <w:r w:rsidR="000D0217">
          <w:rPr>
            <w:noProof/>
            <w:webHidden/>
          </w:rPr>
        </w:r>
        <w:r w:rsidR="000D0217">
          <w:rPr>
            <w:noProof/>
            <w:webHidden/>
          </w:rPr>
          <w:fldChar w:fldCharType="separate"/>
        </w:r>
        <w:r w:rsidR="00997C18">
          <w:rPr>
            <w:noProof/>
            <w:webHidden/>
          </w:rPr>
          <w:t>158</w:t>
        </w:r>
        <w:r w:rsidR="000D0217">
          <w:rPr>
            <w:noProof/>
            <w:webHidden/>
          </w:rPr>
          <w:fldChar w:fldCharType="end"/>
        </w:r>
      </w:hyperlink>
    </w:p>
    <w:p w14:paraId="6B02BE39" w14:textId="3BD6A71B"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r:id="rId39" w:anchor="_Toc67646436" w:history="1">
        <w:r w:rsidR="000D0217" w:rsidRPr="00BB0CC4">
          <w:rPr>
            <w:rStyle w:val="Hipervnculo"/>
            <w:rFonts w:cs="Arial"/>
            <w:noProof/>
          </w:rPr>
          <w:t>Ilustración 2. Las redes sociales de la Agencia Valenciana Antifraude</w:t>
        </w:r>
        <w:r w:rsidR="000D0217">
          <w:rPr>
            <w:noProof/>
            <w:webHidden/>
          </w:rPr>
          <w:tab/>
        </w:r>
        <w:r w:rsidR="000D0217">
          <w:rPr>
            <w:noProof/>
            <w:webHidden/>
          </w:rPr>
          <w:fldChar w:fldCharType="begin"/>
        </w:r>
        <w:r w:rsidR="000D0217">
          <w:rPr>
            <w:noProof/>
            <w:webHidden/>
          </w:rPr>
          <w:instrText xml:space="preserve"> PAGEREF _Toc67646436 \h </w:instrText>
        </w:r>
        <w:r w:rsidR="000D0217">
          <w:rPr>
            <w:noProof/>
            <w:webHidden/>
          </w:rPr>
        </w:r>
        <w:r w:rsidR="000D0217">
          <w:rPr>
            <w:noProof/>
            <w:webHidden/>
          </w:rPr>
          <w:fldChar w:fldCharType="separate"/>
        </w:r>
        <w:r w:rsidR="00997C18">
          <w:rPr>
            <w:noProof/>
            <w:webHidden/>
          </w:rPr>
          <w:t>175</w:t>
        </w:r>
        <w:r w:rsidR="000D0217">
          <w:rPr>
            <w:noProof/>
            <w:webHidden/>
          </w:rPr>
          <w:fldChar w:fldCharType="end"/>
        </w:r>
      </w:hyperlink>
    </w:p>
    <w:p w14:paraId="63487DE0" w14:textId="197A1972" w:rsidR="000D0217" w:rsidRDefault="001400EF">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6437" w:history="1">
        <w:r w:rsidR="000D0217" w:rsidRPr="00BB0CC4">
          <w:rPr>
            <w:rStyle w:val="Hipervnculo"/>
            <w:rFonts w:cs="Arial"/>
            <w:noProof/>
          </w:rPr>
          <w:t>Ilustración 3. Organigrama de la AVAF (https://www.antifraucv.es/es/la-agencia/organigrama)</w:t>
        </w:r>
        <w:r w:rsidR="000D0217">
          <w:rPr>
            <w:noProof/>
            <w:webHidden/>
          </w:rPr>
          <w:tab/>
        </w:r>
        <w:r w:rsidR="000D0217">
          <w:rPr>
            <w:noProof/>
            <w:webHidden/>
          </w:rPr>
          <w:fldChar w:fldCharType="begin"/>
        </w:r>
        <w:r w:rsidR="000D0217">
          <w:rPr>
            <w:noProof/>
            <w:webHidden/>
          </w:rPr>
          <w:instrText xml:space="preserve"> PAGEREF _Toc67646437 \h </w:instrText>
        </w:r>
        <w:r w:rsidR="000D0217">
          <w:rPr>
            <w:noProof/>
            <w:webHidden/>
          </w:rPr>
        </w:r>
        <w:r w:rsidR="000D0217">
          <w:rPr>
            <w:noProof/>
            <w:webHidden/>
          </w:rPr>
          <w:fldChar w:fldCharType="separate"/>
        </w:r>
        <w:r w:rsidR="00997C18">
          <w:rPr>
            <w:noProof/>
            <w:webHidden/>
          </w:rPr>
          <w:t>188</w:t>
        </w:r>
        <w:r w:rsidR="000D0217">
          <w:rPr>
            <w:noProof/>
            <w:webHidden/>
          </w:rPr>
          <w:fldChar w:fldCharType="end"/>
        </w:r>
      </w:hyperlink>
    </w:p>
    <w:p w14:paraId="222E9D0E" w14:textId="6F11ED3D" w:rsidR="004927C3" w:rsidRPr="00973028" w:rsidRDefault="004927C3">
      <w:pPr>
        <w:rPr>
          <w:rFonts w:ascii="Arial" w:hAnsi="Arial" w:cs="Arial"/>
          <w:bCs/>
          <w:color w:val="FF0000"/>
          <w:sz w:val="20"/>
          <w:szCs w:val="20"/>
        </w:rPr>
      </w:pPr>
      <w:r w:rsidRPr="00973028">
        <w:rPr>
          <w:rFonts w:ascii="Arial" w:hAnsi="Arial" w:cs="Arial"/>
          <w:bCs/>
          <w:color w:val="FF0000"/>
          <w:sz w:val="20"/>
          <w:szCs w:val="20"/>
        </w:rPr>
        <w:fldChar w:fldCharType="end"/>
      </w:r>
    </w:p>
    <w:p w14:paraId="1AD76729" w14:textId="11BDEF7E" w:rsidR="002A4453" w:rsidRPr="00973028" w:rsidRDefault="002A4453">
      <w:pPr>
        <w:rPr>
          <w:rFonts w:ascii="Arial" w:hAnsi="Arial" w:cs="Arial"/>
          <w:color w:val="FF0000"/>
          <w:sz w:val="20"/>
          <w:szCs w:val="20"/>
        </w:rPr>
      </w:pPr>
      <w:r w:rsidRPr="00973028">
        <w:rPr>
          <w:rFonts w:ascii="Arial" w:hAnsi="Arial" w:cs="Arial"/>
          <w:color w:val="FF0000"/>
          <w:sz w:val="20"/>
          <w:szCs w:val="20"/>
        </w:rPr>
        <w:br w:type="page"/>
      </w:r>
    </w:p>
    <w:p w14:paraId="02153C53" w14:textId="77777777" w:rsidR="00FB44DE" w:rsidRPr="00973028" w:rsidRDefault="00FB44DE">
      <w:pPr>
        <w:rPr>
          <w:rFonts w:ascii="Arial" w:hAnsi="Arial" w:cs="Arial"/>
          <w:color w:val="FF0000"/>
          <w:sz w:val="20"/>
          <w:szCs w:val="20"/>
        </w:rPr>
      </w:pPr>
    </w:p>
    <w:p w14:paraId="372F2CEC" w14:textId="202556C4" w:rsidR="00FB44DE" w:rsidRPr="00973028" w:rsidRDefault="00FB44DE">
      <w:pPr>
        <w:rPr>
          <w:rFonts w:ascii="Arial" w:hAnsi="Arial" w:cs="Arial"/>
          <w:color w:val="FF0000"/>
          <w:sz w:val="20"/>
          <w:szCs w:val="20"/>
        </w:rPr>
      </w:pPr>
      <w:r w:rsidRPr="00973028">
        <w:rPr>
          <w:rFonts w:ascii="Arial" w:hAnsi="Arial" w:cs="Arial"/>
          <w:color w:val="FF0000"/>
          <w:sz w:val="20"/>
          <w:szCs w:val="20"/>
        </w:rPr>
        <w:br w:type="page"/>
      </w:r>
    </w:p>
    <w:p w14:paraId="537E5A6B" w14:textId="77777777" w:rsidR="006E30DA" w:rsidRPr="00973028" w:rsidRDefault="006E30DA" w:rsidP="00EA0E82">
      <w:pPr>
        <w:spacing w:after="0" w:line="276" w:lineRule="auto"/>
        <w:jc w:val="both"/>
        <w:rPr>
          <w:rFonts w:ascii="Arial" w:hAnsi="Arial" w:cs="Arial"/>
          <w:color w:val="FF0000"/>
          <w:sz w:val="20"/>
          <w:szCs w:val="20"/>
        </w:rPr>
        <w:sectPr w:rsidR="006E30DA" w:rsidRPr="00973028" w:rsidSect="00DD0CB6">
          <w:headerReference w:type="default" r:id="rId40"/>
          <w:footerReference w:type="default" r:id="rId41"/>
          <w:pgSz w:w="11906" w:h="16838"/>
          <w:pgMar w:top="1134" w:right="1983" w:bottom="1134" w:left="1701" w:header="567" w:footer="227" w:gutter="0"/>
          <w:cols w:space="708"/>
          <w:titlePg/>
          <w:docGrid w:linePitch="360"/>
        </w:sectPr>
      </w:pPr>
    </w:p>
    <w:p w14:paraId="11C93748" w14:textId="48CE9225" w:rsidR="006B23D2" w:rsidRPr="00973028" w:rsidRDefault="006B23D2" w:rsidP="006B23D2">
      <w:pPr>
        <w:keepNext/>
        <w:widowControl w:val="0"/>
        <w:tabs>
          <w:tab w:val="left" w:pos="0"/>
        </w:tabs>
        <w:suppressAutoHyphens/>
        <w:autoSpaceDN w:val="0"/>
        <w:spacing w:after="0" w:line="276" w:lineRule="auto"/>
        <w:jc w:val="both"/>
        <w:textAlignment w:val="baseline"/>
        <w:outlineLvl w:val="0"/>
        <w:rPr>
          <w:rFonts w:ascii="Arial" w:eastAsia="Calibri" w:hAnsi="Arial" w:cs="Arial"/>
          <w:b/>
          <w:bCs/>
          <w:color w:val="993333"/>
          <w:spacing w:val="-14"/>
          <w:w w:val="95"/>
          <w:sz w:val="20"/>
          <w:szCs w:val="20"/>
        </w:rPr>
      </w:pPr>
    </w:p>
    <w:p w14:paraId="37C97114" w14:textId="6D085305" w:rsidR="00A511D8" w:rsidRPr="00973028" w:rsidRDefault="00A511D8" w:rsidP="006B23D2">
      <w:pPr>
        <w:keepNext/>
        <w:widowControl w:val="0"/>
        <w:tabs>
          <w:tab w:val="left" w:pos="0"/>
        </w:tabs>
        <w:suppressAutoHyphens/>
        <w:autoSpaceDN w:val="0"/>
        <w:spacing w:after="0" w:line="276" w:lineRule="auto"/>
        <w:jc w:val="both"/>
        <w:textAlignment w:val="baseline"/>
        <w:outlineLvl w:val="0"/>
        <w:rPr>
          <w:rFonts w:ascii="Arial" w:eastAsia="Calibri" w:hAnsi="Arial" w:cs="Arial"/>
          <w:b/>
          <w:bCs/>
          <w:color w:val="993333"/>
          <w:spacing w:val="-14"/>
          <w:w w:val="95"/>
          <w:sz w:val="20"/>
          <w:szCs w:val="20"/>
        </w:rPr>
      </w:pPr>
    </w:p>
    <w:p w14:paraId="00F76FC9" w14:textId="7C9782C3" w:rsidR="003834B9" w:rsidRPr="00973028" w:rsidRDefault="003834B9" w:rsidP="006B23D2">
      <w:pPr>
        <w:keepNext/>
        <w:widowControl w:val="0"/>
        <w:tabs>
          <w:tab w:val="left" w:pos="0"/>
        </w:tabs>
        <w:suppressAutoHyphens/>
        <w:autoSpaceDN w:val="0"/>
        <w:spacing w:after="0" w:line="276" w:lineRule="auto"/>
        <w:jc w:val="both"/>
        <w:textAlignment w:val="baseline"/>
        <w:outlineLvl w:val="0"/>
        <w:rPr>
          <w:rFonts w:ascii="Arial" w:eastAsia="Calibri" w:hAnsi="Arial" w:cs="Arial"/>
          <w:b/>
          <w:bCs/>
          <w:color w:val="993333"/>
          <w:spacing w:val="-14"/>
          <w:w w:val="95"/>
          <w:sz w:val="20"/>
          <w:szCs w:val="20"/>
        </w:rPr>
      </w:pPr>
    </w:p>
    <w:p w14:paraId="5B8068D0" w14:textId="77777777" w:rsidR="003834B9" w:rsidRPr="00973028" w:rsidRDefault="003834B9" w:rsidP="006B23D2">
      <w:pPr>
        <w:keepNext/>
        <w:widowControl w:val="0"/>
        <w:tabs>
          <w:tab w:val="left" w:pos="0"/>
        </w:tabs>
        <w:suppressAutoHyphens/>
        <w:autoSpaceDN w:val="0"/>
        <w:spacing w:after="0" w:line="276" w:lineRule="auto"/>
        <w:jc w:val="both"/>
        <w:textAlignment w:val="baseline"/>
        <w:outlineLvl w:val="0"/>
        <w:rPr>
          <w:rFonts w:ascii="Arial" w:eastAsia="Calibri" w:hAnsi="Arial" w:cs="Arial"/>
          <w:b/>
          <w:bCs/>
          <w:color w:val="993333"/>
          <w:spacing w:val="-14"/>
          <w:w w:val="95"/>
          <w:sz w:val="20"/>
          <w:szCs w:val="20"/>
        </w:rPr>
      </w:pPr>
    </w:p>
    <w:p w14:paraId="15D3E226" w14:textId="77777777" w:rsidR="003834B9" w:rsidRPr="00973028" w:rsidRDefault="003834B9" w:rsidP="006B23D2">
      <w:pPr>
        <w:keepNext/>
        <w:widowControl w:val="0"/>
        <w:tabs>
          <w:tab w:val="left" w:pos="0"/>
        </w:tabs>
        <w:suppressAutoHyphens/>
        <w:autoSpaceDN w:val="0"/>
        <w:spacing w:after="0" w:line="276" w:lineRule="auto"/>
        <w:jc w:val="both"/>
        <w:textAlignment w:val="baseline"/>
        <w:outlineLvl w:val="0"/>
        <w:rPr>
          <w:rFonts w:ascii="Arial" w:eastAsia="Calibri" w:hAnsi="Arial" w:cs="Arial"/>
          <w:b/>
          <w:bCs/>
          <w:color w:val="993333"/>
          <w:spacing w:val="-14"/>
          <w:w w:val="95"/>
          <w:sz w:val="20"/>
          <w:szCs w:val="20"/>
        </w:rPr>
      </w:pPr>
    </w:p>
    <w:p w14:paraId="6F5A92B4" w14:textId="5701D9AC" w:rsidR="006B23D2" w:rsidRPr="00973028" w:rsidRDefault="00AD0B4D" w:rsidP="00672ABA">
      <w:pPr>
        <w:pStyle w:val="Prrafodelista"/>
        <w:keepNext/>
        <w:widowControl w:val="0"/>
        <w:numPr>
          <w:ilvl w:val="0"/>
          <w:numId w:val="26"/>
        </w:numPr>
        <w:tabs>
          <w:tab w:val="left" w:pos="0"/>
        </w:tabs>
        <w:suppressAutoHyphens/>
        <w:autoSpaceDN w:val="0"/>
        <w:spacing w:after="0" w:line="240" w:lineRule="auto"/>
        <w:ind w:left="0" w:firstLine="0"/>
        <w:textAlignment w:val="baseline"/>
        <w:outlineLvl w:val="0"/>
        <w:rPr>
          <w:rFonts w:ascii="Arial" w:eastAsia="Calibri" w:hAnsi="Arial" w:cs="Arial"/>
          <w:b/>
          <w:bCs/>
          <w:color w:val="993333"/>
          <w:spacing w:val="-24"/>
          <w:sz w:val="80"/>
          <w:szCs w:val="80"/>
        </w:rPr>
      </w:pPr>
      <w:r w:rsidRPr="00973028">
        <w:rPr>
          <w:rFonts w:ascii="Arial" w:eastAsia="Calibri" w:hAnsi="Arial" w:cs="Arial"/>
          <w:b/>
          <w:bCs/>
          <w:color w:val="993333"/>
          <w:spacing w:val="-24"/>
          <w:sz w:val="80"/>
          <w:szCs w:val="80"/>
        </w:rPr>
        <w:br/>
      </w:r>
      <w:bookmarkStart w:id="4" w:name="_Toc67646216"/>
      <w:r w:rsidR="006B23D2" w:rsidRPr="00973028">
        <w:rPr>
          <w:rFonts w:ascii="Arial" w:eastAsia="Calibri" w:hAnsi="Arial" w:cs="Arial"/>
          <w:b/>
          <w:bCs/>
          <w:color w:val="993333"/>
          <w:spacing w:val="-24"/>
          <w:sz w:val="80"/>
          <w:szCs w:val="80"/>
        </w:rPr>
        <w:t>Presentación</w:t>
      </w:r>
      <w:bookmarkEnd w:id="4"/>
    </w:p>
    <w:p w14:paraId="00BB0386" w14:textId="0662A542" w:rsidR="006B23D2" w:rsidRPr="009811CC" w:rsidRDefault="006B23D2" w:rsidP="009811CC">
      <w:pPr>
        <w:widowControl w:val="0"/>
        <w:tabs>
          <w:tab w:val="left" w:pos="0"/>
        </w:tabs>
        <w:suppressAutoHyphens/>
        <w:autoSpaceDN w:val="0"/>
        <w:spacing w:after="0" w:line="276" w:lineRule="auto"/>
        <w:jc w:val="both"/>
        <w:textAlignment w:val="baseline"/>
        <w:rPr>
          <w:rFonts w:ascii="Arial" w:eastAsia="Calibri" w:hAnsi="Arial" w:cs="Arial"/>
          <w:color w:val="000000"/>
          <w:sz w:val="21"/>
          <w:szCs w:val="21"/>
        </w:rPr>
      </w:pPr>
    </w:p>
    <w:p w14:paraId="116A8E00" w14:textId="3FD6523E" w:rsidR="00644597" w:rsidRPr="009811CC" w:rsidRDefault="00644597" w:rsidP="009811CC">
      <w:pPr>
        <w:widowControl w:val="0"/>
        <w:tabs>
          <w:tab w:val="left" w:pos="0"/>
        </w:tabs>
        <w:suppressAutoHyphens/>
        <w:autoSpaceDN w:val="0"/>
        <w:spacing w:after="0" w:line="276" w:lineRule="auto"/>
        <w:jc w:val="both"/>
        <w:textAlignment w:val="baseline"/>
        <w:rPr>
          <w:rFonts w:ascii="Arial" w:eastAsia="Calibri" w:hAnsi="Arial" w:cs="Arial"/>
          <w:sz w:val="21"/>
          <w:szCs w:val="21"/>
        </w:rPr>
      </w:pPr>
    </w:p>
    <w:p w14:paraId="55AF61DE" w14:textId="77777777" w:rsidR="00F966B3" w:rsidRPr="00744490" w:rsidRDefault="00F966B3" w:rsidP="00F966B3">
      <w:pPr>
        <w:widowControl w:val="0"/>
        <w:tabs>
          <w:tab w:val="left" w:pos="0"/>
        </w:tabs>
        <w:suppressAutoHyphens/>
        <w:autoSpaceDN w:val="0"/>
        <w:spacing w:after="240" w:line="276" w:lineRule="auto"/>
        <w:jc w:val="both"/>
        <w:textAlignment w:val="baseline"/>
        <w:rPr>
          <w:rFonts w:ascii="Arial" w:eastAsia="Calibri" w:hAnsi="Arial" w:cs="Arial"/>
          <w:sz w:val="21"/>
          <w:szCs w:val="21"/>
        </w:rPr>
      </w:pPr>
      <w:r w:rsidRPr="00744490">
        <w:rPr>
          <w:rFonts w:ascii="Arial" w:eastAsia="Calibri" w:hAnsi="Arial" w:cs="Arial"/>
          <w:sz w:val="21"/>
          <w:szCs w:val="21"/>
        </w:rPr>
        <w:t>Un año más, la Agencia Valenciana Antifraude presenta su Memoria de actividad dando cumplimiento de esta forma al deber de rendir cuentas ante el Parlamento valenciano tal y como se recoge en el artículo 22 de la Ley 11/2016, de 28 de noviembre, de la Generalitat, de creación de la propia Agencia y el artículo 81 de su Reglamento de funcionamiento y régimen interior. La Memoria constituye una vez publicada un instrumento de rendición de cuentas ante la propia sociedad valenciana.</w:t>
      </w:r>
    </w:p>
    <w:p w14:paraId="444A5C89" w14:textId="77777777" w:rsidR="00F966B3" w:rsidRPr="00744490" w:rsidRDefault="00F966B3" w:rsidP="00F966B3">
      <w:pPr>
        <w:widowControl w:val="0"/>
        <w:tabs>
          <w:tab w:val="left" w:pos="0"/>
        </w:tabs>
        <w:suppressAutoHyphens/>
        <w:autoSpaceDN w:val="0"/>
        <w:spacing w:after="240" w:line="276" w:lineRule="auto"/>
        <w:jc w:val="both"/>
        <w:textAlignment w:val="baseline"/>
        <w:rPr>
          <w:rFonts w:ascii="Arial" w:eastAsia="Calibri" w:hAnsi="Arial" w:cs="Arial"/>
          <w:sz w:val="21"/>
          <w:szCs w:val="21"/>
        </w:rPr>
      </w:pPr>
      <w:r w:rsidRPr="00744490">
        <w:rPr>
          <w:rFonts w:ascii="Arial" w:eastAsia="Calibri" w:hAnsi="Arial" w:cs="Arial"/>
          <w:sz w:val="21"/>
          <w:szCs w:val="21"/>
        </w:rPr>
        <w:t>Esta Memoria recoge la actividad desarrollada en este cuarto año de funcionamiento de la Agencia, el tercero si nos referimos a ejercicios completos, el cual estará para siempre marcado por las especiales circunstancias que hemos tenido que vivir con la crisis provocada por la COVID-19 que todavía persiste con sus graves consecuencias sanitarias, económicas y sociales, y sin perder de vista su impacto en el funcionamiento normal de las administraciones públicas.</w:t>
      </w:r>
    </w:p>
    <w:p w14:paraId="73CCDA45" w14:textId="77777777" w:rsidR="00F966B3" w:rsidRPr="00744490" w:rsidRDefault="00F966B3" w:rsidP="00F966B3">
      <w:pPr>
        <w:widowControl w:val="0"/>
        <w:tabs>
          <w:tab w:val="left" w:pos="0"/>
        </w:tabs>
        <w:suppressAutoHyphens/>
        <w:autoSpaceDN w:val="0"/>
        <w:spacing w:after="240" w:line="276" w:lineRule="auto"/>
        <w:jc w:val="both"/>
        <w:textAlignment w:val="baseline"/>
        <w:rPr>
          <w:rFonts w:ascii="Arial" w:eastAsia="Calibri" w:hAnsi="Arial" w:cs="Arial"/>
          <w:sz w:val="21"/>
          <w:szCs w:val="21"/>
        </w:rPr>
      </w:pPr>
      <w:r w:rsidRPr="00744490">
        <w:rPr>
          <w:rFonts w:ascii="Arial" w:eastAsia="Calibri" w:hAnsi="Arial" w:cs="Arial"/>
          <w:sz w:val="21"/>
          <w:szCs w:val="21"/>
        </w:rPr>
        <w:t>Por lo tanto, el trabajo desarrollado durante el año 2020 ha estado caracterizado, en primer lugar, por la situación de confinamiento y sus consiguientes dificultades de movilidad, de reunión y de distanciamiento social, que han supuesto en la práctica la adopción del teletrabajo. En segundo lugar, por la alteración de la capacidad de las administraciones públicas interpeladas por la AVAF para dar respuestas prontas y completas.</w:t>
      </w:r>
    </w:p>
    <w:p w14:paraId="14DE757E" w14:textId="0DC620AC" w:rsidR="00F966B3" w:rsidRPr="00744490" w:rsidRDefault="00F966B3" w:rsidP="00F966B3">
      <w:pPr>
        <w:widowControl w:val="0"/>
        <w:tabs>
          <w:tab w:val="left" w:pos="0"/>
        </w:tabs>
        <w:suppressAutoHyphens/>
        <w:autoSpaceDN w:val="0"/>
        <w:spacing w:after="240" w:line="276" w:lineRule="auto"/>
        <w:jc w:val="both"/>
        <w:textAlignment w:val="baseline"/>
        <w:rPr>
          <w:rFonts w:ascii="Arial" w:eastAsia="Calibri" w:hAnsi="Arial" w:cs="Arial"/>
          <w:sz w:val="21"/>
          <w:szCs w:val="21"/>
        </w:rPr>
      </w:pPr>
      <w:r w:rsidRPr="00744490">
        <w:rPr>
          <w:rFonts w:ascii="Arial" w:eastAsia="Calibri" w:hAnsi="Arial" w:cs="Arial"/>
          <w:sz w:val="21"/>
          <w:szCs w:val="21"/>
        </w:rPr>
        <w:t xml:space="preserve">La adaptación del personal de la Agencia Valenciana Antifraude a esta nueva situación ha sido muy rápida, ya que desde sus inicios la Agencia fue diseñada para implementar en su </w:t>
      </w:r>
      <w:r w:rsidRPr="00F966B3">
        <w:rPr>
          <w:rFonts w:ascii="Arial" w:eastAsia="Calibri" w:hAnsi="Arial" w:cs="Arial"/>
          <w:sz w:val="21"/>
          <w:szCs w:val="21"/>
        </w:rPr>
        <w:t>funcionamiento la administración electrónica e incluyendo la movilidad de su personal, al concebirse la</w:t>
      </w:r>
      <w:r w:rsidRPr="00744490">
        <w:rPr>
          <w:rFonts w:ascii="Arial" w:eastAsia="Calibri" w:hAnsi="Arial" w:cs="Arial"/>
          <w:sz w:val="21"/>
          <w:szCs w:val="21"/>
        </w:rPr>
        <w:t xml:space="preserve"> AVAF desde el principio como un organismo que, aunque tuviera su sede física en la ciudad de València, pudiera desempeñar su actividad en cualquier punto de la Comunitat Valenciana en el caso de que así fuera necesario para desarrollar sus actuaciones.</w:t>
      </w:r>
    </w:p>
    <w:p w14:paraId="354E0FF5" w14:textId="77777777" w:rsidR="00F966B3" w:rsidRPr="00744490" w:rsidRDefault="00F966B3" w:rsidP="00F966B3">
      <w:pPr>
        <w:widowControl w:val="0"/>
        <w:tabs>
          <w:tab w:val="left" w:pos="0"/>
        </w:tabs>
        <w:suppressAutoHyphens/>
        <w:autoSpaceDN w:val="0"/>
        <w:spacing w:after="240" w:line="276" w:lineRule="auto"/>
        <w:jc w:val="both"/>
        <w:textAlignment w:val="baseline"/>
        <w:rPr>
          <w:rFonts w:ascii="Arial" w:eastAsia="Calibri" w:hAnsi="Arial" w:cs="Arial"/>
          <w:sz w:val="21"/>
          <w:szCs w:val="21"/>
        </w:rPr>
      </w:pPr>
      <w:r w:rsidRPr="00744490">
        <w:rPr>
          <w:rFonts w:ascii="Arial" w:eastAsia="Calibri" w:hAnsi="Arial" w:cs="Arial"/>
          <w:sz w:val="21"/>
          <w:szCs w:val="21"/>
        </w:rPr>
        <w:t xml:space="preserve">El hecho de disponer de una sólida infraestructura tecnológica y estar preparados para esta modalidad de trabajo ha permitido que ninguna de las áreas se haya resentido sino más bien al contrario, ya que esta nueva forma de trabajar ha propiciado mayores tasas de </w:t>
      </w:r>
      <w:r w:rsidRPr="00744490">
        <w:rPr>
          <w:rFonts w:ascii="Arial" w:eastAsia="Calibri" w:hAnsi="Arial" w:cs="Arial"/>
          <w:sz w:val="21"/>
          <w:szCs w:val="21"/>
        </w:rPr>
        <w:lastRenderedPageBreak/>
        <w:t xml:space="preserve">productividad, eficacia y eficiencia. </w:t>
      </w:r>
    </w:p>
    <w:p w14:paraId="0EC6F1CA" w14:textId="77777777" w:rsidR="00F966B3" w:rsidRPr="00744490" w:rsidRDefault="00F966B3" w:rsidP="00F966B3">
      <w:pPr>
        <w:widowControl w:val="0"/>
        <w:tabs>
          <w:tab w:val="left" w:pos="0"/>
        </w:tabs>
        <w:suppressAutoHyphens/>
        <w:autoSpaceDN w:val="0"/>
        <w:spacing w:after="240" w:line="276" w:lineRule="auto"/>
        <w:jc w:val="both"/>
        <w:textAlignment w:val="baseline"/>
        <w:rPr>
          <w:rFonts w:ascii="Arial" w:eastAsia="Calibri" w:hAnsi="Arial" w:cs="Arial"/>
          <w:sz w:val="21"/>
          <w:szCs w:val="21"/>
        </w:rPr>
      </w:pPr>
      <w:r w:rsidRPr="00744490">
        <w:rPr>
          <w:rFonts w:ascii="Arial" w:eastAsia="Calibri" w:hAnsi="Arial" w:cs="Arial"/>
          <w:sz w:val="21"/>
          <w:szCs w:val="21"/>
        </w:rPr>
        <w:t>Así mismo, en ningún momento se ha interrumpido la actividad de la Agencia y se han garantizado los canales para que la ciudadanía pudiera informar e interponer denuncias, incluidos los canales presenciales que se han mantenido abiertos en todo momento con plena seguridad, tanto del personal de la Agencia como de las personas que acudían a sus dependencias.</w:t>
      </w:r>
    </w:p>
    <w:p w14:paraId="01368650" w14:textId="77777777" w:rsidR="00F966B3" w:rsidRPr="00744490" w:rsidRDefault="00F966B3" w:rsidP="00F966B3">
      <w:pPr>
        <w:widowControl w:val="0"/>
        <w:tabs>
          <w:tab w:val="left" w:pos="0"/>
        </w:tabs>
        <w:suppressAutoHyphens/>
        <w:autoSpaceDN w:val="0"/>
        <w:spacing w:after="240" w:line="276" w:lineRule="auto"/>
        <w:jc w:val="both"/>
        <w:textAlignment w:val="baseline"/>
        <w:rPr>
          <w:rFonts w:ascii="Arial" w:eastAsia="Calibri" w:hAnsi="Arial" w:cs="Arial"/>
          <w:sz w:val="21"/>
          <w:szCs w:val="21"/>
        </w:rPr>
      </w:pPr>
      <w:r w:rsidRPr="00744490">
        <w:rPr>
          <w:rFonts w:ascii="Arial" w:eastAsia="Calibri" w:hAnsi="Arial" w:cs="Arial"/>
          <w:sz w:val="21"/>
          <w:szCs w:val="21"/>
        </w:rPr>
        <w:t xml:space="preserve">Se consideró importante seguir teniendo abiertos todos los canales para que cualquier persona pudiera poner en conocimiento de la Agencia cualquier situación de fraude y corrupción que se hubiera podido producir en el seno de cualquier administración pública de la Comunitat Valenciana pues es una evidencia que, en tiempos de crisis y calamidades públicas, los riesgos de irregularidades, malas prácticas o incluso corrupción se incrementan. </w:t>
      </w:r>
    </w:p>
    <w:p w14:paraId="23CB59D2" w14:textId="77777777" w:rsidR="00F966B3" w:rsidRPr="00744490" w:rsidRDefault="00F966B3" w:rsidP="00F966B3">
      <w:pPr>
        <w:widowControl w:val="0"/>
        <w:tabs>
          <w:tab w:val="left" w:pos="0"/>
        </w:tabs>
        <w:suppressAutoHyphens/>
        <w:autoSpaceDN w:val="0"/>
        <w:spacing w:after="240" w:line="276" w:lineRule="auto"/>
        <w:jc w:val="both"/>
        <w:textAlignment w:val="baseline"/>
        <w:rPr>
          <w:rFonts w:ascii="Arial" w:eastAsia="Calibri" w:hAnsi="Arial" w:cs="Arial"/>
          <w:sz w:val="21"/>
          <w:szCs w:val="21"/>
        </w:rPr>
      </w:pPr>
      <w:r w:rsidRPr="00744490">
        <w:rPr>
          <w:rFonts w:ascii="Arial" w:eastAsia="Calibri" w:hAnsi="Arial" w:cs="Arial"/>
          <w:sz w:val="21"/>
          <w:szCs w:val="21"/>
        </w:rPr>
        <w:t>Este esfuerzo por seguir manteniendo la atención al ciudadano a pesar de las dificultades que atravesábamos se ha visto refrendado por ejemplo en el hecho de que el número de denuncias interpuestas en la Agencia ha aumentado en un 34% durante el año 2020, pasando de las 168 denuncias presentadas en el año 2019 a las 226 de este año.</w:t>
      </w:r>
    </w:p>
    <w:p w14:paraId="4B418DF4" w14:textId="77777777" w:rsidR="00F966B3" w:rsidRPr="00744490" w:rsidRDefault="00F966B3" w:rsidP="00F966B3">
      <w:pPr>
        <w:widowControl w:val="0"/>
        <w:tabs>
          <w:tab w:val="left" w:pos="0"/>
        </w:tabs>
        <w:suppressAutoHyphens/>
        <w:autoSpaceDN w:val="0"/>
        <w:spacing w:after="240" w:line="276" w:lineRule="auto"/>
        <w:jc w:val="both"/>
        <w:textAlignment w:val="baseline"/>
        <w:rPr>
          <w:rFonts w:ascii="Arial" w:eastAsia="Calibri" w:hAnsi="Arial" w:cs="Arial"/>
          <w:sz w:val="21"/>
          <w:szCs w:val="21"/>
        </w:rPr>
      </w:pPr>
      <w:r w:rsidRPr="00744490">
        <w:rPr>
          <w:rFonts w:ascii="Arial" w:eastAsia="Calibri" w:hAnsi="Arial" w:cs="Arial"/>
          <w:sz w:val="21"/>
          <w:szCs w:val="21"/>
        </w:rPr>
        <w:t xml:space="preserve">Tampoco se vieron interrumpidas las acciones y actuaciones programadas desde el área de prevención y formación, aunque sí necesitaron de un tiempo para poder adaptarse del formato presencial con el que inicialmente fueron diseñadas, a la modalidad online. Durante este año 2020 hemos aprendido y nos hemos adaptado a una nueva forma de comunicar, y hemos descubierto las muchas ventajas de la modalidad online sobre todo en el mayor alcance de las acciones desarrolladas por esta modalidad. </w:t>
      </w:r>
    </w:p>
    <w:p w14:paraId="2CEFA59E" w14:textId="32B40631" w:rsidR="00F966B3" w:rsidRPr="00744490" w:rsidRDefault="00F966B3" w:rsidP="00F966B3">
      <w:pPr>
        <w:widowControl w:val="0"/>
        <w:tabs>
          <w:tab w:val="left" w:pos="0"/>
        </w:tabs>
        <w:suppressAutoHyphens/>
        <w:autoSpaceDN w:val="0"/>
        <w:spacing w:after="240" w:line="276" w:lineRule="auto"/>
        <w:jc w:val="both"/>
        <w:textAlignment w:val="baseline"/>
        <w:rPr>
          <w:rFonts w:ascii="Arial" w:eastAsia="Calibri" w:hAnsi="Arial" w:cs="Arial"/>
          <w:sz w:val="21"/>
          <w:szCs w:val="21"/>
        </w:rPr>
      </w:pPr>
      <w:r w:rsidRPr="00F966B3">
        <w:rPr>
          <w:rFonts w:ascii="Arial" w:eastAsia="Calibri" w:hAnsi="Arial" w:cs="Arial"/>
          <w:sz w:val="21"/>
          <w:szCs w:val="21"/>
        </w:rPr>
        <w:t>Sin duda, y aunque la situación sanitaria mejore y podamos volver a organizar actividades de forma presencial, la tendencia será hacia el diseño de modelos híbridos en el que la parte online y offline vayan de la mano aprovechando de esta manera las ventajas de ambos entornos.</w:t>
      </w:r>
    </w:p>
    <w:p w14:paraId="00B163A3" w14:textId="77777777" w:rsidR="00F966B3" w:rsidRPr="00744490" w:rsidRDefault="00F966B3" w:rsidP="00F966B3">
      <w:pPr>
        <w:widowControl w:val="0"/>
        <w:tabs>
          <w:tab w:val="left" w:pos="0"/>
        </w:tabs>
        <w:suppressAutoHyphens/>
        <w:autoSpaceDN w:val="0"/>
        <w:spacing w:after="240" w:line="276" w:lineRule="auto"/>
        <w:jc w:val="both"/>
        <w:textAlignment w:val="baseline"/>
        <w:rPr>
          <w:rFonts w:ascii="Arial" w:eastAsia="Calibri" w:hAnsi="Arial" w:cs="Arial"/>
          <w:sz w:val="21"/>
          <w:szCs w:val="21"/>
        </w:rPr>
      </w:pPr>
      <w:r w:rsidRPr="00744490">
        <w:rPr>
          <w:rFonts w:ascii="Arial" w:eastAsia="Calibri" w:hAnsi="Arial" w:cs="Arial"/>
          <w:sz w:val="21"/>
          <w:szCs w:val="21"/>
        </w:rPr>
        <w:t xml:space="preserve">Uno de los acontecimientos que ha condicionado gran parte del trabajo de la Agencia, sobre </w:t>
      </w:r>
      <w:r w:rsidRPr="00F966B3">
        <w:rPr>
          <w:rFonts w:ascii="Arial" w:eastAsia="Calibri" w:hAnsi="Arial" w:cs="Arial"/>
          <w:sz w:val="21"/>
          <w:szCs w:val="21"/>
        </w:rPr>
        <w:t>todo en el ámbito jurídico, han sido los trabajos de trasposición de la Directiva Europea 2019/ 1937 de protección de las personas denunciantes y alertadoras de corrupción, más conocida como</w:t>
      </w:r>
      <w:r w:rsidRPr="00744490">
        <w:rPr>
          <w:rFonts w:ascii="Arial" w:eastAsia="Calibri" w:hAnsi="Arial" w:cs="Arial"/>
          <w:sz w:val="21"/>
          <w:szCs w:val="21"/>
        </w:rPr>
        <w:t xml:space="preserve"> Directiva Whistleblowers. La AVAF está en contacto con la comisión de codificación del Ministerio de Justicia, órgano encargado de redactar el proyecto de ley de trasposición, para aportar su experiencia en esta materia. </w:t>
      </w:r>
    </w:p>
    <w:p w14:paraId="30481166" w14:textId="19DBDF5A" w:rsidR="00F966B3" w:rsidRPr="00744490" w:rsidRDefault="00F966B3" w:rsidP="00F966B3">
      <w:pPr>
        <w:widowControl w:val="0"/>
        <w:tabs>
          <w:tab w:val="left" w:pos="0"/>
        </w:tabs>
        <w:suppressAutoHyphens/>
        <w:autoSpaceDN w:val="0"/>
        <w:spacing w:after="240" w:line="276" w:lineRule="auto"/>
        <w:jc w:val="both"/>
        <w:textAlignment w:val="baseline"/>
        <w:rPr>
          <w:rFonts w:ascii="Arial" w:eastAsia="Calibri" w:hAnsi="Arial" w:cs="Arial"/>
          <w:sz w:val="21"/>
          <w:szCs w:val="21"/>
        </w:rPr>
      </w:pPr>
      <w:r w:rsidRPr="00744490">
        <w:rPr>
          <w:rFonts w:ascii="Arial" w:eastAsia="Calibri" w:hAnsi="Arial" w:cs="Arial"/>
          <w:sz w:val="21"/>
          <w:szCs w:val="21"/>
        </w:rPr>
        <w:t xml:space="preserve">Así, tanto en las reuniones mantenidas por el Consejo de Participación de la Agencia Valenciana Antifraude en el que están presentes asociaciones y entidades que se definen por la lucha contra la corrupción, como en los diferentes encuentros celebrados de la Red Estatal de Oficinas y Agencias </w:t>
      </w:r>
      <w:r w:rsidRPr="00CB2011">
        <w:rPr>
          <w:rFonts w:ascii="Arial" w:eastAsia="Calibri" w:hAnsi="Arial" w:cs="Arial"/>
          <w:sz w:val="21"/>
          <w:szCs w:val="21"/>
        </w:rPr>
        <w:t>Antifraude, se t</w:t>
      </w:r>
      <w:r w:rsidRPr="00744490">
        <w:rPr>
          <w:rFonts w:ascii="Arial" w:eastAsia="Calibri" w:hAnsi="Arial" w:cs="Arial"/>
          <w:sz w:val="21"/>
          <w:szCs w:val="21"/>
        </w:rPr>
        <w:t xml:space="preserve">rató esta cuestión que sin duda será también durante el año 2021, </w:t>
      </w:r>
      <w:r w:rsidR="00EA12D7">
        <w:rPr>
          <w:rFonts w:ascii="Arial" w:eastAsia="Calibri" w:hAnsi="Arial" w:cs="Arial"/>
          <w:sz w:val="21"/>
          <w:szCs w:val="21"/>
        </w:rPr>
        <w:t xml:space="preserve">uno de los temas centrales sobre los </w:t>
      </w:r>
      <w:r w:rsidRPr="00744490">
        <w:rPr>
          <w:rFonts w:ascii="Arial" w:eastAsia="Calibri" w:hAnsi="Arial" w:cs="Arial"/>
          <w:sz w:val="21"/>
          <w:szCs w:val="21"/>
        </w:rPr>
        <w:t>que gire nuestra actuación.</w:t>
      </w:r>
    </w:p>
    <w:p w14:paraId="57D03DD6" w14:textId="77777777" w:rsidR="00F966B3" w:rsidRPr="00744490" w:rsidRDefault="00F966B3" w:rsidP="00F966B3">
      <w:pPr>
        <w:widowControl w:val="0"/>
        <w:tabs>
          <w:tab w:val="left" w:pos="0"/>
        </w:tabs>
        <w:suppressAutoHyphens/>
        <w:autoSpaceDN w:val="0"/>
        <w:spacing w:after="240" w:line="276" w:lineRule="auto"/>
        <w:jc w:val="both"/>
        <w:textAlignment w:val="baseline"/>
        <w:rPr>
          <w:rFonts w:ascii="Arial" w:eastAsia="Calibri" w:hAnsi="Arial" w:cs="Arial"/>
          <w:sz w:val="21"/>
          <w:szCs w:val="21"/>
        </w:rPr>
      </w:pPr>
      <w:r w:rsidRPr="00744490">
        <w:rPr>
          <w:rFonts w:ascii="Arial" w:eastAsia="Calibri" w:hAnsi="Arial" w:cs="Arial"/>
          <w:sz w:val="21"/>
          <w:szCs w:val="21"/>
        </w:rPr>
        <w:t xml:space="preserve">La AVAF también ha trabajado a lo largo del año 2020 en el plano internacional para impulsar y coordinar la implementación de la Directiva Europea y de esta forma participó activamente en la elaboración, tanto de la Declaración de Roma como la Declaración de Bruselas de la Red Europea de Autoridades de Integridad y Protección de Alertadores (NEIWA), con las </w:t>
      </w:r>
      <w:r w:rsidRPr="00744490">
        <w:rPr>
          <w:rFonts w:ascii="Arial" w:eastAsia="Calibri" w:hAnsi="Arial" w:cs="Arial"/>
          <w:sz w:val="21"/>
          <w:szCs w:val="21"/>
        </w:rPr>
        <w:lastRenderedPageBreak/>
        <w:t>que se ha solicitado a los gobiernos europeos un impulso decidido y cualificado a la trasposición de la Directiva.</w:t>
      </w:r>
    </w:p>
    <w:p w14:paraId="6AE12088" w14:textId="77777777" w:rsidR="00F966B3" w:rsidRPr="00744490" w:rsidRDefault="00F966B3" w:rsidP="00F966B3">
      <w:pPr>
        <w:widowControl w:val="0"/>
        <w:tabs>
          <w:tab w:val="left" w:pos="0"/>
        </w:tabs>
        <w:suppressAutoHyphens/>
        <w:autoSpaceDN w:val="0"/>
        <w:spacing w:after="240" w:line="276" w:lineRule="auto"/>
        <w:jc w:val="both"/>
        <w:textAlignment w:val="baseline"/>
        <w:rPr>
          <w:rFonts w:ascii="Arial" w:eastAsia="Calibri" w:hAnsi="Arial" w:cs="Arial"/>
          <w:sz w:val="21"/>
          <w:szCs w:val="21"/>
        </w:rPr>
      </w:pPr>
      <w:r w:rsidRPr="00744490">
        <w:rPr>
          <w:rFonts w:ascii="Arial" w:eastAsia="Calibri" w:hAnsi="Arial" w:cs="Arial"/>
          <w:sz w:val="21"/>
          <w:szCs w:val="21"/>
        </w:rPr>
        <w:t xml:space="preserve">A lo largo de las páginas de esta Memoria, podrán encontrar de forma más detallada la extensa labor desplegada por las diferentes áreas de la Agencia Valenciana Antifraude, como la publicación de diferentes recomendaciones, entre ellas, la necesaria planificación en las administraciones públicas, el abuso de la figura del enriquecimiento injusto o el conflicto de interés como antesala de la corrupción. </w:t>
      </w:r>
    </w:p>
    <w:p w14:paraId="2D30BD11" w14:textId="59A868E5" w:rsidR="00F966B3" w:rsidRDefault="00F966B3" w:rsidP="00F966B3">
      <w:pPr>
        <w:widowControl w:val="0"/>
        <w:tabs>
          <w:tab w:val="left" w:pos="0"/>
        </w:tabs>
        <w:suppressAutoHyphens/>
        <w:autoSpaceDN w:val="0"/>
        <w:spacing w:after="240" w:line="276" w:lineRule="auto"/>
        <w:jc w:val="both"/>
        <w:textAlignment w:val="baseline"/>
        <w:rPr>
          <w:rFonts w:ascii="Arial" w:eastAsia="Calibri" w:hAnsi="Arial" w:cs="Arial"/>
          <w:sz w:val="21"/>
          <w:szCs w:val="21"/>
        </w:rPr>
      </w:pPr>
      <w:r w:rsidRPr="00744490">
        <w:rPr>
          <w:rFonts w:ascii="Arial" w:eastAsia="Calibri" w:hAnsi="Arial" w:cs="Arial"/>
          <w:sz w:val="21"/>
          <w:szCs w:val="21"/>
        </w:rPr>
        <w:t>Ha sido muy importante el impulso dado al área de análisis e investigación que ha incrementado exponencialmente el número de expedientes finales de investigación resueltos, los cu</w:t>
      </w:r>
      <w:r w:rsidR="00EA12D7">
        <w:rPr>
          <w:rFonts w:ascii="Arial" w:eastAsia="Calibri" w:hAnsi="Arial" w:cs="Arial"/>
          <w:sz w:val="21"/>
          <w:szCs w:val="21"/>
        </w:rPr>
        <w:t>a</w:t>
      </w:r>
      <w:r w:rsidRPr="00744490">
        <w:rPr>
          <w:rFonts w:ascii="Arial" w:eastAsia="Calibri" w:hAnsi="Arial" w:cs="Arial"/>
          <w:sz w:val="21"/>
          <w:szCs w:val="21"/>
        </w:rPr>
        <w:t xml:space="preserve">les, por primera vez, están disponibles para su consulta en abierto en la </w:t>
      </w:r>
      <w:r w:rsidRPr="00F966B3">
        <w:rPr>
          <w:rFonts w:ascii="Arial" w:eastAsia="Calibri" w:hAnsi="Arial" w:cs="Arial"/>
          <w:sz w:val="21"/>
          <w:szCs w:val="21"/>
        </w:rPr>
        <w:t xml:space="preserve">página web de la Agencia. </w:t>
      </w:r>
    </w:p>
    <w:p w14:paraId="3AFA0E9C" w14:textId="77777777" w:rsidR="00F966B3" w:rsidRPr="00F966B3" w:rsidRDefault="00F966B3" w:rsidP="00F966B3">
      <w:pPr>
        <w:widowControl w:val="0"/>
        <w:tabs>
          <w:tab w:val="left" w:pos="0"/>
        </w:tabs>
        <w:suppressAutoHyphens/>
        <w:autoSpaceDN w:val="0"/>
        <w:spacing w:after="240" w:line="276" w:lineRule="auto"/>
        <w:jc w:val="both"/>
        <w:textAlignment w:val="baseline"/>
        <w:rPr>
          <w:rFonts w:ascii="Arial" w:eastAsia="Calibri" w:hAnsi="Arial" w:cs="Arial"/>
          <w:sz w:val="21"/>
          <w:szCs w:val="21"/>
        </w:rPr>
      </w:pPr>
      <w:r w:rsidRPr="00F966B3">
        <w:rPr>
          <w:rFonts w:ascii="Arial" w:eastAsia="Calibri" w:hAnsi="Arial" w:cs="Arial"/>
          <w:sz w:val="21"/>
          <w:szCs w:val="21"/>
        </w:rPr>
        <w:t>También la actuación de la Agencia ha seguido prestando especial atención a la protección de las personas que denuncian, informan y comunican irregularidades que pueden dar lugar a responsabilidades legales, bastantes de ellas ostentan la condición de testigos en causas penales. A todas ellas se ha prestado permanentemente asesoría legal, siendo el número de personas denunciantes protegidas a fecha de redacción de esta Memoria de veinticinco. De acuerdo con nuestra experiencia, el anonimato y la protección son herramientas sin las cuales no podemos hablar de una verdadera lucha contra la corrupción.</w:t>
      </w:r>
    </w:p>
    <w:p w14:paraId="295A66CD" w14:textId="2D94D7CE" w:rsidR="00F966B3" w:rsidRPr="00744490" w:rsidRDefault="00F966B3" w:rsidP="00F966B3">
      <w:pPr>
        <w:widowControl w:val="0"/>
        <w:tabs>
          <w:tab w:val="left" w:pos="0"/>
        </w:tabs>
        <w:suppressAutoHyphens/>
        <w:autoSpaceDN w:val="0"/>
        <w:spacing w:after="240" w:line="276" w:lineRule="auto"/>
        <w:jc w:val="both"/>
        <w:textAlignment w:val="baseline"/>
        <w:rPr>
          <w:rFonts w:ascii="Arial" w:eastAsia="Calibri" w:hAnsi="Arial" w:cs="Arial"/>
          <w:sz w:val="21"/>
          <w:szCs w:val="21"/>
        </w:rPr>
      </w:pPr>
      <w:r w:rsidRPr="00744490">
        <w:rPr>
          <w:rFonts w:ascii="Arial" w:eastAsia="Calibri" w:hAnsi="Arial" w:cs="Arial"/>
          <w:sz w:val="21"/>
          <w:szCs w:val="21"/>
        </w:rPr>
        <w:t>Por otra parte, es importante destacar los convenios y acuerdos alcanzados con diferentes universidades, asociaciones y entidades para desarrollar y poner en marcha diferentes proyectos e iniciativas.</w:t>
      </w:r>
    </w:p>
    <w:p w14:paraId="0C268A36" w14:textId="77777777" w:rsidR="00F966B3" w:rsidRPr="00744490" w:rsidRDefault="00F966B3" w:rsidP="00A41BE1">
      <w:pPr>
        <w:widowControl w:val="0"/>
        <w:tabs>
          <w:tab w:val="left" w:pos="0"/>
        </w:tabs>
        <w:suppressAutoHyphens/>
        <w:autoSpaceDN w:val="0"/>
        <w:spacing w:after="240" w:line="276" w:lineRule="auto"/>
        <w:jc w:val="both"/>
        <w:textAlignment w:val="baseline"/>
        <w:rPr>
          <w:rFonts w:ascii="Arial" w:eastAsia="Calibri" w:hAnsi="Arial" w:cs="Arial"/>
          <w:sz w:val="21"/>
          <w:szCs w:val="21"/>
        </w:rPr>
      </w:pPr>
      <w:r w:rsidRPr="00744490">
        <w:rPr>
          <w:rFonts w:ascii="Arial" w:eastAsia="Calibri" w:hAnsi="Arial" w:cs="Arial"/>
          <w:sz w:val="21"/>
          <w:szCs w:val="21"/>
        </w:rPr>
        <w:t>Sin duda 2020 ha sido un año complicado, pero visto desde la perspectiva que da el tiempo, puedo afirmar que ha sido un año que ha permitido a la Agencia fortalecerse y seguir asentando sus bases con la seguridad de que, a pesar de las dificultades y obstáculos que pueda deparar el futuro, está preparada para abordarlos y hacerles frente, siendo esto una garantía de que la Agencia y todas las personas que forman parte de la misma, seguirán trabajando en la lucha contra el fraude y la corrupción en nuestra Comunitat con el objetivo puesto en que los artículos 14 y 103 de nuestra Constitución se cumplan y que la ciudadanía refuerce su confianza en las instituciones públicas.</w:t>
      </w:r>
    </w:p>
    <w:p w14:paraId="13632924" w14:textId="77777777" w:rsidR="006B23D2" w:rsidRPr="00973028" w:rsidRDefault="006B23D2" w:rsidP="00A41BE1">
      <w:pPr>
        <w:suppressAutoHyphens/>
        <w:autoSpaceDN w:val="0"/>
        <w:spacing w:after="240" w:line="276" w:lineRule="auto"/>
        <w:jc w:val="both"/>
        <w:textAlignment w:val="baseline"/>
        <w:rPr>
          <w:rFonts w:ascii="Arial" w:eastAsia="NSimSun" w:hAnsi="Arial" w:cs="Arial"/>
          <w:color w:val="000000"/>
          <w:kern w:val="3"/>
          <w:sz w:val="21"/>
          <w:szCs w:val="21"/>
          <w:lang w:eastAsia="zh-CN" w:bidi="hi-IN"/>
        </w:rPr>
      </w:pPr>
    </w:p>
    <w:p w14:paraId="06E6FF2A" w14:textId="77777777" w:rsidR="00A41BE1" w:rsidRDefault="006B23D2" w:rsidP="00A41BE1">
      <w:pPr>
        <w:suppressAutoHyphens/>
        <w:autoSpaceDN w:val="0"/>
        <w:spacing w:after="240" w:line="276" w:lineRule="auto"/>
        <w:jc w:val="both"/>
        <w:textAlignment w:val="baseline"/>
        <w:rPr>
          <w:rFonts w:ascii="Arial" w:eastAsia="NSimSun" w:hAnsi="Arial" w:cs="Arial"/>
          <w:kern w:val="3"/>
          <w:sz w:val="21"/>
          <w:szCs w:val="21"/>
          <w:lang w:eastAsia="zh-CN" w:bidi="hi-IN"/>
        </w:rPr>
      </w:pPr>
      <w:r w:rsidRPr="00973028">
        <w:rPr>
          <w:rFonts w:ascii="Arial" w:eastAsia="NSimSun" w:hAnsi="Arial" w:cs="Arial"/>
          <w:color w:val="000000"/>
          <w:kern w:val="3"/>
          <w:sz w:val="21"/>
          <w:szCs w:val="21"/>
          <w:lang w:eastAsia="zh-CN" w:bidi="hi-IN"/>
        </w:rPr>
        <w:t>Valènci</w:t>
      </w:r>
      <w:r w:rsidRPr="00973028">
        <w:rPr>
          <w:rFonts w:ascii="Arial" w:eastAsia="NSimSun" w:hAnsi="Arial" w:cs="Arial"/>
          <w:color w:val="000000"/>
          <w:kern w:val="3"/>
          <w:sz w:val="21"/>
          <w:szCs w:val="21"/>
          <w:shd w:val="clear" w:color="auto" w:fill="FFFFFF"/>
          <w:lang w:eastAsia="zh-CN" w:bidi="hi-IN"/>
        </w:rPr>
        <w:t xml:space="preserve">a, </w:t>
      </w:r>
      <w:r w:rsidR="001F0B05" w:rsidRPr="00973028">
        <w:rPr>
          <w:rFonts w:ascii="Arial" w:eastAsia="NSimSun" w:hAnsi="Arial" w:cs="Arial"/>
          <w:color w:val="000000"/>
          <w:kern w:val="3"/>
          <w:sz w:val="21"/>
          <w:szCs w:val="21"/>
          <w:shd w:val="clear" w:color="auto" w:fill="FFFFFF"/>
          <w:lang w:eastAsia="zh-CN" w:bidi="hi-IN"/>
        </w:rPr>
        <w:t>30</w:t>
      </w:r>
      <w:r w:rsidRPr="00973028">
        <w:rPr>
          <w:rFonts w:ascii="Arial" w:eastAsia="NSimSun" w:hAnsi="Arial" w:cs="Arial"/>
          <w:color w:val="000000"/>
          <w:kern w:val="3"/>
          <w:sz w:val="21"/>
          <w:szCs w:val="21"/>
          <w:shd w:val="clear" w:color="auto" w:fill="FFFFFF"/>
          <w:lang w:eastAsia="zh-CN" w:bidi="hi-IN"/>
        </w:rPr>
        <w:t xml:space="preserve"> de m</w:t>
      </w:r>
      <w:r w:rsidRPr="00973028">
        <w:rPr>
          <w:rFonts w:ascii="Arial" w:eastAsia="NSimSun" w:hAnsi="Arial" w:cs="Arial"/>
          <w:color w:val="000000"/>
          <w:kern w:val="3"/>
          <w:sz w:val="21"/>
          <w:szCs w:val="21"/>
          <w:lang w:eastAsia="zh-CN" w:bidi="hi-IN"/>
        </w:rPr>
        <w:t>arzo de 202</w:t>
      </w:r>
      <w:r w:rsidR="00BB4994" w:rsidRPr="00973028">
        <w:rPr>
          <w:rFonts w:ascii="Arial" w:eastAsia="NSimSun" w:hAnsi="Arial" w:cs="Arial"/>
          <w:color w:val="000000"/>
          <w:kern w:val="3"/>
          <w:sz w:val="21"/>
          <w:szCs w:val="21"/>
          <w:lang w:eastAsia="zh-CN" w:bidi="hi-IN"/>
        </w:rPr>
        <w:t>1</w:t>
      </w:r>
    </w:p>
    <w:p w14:paraId="49DD11F5" w14:textId="77777777" w:rsidR="00A41BE1" w:rsidRDefault="006B23D2" w:rsidP="00A41BE1">
      <w:pPr>
        <w:suppressAutoHyphens/>
        <w:autoSpaceDN w:val="0"/>
        <w:spacing w:after="240" w:line="276" w:lineRule="auto"/>
        <w:contextualSpacing/>
        <w:jc w:val="both"/>
        <w:textAlignment w:val="baseline"/>
        <w:rPr>
          <w:rFonts w:ascii="Arial" w:eastAsia="NSimSun" w:hAnsi="Arial" w:cs="Arial"/>
          <w:kern w:val="3"/>
          <w:sz w:val="21"/>
          <w:szCs w:val="21"/>
          <w:lang w:eastAsia="zh-CN" w:bidi="hi-IN"/>
        </w:rPr>
      </w:pPr>
      <w:r w:rsidRPr="00876C89">
        <w:rPr>
          <w:rFonts w:ascii="Arial" w:eastAsia="NSimSun" w:hAnsi="Arial" w:cs="Arial"/>
          <w:b/>
          <w:bCs/>
          <w:color w:val="000000"/>
          <w:kern w:val="3"/>
          <w:sz w:val="21"/>
          <w:szCs w:val="21"/>
          <w:lang w:eastAsia="zh-CN" w:bidi="hi-IN"/>
        </w:rPr>
        <w:t>Joan A. Llinares Gómez</w:t>
      </w:r>
    </w:p>
    <w:p w14:paraId="2E8A46A8" w14:textId="77777777" w:rsidR="00A41BE1" w:rsidRDefault="006B23D2" w:rsidP="00A41BE1">
      <w:pPr>
        <w:suppressAutoHyphens/>
        <w:autoSpaceDN w:val="0"/>
        <w:spacing w:after="240" w:line="276" w:lineRule="auto"/>
        <w:contextualSpacing/>
        <w:jc w:val="both"/>
        <w:textAlignment w:val="baseline"/>
        <w:rPr>
          <w:rFonts w:ascii="Arial" w:eastAsia="NSimSun" w:hAnsi="Arial" w:cs="Arial"/>
          <w:kern w:val="3"/>
          <w:sz w:val="21"/>
          <w:szCs w:val="21"/>
          <w:lang w:eastAsia="zh-CN" w:bidi="hi-IN"/>
        </w:rPr>
      </w:pPr>
      <w:r w:rsidRPr="00973028">
        <w:rPr>
          <w:rFonts w:ascii="Arial" w:eastAsia="NSimSun" w:hAnsi="Arial" w:cs="Arial"/>
          <w:color w:val="000000"/>
          <w:kern w:val="3"/>
          <w:sz w:val="21"/>
          <w:szCs w:val="21"/>
          <w:lang w:eastAsia="zh-CN" w:bidi="hi-IN"/>
        </w:rPr>
        <w:t>Director de la Agencia de Prevención</w:t>
      </w:r>
    </w:p>
    <w:p w14:paraId="5667D5DB" w14:textId="77777777" w:rsidR="00A41BE1" w:rsidRDefault="006B23D2" w:rsidP="00A41BE1">
      <w:pPr>
        <w:suppressAutoHyphens/>
        <w:autoSpaceDN w:val="0"/>
        <w:spacing w:after="240" w:line="276" w:lineRule="auto"/>
        <w:contextualSpacing/>
        <w:jc w:val="both"/>
        <w:textAlignment w:val="baseline"/>
        <w:rPr>
          <w:rFonts w:ascii="Arial" w:eastAsia="NSimSun" w:hAnsi="Arial" w:cs="Arial"/>
          <w:kern w:val="3"/>
          <w:sz w:val="21"/>
          <w:szCs w:val="21"/>
          <w:lang w:eastAsia="zh-CN" w:bidi="hi-IN"/>
        </w:rPr>
      </w:pPr>
      <w:r w:rsidRPr="00973028">
        <w:rPr>
          <w:rFonts w:ascii="Arial" w:eastAsia="NSimSun" w:hAnsi="Arial" w:cs="Arial"/>
          <w:color w:val="000000"/>
          <w:kern w:val="3"/>
          <w:sz w:val="21"/>
          <w:szCs w:val="21"/>
          <w:lang w:eastAsia="zh-CN" w:bidi="hi-IN"/>
        </w:rPr>
        <w:t>y Lucha contra el Fraude y la Corrupción</w:t>
      </w:r>
    </w:p>
    <w:p w14:paraId="42EA9482" w14:textId="77DC3846" w:rsidR="004E3452" w:rsidRPr="00A41BE1" w:rsidRDefault="006B23D2" w:rsidP="00A41BE1">
      <w:pPr>
        <w:suppressAutoHyphens/>
        <w:autoSpaceDN w:val="0"/>
        <w:spacing w:after="240" w:line="276" w:lineRule="auto"/>
        <w:contextualSpacing/>
        <w:jc w:val="both"/>
        <w:textAlignment w:val="baseline"/>
        <w:rPr>
          <w:rFonts w:ascii="Arial" w:eastAsia="NSimSun" w:hAnsi="Arial" w:cs="Arial"/>
          <w:kern w:val="3"/>
          <w:sz w:val="21"/>
          <w:szCs w:val="21"/>
          <w:lang w:eastAsia="zh-CN" w:bidi="hi-IN"/>
        </w:rPr>
      </w:pPr>
      <w:r w:rsidRPr="00973028">
        <w:rPr>
          <w:rFonts w:ascii="Arial" w:eastAsia="NSimSun" w:hAnsi="Arial" w:cs="Arial"/>
          <w:color w:val="000000"/>
          <w:kern w:val="3"/>
          <w:sz w:val="21"/>
          <w:szCs w:val="21"/>
          <w:lang w:eastAsia="zh-CN" w:bidi="hi-IN"/>
        </w:rPr>
        <w:t>de la Comunitat Valenciana</w:t>
      </w:r>
    </w:p>
    <w:p w14:paraId="3C500762" w14:textId="77777777" w:rsidR="004E3452" w:rsidRPr="00973028" w:rsidRDefault="004E3452" w:rsidP="00644597">
      <w:pPr>
        <w:spacing w:after="0" w:line="276" w:lineRule="auto"/>
        <w:contextualSpacing/>
        <w:rPr>
          <w:rFonts w:ascii="Arial" w:hAnsi="Arial" w:cs="Arial"/>
          <w:color w:val="000000" w:themeColor="text1"/>
          <w:sz w:val="20"/>
          <w:szCs w:val="20"/>
        </w:rPr>
      </w:pPr>
    </w:p>
    <w:p w14:paraId="05CE3A72" w14:textId="17E87A71" w:rsidR="004E3452" w:rsidRPr="00973028" w:rsidRDefault="004E3452" w:rsidP="0085298F">
      <w:pPr>
        <w:spacing w:line="276" w:lineRule="auto"/>
        <w:rPr>
          <w:rFonts w:ascii="Arial" w:hAnsi="Arial" w:cs="Arial"/>
          <w:color w:val="000000" w:themeColor="text1"/>
          <w:sz w:val="20"/>
          <w:szCs w:val="20"/>
        </w:rPr>
      </w:pPr>
      <w:bookmarkStart w:id="5" w:name="_Hlk34910541"/>
    </w:p>
    <w:p w14:paraId="4CAE1160" w14:textId="5754F98E" w:rsidR="0085298F" w:rsidRPr="00973028" w:rsidRDefault="0085298F" w:rsidP="0085298F">
      <w:pPr>
        <w:spacing w:line="276" w:lineRule="auto"/>
        <w:rPr>
          <w:rFonts w:ascii="Arial" w:hAnsi="Arial" w:cs="Arial"/>
          <w:color w:val="000000" w:themeColor="text1"/>
          <w:sz w:val="20"/>
          <w:szCs w:val="20"/>
        </w:rPr>
      </w:pPr>
    </w:p>
    <w:p w14:paraId="4D0E11BD" w14:textId="77777777" w:rsidR="007374A2" w:rsidRPr="00973028" w:rsidRDefault="007374A2" w:rsidP="004D135D">
      <w:pPr>
        <w:spacing w:line="276" w:lineRule="auto"/>
        <w:rPr>
          <w:rFonts w:ascii="Arial" w:hAnsi="Arial" w:cs="Arial"/>
          <w:color w:val="000000" w:themeColor="text1"/>
          <w:sz w:val="20"/>
          <w:szCs w:val="20"/>
        </w:rPr>
      </w:pPr>
    </w:p>
    <w:p w14:paraId="36688F7D" w14:textId="64557298" w:rsidR="00C34875" w:rsidRPr="00973028" w:rsidRDefault="00C34875" w:rsidP="00A140F9">
      <w:pPr>
        <w:keepNext/>
        <w:spacing w:after="0" w:line="276" w:lineRule="auto"/>
        <w:rPr>
          <w:rFonts w:ascii="Arial" w:eastAsia="Times New Roman" w:hAnsi="Arial" w:cs="Arial"/>
          <w:b/>
          <w:bCs/>
          <w:smallCaps/>
          <w:color w:val="9D2235"/>
          <w:spacing w:val="-14"/>
          <w:sz w:val="20"/>
          <w:szCs w:val="20"/>
          <w:lang w:eastAsia="es-ES"/>
        </w:rPr>
      </w:pPr>
    </w:p>
    <w:p w14:paraId="3D1A164C" w14:textId="3497FC01" w:rsidR="00C34875" w:rsidRPr="00973028" w:rsidRDefault="00C34875" w:rsidP="00A140F9">
      <w:pPr>
        <w:keepNext/>
        <w:spacing w:after="0" w:line="276" w:lineRule="auto"/>
        <w:rPr>
          <w:rFonts w:ascii="Arial" w:eastAsia="Times New Roman" w:hAnsi="Arial" w:cs="Arial"/>
          <w:b/>
          <w:bCs/>
          <w:smallCaps/>
          <w:color w:val="9D2235"/>
          <w:spacing w:val="-14"/>
          <w:sz w:val="20"/>
          <w:szCs w:val="20"/>
          <w:lang w:eastAsia="es-ES"/>
        </w:rPr>
      </w:pPr>
    </w:p>
    <w:p w14:paraId="45AB8383" w14:textId="5FE10790" w:rsidR="00C5316A" w:rsidRPr="00973028" w:rsidRDefault="00C5316A" w:rsidP="00A140F9">
      <w:pPr>
        <w:keepNext/>
        <w:spacing w:after="0" w:line="276" w:lineRule="auto"/>
        <w:rPr>
          <w:rFonts w:ascii="Arial" w:eastAsia="Times New Roman" w:hAnsi="Arial" w:cs="Arial"/>
          <w:b/>
          <w:bCs/>
          <w:smallCaps/>
          <w:color w:val="9D2235"/>
          <w:spacing w:val="-14"/>
          <w:sz w:val="20"/>
          <w:szCs w:val="20"/>
          <w:lang w:eastAsia="es-ES"/>
        </w:rPr>
      </w:pPr>
    </w:p>
    <w:p w14:paraId="56EC0A62" w14:textId="77777777" w:rsidR="00C5316A" w:rsidRPr="00973028" w:rsidRDefault="00C5316A" w:rsidP="00A140F9">
      <w:pPr>
        <w:keepNext/>
        <w:spacing w:after="0" w:line="276" w:lineRule="auto"/>
        <w:rPr>
          <w:rFonts w:ascii="Arial" w:eastAsia="Times New Roman" w:hAnsi="Arial" w:cs="Arial"/>
          <w:b/>
          <w:bCs/>
          <w:smallCaps/>
          <w:color w:val="9D2235"/>
          <w:spacing w:val="-14"/>
          <w:sz w:val="20"/>
          <w:szCs w:val="20"/>
          <w:lang w:eastAsia="es-ES"/>
        </w:rPr>
      </w:pPr>
    </w:p>
    <w:p w14:paraId="684672D3" w14:textId="6CAD3695" w:rsidR="00F5091A" w:rsidRPr="00973028" w:rsidRDefault="00AD0B4D" w:rsidP="00672ABA">
      <w:pPr>
        <w:pStyle w:val="Prrafodelista"/>
        <w:keepNext/>
        <w:numPr>
          <w:ilvl w:val="0"/>
          <w:numId w:val="26"/>
        </w:numPr>
        <w:spacing w:after="0" w:line="240" w:lineRule="auto"/>
        <w:ind w:left="0" w:firstLine="0"/>
        <w:outlineLvl w:val="0"/>
        <w:rPr>
          <w:rFonts w:ascii="Arial" w:eastAsia="Times New Roman" w:hAnsi="Arial" w:cs="Arial"/>
          <w:color w:val="9D2235"/>
          <w:sz w:val="80"/>
          <w:szCs w:val="80"/>
          <w:lang w:eastAsia="es-ES"/>
        </w:rPr>
      </w:pPr>
      <w:r w:rsidRPr="00973028">
        <w:rPr>
          <w:rFonts w:ascii="Arial" w:eastAsia="Times New Roman" w:hAnsi="Arial" w:cs="Arial"/>
          <w:b/>
          <w:bCs/>
          <w:color w:val="9D2235"/>
          <w:spacing w:val="-24"/>
          <w:kern w:val="2"/>
          <w:sz w:val="80"/>
          <w:szCs w:val="80"/>
          <w:lang w:eastAsia="es-ES"/>
        </w:rPr>
        <w:br/>
      </w:r>
      <w:bookmarkStart w:id="6" w:name="_Toc67646217"/>
      <w:r w:rsidR="00343A29" w:rsidRPr="00973028">
        <w:rPr>
          <w:rFonts w:ascii="Arial" w:eastAsia="Times New Roman" w:hAnsi="Arial" w:cs="Arial"/>
          <w:b/>
          <w:bCs/>
          <w:color w:val="9D2235"/>
          <w:spacing w:val="-24"/>
          <w:kern w:val="2"/>
          <w:sz w:val="80"/>
          <w:szCs w:val="80"/>
          <w:lang w:eastAsia="es-ES"/>
        </w:rPr>
        <w:t>P</w:t>
      </w:r>
      <w:r w:rsidR="00A140F9" w:rsidRPr="00973028">
        <w:rPr>
          <w:rFonts w:ascii="Arial" w:eastAsia="Times New Roman" w:hAnsi="Arial" w:cs="Arial"/>
          <w:b/>
          <w:bCs/>
          <w:color w:val="9D2235"/>
          <w:spacing w:val="-24"/>
          <w:kern w:val="2"/>
          <w:sz w:val="80"/>
          <w:szCs w:val="80"/>
          <w:lang w:eastAsia="es-ES"/>
        </w:rPr>
        <w:t>revención,</w:t>
      </w:r>
      <w:r w:rsidR="00C5316A" w:rsidRPr="00973028">
        <w:rPr>
          <w:rFonts w:ascii="Arial" w:eastAsia="Times New Roman" w:hAnsi="Arial" w:cs="Arial"/>
          <w:b/>
          <w:bCs/>
          <w:color w:val="9D2235"/>
          <w:spacing w:val="-24"/>
          <w:kern w:val="2"/>
          <w:sz w:val="80"/>
          <w:szCs w:val="80"/>
          <w:lang w:eastAsia="es-ES"/>
        </w:rPr>
        <w:t xml:space="preserve"> </w:t>
      </w:r>
      <w:r w:rsidR="00F5091A" w:rsidRPr="00973028">
        <w:rPr>
          <w:rFonts w:ascii="Arial" w:eastAsia="Times New Roman" w:hAnsi="Arial" w:cs="Arial"/>
          <w:b/>
          <w:bCs/>
          <w:color w:val="9D2235"/>
          <w:spacing w:val="-24"/>
          <w:kern w:val="2"/>
          <w:sz w:val="80"/>
          <w:szCs w:val="80"/>
          <w:lang w:eastAsia="es-ES"/>
        </w:rPr>
        <w:br/>
      </w:r>
      <w:r w:rsidR="004F2FD1" w:rsidRPr="00973028">
        <w:rPr>
          <w:rFonts w:ascii="Arial" w:eastAsia="Times New Roman" w:hAnsi="Arial" w:cs="Arial"/>
          <w:b/>
          <w:bCs/>
          <w:color w:val="9D2235"/>
          <w:spacing w:val="-24"/>
          <w:kern w:val="2"/>
          <w:sz w:val="80"/>
          <w:szCs w:val="80"/>
          <w:lang w:eastAsia="es-ES"/>
        </w:rPr>
        <w:t>f</w:t>
      </w:r>
      <w:r w:rsidR="00A140F9" w:rsidRPr="00973028">
        <w:rPr>
          <w:rFonts w:ascii="Arial" w:eastAsia="Times New Roman" w:hAnsi="Arial" w:cs="Arial"/>
          <w:b/>
          <w:bCs/>
          <w:color w:val="9D2235"/>
          <w:spacing w:val="-24"/>
          <w:kern w:val="2"/>
          <w:sz w:val="80"/>
          <w:szCs w:val="80"/>
          <w:lang w:eastAsia="es-ES"/>
        </w:rPr>
        <w:t xml:space="preserve">ormación y </w:t>
      </w:r>
      <w:r w:rsidR="004F2FD1" w:rsidRPr="00973028">
        <w:rPr>
          <w:rFonts w:ascii="Arial" w:eastAsia="Times New Roman" w:hAnsi="Arial" w:cs="Arial"/>
          <w:b/>
          <w:bCs/>
          <w:color w:val="9D2235"/>
          <w:spacing w:val="-24"/>
          <w:kern w:val="2"/>
          <w:sz w:val="80"/>
          <w:szCs w:val="80"/>
          <w:lang w:eastAsia="es-ES"/>
        </w:rPr>
        <w:t>d</w:t>
      </w:r>
      <w:r w:rsidR="00A140F9" w:rsidRPr="00973028">
        <w:rPr>
          <w:rFonts w:ascii="Arial" w:eastAsia="Times New Roman" w:hAnsi="Arial" w:cs="Arial"/>
          <w:b/>
          <w:bCs/>
          <w:color w:val="9D2235"/>
          <w:spacing w:val="-24"/>
          <w:kern w:val="2"/>
          <w:sz w:val="80"/>
          <w:szCs w:val="80"/>
          <w:lang w:eastAsia="es-ES"/>
        </w:rPr>
        <w:t>ocumentación</w:t>
      </w:r>
      <w:bookmarkEnd w:id="6"/>
      <w:r w:rsidR="00F5091A" w:rsidRPr="00973028">
        <w:rPr>
          <w:rFonts w:ascii="Arial" w:eastAsia="Times New Roman" w:hAnsi="Arial" w:cs="Arial"/>
          <w:b/>
          <w:bCs/>
          <w:color w:val="9D2235"/>
          <w:spacing w:val="-24"/>
          <w:kern w:val="2"/>
          <w:sz w:val="80"/>
          <w:szCs w:val="80"/>
          <w:lang w:eastAsia="es-ES"/>
        </w:rPr>
        <w:br/>
      </w:r>
    </w:p>
    <w:p w14:paraId="22F731B3" w14:textId="343F9F09" w:rsidR="00BB4994" w:rsidRPr="00973028" w:rsidRDefault="00B636A3" w:rsidP="00672ABA">
      <w:pPr>
        <w:pStyle w:val="Prrafodelista"/>
        <w:keepNext/>
        <w:numPr>
          <w:ilvl w:val="1"/>
          <w:numId w:val="22"/>
        </w:numPr>
        <w:spacing w:before="360" w:after="240" w:line="276" w:lineRule="auto"/>
        <w:ind w:left="851" w:hanging="851"/>
        <w:contextualSpacing w:val="0"/>
        <w:jc w:val="both"/>
        <w:outlineLvl w:val="1"/>
        <w:rPr>
          <w:rFonts w:ascii="Arial" w:eastAsia="Times New Roman" w:hAnsi="Arial" w:cs="Arial"/>
          <w:b/>
          <w:color w:val="9D2235"/>
          <w:sz w:val="32"/>
          <w:szCs w:val="32"/>
        </w:rPr>
      </w:pPr>
      <w:bookmarkStart w:id="7" w:name="_Toc67646218"/>
      <w:r w:rsidRPr="00973028">
        <w:rPr>
          <w:rFonts w:ascii="Arial" w:eastAsia="Times New Roman" w:hAnsi="Arial" w:cs="Arial"/>
          <w:b/>
          <w:color w:val="9D2235"/>
          <w:sz w:val="32"/>
          <w:szCs w:val="32"/>
        </w:rPr>
        <w:t>I</w:t>
      </w:r>
      <w:r w:rsidR="004C2326" w:rsidRPr="00973028">
        <w:rPr>
          <w:rFonts w:ascii="Arial" w:eastAsia="Times New Roman" w:hAnsi="Arial" w:cs="Arial"/>
          <w:b/>
          <w:color w:val="9D2235"/>
          <w:sz w:val="32"/>
          <w:szCs w:val="32"/>
        </w:rPr>
        <w:t>ntroducción</w:t>
      </w:r>
      <w:bookmarkEnd w:id="7"/>
    </w:p>
    <w:p w14:paraId="003A5D53" w14:textId="7D224DB0"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Este capítulo de la Memoria está destinado a describir las actividades de la Dirección de Prevención, Formación y Documentación y de los servicios adscritos orgánicamente a la misma.</w:t>
      </w:r>
    </w:p>
    <w:p w14:paraId="5A1ADC98" w14:textId="1CDA93FA"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En la Memoria correspondiente al año 2019, resumimos las actuaciones de esta dirección con la descripción sucinta de las gestiones realizadas y de las tareas asignadas pendientes de ejecución hasta completar el equipo humano necesario al efecto. </w:t>
      </w:r>
    </w:p>
    <w:p w14:paraId="538D89D6" w14:textId="21EE02EC"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En este ejercicio, durante el primer trimestre, el</w:t>
      </w:r>
      <w:r w:rsidR="00E05509">
        <w:rPr>
          <w:rFonts w:ascii="Arial" w:eastAsia="Calibri" w:hAnsi="Arial" w:cs="Arial"/>
          <w:sz w:val="21"/>
        </w:rPr>
        <w:t xml:space="preserve"> S</w:t>
      </w:r>
      <w:r w:rsidRPr="00973028">
        <w:rPr>
          <w:rFonts w:ascii="Arial" w:eastAsia="Calibri" w:hAnsi="Arial" w:cs="Arial"/>
          <w:sz w:val="21"/>
        </w:rPr>
        <w:t xml:space="preserve">ervicio de </w:t>
      </w:r>
      <w:r w:rsidR="00E05509">
        <w:rPr>
          <w:rFonts w:ascii="Arial" w:eastAsia="Calibri" w:hAnsi="Arial" w:cs="Arial"/>
          <w:sz w:val="21"/>
        </w:rPr>
        <w:t>P</w:t>
      </w:r>
      <w:r w:rsidRPr="00973028">
        <w:rPr>
          <w:rFonts w:ascii="Arial" w:eastAsia="Calibri" w:hAnsi="Arial" w:cs="Arial"/>
          <w:sz w:val="21"/>
        </w:rPr>
        <w:t xml:space="preserve">revención funcionó con la directora de </w:t>
      </w:r>
      <w:r w:rsidR="00EA7252" w:rsidRPr="00973028">
        <w:rPr>
          <w:rFonts w:ascii="Arial" w:eastAsia="Calibri" w:hAnsi="Arial" w:cs="Arial"/>
          <w:sz w:val="21"/>
        </w:rPr>
        <w:t>P</w:t>
      </w:r>
      <w:r w:rsidRPr="00973028">
        <w:rPr>
          <w:rFonts w:ascii="Arial" w:eastAsia="Calibri" w:hAnsi="Arial" w:cs="Arial"/>
          <w:sz w:val="21"/>
        </w:rPr>
        <w:t xml:space="preserve">revención, </w:t>
      </w:r>
      <w:r w:rsidR="00EA7252" w:rsidRPr="00973028">
        <w:rPr>
          <w:rFonts w:ascii="Arial" w:eastAsia="Calibri" w:hAnsi="Arial" w:cs="Arial"/>
          <w:sz w:val="21"/>
        </w:rPr>
        <w:t>F</w:t>
      </w:r>
      <w:r w:rsidRPr="00973028">
        <w:rPr>
          <w:rFonts w:ascii="Arial" w:eastAsia="Calibri" w:hAnsi="Arial" w:cs="Arial"/>
          <w:sz w:val="21"/>
        </w:rPr>
        <w:t xml:space="preserve">ormación y </w:t>
      </w:r>
      <w:r w:rsidR="00EA7252" w:rsidRPr="00973028">
        <w:rPr>
          <w:rFonts w:ascii="Arial" w:eastAsia="Calibri" w:hAnsi="Arial" w:cs="Arial"/>
          <w:sz w:val="21"/>
        </w:rPr>
        <w:t>D</w:t>
      </w:r>
      <w:r w:rsidRPr="00973028">
        <w:rPr>
          <w:rFonts w:ascii="Arial" w:eastAsia="Calibri" w:hAnsi="Arial" w:cs="Arial"/>
          <w:sz w:val="21"/>
        </w:rPr>
        <w:t xml:space="preserve">ocumentación, la titular de la jefatura y la cobertura en comisión de servicios del puesto de técnico/a de </w:t>
      </w:r>
      <w:r w:rsidR="00EA7252" w:rsidRPr="00973028">
        <w:rPr>
          <w:rFonts w:ascii="Arial" w:eastAsia="Calibri" w:hAnsi="Arial" w:cs="Arial"/>
          <w:sz w:val="21"/>
        </w:rPr>
        <w:t>P</w:t>
      </w:r>
      <w:r w:rsidRPr="00973028">
        <w:rPr>
          <w:rFonts w:ascii="Arial" w:eastAsia="Calibri" w:hAnsi="Arial" w:cs="Arial"/>
          <w:sz w:val="21"/>
        </w:rPr>
        <w:t xml:space="preserve">revención </w:t>
      </w:r>
      <w:r w:rsidR="00EA7252" w:rsidRPr="00973028">
        <w:rPr>
          <w:rFonts w:ascii="Arial" w:eastAsia="Calibri" w:hAnsi="Arial" w:cs="Arial"/>
          <w:sz w:val="21"/>
        </w:rPr>
        <w:t>G</w:t>
      </w:r>
      <w:r w:rsidRPr="00973028">
        <w:rPr>
          <w:rFonts w:ascii="Arial" w:eastAsia="Calibri" w:hAnsi="Arial" w:cs="Arial"/>
          <w:sz w:val="21"/>
        </w:rPr>
        <w:t xml:space="preserve">eneral (si bien el mismo fue desempeñado por dos personas diferentes, quedando vacante unos meses entre tanto). Por lo que respecta al </w:t>
      </w:r>
      <w:r w:rsidR="00E05509">
        <w:rPr>
          <w:rFonts w:ascii="Arial" w:eastAsia="Calibri" w:hAnsi="Arial" w:cs="Arial"/>
          <w:sz w:val="21"/>
        </w:rPr>
        <w:t>S</w:t>
      </w:r>
      <w:r w:rsidRPr="00973028">
        <w:rPr>
          <w:rFonts w:ascii="Arial" w:eastAsia="Calibri" w:hAnsi="Arial" w:cs="Arial"/>
          <w:sz w:val="21"/>
        </w:rPr>
        <w:t xml:space="preserve">ervicio de </w:t>
      </w:r>
      <w:r w:rsidR="00EA7252" w:rsidRPr="00973028">
        <w:rPr>
          <w:rFonts w:ascii="Arial" w:eastAsia="Calibri" w:hAnsi="Arial" w:cs="Arial"/>
          <w:sz w:val="21"/>
        </w:rPr>
        <w:t>F</w:t>
      </w:r>
      <w:r w:rsidRPr="00973028">
        <w:rPr>
          <w:rFonts w:ascii="Arial" w:eastAsia="Calibri" w:hAnsi="Arial" w:cs="Arial"/>
          <w:sz w:val="21"/>
        </w:rPr>
        <w:t xml:space="preserve">ormación, el servicio funcionó con la directora y una técnica de </w:t>
      </w:r>
      <w:r w:rsidR="00EA7252" w:rsidRPr="00973028">
        <w:rPr>
          <w:rFonts w:ascii="Arial" w:eastAsia="Calibri" w:hAnsi="Arial" w:cs="Arial"/>
          <w:sz w:val="21"/>
        </w:rPr>
        <w:t>F</w:t>
      </w:r>
      <w:r w:rsidRPr="00973028">
        <w:rPr>
          <w:rFonts w:ascii="Arial" w:eastAsia="Calibri" w:hAnsi="Arial" w:cs="Arial"/>
          <w:sz w:val="21"/>
        </w:rPr>
        <w:t>ormación, incorporándose hacia finales de año el titular de la jefatura del servicio</w:t>
      </w:r>
      <w:r w:rsidRPr="00973028">
        <w:rPr>
          <w:rFonts w:ascii="Arial" w:eastAsia="Calibri" w:hAnsi="Arial" w:cs="Arial"/>
          <w:color w:val="4472C4"/>
          <w:sz w:val="21"/>
        </w:rPr>
        <w:t xml:space="preserve">. </w:t>
      </w:r>
      <w:r w:rsidRPr="00973028">
        <w:rPr>
          <w:rFonts w:ascii="Arial" w:eastAsia="Calibri" w:hAnsi="Arial" w:cs="Arial"/>
          <w:sz w:val="21"/>
        </w:rPr>
        <w:t>A su vez, en el servicio de documentación e informes, se proveyó su jefatura, lo que nos ha permitido iniciar las tareas de documentación y archivo, tal como describimos en esta Memoria. La dirección ha contado con el apoyo administrativo de un jefe de negociado común para los tres servicios.</w:t>
      </w:r>
    </w:p>
    <w:p w14:paraId="77EDBE11" w14:textId="02B42FE5"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Las acciones ejecutadas durante este año, cuyo resumen pasamos a exponer, se han </w:t>
      </w:r>
      <w:r w:rsidRPr="00973028">
        <w:rPr>
          <w:rFonts w:ascii="Arial" w:eastAsia="Calibri" w:hAnsi="Arial" w:cs="Arial"/>
          <w:sz w:val="21"/>
        </w:rPr>
        <w:lastRenderedPageBreak/>
        <w:t xml:space="preserve">podido realizar gracias a la progresiva incorporación de nuevo personal. No en vano, los recursos humanos, así como su necesaria formación y especialización en una materia tan compleja y novedosa como la prevención del fraude y la corrupción, resulta imprescindible para desarrollar con el máximo rigor y calidad las heterogéneas funciones asignadas a esta dirección. Si bien la dotación presupuestaria consignada en el presupuesto correspondiente al ejercicio de 2020 contemplaba tres puestos de trabajo adicionales de técnico de </w:t>
      </w:r>
      <w:r w:rsidR="00EA7252" w:rsidRPr="00973028">
        <w:rPr>
          <w:rFonts w:ascii="Arial" w:eastAsia="Calibri" w:hAnsi="Arial" w:cs="Arial"/>
          <w:sz w:val="21"/>
        </w:rPr>
        <w:t>P</w:t>
      </w:r>
      <w:r w:rsidRPr="00973028">
        <w:rPr>
          <w:rFonts w:ascii="Arial" w:eastAsia="Calibri" w:hAnsi="Arial" w:cs="Arial"/>
          <w:sz w:val="21"/>
        </w:rPr>
        <w:t xml:space="preserve">revención y un puesto de trabajo de </w:t>
      </w:r>
      <w:r w:rsidR="004C2326" w:rsidRPr="00973028">
        <w:rPr>
          <w:rFonts w:ascii="Arial" w:eastAsia="Calibri" w:hAnsi="Arial" w:cs="Arial"/>
          <w:sz w:val="21"/>
        </w:rPr>
        <w:t>a</w:t>
      </w:r>
      <w:r w:rsidRPr="00973028">
        <w:rPr>
          <w:rFonts w:ascii="Arial" w:eastAsia="Calibri" w:hAnsi="Arial" w:cs="Arial"/>
          <w:sz w:val="21"/>
        </w:rPr>
        <w:t xml:space="preserve">poyo </w:t>
      </w:r>
      <w:r w:rsidR="004C2326" w:rsidRPr="00973028">
        <w:rPr>
          <w:rFonts w:ascii="Arial" w:eastAsia="Calibri" w:hAnsi="Arial" w:cs="Arial"/>
          <w:sz w:val="21"/>
        </w:rPr>
        <w:t>a</w:t>
      </w:r>
      <w:r w:rsidRPr="00973028">
        <w:rPr>
          <w:rFonts w:ascii="Arial" w:eastAsia="Calibri" w:hAnsi="Arial" w:cs="Arial"/>
          <w:sz w:val="21"/>
        </w:rPr>
        <w:t>dministrativo para las tareas de documentación, durante este ejercicio no ha sido posible disponer de los mismos.</w:t>
      </w:r>
    </w:p>
    <w:p w14:paraId="76A17E85" w14:textId="0E0D49CB"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La provisión definitiva de todos los puestos de trabajo asignados a esta área, prevista durante el ejercicio 2021, nos permitirán desarrollar plenamente nuestras funciones y, de este modo, consolidar el papel prioritario de la Agencia en el ámbito de la prevención y del fomento de la integridad pública.</w:t>
      </w:r>
    </w:p>
    <w:p w14:paraId="2C7FA755" w14:textId="2ED4A965"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A continuación, pasamos a describir las actuaciones de los servicios de prevención, formación y documentación e informes, adscritos orgánicamente a esta dirección.</w:t>
      </w:r>
    </w:p>
    <w:p w14:paraId="38433AD3" w14:textId="63680C7D" w:rsidR="00BB4994" w:rsidRPr="00973028" w:rsidRDefault="004C2326" w:rsidP="00672ABA">
      <w:pPr>
        <w:pStyle w:val="Prrafodelista"/>
        <w:keepNext/>
        <w:numPr>
          <w:ilvl w:val="1"/>
          <w:numId w:val="22"/>
        </w:numPr>
        <w:spacing w:before="360" w:after="240" w:line="276" w:lineRule="auto"/>
        <w:ind w:left="851" w:hanging="851"/>
        <w:contextualSpacing w:val="0"/>
        <w:jc w:val="both"/>
        <w:outlineLvl w:val="1"/>
        <w:rPr>
          <w:rFonts w:ascii="Arial" w:eastAsia="Times New Roman" w:hAnsi="Arial" w:cs="Arial"/>
          <w:b/>
          <w:color w:val="9D2235"/>
          <w:sz w:val="32"/>
          <w:szCs w:val="32"/>
        </w:rPr>
      </w:pPr>
      <w:bookmarkStart w:id="8" w:name="_Toc67646219"/>
      <w:r w:rsidRPr="00973028">
        <w:rPr>
          <w:rFonts w:ascii="Arial" w:eastAsia="Times New Roman" w:hAnsi="Arial" w:cs="Arial"/>
          <w:b/>
          <w:color w:val="9D2235"/>
          <w:sz w:val="32"/>
          <w:szCs w:val="32"/>
        </w:rPr>
        <w:t>Servicio de Prevención</w:t>
      </w:r>
      <w:bookmarkEnd w:id="8"/>
    </w:p>
    <w:p w14:paraId="06348D6B" w14:textId="70A01805" w:rsidR="00BB4994" w:rsidRPr="00973028" w:rsidRDefault="00BB4994" w:rsidP="00672ABA">
      <w:pPr>
        <w:pStyle w:val="Prrafodelista"/>
        <w:keepNext/>
        <w:numPr>
          <w:ilvl w:val="2"/>
          <w:numId w:val="22"/>
        </w:numPr>
        <w:spacing w:before="360" w:after="240" w:line="276" w:lineRule="auto"/>
        <w:ind w:left="1134" w:hanging="1134"/>
        <w:contextualSpacing w:val="0"/>
        <w:jc w:val="both"/>
        <w:outlineLvl w:val="2"/>
        <w:rPr>
          <w:rFonts w:ascii="Arial" w:eastAsia="Times New Roman" w:hAnsi="Arial" w:cs="Arial"/>
          <w:b/>
          <w:color w:val="9D2235"/>
          <w:sz w:val="28"/>
          <w:szCs w:val="28"/>
        </w:rPr>
      </w:pPr>
      <w:bookmarkStart w:id="9" w:name="_Toc67646220"/>
      <w:r w:rsidRPr="00973028">
        <w:rPr>
          <w:rFonts w:ascii="Arial" w:eastAsia="Times New Roman" w:hAnsi="Arial" w:cs="Arial"/>
          <w:b/>
          <w:color w:val="9D2235"/>
          <w:sz w:val="28"/>
          <w:szCs w:val="28"/>
        </w:rPr>
        <w:t>F</w:t>
      </w:r>
      <w:r w:rsidR="004C2326" w:rsidRPr="00973028">
        <w:rPr>
          <w:rFonts w:ascii="Arial" w:eastAsia="Times New Roman" w:hAnsi="Arial" w:cs="Arial"/>
          <w:b/>
          <w:color w:val="9D2235"/>
          <w:sz w:val="28"/>
          <w:szCs w:val="28"/>
        </w:rPr>
        <w:t>unciones</w:t>
      </w:r>
      <w:bookmarkEnd w:id="9"/>
    </w:p>
    <w:p w14:paraId="2921F067" w14:textId="2DBBA66E"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El Servicio de Prevención está destinado a cumplir el mandato encomendado a la Agencia de promover la integridad y la ética públicas para el fomento de las buenas prácticas y para la prevención de los riesgos de la corrupción, en particular, de posibles casos de uso o destino irregular de fondos públicos y de conductas opuestas a la integridad o contrarias a los principios de objetividad, eficacia y sumisión plena a la ley y al derecho.</w:t>
      </w:r>
    </w:p>
    <w:p w14:paraId="1610718B"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La prevención se centra, fundamentalmente, en las siguientes materias: contratación del sector público, prestación y gestión de servicios públicos, subvenciones, urbanismo, función pública y procesos de toma de decisiones.</w:t>
      </w:r>
    </w:p>
    <w:p w14:paraId="0FE097F9" w14:textId="74891D15"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Las funciones de la Agencia vinculadas a las tareas propias del Servicio de Prevención están descritas en el artículo 4 de la Ley 11/2016, de 28 de noviembre y desarrolladas en los artículos 19 y 27 del Reglamento de régimen interior y funcionamiento de la Agencia. En concreto, podemos agruparlas como sigue:</w:t>
      </w:r>
    </w:p>
    <w:p w14:paraId="3632E0F5" w14:textId="52E3A525" w:rsidR="00BB4994" w:rsidRPr="00973028" w:rsidRDefault="00BB4994" w:rsidP="007C7980">
      <w:pPr>
        <w:widowControl w:val="0"/>
        <w:numPr>
          <w:ilvl w:val="0"/>
          <w:numId w:val="8"/>
        </w:numPr>
        <w:suppressAutoHyphens/>
        <w:autoSpaceDN w:val="0"/>
        <w:spacing w:after="120" w:line="276" w:lineRule="auto"/>
        <w:ind w:left="714" w:hanging="357"/>
        <w:jc w:val="both"/>
        <w:rPr>
          <w:rFonts w:ascii="Arial" w:eastAsia="Times New Roman" w:hAnsi="Arial" w:cs="Arial"/>
          <w:sz w:val="21"/>
        </w:rPr>
      </w:pPr>
      <w:r w:rsidRPr="00973028">
        <w:rPr>
          <w:rFonts w:ascii="Arial" w:eastAsia="Times New Roman" w:hAnsi="Arial" w:cs="Arial"/>
          <w:sz w:val="21"/>
        </w:rPr>
        <w:t>Evaluar, en colaboración con otros órganos de control existentes, la eficacia de los instrumentos jurídicos y de las medidas existentes en materia de prevención y lucha contra el fraude y la corrupción, con el fin de garantizar los máximos niveles de integridad, eficiencia y transparencia. En este ámbito funcional se incluyen, por ejemplo, alegaciones y sugerencias a proyectos normativos autonómicos y locales o análisis, propuestas y convenios destinados a la mejora y eficacia de las medidas existentes en la materia</w:t>
      </w:r>
      <w:r w:rsidR="00F21D37" w:rsidRPr="00973028">
        <w:rPr>
          <w:rFonts w:ascii="Arial" w:eastAsia="Times New Roman" w:hAnsi="Arial" w:cs="Arial"/>
          <w:sz w:val="21"/>
        </w:rPr>
        <w:t>.</w:t>
      </w:r>
    </w:p>
    <w:p w14:paraId="58ECE501" w14:textId="1182D9D3" w:rsidR="00BB4994" w:rsidRPr="00973028" w:rsidRDefault="00BB4994" w:rsidP="007C7980">
      <w:pPr>
        <w:widowControl w:val="0"/>
        <w:numPr>
          <w:ilvl w:val="0"/>
          <w:numId w:val="8"/>
        </w:numPr>
        <w:suppressAutoHyphens/>
        <w:autoSpaceDN w:val="0"/>
        <w:spacing w:after="120" w:line="276" w:lineRule="auto"/>
        <w:ind w:left="714" w:hanging="357"/>
        <w:jc w:val="both"/>
        <w:rPr>
          <w:rFonts w:ascii="Arial" w:eastAsia="Times New Roman" w:hAnsi="Arial" w:cs="Arial"/>
          <w:sz w:val="21"/>
        </w:rPr>
      </w:pPr>
      <w:r w:rsidRPr="00973028">
        <w:rPr>
          <w:rFonts w:ascii="Arial" w:eastAsia="Times New Roman" w:hAnsi="Arial" w:cs="Arial"/>
          <w:sz w:val="21"/>
        </w:rPr>
        <w:t xml:space="preserve">Elaborar estudios y análisis de riesgos previos en actividades relacionadas con la contratación administrativa, la prestación de servicios públicos, las ayudas o las subvenciones públicas y los procedimientos de toma de decisiones, sin perjuicio de </w:t>
      </w:r>
      <w:r w:rsidRPr="00973028">
        <w:rPr>
          <w:rFonts w:ascii="Arial" w:eastAsia="Times New Roman" w:hAnsi="Arial" w:cs="Arial"/>
          <w:sz w:val="21"/>
        </w:rPr>
        <w:lastRenderedPageBreak/>
        <w:t>los que deban realizar los servicios de auditoría o intervención en cada institución</w:t>
      </w:r>
      <w:r w:rsidR="00F21D37" w:rsidRPr="00973028">
        <w:rPr>
          <w:rFonts w:ascii="Arial" w:eastAsia="Times New Roman" w:hAnsi="Arial" w:cs="Arial"/>
          <w:sz w:val="21"/>
        </w:rPr>
        <w:t>.</w:t>
      </w:r>
    </w:p>
    <w:p w14:paraId="131A3494" w14:textId="07C4DEBC" w:rsidR="00BB4994" w:rsidRPr="00973028" w:rsidRDefault="00BB4994" w:rsidP="007C7980">
      <w:pPr>
        <w:widowControl w:val="0"/>
        <w:numPr>
          <w:ilvl w:val="0"/>
          <w:numId w:val="8"/>
        </w:numPr>
        <w:suppressAutoHyphens/>
        <w:autoSpaceDN w:val="0"/>
        <w:spacing w:after="120" w:line="276" w:lineRule="auto"/>
        <w:ind w:left="714" w:hanging="357"/>
        <w:jc w:val="both"/>
        <w:rPr>
          <w:rFonts w:ascii="Arial" w:eastAsia="Times New Roman" w:hAnsi="Arial" w:cs="Arial"/>
          <w:sz w:val="21"/>
        </w:rPr>
      </w:pPr>
      <w:r w:rsidRPr="00973028">
        <w:rPr>
          <w:rFonts w:ascii="Arial" w:eastAsia="Times New Roman" w:hAnsi="Arial" w:cs="Arial"/>
          <w:sz w:val="21"/>
        </w:rPr>
        <w:t xml:space="preserve">Asesorar en materia de prevención de varios modos: atendiendo consultas que se planteen a la Agencia; formulando propuestas y recomendaciones a </w:t>
      </w:r>
      <w:r w:rsidR="00B92B90" w:rsidRPr="00973028">
        <w:rPr>
          <w:rFonts w:ascii="Arial" w:eastAsia="Times New Roman" w:hAnsi="Arial" w:cs="Arial"/>
          <w:sz w:val="21"/>
        </w:rPr>
        <w:t>la</w:t>
      </w:r>
      <w:r w:rsidRPr="00973028">
        <w:rPr>
          <w:rFonts w:ascii="Arial" w:eastAsia="Times New Roman" w:hAnsi="Arial" w:cs="Arial"/>
          <w:sz w:val="21"/>
        </w:rPr>
        <w:t>s Corts, al Consell de la Generalitat y a las entidades incluidas en el ámbito subjetivo de actuación de la AVAF en materia de integridad, ética pública y prevención de la corrupción; colaborando con la Dirección de Investigación en la redacción de recomendaciones específicas.</w:t>
      </w:r>
    </w:p>
    <w:p w14:paraId="6F5FC3BE" w14:textId="77777777" w:rsidR="00BB4994" w:rsidRPr="00973028" w:rsidRDefault="00BB4994" w:rsidP="007C7980">
      <w:pPr>
        <w:widowControl w:val="0"/>
        <w:numPr>
          <w:ilvl w:val="0"/>
          <w:numId w:val="8"/>
        </w:numPr>
        <w:suppressAutoHyphens/>
        <w:autoSpaceDN w:val="0"/>
        <w:spacing w:after="120" w:line="276" w:lineRule="auto"/>
        <w:ind w:left="714" w:hanging="357"/>
        <w:jc w:val="both"/>
        <w:rPr>
          <w:rFonts w:ascii="Arial" w:eastAsia="Times New Roman" w:hAnsi="Arial" w:cs="Arial"/>
          <w:sz w:val="21"/>
        </w:rPr>
      </w:pPr>
      <w:r w:rsidRPr="00973028">
        <w:rPr>
          <w:rFonts w:ascii="Arial" w:eastAsia="Times New Roman" w:hAnsi="Arial" w:cs="Arial"/>
          <w:sz w:val="21"/>
        </w:rPr>
        <w:t>Colaborar con los órganos y los organismos de control interno y externo de la actuación administrativa en el establecimiento de criterios previos, claros y estables de control de la acción pública.</w:t>
      </w:r>
    </w:p>
    <w:p w14:paraId="47E52FC8" w14:textId="2EFB5CC5" w:rsidR="00BB4994" w:rsidRPr="00973028" w:rsidRDefault="00BB4994" w:rsidP="007C7980">
      <w:pPr>
        <w:widowControl w:val="0"/>
        <w:numPr>
          <w:ilvl w:val="0"/>
          <w:numId w:val="8"/>
        </w:numPr>
        <w:suppressAutoHyphens/>
        <w:autoSpaceDN w:val="0"/>
        <w:spacing w:after="240" w:line="276" w:lineRule="auto"/>
        <w:ind w:left="714" w:hanging="357"/>
        <w:jc w:val="both"/>
        <w:rPr>
          <w:rFonts w:ascii="Arial" w:eastAsia="Times New Roman" w:hAnsi="Arial" w:cs="Arial"/>
          <w:sz w:val="21"/>
        </w:rPr>
      </w:pPr>
      <w:r w:rsidRPr="00973028">
        <w:rPr>
          <w:rFonts w:ascii="Arial" w:eastAsia="Times New Roman" w:hAnsi="Arial" w:cs="Arial"/>
          <w:sz w:val="21"/>
        </w:rPr>
        <w:t>Aquellas otras actuaciones cuyo contenido y finalidad puedan ser considerados acciones preventivas contra el fraude y la corrupción, entre las que destacaríamos el asesoramiento en la elaboración de las estrategias para fomentar los marcos de integridad pública.</w:t>
      </w:r>
    </w:p>
    <w:p w14:paraId="3E66EAE4" w14:textId="6DA81D66" w:rsidR="00BB4994" w:rsidRPr="00973028" w:rsidRDefault="004C2326" w:rsidP="00672ABA">
      <w:pPr>
        <w:pStyle w:val="Prrafodelista"/>
        <w:keepNext/>
        <w:numPr>
          <w:ilvl w:val="2"/>
          <w:numId w:val="22"/>
        </w:numPr>
        <w:spacing w:before="360" w:after="240" w:line="276" w:lineRule="auto"/>
        <w:ind w:left="1134" w:hanging="1134"/>
        <w:contextualSpacing w:val="0"/>
        <w:jc w:val="both"/>
        <w:outlineLvl w:val="2"/>
        <w:rPr>
          <w:rFonts w:ascii="Arial" w:eastAsia="Times New Roman" w:hAnsi="Arial" w:cs="Arial"/>
          <w:b/>
          <w:color w:val="9D2235"/>
          <w:sz w:val="28"/>
          <w:szCs w:val="28"/>
        </w:rPr>
      </w:pPr>
      <w:bookmarkStart w:id="10" w:name="_Toc67646221"/>
      <w:r w:rsidRPr="00973028">
        <w:rPr>
          <w:rFonts w:ascii="Arial" w:eastAsia="Times New Roman" w:hAnsi="Arial" w:cs="Arial"/>
          <w:b/>
          <w:color w:val="9D2235"/>
          <w:sz w:val="28"/>
          <w:szCs w:val="28"/>
        </w:rPr>
        <w:t>Desarrollo del Plan Estratégico del Servicio de Prevención</w:t>
      </w:r>
      <w:bookmarkEnd w:id="10"/>
    </w:p>
    <w:p w14:paraId="0D4E0180" w14:textId="77DDA31D"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En la memoria anual de la AVAF correspondiente al ejercicio 2019 presentamos el </w:t>
      </w:r>
      <w:r w:rsidR="004C2326" w:rsidRPr="00973028">
        <w:rPr>
          <w:rFonts w:ascii="Arial" w:eastAsia="Calibri" w:hAnsi="Arial" w:cs="Arial"/>
          <w:sz w:val="21"/>
        </w:rPr>
        <w:t>P</w:t>
      </w:r>
      <w:r w:rsidRPr="00973028">
        <w:rPr>
          <w:rFonts w:ascii="Arial" w:eastAsia="Calibri" w:hAnsi="Arial" w:cs="Arial"/>
          <w:sz w:val="21"/>
        </w:rPr>
        <w:t xml:space="preserve">lan </w:t>
      </w:r>
      <w:r w:rsidR="004C2326" w:rsidRPr="00973028">
        <w:rPr>
          <w:rFonts w:ascii="Arial" w:eastAsia="Calibri" w:hAnsi="Arial" w:cs="Arial"/>
          <w:sz w:val="21"/>
        </w:rPr>
        <w:t>E</w:t>
      </w:r>
      <w:r w:rsidRPr="00973028">
        <w:rPr>
          <w:rFonts w:ascii="Arial" w:eastAsia="Calibri" w:hAnsi="Arial" w:cs="Arial"/>
          <w:sz w:val="21"/>
        </w:rPr>
        <w:t xml:space="preserve">stratégico del Servicio de Prevención, de carácter plurianual (2020-2024), aprobado por el director de la Agencia, en </w:t>
      </w:r>
      <w:r w:rsidR="00956234">
        <w:rPr>
          <w:rFonts w:ascii="Arial" w:eastAsia="Calibri" w:hAnsi="Arial" w:cs="Arial"/>
          <w:sz w:val="21"/>
        </w:rPr>
        <w:t>R</w:t>
      </w:r>
      <w:r w:rsidRPr="00973028">
        <w:rPr>
          <w:rFonts w:ascii="Arial" w:eastAsia="Calibri" w:hAnsi="Arial" w:cs="Arial"/>
          <w:sz w:val="21"/>
        </w:rPr>
        <w:t>esolución de 11 de diciembre de 2019.</w:t>
      </w:r>
    </w:p>
    <w:p w14:paraId="049C48B8" w14:textId="17AB5258"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El plan estratégico ha servido de hoja de ruta durante el ejercicio 2020 para el cumplimiento ordenado de las funciones asignadas a la Agencia en el ámbito de la prevención, la integridad y la ética públicas. Así, desde el Servicio de Prevención, se han ido ejecutando los objetivos operativos marcados por el </w:t>
      </w:r>
      <w:r w:rsidR="004C2326" w:rsidRPr="00973028">
        <w:rPr>
          <w:rFonts w:ascii="Arial" w:eastAsia="Calibri" w:hAnsi="Arial" w:cs="Arial"/>
          <w:sz w:val="21"/>
        </w:rPr>
        <w:t>p</w:t>
      </w:r>
      <w:r w:rsidRPr="00973028">
        <w:rPr>
          <w:rFonts w:ascii="Arial" w:eastAsia="Calibri" w:hAnsi="Arial" w:cs="Arial"/>
          <w:sz w:val="21"/>
        </w:rPr>
        <w:t xml:space="preserve">lan, realizándose un seguimiento periódico de su cumplimiento (y ello pese a no contar con tres de los cuatro técnicos/as necesarios al efecto). Asimismo, algunos de los objetivos han sido actualizados para su adaptación a las necesidades que han ido surgiendo, especialmente </w:t>
      </w:r>
      <w:r w:rsidR="00253ED4" w:rsidRPr="00973028">
        <w:rPr>
          <w:rFonts w:ascii="Arial" w:eastAsia="Calibri" w:hAnsi="Arial" w:cs="Arial"/>
          <w:sz w:val="21"/>
        </w:rPr>
        <w:t>con relación al</w:t>
      </w:r>
      <w:r w:rsidRPr="00973028">
        <w:rPr>
          <w:rFonts w:ascii="Arial" w:eastAsia="Calibri" w:hAnsi="Arial" w:cs="Arial"/>
          <w:sz w:val="21"/>
        </w:rPr>
        <w:t xml:space="preserve"> durísimo contexto que hemos atravesado (y que persiste hoy) motivado por los efectos y medidas derivados de la COVID-19.</w:t>
      </w:r>
    </w:p>
    <w:p w14:paraId="7A9E7DAD" w14:textId="1AD6B96A"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En coherencia con la </w:t>
      </w:r>
      <w:r w:rsidRPr="00973028">
        <w:rPr>
          <w:rFonts w:ascii="Arial" w:eastAsia="Calibri" w:hAnsi="Arial" w:cs="Arial"/>
          <w:bCs/>
          <w:sz w:val="21"/>
        </w:rPr>
        <w:t>filosofía</w:t>
      </w:r>
      <w:r w:rsidRPr="00973028">
        <w:rPr>
          <w:rFonts w:ascii="Arial" w:eastAsia="Calibri" w:hAnsi="Arial" w:cs="Arial"/>
          <w:sz w:val="21"/>
        </w:rPr>
        <w:t xml:space="preserve"> del plan de conseguir cocrear una cultura de la integridad pública y de la prevención del fraude y la corrupción real y efectiva en la Comunitat Valenciana, por la </w:t>
      </w:r>
      <w:r w:rsidR="00874FE3" w:rsidRPr="00973028">
        <w:rPr>
          <w:rFonts w:ascii="Arial" w:eastAsia="Calibri" w:hAnsi="Arial" w:cs="Arial"/>
          <w:sz w:val="21"/>
        </w:rPr>
        <w:t>j</w:t>
      </w:r>
      <w:r w:rsidRPr="00973028">
        <w:rPr>
          <w:rFonts w:ascii="Arial" w:eastAsia="Calibri" w:hAnsi="Arial" w:cs="Arial"/>
          <w:sz w:val="21"/>
        </w:rPr>
        <w:t>efa del Servicio de Prevención se presentó el mismo a los miembros del Conse</w:t>
      </w:r>
      <w:r w:rsidR="00874FE3" w:rsidRPr="00973028">
        <w:rPr>
          <w:rFonts w:ascii="Arial" w:eastAsia="Calibri" w:hAnsi="Arial" w:cs="Arial"/>
          <w:sz w:val="21"/>
        </w:rPr>
        <w:t>jo</w:t>
      </w:r>
      <w:r w:rsidRPr="00973028">
        <w:rPr>
          <w:rFonts w:ascii="Arial" w:eastAsia="Calibri" w:hAnsi="Arial" w:cs="Arial"/>
          <w:sz w:val="21"/>
        </w:rPr>
        <w:t xml:space="preserve"> de Participació</w:t>
      </w:r>
      <w:r w:rsidR="00874FE3" w:rsidRPr="00973028">
        <w:rPr>
          <w:rFonts w:ascii="Arial" w:eastAsia="Calibri" w:hAnsi="Arial" w:cs="Arial"/>
          <w:sz w:val="21"/>
        </w:rPr>
        <w:t>n</w:t>
      </w:r>
      <w:r w:rsidRPr="00973028">
        <w:rPr>
          <w:rFonts w:ascii="Arial" w:eastAsia="Calibri" w:hAnsi="Arial" w:cs="Arial"/>
          <w:sz w:val="21"/>
        </w:rPr>
        <w:t xml:space="preserve"> de la AVAF, como órgano consultivo y representativo de las inquietudes de la sociedad civil, teniendo una excelente acogida y siendo avalado por dicho órgano, en su sesión de 11 de junio de 2020.</w:t>
      </w:r>
    </w:p>
    <w:p w14:paraId="2D4856F3" w14:textId="5FC2174A"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Recordamos aquí las once líneas estratégicas de actuación del </w:t>
      </w:r>
      <w:r w:rsidR="004C2326" w:rsidRPr="00973028">
        <w:rPr>
          <w:rFonts w:ascii="Arial" w:eastAsia="Calibri" w:hAnsi="Arial" w:cs="Arial"/>
          <w:sz w:val="21"/>
        </w:rPr>
        <w:t>p</w:t>
      </w:r>
      <w:r w:rsidRPr="00973028">
        <w:rPr>
          <w:rFonts w:ascii="Arial" w:eastAsia="Calibri" w:hAnsi="Arial" w:cs="Arial"/>
          <w:sz w:val="21"/>
        </w:rPr>
        <w:t>lan (sin perjuicio de los múltiples objetivos estratégicos y operativos definidos para cada una de ellas) para después sintetizar las principales actuaciones realizadas durante el 2020 en algunas de ellas:</w:t>
      </w:r>
    </w:p>
    <w:p w14:paraId="4B3C80EB" w14:textId="4991CE6C" w:rsidR="00BB4994" w:rsidRDefault="00BB4994" w:rsidP="00BB4994">
      <w:pPr>
        <w:widowControl w:val="0"/>
        <w:suppressAutoHyphens/>
        <w:autoSpaceDN w:val="0"/>
        <w:spacing w:after="240" w:line="276" w:lineRule="auto"/>
        <w:jc w:val="center"/>
        <w:rPr>
          <w:rFonts w:ascii="Arial" w:eastAsia="Calibri" w:hAnsi="Arial" w:cs="Arial"/>
          <w:b/>
          <w:sz w:val="21"/>
          <w:lang w:eastAsia="es-ES"/>
        </w:rPr>
      </w:pPr>
    </w:p>
    <w:p w14:paraId="79A8D388" w14:textId="77777777" w:rsidR="00F24AAF" w:rsidRPr="00973028" w:rsidRDefault="00F24AAF" w:rsidP="00BB4994">
      <w:pPr>
        <w:widowControl w:val="0"/>
        <w:suppressAutoHyphens/>
        <w:autoSpaceDN w:val="0"/>
        <w:spacing w:after="240" w:line="276" w:lineRule="auto"/>
        <w:jc w:val="center"/>
        <w:rPr>
          <w:rFonts w:ascii="Arial" w:eastAsia="Calibri" w:hAnsi="Arial" w:cs="Arial"/>
          <w:b/>
          <w:sz w:val="21"/>
          <w:lang w:eastAsia="es-ES"/>
        </w:rPr>
      </w:pPr>
    </w:p>
    <w:p w14:paraId="7E312F35" w14:textId="77777777" w:rsidR="00E12EB4" w:rsidRDefault="00E12EB4" w:rsidP="00BB4994">
      <w:pPr>
        <w:widowControl w:val="0"/>
        <w:suppressAutoHyphens/>
        <w:autoSpaceDN w:val="0"/>
        <w:spacing w:after="240" w:line="276" w:lineRule="auto"/>
        <w:jc w:val="center"/>
        <w:rPr>
          <w:rFonts w:ascii="Arial" w:eastAsia="Calibri" w:hAnsi="Arial" w:cs="Arial"/>
          <w:b/>
          <w:sz w:val="21"/>
          <w:lang w:eastAsia="es-ES"/>
        </w:rPr>
      </w:pPr>
    </w:p>
    <w:p w14:paraId="6B2A8CA3" w14:textId="74550F19" w:rsidR="00BB4994" w:rsidRPr="00973028" w:rsidRDefault="00BB4994" w:rsidP="00BB4994">
      <w:pPr>
        <w:widowControl w:val="0"/>
        <w:suppressAutoHyphens/>
        <w:autoSpaceDN w:val="0"/>
        <w:spacing w:after="240" w:line="276" w:lineRule="auto"/>
        <w:jc w:val="center"/>
        <w:rPr>
          <w:rFonts w:ascii="Arial" w:eastAsia="Calibri" w:hAnsi="Arial" w:cs="Arial"/>
          <w:b/>
          <w:sz w:val="21"/>
          <w:lang w:eastAsia="es-ES"/>
        </w:rPr>
      </w:pPr>
      <w:r w:rsidRPr="00973028">
        <w:rPr>
          <w:rFonts w:ascii="Arial" w:eastAsia="Calibri" w:hAnsi="Arial" w:cs="Arial"/>
          <w:b/>
          <w:sz w:val="21"/>
          <w:lang w:eastAsia="es-ES"/>
        </w:rPr>
        <w:t>LÍNEAS ESTRATÉGICAS</w:t>
      </w:r>
    </w:p>
    <w:p w14:paraId="6840447A" w14:textId="57D9E3DF" w:rsidR="002A4453" w:rsidRPr="00973028" w:rsidRDefault="002A4453" w:rsidP="002A4453">
      <w:pPr>
        <w:pStyle w:val="Descripcin"/>
        <w:keepNext/>
        <w:rPr>
          <w:rFonts w:ascii="Arial" w:hAnsi="Arial" w:cs="Arial"/>
          <w:smallCaps w:val="0"/>
          <w:sz w:val="18"/>
          <w:szCs w:val="18"/>
        </w:rPr>
      </w:pPr>
      <w:bookmarkStart w:id="11" w:name="_Toc64465896"/>
      <w:bookmarkStart w:id="12" w:name="_Toc67646338"/>
      <w:r w:rsidRPr="00973028">
        <w:rPr>
          <w:rFonts w:ascii="Arial" w:hAnsi="Arial" w:cs="Arial"/>
          <w:smallCaps w:val="0"/>
          <w:color w:val="9D2235" w:themeColor="accent1"/>
          <w:sz w:val="18"/>
          <w:szCs w:val="18"/>
        </w:rPr>
        <w:t xml:space="preserve">Tabla </w:t>
      </w:r>
      <w:r w:rsidRPr="00973028">
        <w:rPr>
          <w:rFonts w:ascii="Arial" w:hAnsi="Arial" w:cs="Arial"/>
          <w:smallCaps w:val="0"/>
          <w:color w:val="9D2235" w:themeColor="accent1"/>
          <w:sz w:val="18"/>
          <w:szCs w:val="18"/>
        </w:rPr>
        <w:fldChar w:fldCharType="begin"/>
      </w:r>
      <w:r w:rsidRPr="00973028">
        <w:rPr>
          <w:rFonts w:ascii="Arial" w:hAnsi="Arial" w:cs="Arial"/>
          <w:smallCaps w:val="0"/>
          <w:color w:val="9D2235" w:themeColor="accent1"/>
          <w:sz w:val="18"/>
          <w:szCs w:val="18"/>
        </w:rPr>
        <w:instrText xml:space="preserve"> SEQ Tabla \* ARABIC </w:instrText>
      </w:r>
      <w:r w:rsidRPr="00973028">
        <w:rPr>
          <w:rFonts w:ascii="Arial" w:hAnsi="Arial" w:cs="Arial"/>
          <w:smallCaps w:val="0"/>
          <w:color w:val="9D2235" w:themeColor="accent1"/>
          <w:sz w:val="18"/>
          <w:szCs w:val="18"/>
        </w:rPr>
        <w:fldChar w:fldCharType="separate"/>
      </w:r>
      <w:r w:rsidR="00ED7F0D">
        <w:rPr>
          <w:rFonts w:ascii="Arial" w:hAnsi="Arial" w:cs="Arial"/>
          <w:smallCaps w:val="0"/>
          <w:noProof/>
          <w:color w:val="9D2235" w:themeColor="accent1"/>
          <w:sz w:val="18"/>
          <w:szCs w:val="18"/>
        </w:rPr>
        <w:t>1</w:t>
      </w:r>
      <w:r w:rsidRPr="00973028">
        <w:rPr>
          <w:rFonts w:ascii="Arial" w:hAnsi="Arial" w:cs="Arial"/>
          <w:smallCaps w:val="0"/>
          <w:color w:val="9D2235" w:themeColor="accent1"/>
          <w:sz w:val="18"/>
          <w:szCs w:val="18"/>
        </w:rPr>
        <w:fldChar w:fldCharType="end"/>
      </w:r>
      <w:r w:rsidR="00876C89">
        <w:rPr>
          <w:rFonts w:ascii="Arial" w:hAnsi="Arial" w:cs="Arial"/>
          <w:smallCaps w:val="0"/>
          <w:color w:val="9D2235" w:themeColor="accent1"/>
          <w:sz w:val="18"/>
          <w:szCs w:val="18"/>
        </w:rPr>
        <w:t>.</w:t>
      </w:r>
      <w:r w:rsidRPr="00973028">
        <w:rPr>
          <w:rFonts w:ascii="Arial" w:hAnsi="Arial" w:cs="Arial"/>
          <w:smallCaps w:val="0"/>
          <w:color w:val="9D2235" w:themeColor="accent1"/>
          <w:sz w:val="18"/>
          <w:szCs w:val="18"/>
        </w:rPr>
        <w:t xml:space="preserve"> </w:t>
      </w:r>
      <w:r w:rsidRPr="00973028">
        <w:rPr>
          <w:rFonts w:ascii="Arial" w:hAnsi="Arial" w:cs="Arial"/>
          <w:smallCaps w:val="0"/>
          <w:sz w:val="18"/>
          <w:szCs w:val="18"/>
        </w:rPr>
        <w:t>Líneas estratégicas del Servicio de Prevención</w:t>
      </w:r>
      <w:bookmarkEnd w:id="11"/>
      <w:bookmarkEnd w:id="12"/>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276"/>
        <w:gridCol w:w="7228"/>
      </w:tblGrid>
      <w:tr w:rsidR="00BB4994" w:rsidRPr="00973028" w14:paraId="6A34AE2A" w14:textId="77777777" w:rsidTr="007C7980">
        <w:trPr>
          <w:tblCellSpacing w:w="0" w:type="dxa"/>
        </w:trPr>
        <w:tc>
          <w:tcPr>
            <w:tcW w:w="750" w:type="pct"/>
            <w:shd w:val="clear" w:color="auto" w:fill="9D2235"/>
            <w:tcMar>
              <w:top w:w="57" w:type="dxa"/>
              <w:left w:w="57" w:type="dxa"/>
              <w:bottom w:w="57" w:type="dxa"/>
              <w:right w:w="0" w:type="dxa"/>
            </w:tcMar>
            <w:hideMark/>
          </w:tcPr>
          <w:p w14:paraId="05F83305" w14:textId="35681380" w:rsidR="00BB4994" w:rsidRPr="00973028" w:rsidRDefault="00BB4994" w:rsidP="00BB4994">
            <w:pPr>
              <w:autoSpaceDN w:val="0"/>
              <w:spacing w:before="100" w:beforeAutospacing="1" w:after="142" w:line="276" w:lineRule="auto"/>
              <w:rPr>
                <w:rFonts w:ascii="Arial" w:eastAsia="Times New Roman" w:hAnsi="Arial" w:cs="Arial"/>
                <w:color w:val="FFFFFF"/>
                <w:sz w:val="21"/>
                <w:szCs w:val="21"/>
                <w:lang w:eastAsia="es-ES"/>
              </w:rPr>
            </w:pPr>
            <w:r w:rsidRPr="00973028">
              <w:rPr>
                <w:rFonts w:ascii="Arial" w:eastAsia="Times New Roman" w:hAnsi="Arial" w:cs="Arial"/>
                <w:b/>
                <w:bCs/>
                <w:color w:val="FFFFFF"/>
                <w:sz w:val="21"/>
                <w:szCs w:val="21"/>
                <w:lang w:eastAsia="es-ES"/>
              </w:rPr>
              <w:t>L.E.1</w:t>
            </w:r>
          </w:p>
        </w:tc>
        <w:tc>
          <w:tcPr>
            <w:tcW w:w="4250" w:type="pct"/>
            <w:shd w:val="clear" w:color="auto" w:fill="9D2235"/>
            <w:tcMar>
              <w:top w:w="57" w:type="dxa"/>
              <w:left w:w="57" w:type="dxa"/>
              <w:bottom w:w="57" w:type="dxa"/>
              <w:right w:w="57" w:type="dxa"/>
            </w:tcMar>
            <w:hideMark/>
          </w:tcPr>
          <w:p w14:paraId="1DCA0529" w14:textId="77777777" w:rsidR="00BB4994" w:rsidRPr="00973028" w:rsidRDefault="00BB4994" w:rsidP="00BB4994">
            <w:pPr>
              <w:widowControl w:val="0"/>
              <w:suppressAutoHyphens/>
              <w:autoSpaceDN w:val="0"/>
              <w:spacing w:after="240" w:line="276" w:lineRule="auto"/>
              <w:jc w:val="both"/>
              <w:rPr>
                <w:rFonts w:ascii="Arial" w:eastAsia="Calibri" w:hAnsi="Arial" w:cs="Arial"/>
                <w:color w:val="FFFFFF"/>
                <w:sz w:val="21"/>
                <w:szCs w:val="21"/>
                <w:lang w:eastAsia="es-ES"/>
              </w:rPr>
            </w:pPr>
            <w:r w:rsidRPr="00973028">
              <w:rPr>
                <w:rFonts w:ascii="Arial" w:eastAsia="Calibri" w:hAnsi="Arial" w:cs="Arial"/>
                <w:color w:val="FFFFFF"/>
                <w:sz w:val="21"/>
                <w:szCs w:val="21"/>
                <w:lang w:eastAsia="es-ES"/>
              </w:rPr>
              <w:t>Reunir un equipo técnico especializado en las funciones de Prevención.</w:t>
            </w:r>
          </w:p>
        </w:tc>
      </w:tr>
      <w:tr w:rsidR="0065794C" w:rsidRPr="00973028" w14:paraId="6DE7CF6F" w14:textId="77777777" w:rsidTr="007C7980">
        <w:trPr>
          <w:tblCellSpacing w:w="0" w:type="dxa"/>
        </w:trPr>
        <w:tc>
          <w:tcPr>
            <w:tcW w:w="750" w:type="pct"/>
            <w:shd w:val="clear" w:color="auto" w:fill="D9D9D9" w:themeFill="background1" w:themeFillShade="D9"/>
            <w:tcMar>
              <w:top w:w="0" w:type="dxa"/>
              <w:left w:w="57" w:type="dxa"/>
              <w:bottom w:w="57" w:type="dxa"/>
              <w:right w:w="0" w:type="dxa"/>
            </w:tcMar>
            <w:hideMark/>
          </w:tcPr>
          <w:p w14:paraId="020A6AE9" w14:textId="77777777" w:rsidR="00BB4994" w:rsidRPr="00973028" w:rsidRDefault="00BB4994" w:rsidP="00BB4994">
            <w:pPr>
              <w:autoSpaceDN w:val="0"/>
              <w:spacing w:before="100" w:beforeAutospacing="1" w:after="142" w:line="276" w:lineRule="auto"/>
              <w:rPr>
                <w:rFonts w:ascii="Arial" w:eastAsia="Times New Roman" w:hAnsi="Arial" w:cs="Arial"/>
                <w:b/>
                <w:bCs/>
                <w:color w:val="000000" w:themeColor="text1"/>
                <w:sz w:val="21"/>
                <w:szCs w:val="21"/>
                <w:lang w:eastAsia="es-ES"/>
              </w:rPr>
            </w:pPr>
            <w:r w:rsidRPr="00973028">
              <w:rPr>
                <w:rFonts w:ascii="Arial" w:eastAsia="Times New Roman" w:hAnsi="Arial" w:cs="Arial"/>
                <w:b/>
                <w:bCs/>
                <w:color w:val="000000" w:themeColor="text1"/>
                <w:sz w:val="21"/>
                <w:szCs w:val="21"/>
                <w:lang w:eastAsia="es-ES"/>
              </w:rPr>
              <w:t>L.E.2</w:t>
            </w:r>
          </w:p>
        </w:tc>
        <w:tc>
          <w:tcPr>
            <w:tcW w:w="4250" w:type="pct"/>
            <w:shd w:val="clear" w:color="auto" w:fill="D9D9D9" w:themeFill="background1" w:themeFillShade="D9"/>
            <w:tcMar>
              <w:top w:w="0" w:type="dxa"/>
              <w:left w:w="57" w:type="dxa"/>
              <w:bottom w:w="57" w:type="dxa"/>
              <w:right w:w="57" w:type="dxa"/>
            </w:tcMar>
            <w:hideMark/>
          </w:tcPr>
          <w:p w14:paraId="64B42477" w14:textId="77777777" w:rsidR="00BB4994" w:rsidRPr="00973028" w:rsidRDefault="00BB4994" w:rsidP="00BB4994">
            <w:pPr>
              <w:widowControl w:val="0"/>
              <w:suppressAutoHyphens/>
              <w:autoSpaceDN w:val="0"/>
              <w:spacing w:after="240" w:line="276" w:lineRule="auto"/>
              <w:jc w:val="both"/>
              <w:rPr>
                <w:rFonts w:ascii="Arial" w:eastAsia="Calibri" w:hAnsi="Arial" w:cs="Arial"/>
                <w:color w:val="000000" w:themeColor="text1"/>
                <w:sz w:val="21"/>
                <w:szCs w:val="21"/>
                <w:lang w:eastAsia="es-ES"/>
              </w:rPr>
            </w:pPr>
            <w:r w:rsidRPr="00973028">
              <w:rPr>
                <w:rFonts w:ascii="Arial" w:eastAsia="Calibri" w:hAnsi="Arial" w:cs="Arial"/>
                <w:color w:val="000000" w:themeColor="text1"/>
                <w:sz w:val="21"/>
                <w:szCs w:val="21"/>
                <w:lang w:eastAsia="es-ES"/>
              </w:rPr>
              <w:t>Elaborar y publicar recomendaciones generales sobre prevención, marcos de integridad y ética públicas.</w:t>
            </w:r>
          </w:p>
        </w:tc>
      </w:tr>
      <w:tr w:rsidR="00BB4994" w:rsidRPr="00973028" w14:paraId="0A9688A9" w14:textId="77777777" w:rsidTr="007C7980">
        <w:trPr>
          <w:tblCellSpacing w:w="0" w:type="dxa"/>
        </w:trPr>
        <w:tc>
          <w:tcPr>
            <w:tcW w:w="750" w:type="pct"/>
            <w:shd w:val="clear" w:color="auto" w:fill="9D2235"/>
            <w:tcMar>
              <w:top w:w="0" w:type="dxa"/>
              <w:left w:w="57" w:type="dxa"/>
              <w:bottom w:w="57" w:type="dxa"/>
              <w:right w:w="0" w:type="dxa"/>
            </w:tcMar>
            <w:hideMark/>
          </w:tcPr>
          <w:p w14:paraId="710DBCDF" w14:textId="77777777" w:rsidR="00BB4994" w:rsidRPr="00973028" w:rsidRDefault="00BB4994" w:rsidP="00BB4994">
            <w:pPr>
              <w:autoSpaceDN w:val="0"/>
              <w:spacing w:before="100" w:beforeAutospacing="1" w:after="142" w:line="276" w:lineRule="auto"/>
              <w:rPr>
                <w:rFonts w:ascii="Arial" w:eastAsia="Times New Roman" w:hAnsi="Arial" w:cs="Arial"/>
                <w:b/>
                <w:bCs/>
                <w:color w:val="FFFFFF"/>
                <w:sz w:val="21"/>
                <w:szCs w:val="21"/>
                <w:lang w:eastAsia="es-ES"/>
              </w:rPr>
            </w:pPr>
            <w:r w:rsidRPr="00973028">
              <w:rPr>
                <w:rFonts w:ascii="Arial" w:eastAsia="Times New Roman" w:hAnsi="Arial" w:cs="Arial"/>
                <w:b/>
                <w:bCs/>
                <w:color w:val="FFFFFF"/>
                <w:sz w:val="21"/>
                <w:szCs w:val="21"/>
                <w:lang w:eastAsia="es-ES"/>
              </w:rPr>
              <w:t>L.E.3</w:t>
            </w:r>
          </w:p>
        </w:tc>
        <w:tc>
          <w:tcPr>
            <w:tcW w:w="4250" w:type="pct"/>
            <w:shd w:val="clear" w:color="auto" w:fill="9D2235"/>
            <w:tcMar>
              <w:top w:w="0" w:type="dxa"/>
              <w:left w:w="57" w:type="dxa"/>
              <w:bottom w:w="57" w:type="dxa"/>
              <w:right w:w="57" w:type="dxa"/>
            </w:tcMar>
            <w:hideMark/>
          </w:tcPr>
          <w:p w14:paraId="3713B86A" w14:textId="3DB4FD67" w:rsidR="00BB4994" w:rsidRPr="00973028" w:rsidRDefault="00BB4994" w:rsidP="00BB4994">
            <w:pPr>
              <w:widowControl w:val="0"/>
              <w:suppressAutoHyphens/>
              <w:autoSpaceDN w:val="0"/>
              <w:spacing w:after="240" w:line="276" w:lineRule="auto"/>
              <w:jc w:val="both"/>
              <w:rPr>
                <w:rFonts w:ascii="Arial" w:eastAsia="Calibri" w:hAnsi="Arial" w:cs="Arial"/>
                <w:color w:val="FFFFFF"/>
                <w:sz w:val="21"/>
                <w:szCs w:val="21"/>
                <w:lang w:eastAsia="es-ES"/>
              </w:rPr>
            </w:pPr>
            <w:r w:rsidRPr="00973028">
              <w:rPr>
                <w:rFonts w:ascii="Arial" w:eastAsia="Calibri" w:hAnsi="Arial" w:cs="Arial"/>
                <w:color w:val="FFFFFF"/>
                <w:sz w:val="21"/>
                <w:szCs w:val="21"/>
                <w:lang w:eastAsia="es-ES"/>
              </w:rPr>
              <w:t xml:space="preserve">Elaborar recomendaciones específicas en los expedientes derivados por el área de </w:t>
            </w:r>
            <w:r w:rsidR="004C2326" w:rsidRPr="00973028">
              <w:rPr>
                <w:rFonts w:ascii="Arial" w:eastAsia="Calibri" w:hAnsi="Arial" w:cs="Arial"/>
                <w:color w:val="FFFFFF"/>
                <w:sz w:val="21"/>
                <w:szCs w:val="21"/>
                <w:lang w:eastAsia="es-ES"/>
              </w:rPr>
              <w:t>A</w:t>
            </w:r>
            <w:r w:rsidRPr="00973028">
              <w:rPr>
                <w:rFonts w:ascii="Arial" w:eastAsia="Calibri" w:hAnsi="Arial" w:cs="Arial"/>
                <w:color w:val="FFFFFF"/>
                <w:sz w:val="21"/>
                <w:szCs w:val="21"/>
                <w:lang w:eastAsia="es-ES"/>
              </w:rPr>
              <w:t xml:space="preserve">nálisis e </w:t>
            </w:r>
            <w:r w:rsidR="004C2326" w:rsidRPr="00973028">
              <w:rPr>
                <w:rFonts w:ascii="Arial" w:eastAsia="Calibri" w:hAnsi="Arial" w:cs="Arial"/>
                <w:color w:val="FFFFFF"/>
                <w:sz w:val="21"/>
                <w:szCs w:val="21"/>
                <w:lang w:eastAsia="es-ES"/>
              </w:rPr>
              <w:t>I</w:t>
            </w:r>
            <w:r w:rsidRPr="00973028">
              <w:rPr>
                <w:rFonts w:ascii="Arial" w:eastAsia="Calibri" w:hAnsi="Arial" w:cs="Arial"/>
                <w:color w:val="FFFFFF"/>
                <w:sz w:val="21"/>
                <w:szCs w:val="21"/>
                <w:lang w:eastAsia="es-ES"/>
              </w:rPr>
              <w:t>nvestigación.</w:t>
            </w:r>
          </w:p>
        </w:tc>
      </w:tr>
      <w:tr w:rsidR="0065794C" w:rsidRPr="00973028" w14:paraId="1DDDC9B6" w14:textId="77777777" w:rsidTr="007C7980">
        <w:trPr>
          <w:tblCellSpacing w:w="0" w:type="dxa"/>
        </w:trPr>
        <w:tc>
          <w:tcPr>
            <w:tcW w:w="750" w:type="pct"/>
            <w:shd w:val="clear" w:color="auto" w:fill="D9D9D9" w:themeFill="background1" w:themeFillShade="D9"/>
            <w:tcMar>
              <w:top w:w="0" w:type="dxa"/>
              <w:left w:w="57" w:type="dxa"/>
              <w:bottom w:w="57" w:type="dxa"/>
              <w:right w:w="0" w:type="dxa"/>
            </w:tcMar>
            <w:hideMark/>
          </w:tcPr>
          <w:p w14:paraId="4C05802E" w14:textId="77777777" w:rsidR="00BB4994" w:rsidRPr="00973028" w:rsidRDefault="00BB4994" w:rsidP="00BB4994">
            <w:pPr>
              <w:autoSpaceDN w:val="0"/>
              <w:spacing w:before="100" w:beforeAutospacing="1" w:after="142" w:line="276" w:lineRule="auto"/>
              <w:rPr>
                <w:rFonts w:ascii="Arial" w:eastAsia="Times New Roman" w:hAnsi="Arial" w:cs="Arial"/>
                <w:b/>
                <w:bCs/>
                <w:color w:val="000000" w:themeColor="text1"/>
                <w:sz w:val="21"/>
                <w:szCs w:val="21"/>
                <w:lang w:eastAsia="es-ES"/>
              </w:rPr>
            </w:pPr>
            <w:r w:rsidRPr="00973028">
              <w:rPr>
                <w:rFonts w:ascii="Arial" w:eastAsia="Times New Roman" w:hAnsi="Arial" w:cs="Arial"/>
                <w:b/>
                <w:bCs/>
                <w:color w:val="000000" w:themeColor="text1"/>
                <w:sz w:val="21"/>
                <w:szCs w:val="21"/>
                <w:lang w:eastAsia="es-ES"/>
              </w:rPr>
              <w:t>L.E.4</w:t>
            </w:r>
          </w:p>
        </w:tc>
        <w:tc>
          <w:tcPr>
            <w:tcW w:w="4250" w:type="pct"/>
            <w:shd w:val="clear" w:color="auto" w:fill="D9D9D9" w:themeFill="background1" w:themeFillShade="D9"/>
            <w:tcMar>
              <w:top w:w="0" w:type="dxa"/>
              <w:left w:w="57" w:type="dxa"/>
              <w:bottom w:w="57" w:type="dxa"/>
              <w:right w:w="57" w:type="dxa"/>
            </w:tcMar>
            <w:hideMark/>
          </w:tcPr>
          <w:p w14:paraId="0A1334D0" w14:textId="77777777" w:rsidR="00BB4994" w:rsidRPr="00973028" w:rsidRDefault="00BB4994" w:rsidP="00BB4994">
            <w:pPr>
              <w:widowControl w:val="0"/>
              <w:suppressAutoHyphens/>
              <w:autoSpaceDN w:val="0"/>
              <w:spacing w:after="240" w:line="276" w:lineRule="auto"/>
              <w:jc w:val="both"/>
              <w:rPr>
                <w:rFonts w:ascii="Arial" w:eastAsia="Calibri" w:hAnsi="Arial" w:cs="Arial"/>
                <w:color w:val="000000" w:themeColor="text1"/>
                <w:sz w:val="21"/>
                <w:szCs w:val="21"/>
                <w:lang w:eastAsia="es-ES"/>
              </w:rPr>
            </w:pPr>
            <w:r w:rsidRPr="00973028">
              <w:rPr>
                <w:rFonts w:ascii="Arial" w:eastAsia="Calibri" w:hAnsi="Arial" w:cs="Arial"/>
                <w:color w:val="000000" w:themeColor="text1"/>
                <w:sz w:val="21"/>
                <w:szCs w:val="21"/>
                <w:lang w:eastAsia="es-ES"/>
              </w:rPr>
              <w:t>Identificar sectores de riesgo contrastado de corrupción.</w:t>
            </w:r>
          </w:p>
        </w:tc>
      </w:tr>
      <w:tr w:rsidR="00BB4994" w:rsidRPr="00973028" w14:paraId="0AA7BCD8" w14:textId="77777777" w:rsidTr="007C7980">
        <w:trPr>
          <w:tblCellSpacing w:w="0" w:type="dxa"/>
        </w:trPr>
        <w:tc>
          <w:tcPr>
            <w:tcW w:w="750" w:type="pct"/>
            <w:shd w:val="clear" w:color="auto" w:fill="9D2235"/>
            <w:tcMar>
              <w:top w:w="0" w:type="dxa"/>
              <w:left w:w="57" w:type="dxa"/>
              <w:bottom w:w="57" w:type="dxa"/>
              <w:right w:w="0" w:type="dxa"/>
            </w:tcMar>
            <w:hideMark/>
          </w:tcPr>
          <w:p w14:paraId="608FFCCB" w14:textId="77777777" w:rsidR="00BB4994" w:rsidRPr="00973028" w:rsidRDefault="00BB4994" w:rsidP="00BB4994">
            <w:pPr>
              <w:autoSpaceDN w:val="0"/>
              <w:spacing w:before="100" w:beforeAutospacing="1" w:after="142" w:line="276" w:lineRule="auto"/>
              <w:rPr>
                <w:rFonts w:ascii="Arial" w:eastAsia="Times New Roman" w:hAnsi="Arial" w:cs="Arial"/>
                <w:b/>
                <w:bCs/>
                <w:color w:val="FFFFFF"/>
                <w:sz w:val="21"/>
                <w:szCs w:val="21"/>
                <w:lang w:eastAsia="es-ES"/>
              </w:rPr>
            </w:pPr>
            <w:r w:rsidRPr="00973028">
              <w:rPr>
                <w:rFonts w:ascii="Arial" w:eastAsia="Times New Roman" w:hAnsi="Arial" w:cs="Arial"/>
                <w:b/>
                <w:bCs/>
                <w:color w:val="FFFFFF"/>
                <w:sz w:val="21"/>
                <w:szCs w:val="21"/>
                <w:lang w:eastAsia="es-ES"/>
              </w:rPr>
              <w:t>L.E.5</w:t>
            </w:r>
          </w:p>
        </w:tc>
        <w:tc>
          <w:tcPr>
            <w:tcW w:w="4250" w:type="pct"/>
            <w:shd w:val="clear" w:color="auto" w:fill="9D2235"/>
            <w:tcMar>
              <w:top w:w="0" w:type="dxa"/>
              <w:left w:w="57" w:type="dxa"/>
              <w:bottom w:w="57" w:type="dxa"/>
              <w:right w:w="57" w:type="dxa"/>
            </w:tcMar>
            <w:hideMark/>
          </w:tcPr>
          <w:p w14:paraId="0EE1E1FF" w14:textId="77777777" w:rsidR="00BB4994" w:rsidRPr="00973028" w:rsidRDefault="00BB4994" w:rsidP="00BB4994">
            <w:pPr>
              <w:widowControl w:val="0"/>
              <w:suppressAutoHyphens/>
              <w:autoSpaceDN w:val="0"/>
              <w:spacing w:after="240" w:line="276" w:lineRule="auto"/>
              <w:jc w:val="both"/>
              <w:rPr>
                <w:rFonts w:ascii="Arial" w:eastAsia="Calibri" w:hAnsi="Arial" w:cs="Arial"/>
                <w:color w:val="FFFFFF"/>
                <w:sz w:val="21"/>
                <w:szCs w:val="21"/>
                <w:lang w:eastAsia="es-ES"/>
              </w:rPr>
            </w:pPr>
            <w:r w:rsidRPr="00973028">
              <w:rPr>
                <w:rFonts w:ascii="Arial" w:eastAsia="Calibri" w:hAnsi="Arial" w:cs="Arial"/>
                <w:color w:val="FFFFFF"/>
                <w:sz w:val="21"/>
                <w:szCs w:val="21"/>
                <w:lang w:eastAsia="es-ES"/>
              </w:rPr>
              <w:t>Diseñar una estrategia de integridad pública como marco y base de elaboración de herramientas de fomento de marcos de integridad y prevención exportables a las organizaciones.</w:t>
            </w:r>
          </w:p>
        </w:tc>
      </w:tr>
      <w:tr w:rsidR="0065794C" w:rsidRPr="00973028" w14:paraId="73C46161" w14:textId="77777777" w:rsidTr="007C7980">
        <w:trPr>
          <w:tblCellSpacing w:w="0" w:type="dxa"/>
        </w:trPr>
        <w:tc>
          <w:tcPr>
            <w:tcW w:w="750" w:type="pct"/>
            <w:shd w:val="clear" w:color="auto" w:fill="D9D9D9" w:themeFill="background1" w:themeFillShade="D9"/>
            <w:tcMar>
              <w:top w:w="0" w:type="dxa"/>
              <w:left w:w="57" w:type="dxa"/>
              <w:bottom w:w="57" w:type="dxa"/>
              <w:right w:w="0" w:type="dxa"/>
            </w:tcMar>
            <w:hideMark/>
          </w:tcPr>
          <w:p w14:paraId="60046FB3" w14:textId="77777777" w:rsidR="00BB4994" w:rsidRPr="00973028" w:rsidRDefault="00BB4994" w:rsidP="00BB4994">
            <w:pPr>
              <w:autoSpaceDN w:val="0"/>
              <w:spacing w:before="100" w:beforeAutospacing="1" w:after="142" w:line="276" w:lineRule="auto"/>
              <w:rPr>
                <w:rFonts w:ascii="Arial" w:eastAsia="Times New Roman" w:hAnsi="Arial" w:cs="Arial"/>
                <w:b/>
                <w:bCs/>
                <w:color w:val="000000" w:themeColor="text1"/>
                <w:sz w:val="21"/>
                <w:szCs w:val="21"/>
                <w:lang w:eastAsia="es-ES"/>
              </w:rPr>
            </w:pPr>
            <w:r w:rsidRPr="00973028">
              <w:rPr>
                <w:rFonts w:ascii="Arial" w:eastAsia="Times New Roman" w:hAnsi="Arial" w:cs="Arial"/>
                <w:b/>
                <w:bCs/>
                <w:color w:val="000000" w:themeColor="text1"/>
                <w:sz w:val="21"/>
                <w:szCs w:val="21"/>
                <w:lang w:eastAsia="es-ES"/>
              </w:rPr>
              <w:t>L.E.6</w:t>
            </w:r>
          </w:p>
        </w:tc>
        <w:tc>
          <w:tcPr>
            <w:tcW w:w="4250" w:type="pct"/>
            <w:shd w:val="clear" w:color="auto" w:fill="D9D9D9" w:themeFill="background1" w:themeFillShade="D9"/>
            <w:tcMar>
              <w:top w:w="0" w:type="dxa"/>
              <w:left w:w="57" w:type="dxa"/>
              <w:bottom w:w="57" w:type="dxa"/>
              <w:right w:w="57" w:type="dxa"/>
            </w:tcMar>
            <w:hideMark/>
          </w:tcPr>
          <w:p w14:paraId="253E1FF0" w14:textId="7C16DFA5" w:rsidR="00BB4994" w:rsidRPr="00973028" w:rsidRDefault="00BB4994" w:rsidP="00BB4994">
            <w:pPr>
              <w:widowControl w:val="0"/>
              <w:suppressAutoHyphens/>
              <w:autoSpaceDN w:val="0"/>
              <w:spacing w:after="240" w:line="276" w:lineRule="auto"/>
              <w:jc w:val="both"/>
              <w:rPr>
                <w:rFonts w:ascii="Arial" w:eastAsia="Calibri" w:hAnsi="Arial" w:cs="Arial"/>
                <w:color w:val="000000" w:themeColor="text1"/>
                <w:sz w:val="21"/>
                <w:szCs w:val="21"/>
                <w:lang w:eastAsia="es-ES"/>
              </w:rPr>
            </w:pPr>
            <w:r w:rsidRPr="00973028">
              <w:rPr>
                <w:rFonts w:ascii="Arial" w:eastAsia="Calibri" w:hAnsi="Arial" w:cs="Arial"/>
                <w:color w:val="000000" w:themeColor="text1"/>
                <w:sz w:val="21"/>
                <w:szCs w:val="21"/>
                <w:lang w:eastAsia="es-ES"/>
              </w:rPr>
              <w:t xml:space="preserve">Elaborar </w:t>
            </w:r>
            <w:r w:rsidR="004C2326" w:rsidRPr="00973028">
              <w:rPr>
                <w:rFonts w:ascii="Arial" w:eastAsia="Calibri" w:hAnsi="Arial" w:cs="Arial"/>
                <w:color w:val="000000" w:themeColor="text1"/>
                <w:sz w:val="21"/>
                <w:szCs w:val="21"/>
                <w:lang w:eastAsia="es-ES"/>
              </w:rPr>
              <w:t>h</w:t>
            </w:r>
            <w:r w:rsidRPr="00973028">
              <w:rPr>
                <w:rFonts w:ascii="Arial" w:eastAsia="Calibri" w:hAnsi="Arial" w:cs="Arial"/>
                <w:color w:val="000000" w:themeColor="text1"/>
                <w:sz w:val="21"/>
                <w:szCs w:val="21"/>
                <w:lang w:eastAsia="es-ES"/>
              </w:rPr>
              <w:t xml:space="preserve">erramientas de fomento de marcos de integridad y prevención (I): </w:t>
            </w:r>
          </w:p>
          <w:p w14:paraId="5B5C01F8" w14:textId="77777777" w:rsidR="00BB4994" w:rsidRPr="00973028" w:rsidRDefault="00BB4994" w:rsidP="00BB4994">
            <w:pPr>
              <w:widowControl w:val="0"/>
              <w:suppressAutoHyphens/>
              <w:autoSpaceDN w:val="0"/>
              <w:spacing w:after="240" w:line="276" w:lineRule="auto"/>
              <w:jc w:val="both"/>
              <w:rPr>
                <w:rFonts w:ascii="Arial" w:eastAsia="Calibri" w:hAnsi="Arial" w:cs="Arial"/>
                <w:color w:val="000000" w:themeColor="text1"/>
                <w:sz w:val="21"/>
                <w:szCs w:val="21"/>
                <w:lang w:eastAsia="es-ES"/>
              </w:rPr>
            </w:pPr>
            <w:r w:rsidRPr="00973028">
              <w:rPr>
                <w:rFonts w:ascii="Arial" w:eastAsia="Calibri" w:hAnsi="Arial" w:cs="Arial"/>
                <w:color w:val="000000" w:themeColor="text1"/>
                <w:sz w:val="21"/>
                <w:szCs w:val="21"/>
                <w:lang w:eastAsia="es-ES"/>
              </w:rPr>
              <w:t>- Metodología general y exportable de análisis de riesgos.</w:t>
            </w:r>
          </w:p>
        </w:tc>
      </w:tr>
      <w:tr w:rsidR="00BB4994" w:rsidRPr="00973028" w14:paraId="0530C7B5" w14:textId="77777777" w:rsidTr="007C7980">
        <w:trPr>
          <w:tblCellSpacing w:w="0" w:type="dxa"/>
        </w:trPr>
        <w:tc>
          <w:tcPr>
            <w:tcW w:w="750" w:type="pct"/>
            <w:shd w:val="clear" w:color="auto" w:fill="9D2235"/>
            <w:tcMar>
              <w:top w:w="0" w:type="dxa"/>
              <w:left w:w="57" w:type="dxa"/>
              <w:bottom w:w="57" w:type="dxa"/>
              <w:right w:w="0" w:type="dxa"/>
            </w:tcMar>
            <w:hideMark/>
          </w:tcPr>
          <w:p w14:paraId="4FD8C1B8" w14:textId="77777777" w:rsidR="00BB4994" w:rsidRPr="00973028" w:rsidRDefault="00BB4994" w:rsidP="00BB4994">
            <w:pPr>
              <w:autoSpaceDN w:val="0"/>
              <w:spacing w:before="100" w:beforeAutospacing="1" w:after="142" w:line="276" w:lineRule="auto"/>
              <w:rPr>
                <w:rFonts w:ascii="Arial" w:eastAsia="Times New Roman" w:hAnsi="Arial" w:cs="Arial"/>
                <w:b/>
                <w:bCs/>
                <w:color w:val="FFFFFF"/>
                <w:sz w:val="21"/>
                <w:szCs w:val="21"/>
                <w:lang w:eastAsia="es-ES"/>
              </w:rPr>
            </w:pPr>
            <w:r w:rsidRPr="00973028">
              <w:rPr>
                <w:rFonts w:ascii="Arial" w:eastAsia="Times New Roman" w:hAnsi="Arial" w:cs="Arial"/>
                <w:b/>
                <w:bCs/>
                <w:color w:val="FFFFFF"/>
                <w:sz w:val="21"/>
                <w:szCs w:val="21"/>
                <w:lang w:eastAsia="es-ES"/>
              </w:rPr>
              <w:t>L.E.7</w:t>
            </w:r>
          </w:p>
        </w:tc>
        <w:tc>
          <w:tcPr>
            <w:tcW w:w="4250" w:type="pct"/>
            <w:shd w:val="clear" w:color="auto" w:fill="9D2235"/>
            <w:tcMar>
              <w:top w:w="0" w:type="dxa"/>
              <w:left w:w="57" w:type="dxa"/>
              <w:bottom w:w="57" w:type="dxa"/>
              <w:right w:w="57" w:type="dxa"/>
            </w:tcMar>
            <w:hideMark/>
          </w:tcPr>
          <w:p w14:paraId="498C96DF" w14:textId="42E9C6F7" w:rsidR="00BB4994" w:rsidRPr="00973028" w:rsidRDefault="00BB4994" w:rsidP="00BB4994">
            <w:pPr>
              <w:widowControl w:val="0"/>
              <w:suppressAutoHyphens/>
              <w:autoSpaceDN w:val="0"/>
              <w:spacing w:after="240" w:line="276" w:lineRule="auto"/>
              <w:jc w:val="both"/>
              <w:rPr>
                <w:rFonts w:ascii="Arial" w:eastAsia="Calibri" w:hAnsi="Arial" w:cs="Arial"/>
                <w:color w:val="FFFFFF"/>
                <w:sz w:val="21"/>
                <w:szCs w:val="21"/>
                <w:lang w:eastAsia="es-ES"/>
              </w:rPr>
            </w:pPr>
            <w:r w:rsidRPr="00973028">
              <w:rPr>
                <w:rFonts w:ascii="Arial" w:eastAsia="Calibri" w:hAnsi="Arial" w:cs="Arial"/>
                <w:color w:val="FFFFFF"/>
                <w:sz w:val="21"/>
                <w:szCs w:val="21"/>
                <w:lang w:eastAsia="es-ES"/>
              </w:rPr>
              <w:t xml:space="preserve">Elaborar </w:t>
            </w:r>
            <w:r w:rsidR="004C2326" w:rsidRPr="00973028">
              <w:rPr>
                <w:rFonts w:ascii="Arial" w:eastAsia="Calibri" w:hAnsi="Arial" w:cs="Arial"/>
                <w:color w:val="FFFFFF"/>
                <w:sz w:val="21"/>
                <w:szCs w:val="21"/>
                <w:lang w:eastAsia="es-ES"/>
              </w:rPr>
              <w:t>h</w:t>
            </w:r>
            <w:r w:rsidRPr="00973028">
              <w:rPr>
                <w:rFonts w:ascii="Arial" w:eastAsia="Calibri" w:hAnsi="Arial" w:cs="Arial"/>
                <w:color w:val="FFFFFF"/>
                <w:sz w:val="21"/>
                <w:szCs w:val="21"/>
                <w:lang w:eastAsia="es-ES"/>
              </w:rPr>
              <w:t>erramientas de fomento de marcos de integridad y prevención (II):</w:t>
            </w:r>
          </w:p>
          <w:p w14:paraId="3184B97C" w14:textId="00C98231" w:rsidR="00BB4994" w:rsidRPr="00973028" w:rsidRDefault="00BB4994" w:rsidP="00167686">
            <w:pPr>
              <w:widowControl w:val="0"/>
              <w:suppressAutoHyphens/>
              <w:autoSpaceDN w:val="0"/>
              <w:spacing w:after="0" w:line="276" w:lineRule="auto"/>
              <w:jc w:val="both"/>
              <w:rPr>
                <w:rFonts w:ascii="Arial" w:eastAsia="Calibri" w:hAnsi="Arial" w:cs="Arial"/>
                <w:color w:val="FFFFFF"/>
                <w:sz w:val="21"/>
                <w:szCs w:val="21"/>
                <w:lang w:eastAsia="es-ES"/>
              </w:rPr>
            </w:pPr>
            <w:r w:rsidRPr="00973028">
              <w:rPr>
                <w:rFonts w:ascii="Arial" w:eastAsia="Calibri" w:hAnsi="Arial" w:cs="Arial"/>
                <w:color w:val="FFFFFF"/>
                <w:sz w:val="21"/>
                <w:szCs w:val="21"/>
                <w:lang w:eastAsia="es-ES"/>
              </w:rPr>
              <w:t xml:space="preserve">- Contenido mínimo de los </w:t>
            </w:r>
            <w:r w:rsidR="004C2326" w:rsidRPr="00973028">
              <w:rPr>
                <w:rFonts w:ascii="Arial" w:eastAsia="Calibri" w:hAnsi="Arial" w:cs="Arial"/>
                <w:color w:val="FFFFFF"/>
                <w:sz w:val="21"/>
                <w:szCs w:val="21"/>
                <w:lang w:eastAsia="es-ES"/>
              </w:rPr>
              <w:t>p</w:t>
            </w:r>
            <w:r w:rsidRPr="00973028">
              <w:rPr>
                <w:rFonts w:ascii="Arial" w:eastAsia="Calibri" w:hAnsi="Arial" w:cs="Arial"/>
                <w:color w:val="FFFFFF"/>
                <w:sz w:val="21"/>
                <w:szCs w:val="21"/>
                <w:lang w:eastAsia="es-ES"/>
              </w:rPr>
              <w:t xml:space="preserve">lanes de </w:t>
            </w:r>
            <w:r w:rsidR="004C2326" w:rsidRPr="00973028">
              <w:rPr>
                <w:rFonts w:ascii="Arial" w:eastAsia="Calibri" w:hAnsi="Arial" w:cs="Arial"/>
                <w:color w:val="FFFFFF"/>
                <w:sz w:val="21"/>
                <w:szCs w:val="21"/>
                <w:lang w:eastAsia="es-ES"/>
              </w:rPr>
              <w:t>p</w:t>
            </w:r>
            <w:r w:rsidRPr="00973028">
              <w:rPr>
                <w:rFonts w:ascii="Arial" w:eastAsia="Calibri" w:hAnsi="Arial" w:cs="Arial"/>
                <w:color w:val="FFFFFF"/>
                <w:sz w:val="21"/>
                <w:szCs w:val="21"/>
                <w:lang w:eastAsia="es-ES"/>
              </w:rPr>
              <w:t>revención de corrupción.</w:t>
            </w:r>
          </w:p>
          <w:p w14:paraId="4BCCA708" w14:textId="77777777" w:rsidR="00BB4994" w:rsidRPr="00973028" w:rsidRDefault="00BB4994" w:rsidP="00BB4994">
            <w:pPr>
              <w:widowControl w:val="0"/>
              <w:suppressAutoHyphens/>
              <w:autoSpaceDN w:val="0"/>
              <w:spacing w:after="240" w:line="276" w:lineRule="auto"/>
              <w:jc w:val="both"/>
              <w:rPr>
                <w:rFonts w:ascii="Arial" w:eastAsia="Calibri" w:hAnsi="Arial" w:cs="Arial"/>
                <w:color w:val="FFFFFF"/>
                <w:sz w:val="21"/>
                <w:szCs w:val="21"/>
                <w:lang w:eastAsia="es-ES"/>
              </w:rPr>
            </w:pPr>
            <w:r w:rsidRPr="00973028">
              <w:rPr>
                <w:rFonts w:ascii="Arial" w:eastAsia="Calibri" w:hAnsi="Arial" w:cs="Arial"/>
                <w:color w:val="FFFFFF"/>
                <w:sz w:val="21"/>
                <w:szCs w:val="21"/>
                <w:lang w:eastAsia="es-ES"/>
              </w:rPr>
              <w:t>- Elaboración de un código ético.</w:t>
            </w:r>
          </w:p>
        </w:tc>
      </w:tr>
      <w:tr w:rsidR="0065794C" w:rsidRPr="00973028" w14:paraId="2499C586" w14:textId="77777777" w:rsidTr="007C7980">
        <w:trPr>
          <w:tblCellSpacing w:w="0" w:type="dxa"/>
        </w:trPr>
        <w:tc>
          <w:tcPr>
            <w:tcW w:w="750" w:type="pct"/>
            <w:shd w:val="clear" w:color="auto" w:fill="D9D9D9" w:themeFill="background1" w:themeFillShade="D9"/>
            <w:tcMar>
              <w:top w:w="0" w:type="dxa"/>
              <w:left w:w="57" w:type="dxa"/>
              <w:bottom w:w="57" w:type="dxa"/>
              <w:right w:w="0" w:type="dxa"/>
            </w:tcMar>
            <w:hideMark/>
          </w:tcPr>
          <w:p w14:paraId="3B6A3083" w14:textId="77777777" w:rsidR="00BB4994" w:rsidRPr="00973028" w:rsidRDefault="00BB4994" w:rsidP="00BB4994">
            <w:pPr>
              <w:autoSpaceDN w:val="0"/>
              <w:spacing w:before="100" w:beforeAutospacing="1" w:after="142" w:line="276" w:lineRule="auto"/>
              <w:rPr>
                <w:rFonts w:ascii="Arial" w:eastAsia="Times New Roman" w:hAnsi="Arial" w:cs="Arial"/>
                <w:b/>
                <w:bCs/>
                <w:color w:val="000000" w:themeColor="text1"/>
                <w:sz w:val="21"/>
                <w:szCs w:val="21"/>
                <w:lang w:eastAsia="es-ES"/>
              </w:rPr>
            </w:pPr>
            <w:r w:rsidRPr="00973028">
              <w:rPr>
                <w:rFonts w:ascii="Arial" w:eastAsia="Times New Roman" w:hAnsi="Arial" w:cs="Arial"/>
                <w:b/>
                <w:bCs/>
                <w:color w:val="000000" w:themeColor="text1"/>
                <w:sz w:val="21"/>
                <w:szCs w:val="21"/>
                <w:lang w:eastAsia="es-ES"/>
              </w:rPr>
              <w:t>L.E.8</w:t>
            </w:r>
          </w:p>
        </w:tc>
        <w:tc>
          <w:tcPr>
            <w:tcW w:w="4250" w:type="pct"/>
            <w:shd w:val="clear" w:color="auto" w:fill="D9D9D9" w:themeFill="background1" w:themeFillShade="D9"/>
            <w:tcMar>
              <w:top w:w="0" w:type="dxa"/>
              <w:left w:w="57" w:type="dxa"/>
              <w:bottom w:w="57" w:type="dxa"/>
              <w:right w:w="57" w:type="dxa"/>
            </w:tcMar>
            <w:hideMark/>
          </w:tcPr>
          <w:p w14:paraId="73D3EF8C" w14:textId="77777777" w:rsidR="00BB4994" w:rsidRPr="00973028" w:rsidRDefault="00BB4994" w:rsidP="00BB4994">
            <w:pPr>
              <w:widowControl w:val="0"/>
              <w:suppressAutoHyphens/>
              <w:autoSpaceDN w:val="0"/>
              <w:spacing w:after="240" w:line="276" w:lineRule="auto"/>
              <w:jc w:val="both"/>
              <w:rPr>
                <w:rFonts w:ascii="Arial" w:eastAsia="Calibri" w:hAnsi="Arial" w:cs="Arial"/>
                <w:color w:val="000000" w:themeColor="text1"/>
                <w:sz w:val="21"/>
                <w:szCs w:val="21"/>
                <w:lang w:eastAsia="es-ES"/>
              </w:rPr>
            </w:pPr>
            <w:r w:rsidRPr="00973028">
              <w:rPr>
                <w:rFonts w:ascii="Arial" w:eastAsia="Calibri" w:hAnsi="Arial" w:cs="Arial"/>
                <w:color w:val="000000" w:themeColor="text1"/>
                <w:sz w:val="21"/>
                <w:szCs w:val="21"/>
                <w:lang w:eastAsia="es-ES"/>
              </w:rPr>
              <w:t>Realizar investigaciones, estudios y publicaciones sobre sectores específicos de riesgo de fraude y corrupción en la Comunitat Valenciana.</w:t>
            </w:r>
          </w:p>
        </w:tc>
      </w:tr>
      <w:tr w:rsidR="00BB4994" w:rsidRPr="00973028" w14:paraId="43A574B0" w14:textId="77777777" w:rsidTr="007C7980">
        <w:trPr>
          <w:trHeight w:val="600"/>
          <w:tblCellSpacing w:w="0" w:type="dxa"/>
        </w:trPr>
        <w:tc>
          <w:tcPr>
            <w:tcW w:w="750" w:type="pct"/>
            <w:shd w:val="clear" w:color="auto" w:fill="9D2235"/>
            <w:tcMar>
              <w:top w:w="0" w:type="dxa"/>
              <w:left w:w="57" w:type="dxa"/>
              <w:bottom w:w="57" w:type="dxa"/>
              <w:right w:w="0" w:type="dxa"/>
            </w:tcMar>
            <w:hideMark/>
          </w:tcPr>
          <w:p w14:paraId="3A3B5C4E" w14:textId="77777777" w:rsidR="00BB4994" w:rsidRPr="00973028" w:rsidRDefault="00BB4994" w:rsidP="00BB4994">
            <w:pPr>
              <w:autoSpaceDN w:val="0"/>
              <w:spacing w:before="100" w:beforeAutospacing="1" w:after="142" w:line="276" w:lineRule="auto"/>
              <w:rPr>
                <w:rFonts w:ascii="Arial" w:eastAsia="Times New Roman" w:hAnsi="Arial" w:cs="Arial"/>
                <w:b/>
                <w:bCs/>
                <w:color w:val="FFFFFF"/>
                <w:sz w:val="21"/>
                <w:szCs w:val="21"/>
                <w:lang w:eastAsia="es-ES"/>
              </w:rPr>
            </w:pPr>
            <w:bookmarkStart w:id="13" w:name="_Hlk62569562"/>
            <w:r w:rsidRPr="00973028">
              <w:rPr>
                <w:rFonts w:ascii="Arial" w:eastAsia="Times New Roman" w:hAnsi="Arial" w:cs="Arial"/>
                <w:b/>
                <w:bCs/>
                <w:color w:val="FFFFFF"/>
                <w:sz w:val="21"/>
                <w:szCs w:val="21"/>
                <w:lang w:eastAsia="es-ES"/>
              </w:rPr>
              <w:t>L.E.9</w:t>
            </w:r>
          </w:p>
        </w:tc>
        <w:tc>
          <w:tcPr>
            <w:tcW w:w="4250" w:type="pct"/>
            <w:shd w:val="clear" w:color="auto" w:fill="9D2235"/>
            <w:tcMar>
              <w:top w:w="0" w:type="dxa"/>
              <w:left w:w="57" w:type="dxa"/>
              <w:bottom w:w="57" w:type="dxa"/>
              <w:right w:w="57" w:type="dxa"/>
            </w:tcMar>
            <w:hideMark/>
          </w:tcPr>
          <w:p w14:paraId="1250DFC6" w14:textId="77777777" w:rsidR="00BB4994" w:rsidRPr="00973028" w:rsidRDefault="00BB4994" w:rsidP="00BB4994">
            <w:pPr>
              <w:widowControl w:val="0"/>
              <w:suppressAutoHyphens/>
              <w:autoSpaceDN w:val="0"/>
              <w:spacing w:after="240" w:line="276" w:lineRule="auto"/>
              <w:jc w:val="both"/>
              <w:rPr>
                <w:rFonts w:ascii="Arial" w:eastAsia="Calibri" w:hAnsi="Arial" w:cs="Arial"/>
                <w:color w:val="FFFFFF"/>
                <w:sz w:val="21"/>
                <w:szCs w:val="21"/>
                <w:lang w:eastAsia="es-ES"/>
              </w:rPr>
            </w:pPr>
            <w:r w:rsidRPr="00973028">
              <w:rPr>
                <w:rFonts w:ascii="Arial" w:eastAsia="Calibri" w:hAnsi="Arial" w:cs="Arial"/>
                <w:color w:val="FFFFFF"/>
                <w:sz w:val="21"/>
                <w:szCs w:val="21"/>
                <w:lang w:eastAsia="es-ES"/>
              </w:rPr>
              <w:t>Efectuar alegaciones o sugerencias durante los procesos de elaboración de normas que afecten al ámbito subjetivo de la Agencia.</w:t>
            </w:r>
          </w:p>
        </w:tc>
      </w:tr>
      <w:tr w:rsidR="0065794C" w:rsidRPr="00973028" w14:paraId="7DBDD91A" w14:textId="77777777" w:rsidTr="007C7980">
        <w:trPr>
          <w:trHeight w:val="600"/>
          <w:tblCellSpacing w:w="0" w:type="dxa"/>
        </w:trPr>
        <w:tc>
          <w:tcPr>
            <w:tcW w:w="750" w:type="pct"/>
            <w:shd w:val="clear" w:color="auto" w:fill="D9D9D9" w:themeFill="background1" w:themeFillShade="D9"/>
            <w:tcMar>
              <w:top w:w="0" w:type="dxa"/>
              <w:left w:w="57" w:type="dxa"/>
              <w:bottom w:w="57" w:type="dxa"/>
              <w:right w:w="0" w:type="dxa"/>
            </w:tcMar>
            <w:hideMark/>
          </w:tcPr>
          <w:p w14:paraId="3D7A61E6" w14:textId="77777777" w:rsidR="00BB4994" w:rsidRPr="00973028" w:rsidRDefault="00BB4994" w:rsidP="00BB4994">
            <w:pPr>
              <w:autoSpaceDN w:val="0"/>
              <w:spacing w:before="100" w:beforeAutospacing="1" w:after="142" w:line="276" w:lineRule="auto"/>
              <w:rPr>
                <w:rFonts w:ascii="Arial" w:eastAsia="Times New Roman" w:hAnsi="Arial" w:cs="Arial"/>
                <w:b/>
                <w:bCs/>
                <w:color w:val="000000" w:themeColor="text1"/>
                <w:sz w:val="21"/>
                <w:szCs w:val="21"/>
                <w:lang w:eastAsia="es-ES"/>
              </w:rPr>
            </w:pPr>
            <w:r w:rsidRPr="00973028">
              <w:rPr>
                <w:rFonts w:ascii="Arial" w:eastAsia="Times New Roman" w:hAnsi="Arial" w:cs="Arial"/>
                <w:b/>
                <w:bCs/>
                <w:color w:val="000000" w:themeColor="text1"/>
                <w:sz w:val="21"/>
                <w:szCs w:val="21"/>
                <w:lang w:eastAsia="es-ES"/>
              </w:rPr>
              <w:t>L.E.10</w:t>
            </w:r>
          </w:p>
        </w:tc>
        <w:tc>
          <w:tcPr>
            <w:tcW w:w="4250" w:type="pct"/>
            <w:shd w:val="clear" w:color="auto" w:fill="D9D9D9" w:themeFill="background1" w:themeFillShade="D9"/>
            <w:tcMar>
              <w:top w:w="0" w:type="dxa"/>
              <w:left w:w="57" w:type="dxa"/>
              <w:bottom w:w="57" w:type="dxa"/>
              <w:right w:w="57" w:type="dxa"/>
            </w:tcMar>
            <w:hideMark/>
          </w:tcPr>
          <w:p w14:paraId="1B0A85DB" w14:textId="77777777" w:rsidR="00BB4994" w:rsidRPr="00973028" w:rsidRDefault="00BB4994" w:rsidP="00BB4994">
            <w:pPr>
              <w:widowControl w:val="0"/>
              <w:suppressAutoHyphens/>
              <w:autoSpaceDN w:val="0"/>
              <w:spacing w:after="240" w:line="276" w:lineRule="auto"/>
              <w:jc w:val="both"/>
              <w:rPr>
                <w:rFonts w:ascii="Arial" w:eastAsia="Calibri" w:hAnsi="Arial" w:cs="Arial"/>
                <w:color w:val="000000" w:themeColor="text1"/>
                <w:sz w:val="21"/>
                <w:szCs w:val="21"/>
                <w:lang w:eastAsia="es-ES"/>
              </w:rPr>
            </w:pPr>
            <w:r w:rsidRPr="00973028">
              <w:rPr>
                <w:rFonts w:ascii="Arial" w:eastAsia="Calibri" w:hAnsi="Arial" w:cs="Arial"/>
                <w:color w:val="000000" w:themeColor="text1"/>
                <w:sz w:val="21"/>
                <w:szCs w:val="21"/>
                <w:lang w:eastAsia="es-ES"/>
              </w:rPr>
              <w:t>Prestar asesoramiento y dar respuesta a consultas sobre prevención del fraude, la corrupción y el fomento de la integridad pública.</w:t>
            </w:r>
          </w:p>
        </w:tc>
      </w:tr>
      <w:tr w:rsidR="00BB4994" w:rsidRPr="00973028" w14:paraId="76C02A08" w14:textId="77777777" w:rsidTr="007C7980">
        <w:trPr>
          <w:trHeight w:val="600"/>
          <w:tblCellSpacing w:w="0" w:type="dxa"/>
        </w:trPr>
        <w:tc>
          <w:tcPr>
            <w:tcW w:w="750" w:type="pct"/>
            <w:shd w:val="clear" w:color="auto" w:fill="9D2235"/>
            <w:tcMar>
              <w:top w:w="0" w:type="dxa"/>
              <w:left w:w="57" w:type="dxa"/>
              <w:bottom w:w="57" w:type="dxa"/>
              <w:right w:w="0" w:type="dxa"/>
            </w:tcMar>
            <w:hideMark/>
          </w:tcPr>
          <w:p w14:paraId="773EC3A3" w14:textId="77777777" w:rsidR="00BB4994" w:rsidRPr="00973028" w:rsidRDefault="00BB4994" w:rsidP="00BB4994">
            <w:pPr>
              <w:autoSpaceDN w:val="0"/>
              <w:spacing w:before="100" w:beforeAutospacing="1" w:after="142" w:line="276" w:lineRule="auto"/>
              <w:rPr>
                <w:rFonts w:ascii="Arial" w:eastAsia="Times New Roman" w:hAnsi="Arial" w:cs="Arial"/>
                <w:b/>
                <w:bCs/>
                <w:color w:val="FFFFFF"/>
                <w:sz w:val="21"/>
                <w:szCs w:val="21"/>
                <w:lang w:eastAsia="es-ES"/>
              </w:rPr>
            </w:pPr>
            <w:r w:rsidRPr="00973028">
              <w:rPr>
                <w:rFonts w:ascii="Arial" w:eastAsia="Times New Roman" w:hAnsi="Arial" w:cs="Arial"/>
                <w:b/>
                <w:bCs/>
                <w:color w:val="FFFFFF"/>
                <w:sz w:val="21"/>
                <w:szCs w:val="21"/>
                <w:lang w:eastAsia="es-ES"/>
              </w:rPr>
              <w:t>L.E.11</w:t>
            </w:r>
          </w:p>
        </w:tc>
        <w:tc>
          <w:tcPr>
            <w:tcW w:w="4250" w:type="pct"/>
            <w:shd w:val="clear" w:color="auto" w:fill="9D2235"/>
            <w:tcMar>
              <w:top w:w="0" w:type="dxa"/>
              <w:left w:w="57" w:type="dxa"/>
              <w:bottom w:w="57" w:type="dxa"/>
              <w:right w:w="57" w:type="dxa"/>
            </w:tcMar>
            <w:hideMark/>
          </w:tcPr>
          <w:p w14:paraId="3DE43488" w14:textId="4E3ACF0F" w:rsidR="00BB4994" w:rsidRPr="00973028" w:rsidRDefault="00BB4994" w:rsidP="00BB4994">
            <w:pPr>
              <w:widowControl w:val="0"/>
              <w:suppressAutoHyphens/>
              <w:autoSpaceDN w:val="0"/>
              <w:spacing w:after="240" w:line="276" w:lineRule="auto"/>
              <w:jc w:val="both"/>
              <w:rPr>
                <w:rFonts w:ascii="Arial" w:eastAsia="Calibri" w:hAnsi="Arial" w:cs="Arial"/>
                <w:color w:val="FFFFFF"/>
                <w:sz w:val="21"/>
                <w:szCs w:val="21"/>
                <w:lang w:eastAsia="es-ES"/>
              </w:rPr>
            </w:pPr>
            <w:r w:rsidRPr="00973028">
              <w:rPr>
                <w:rFonts w:ascii="Arial" w:eastAsia="Calibri" w:hAnsi="Arial" w:cs="Arial"/>
                <w:color w:val="FFFFFF"/>
                <w:sz w:val="21"/>
                <w:szCs w:val="21"/>
                <w:lang w:eastAsia="es-ES"/>
              </w:rPr>
              <w:t xml:space="preserve">Colaborar con personas, entidades interesadas, universidades y organismos de control en investigaciones de </w:t>
            </w:r>
            <w:r w:rsidR="004C2326" w:rsidRPr="00973028">
              <w:rPr>
                <w:rFonts w:ascii="Arial" w:eastAsia="Calibri" w:hAnsi="Arial" w:cs="Arial"/>
                <w:color w:val="FFFFFF"/>
                <w:sz w:val="21"/>
                <w:szCs w:val="21"/>
                <w:lang w:eastAsia="es-ES"/>
              </w:rPr>
              <w:t>p</w:t>
            </w:r>
            <w:r w:rsidRPr="00973028">
              <w:rPr>
                <w:rFonts w:ascii="Arial" w:eastAsia="Calibri" w:hAnsi="Arial" w:cs="Arial"/>
                <w:color w:val="FFFFFF"/>
                <w:sz w:val="21"/>
                <w:szCs w:val="21"/>
                <w:lang w:eastAsia="es-ES"/>
              </w:rPr>
              <w:t>revención, su difusión, así como a proponer criterios previos, claros y estables de control de la acción pública.</w:t>
            </w:r>
          </w:p>
        </w:tc>
      </w:tr>
      <w:bookmarkEnd w:id="13"/>
    </w:tbl>
    <w:p w14:paraId="451972F0" w14:textId="6BDA1321" w:rsidR="00BB4994" w:rsidRDefault="00BB4994" w:rsidP="00E12EB4">
      <w:pPr>
        <w:keepLines/>
        <w:widowControl w:val="0"/>
        <w:suppressAutoHyphens/>
        <w:autoSpaceDN w:val="0"/>
        <w:spacing w:before="120" w:after="240" w:line="276" w:lineRule="auto"/>
        <w:ind w:left="357"/>
        <w:jc w:val="both"/>
        <w:rPr>
          <w:rFonts w:ascii="Arial" w:eastAsia="Times New Roman" w:hAnsi="Arial" w:cs="Arial"/>
          <w:b/>
          <w:color w:val="9D2235"/>
          <w:sz w:val="28"/>
          <w:szCs w:val="26"/>
        </w:rPr>
      </w:pPr>
    </w:p>
    <w:p w14:paraId="7C5B28BE" w14:textId="1FBF82DC" w:rsidR="00BB4994" w:rsidRPr="00973028" w:rsidRDefault="00A01D3B" w:rsidP="00672ABA">
      <w:pPr>
        <w:pStyle w:val="Prrafodelista"/>
        <w:keepNext/>
        <w:numPr>
          <w:ilvl w:val="2"/>
          <w:numId w:val="22"/>
        </w:numPr>
        <w:spacing w:before="360" w:after="240" w:line="276" w:lineRule="auto"/>
        <w:ind w:left="1134" w:hanging="1134"/>
        <w:contextualSpacing w:val="0"/>
        <w:jc w:val="both"/>
        <w:outlineLvl w:val="2"/>
        <w:rPr>
          <w:rFonts w:ascii="Arial" w:eastAsia="Times New Roman" w:hAnsi="Arial" w:cs="Arial"/>
          <w:b/>
          <w:color w:val="9D2235"/>
          <w:sz w:val="28"/>
          <w:szCs w:val="28"/>
        </w:rPr>
      </w:pPr>
      <w:bookmarkStart w:id="14" w:name="_Toc67646222"/>
      <w:r w:rsidRPr="00973028">
        <w:rPr>
          <w:rFonts w:ascii="Arial" w:eastAsia="Times New Roman" w:hAnsi="Arial" w:cs="Arial"/>
          <w:b/>
          <w:color w:val="9D2235"/>
          <w:sz w:val="28"/>
          <w:szCs w:val="28"/>
        </w:rPr>
        <w:lastRenderedPageBreak/>
        <w:t>Recomendaciones</w:t>
      </w:r>
      <w:bookmarkEnd w:id="14"/>
    </w:p>
    <w:p w14:paraId="5036ECC5" w14:textId="74638EE6"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En el ámbito de las funciones de asesoramiento preventivo de la AVAF, el Plan </w:t>
      </w:r>
      <w:r w:rsidR="004C2326" w:rsidRPr="00973028">
        <w:rPr>
          <w:rFonts w:ascii="Arial" w:eastAsia="Calibri" w:hAnsi="Arial" w:cs="Arial"/>
          <w:sz w:val="21"/>
        </w:rPr>
        <w:t>E</w:t>
      </w:r>
      <w:r w:rsidRPr="00973028">
        <w:rPr>
          <w:rFonts w:ascii="Arial" w:eastAsia="Calibri" w:hAnsi="Arial" w:cs="Arial"/>
          <w:sz w:val="21"/>
        </w:rPr>
        <w:t>stratégico del Servicio contempla: recomendaciones generales sobre prevención</w:t>
      </w:r>
      <w:r w:rsidR="00F21D37" w:rsidRPr="00973028">
        <w:rPr>
          <w:rFonts w:ascii="Arial" w:eastAsia="Calibri" w:hAnsi="Arial" w:cs="Arial"/>
          <w:sz w:val="21"/>
        </w:rPr>
        <w:t>;</w:t>
      </w:r>
      <w:r w:rsidRPr="00973028">
        <w:rPr>
          <w:rFonts w:ascii="Arial" w:eastAsia="Calibri" w:hAnsi="Arial" w:cs="Arial"/>
          <w:sz w:val="21"/>
        </w:rPr>
        <w:t xml:space="preserve"> marcos de integridad y ética públicas; recomendaciones específicas sobre las actuaciones investigadas que, en su caso, nos derive la Dirección de Análisis e Investigación; asesoramiento y respuesta a consultas que plantee cualquier interesado en relación con las funciones preventivas de la Agencia, contribuyendo así a disipar dudas en materia de prevención del fraude, la corrupción y la integridad pública.</w:t>
      </w:r>
    </w:p>
    <w:p w14:paraId="66262332" w14:textId="4AE1B6E9" w:rsidR="00BB4994" w:rsidRPr="00973028" w:rsidRDefault="00096F00" w:rsidP="00BB4994">
      <w:pPr>
        <w:widowControl w:val="0"/>
        <w:suppressAutoHyphens/>
        <w:autoSpaceDN w:val="0"/>
        <w:spacing w:after="240" w:line="276" w:lineRule="auto"/>
        <w:jc w:val="both"/>
        <w:rPr>
          <w:rFonts w:ascii="Arial" w:eastAsia="Calibri" w:hAnsi="Arial" w:cs="Arial"/>
          <w:sz w:val="21"/>
        </w:rPr>
      </w:pPr>
      <w:r>
        <w:rPr>
          <w:noProof/>
        </w:rPr>
        <mc:AlternateContent>
          <mc:Choice Requires="wps">
            <w:drawing>
              <wp:anchor distT="0" distB="0" distL="114300" distR="114300" simplePos="0" relativeHeight="251953152" behindDoc="0" locked="0" layoutInCell="1" allowOverlap="1" wp14:anchorId="37657D6F" wp14:editId="51B6910C">
                <wp:simplePos x="0" y="0"/>
                <wp:positionH relativeFrom="column">
                  <wp:posOffset>0</wp:posOffset>
                </wp:positionH>
                <wp:positionV relativeFrom="paragraph">
                  <wp:posOffset>1902460</wp:posOffset>
                </wp:positionV>
                <wp:extent cx="2091690" cy="457200"/>
                <wp:effectExtent l="0" t="0" r="3810" b="0"/>
                <wp:wrapSquare wrapText="bothSides"/>
                <wp:docPr id="256" name="Cuadro de texto 256"/>
                <wp:cNvGraphicFramePr/>
                <a:graphic xmlns:a="http://schemas.openxmlformats.org/drawingml/2006/main">
                  <a:graphicData uri="http://schemas.microsoft.com/office/word/2010/wordprocessingShape">
                    <wps:wsp>
                      <wps:cNvSpPr txBox="1"/>
                      <wps:spPr>
                        <a:xfrm>
                          <a:off x="0" y="0"/>
                          <a:ext cx="2091690" cy="457200"/>
                        </a:xfrm>
                        <a:prstGeom prst="rect">
                          <a:avLst/>
                        </a:prstGeom>
                        <a:solidFill>
                          <a:prstClr val="white"/>
                        </a:solidFill>
                        <a:ln>
                          <a:noFill/>
                        </a:ln>
                      </wps:spPr>
                      <wps:txbx>
                        <w:txbxContent>
                          <w:p w14:paraId="5E65793B" w14:textId="2D37EFF3" w:rsidR="004D416C" w:rsidRPr="00096F00" w:rsidRDefault="004D416C" w:rsidP="00096F00">
                            <w:pPr>
                              <w:pStyle w:val="Descripcin"/>
                              <w:rPr>
                                <w:rFonts w:ascii="Arial" w:eastAsia="Calibri" w:hAnsi="Arial" w:cs="Arial"/>
                                <w:smallCaps w:val="0"/>
                                <w:noProof/>
                                <w:sz w:val="16"/>
                                <w:szCs w:val="16"/>
                              </w:rPr>
                            </w:pPr>
                            <w:bookmarkStart w:id="15" w:name="_Toc67659162"/>
                            <w:r w:rsidRPr="00096F00">
                              <w:rPr>
                                <w:rFonts w:ascii="Arial" w:hAnsi="Arial" w:cs="Arial"/>
                                <w:smallCaps w:val="0"/>
                                <w:color w:val="9D2235" w:themeColor="accent1"/>
                                <w:sz w:val="16"/>
                                <w:szCs w:val="16"/>
                              </w:rPr>
                              <w:t xml:space="preserve">Imagen </w:t>
                            </w:r>
                            <w:r w:rsidRPr="00096F00">
                              <w:rPr>
                                <w:rFonts w:ascii="Arial" w:hAnsi="Arial" w:cs="Arial"/>
                                <w:smallCaps w:val="0"/>
                                <w:color w:val="9D2235" w:themeColor="accent1"/>
                                <w:sz w:val="16"/>
                                <w:szCs w:val="16"/>
                              </w:rPr>
                              <w:fldChar w:fldCharType="begin"/>
                            </w:r>
                            <w:r w:rsidRPr="00096F00">
                              <w:rPr>
                                <w:rFonts w:ascii="Arial" w:hAnsi="Arial" w:cs="Arial"/>
                                <w:smallCaps w:val="0"/>
                                <w:color w:val="9D2235" w:themeColor="accent1"/>
                                <w:sz w:val="16"/>
                                <w:szCs w:val="16"/>
                              </w:rPr>
                              <w:instrText xml:space="preserve"> SEQ Imagen \* ARABIC </w:instrText>
                            </w:r>
                            <w:r w:rsidRPr="00096F00">
                              <w:rPr>
                                <w:rFonts w:ascii="Arial" w:hAnsi="Arial" w:cs="Arial"/>
                                <w:smallCaps w:val="0"/>
                                <w:color w:val="9D2235" w:themeColor="accent1"/>
                                <w:sz w:val="16"/>
                                <w:szCs w:val="16"/>
                              </w:rPr>
                              <w:fldChar w:fldCharType="separate"/>
                            </w:r>
                            <w:r>
                              <w:rPr>
                                <w:rFonts w:ascii="Arial" w:hAnsi="Arial" w:cs="Arial"/>
                                <w:smallCaps w:val="0"/>
                                <w:noProof/>
                                <w:color w:val="9D2235" w:themeColor="accent1"/>
                                <w:sz w:val="16"/>
                                <w:szCs w:val="16"/>
                              </w:rPr>
                              <w:t>1</w:t>
                            </w:r>
                            <w:r w:rsidRPr="00096F00">
                              <w:rPr>
                                <w:rFonts w:ascii="Arial" w:hAnsi="Arial" w:cs="Arial"/>
                                <w:smallCaps w:val="0"/>
                                <w:color w:val="9D2235" w:themeColor="accent1"/>
                                <w:sz w:val="16"/>
                                <w:szCs w:val="16"/>
                              </w:rPr>
                              <w:fldChar w:fldCharType="end"/>
                            </w:r>
                            <w:r w:rsidRPr="00096F00">
                              <w:rPr>
                                <w:rFonts w:ascii="Arial" w:hAnsi="Arial" w:cs="Arial"/>
                                <w:smallCaps w:val="0"/>
                                <w:color w:val="9D2235" w:themeColor="accent1"/>
                                <w:sz w:val="16"/>
                                <w:szCs w:val="16"/>
                              </w:rPr>
                              <w:t xml:space="preserve">. </w:t>
                            </w:r>
                            <w:r w:rsidRPr="00096F00">
                              <w:rPr>
                                <w:rFonts w:ascii="Arial" w:hAnsi="Arial" w:cs="Arial"/>
                                <w:smallCaps w:val="0"/>
                                <w:sz w:val="16"/>
                                <w:szCs w:val="16"/>
                              </w:rPr>
                              <w:t>Reflexiones en el estado de alarma declarado ante la pandemia del COVID-19</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7657D6F" id="_x0000_t202" coordsize="21600,21600" o:spt="202" path="m,l,21600r21600,l21600,xe">
                <v:stroke joinstyle="miter"/>
                <v:path gradientshapeok="t" o:connecttype="rect"/>
              </v:shapetype>
              <v:shape id="Cuadro de texto 256" o:spid="_x0000_s1026" type="#_x0000_t202" style="position:absolute;left:0;text-align:left;margin-left:0;margin-top:149.8pt;width:164.7pt;height:36pt;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d4FwIAADsEAAAOAAAAZHJzL2Uyb0RvYy54bWysU01v2zAMvQ/YfxB0X5wEW7cacYosRYYB&#10;QVsgHXpWZCkWIIsapcTOfv0ofyRbt9Owi0yTFCm+97i4a2vLTgqDAVfw2WTKmXISSuMOBf/2vHn3&#10;ibMQhSuFBacKflaB3y3fvlk0PldzqMCWChkVcSFvfMGrGH2eZUFWqhZhAl45CmrAWkT6xUNWomio&#10;em2z+XR6kzWApUeQKgTy3vdBvuzqa61kfNQ6qMhsweltsTuxO/fpzJYLkR9Q+MrI4RniH15RC+Oo&#10;6aXUvYiCHdH8Uao2EiGAjhMJdQZaG6m6GWia2fTVNLtKeNXNQuAEf4Ep/L+y8uG080/IYvsZWiIw&#10;AdL4kAdypnlajXX60ksZxQnC8wU21UYmyTmf3s5ubikkKfb+w0fiJZXJrrc9hvhFQc2SUXAkWjq0&#10;xGkbYp86pqRmAawpN8ba9JMCa4vsJIjCpjJRDcV/y7Iu5TpIt/qCyZNdR0lWbPftMN8eyjONjdAr&#10;Ini5MdRoK0J8EkgSoHFI1vGRDm2hKTgMFmcV4I+/+VM+MUNRzhqSVMHD96NAxZn96oizpL/RwNHY&#10;j4Y71mugEWe0MF52Jl3AaEdTI9QvpPZV6kIh4ST1KngczXXshU3bItVq1SWRyryIW7fzMpUeAX1u&#10;XwT6gY5IRD7AKDaRv2Klz+3hXR0jaNNRlgDtURxwJoV2pA/blFbg1/8u67rzy58AAAD//wMAUEsD&#10;BBQABgAIAAAAIQCE8PNZ3gAAAAgBAAAPAAAAZHJzL2Rvd25yZXYueG1sTI/BTsMwEETvSPyDtUhc&#10;EHUaUCAhTgUt3ODQUvXsxksSEa8j22nSv2c5wW1Ws5p5U65m24sT+tA5UrBcJCCQamc6ahTsP99u&#10;H0GEqMno3hEqOGOAVXV5UerCuIm2eNrFRnAIhUIraGMcCilD3aLVYeEGJPa+nLc68ukbabyeONz2&#10;Mk2STFrdETe0esB1i/X3brQKso0fpy2tbzb713f9MTTp4eV8UOr6an5+AhFxjn/P8IvP6FAx09GN&#10;ZILoFfCQqCDN8wwE23dpfg/iyOJhmYGsSvl/QPUDAAD//wMAUEsBAi0AFAAGAAgAAAAhALaDOJL+&#10;AAAA4QEAABMAAAAAAAAAAAAAAAAAAAAAAFtDb250ZW50X1R5cGVzXS54bWxQSwECLQAUAAYACAAA&#10;ACEAOP0h/9YAAACUAQAACwAAAAAAAAAAAAAAAAAvAQAAX3JlbHMvLnJlbHNQSwECLQAUAAYACAAA&#10;ACEAYsuHeBcCAAA7BAAADgAAAAAAAAAAAAAAAAAuAgAAZHJzL2Uyb0RvYy54bWxQSwECLQAUAAYA&#10;CAAAACEAhPDzWd4AAAAIAQAADwAAAAAAAAAAAAAAAABxBAAAZHJzL2Rvd25yZXYueG1sUEsFBgAA&#10;AAAEAAQA8wAAAHwFAAAAAA==&#10;" stroked="f">
                <v:textbox inset="0,0,0,0">
                  <w:txbxContent>
                    <w:p w14:paraId="5E65793B" w14:textId="2D37EFF3" w:rsidR="004D416C" w:rsidRPr="00096F00" w:rsidRDefault="004D416C" w:rsidP="00096F00">
                      <w:pPr>
                        <w:pStyle w:val="Descripcin"/>
                        <w:rPr>
                          <w:rFonts w:ascii="Arial" w:eastAsia="Calibri" w:hAnsi="Arial" w:cs="Arial"/>
                          <w:smallCaps w:val="0"/>
                          <w:noProof/>
                          <w:sz w:val="16"/>
                          <w:szCs w:val="16"/>
                        </w:rPr>
                      </w:pPr>
                      <w:bookmarkStart w:id="16" w:name="_Toc67659162"/>
                      <w:r w:rsidRPr="00096F00">
                        <w:rPr>
                          <w:rFonts w:ascii="Arial" w:hAnsi="Arial" w:cs="Arial"/>
                          <w:smallCaps w:val="0"/>
                          <w:color w:val="9D2235" w:themeColor="accent1"/>
                          <w:sz w:val="16"/>
                          <w:szCs w:val="16"/>
                        </w:rPr>
                        <w:t xml:space="preserve">Imagen </w:t>
                      </w:r>
                      <w:r w:rsidRPr="00096F00">
                        <w:rPr>
                          <w:rFonts w:ascii="Arial" w:hAnsi="Arial" w:cs="Arial"/>
                          <w:smallCaps w:val="0"/>
                          <w:color w:val="9D2235" w:themeColor="accent1"/>
                          <w:sz w:val="16"/>
                          <w:szCs w:val="16"/>
                        </w:rPr>
                        <w:fldChar w:fldCharType="begin"/>
                      </w:r>
                      <w:r w:rsidRPr="00096F00">
                        <w:rPr>
                          <w:rFonts w:ascii="Arial" w:hAnsi="Arial" w:cs="Arial"/>
                          <w:smallCaps w:val="0"/>
                          <w:color w:val="9D2235" w:themeColor="accent1"/>
                          <w:sz w:val="16"/>
                          <w:szCs w:val="16"/>
                        </w:rPr>
                        <w:instrText xml:space="preserve"> SEQ Imagen \* ARABIC </w:instrText>
                      </w:r>
                      <w:r w:rsidRPr="00096F00">
                        <w:rPr>
                          <w:rFonts w:ascii="Arial" w:hAnsi="Arial" w:cs="Arial"/>
                          <w:smallCaps w:val="0"/>
                          <w:color w:val="9D2235" w:themeColor="accent1"/>
                          <w:sz w:val="16"/>
                          <w:szCs w:val="16"/>
                        </w:rPr>
                        <w:fldChar w:fldCharType="separate"/>
                      </w:r>
                      <w:r>
                        <w:rPr>
                          <w:rFonts w:ascii="Arial" w:hAnsi="Arial" w:cs="Arial"/>
                          <w:smallCaps w:val="0"/>
                          <w:noProof/>
                          <w:color w:val="9D2235" w:themeColor="accent1"/>
                          <w:sz w:val="16"/>
                          <w:szCs w:val="16"/>
                        </w:rPr>
                        <w:t>1</w:t>
                      </w:r>
                      <w:r w:rsidRPr="00096F00">
                        <w:rPr>
                          <w:rFonts w:ascii="Arial" w:hAnsi="Arial" w:cs="Arial"/>
                          <w:smallCaps w:val="0"/>
                          <w:color w:val="9D2235" w:themeColor="accent1"/>
                          <w:sz w:val="16"/>
                          <w:szCs w:val="16"/>
                        </w:rPr>
                        <w:fldChar w:fldCharType="end"/>
                      </w:r>
                      <w:r w:rsidRPr="00096F00">
                        <w:rPr>
                          <w:rFonts w:ascii="Arial" w:hAnsi="Arial" w:cs="Arial"/>
                          <w:smallCaps w:val="0"/>
                          <w:color w:val="9D2235" w:themeColor="accent1"/>
                          <w:sz w:val="16"/>
                          <w:szCs w:val="16"/>
                        </w:rPr>
                        <w:t xml:space="preserve">. </w:t>
                      </w:r>
                      <w:r w:rsidRPr="00096F00">
                        <w:rPr>
                          <w:rFonts w:ascii="Arial" w:hAnsi="Arial" w:cs="Arial"/>
                          <w:smallCaps w:val="0"/>
                          <w:sz w:val="16"/>
                          <w:szCs w:val="16"/>
                        </w:rPr>
                        <w:t>Reflexiones en el estado de alarma declarado ante la pandemia del COVID-19</w:t>
                      </w:r>
                      <w:bookmarkEnd w:id="16"/>
                    </w:p>
                  </w:txbxContent>
                </v:textbox>
                <w10:wrap type="square"/>
              </v:shape>
            </w:pict>
          </mc:Fallback>
        </mc:AlternateContent>
      </w:r>
      <w:r w:rsidR="00BB4994" w:rsidRPr="00973028">
        <w:rPr>
          <w:rFonts w:ascii="Arial" w:eastAsia="Calibri" w:hAnsi="Arial" w:cs="Arial"/>
          <w:sz w:val="21"/>
        </w:rPr>
        <w:t xml:space="preserve">Abordaremos a continuación las principales </w:t>
      </w:r>
      <w:r w:rsidR="00BB4994" w:rsidRPr="00973028">
        <w:rPr>
          <w:rFonts w:ascii="Arial" w:eastAsia="Calibri" w:hAnsi="Arial" w:cs="Arial"/>
          <w:b/>
          <w:bCs/>
          <w:sz w:val="21"/>
        </w:rPr>
        <w:t>recomendaciones generales</w:t>
      </w:r>
      <w:r w:rsidR="00BB4994" w:rsidRPr="00973028">
        <w:rPr>
          <w:rFonts w:ascii="Arial" w:eastAsia="Calibri" w:hAnsi="Arial" w:cs="Arial"/>
          <w:sz w:val="21"/>
        </w:rPr>
        <w:t xml:space="preserve"> realizadas durante el 2020, que pueden consultarse en la página web y en redes sociales de la AVAF y que han sido difundidas a todas las instituciones y entidades destinatarias incluidas en nuestro ámbito subjetivo (Corts Valencianes, Consellerias, Ayuntamientos y Diputaciones Provinciales de la Comunitat Valenciana, Direcciones Generales, Sindicatura de Comptes, Consell Jurídic Consultiu, Colegio de Secretarios Interventores y Tesoreros de Valencia, Castellón y Alicante, Federación Valenciana de Municipios y Provincias y Universidades). Esperamos que todas nuestras recomendaciones hayan resultado de utilidad y, para facilitar su implementación, todas ellas cuentan con un anexo final que contiene normativa, jurisprudencia y principales fuentes doctrinales de consulta.</w:t>
      </w:r>
    </w:p>
    <w:p w14:paraId="680D99B8" w14:textId="48965903"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noProof/>
          <w:sz w:val="21"/>
        </w:rPr>
        <mc:AlternateContent>
          <mc:Choice Requires="wps">
            <w:drawing>
              <wp:anchor distT="45720" distB="45720" distL="114300" distR="114300" simplePos="0" relativeHeight="251917312" behindDoc="0" locked="0" layoutInCell="1" allowOverlap="1" wp14:anchorId="75195E48" wp14:editId="3B356F2F">
                <wp:simplePos x="0" y="0"/>
                <wp:positionH relativeFrom="margin">
                  <wp:posOffset>-635</wp:posOffset>
                </wp:positionH>
                <wp:positionV relativeFrom="paragraph">
                  <wp:posOffset>446405</wp:posOffset>
                </wp:positionV>
                <wp:extent cx="2133600" cy="2552700"/>
                <wp:effectExtent l="0" t="0" r="0" b="0"/>
                <wp:wrapSquare wrapText="bothSides"/>
                <wp:docPr id="1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552700"/>
                        </a:xfrm>
                        <a:prstGeom prst="rect">
                          <a:avLst/>
                        </a:prstGeom>
                        <a:solidFill>
                          <a:srgbClr val="FFFFFF"/>
                        </a:solidFill>
                        <a:ln w="9525">
                          <a:noFill/>
                          <a:miter lim="800000"/>
                          <a:headEnd/>
                          <a:tailEnd/>
                        </a:ln>
                      </wps:spPr>
                      <wps:txbx>
                        <w:txbxContent>
                          <w:p w14:paraId="7C1C8845" w14:textId="77777777" w:rsidR="004D416C" w:rsidRDefault="004D416C" w:rsidP="00BB4994">
                            <w:r>
                              <w:rPr>
                                <w:rFonts w:ascii="Calibri" w:hAnsi="Calibri"/>
                                <w:noProof/>
                                <w:sz w:val="20"/>
                                <w:szCs w:val="20"/>
                                <w:lang w:eastAsia="es-ES"/>
                              </w:rPr>
                              <w:drawing>
                                <wp:inline distT="0" distB="0" distL="0" distR="0" wp14:anchorId="621170F5" wp14:editId="3D7F0AAB">
                                  <wp:extent cx="1553441" cy="2192617"/>
                                  <wp:effectExtent l="19050" t="19050" r="27940" b="17780"/>
                                  <wp:docPr id="27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4362" cy="2208032"/>
                                          </a:xfrm>
                                          <a:prstGeom prst="rect">
                                            <a:avLst/>
                                          </a:prstGeom>
                                          <a:noFill/>
                                          <a:ln w="9525" cmpd="sng">
                                            <a:solidFill>
                                              <a:srgbClr val="9D2235"/>
                                            </a:solidFill>
                                            <a:miter lim="800000"/>
                                            <a:headEnd/>
                                            <a:tailEnd/>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95E48" id="Cuadro de texto 2" o:spid="_x0000_s1027" type="#_x0000_t202" style="position:absolute;left:0;text-align:left;margin-left:-.05pt;margin-top:35.15pt;width:168pt;height:201pt;z-index:25191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xZDgIAAP4DAAAOAAAAZHJzL2Uyb0RvYy54bWysU9tu2zAMfR+wfxD0vthxk16MOEWXLsOA&#10;7gJ0+wBFlmNhsqhRSuzu60fJbpptb8P0IIgidUgeHq1uh86wo0KvwVZ8Pss5U1ZCre2+4t++bt9c&#10;c+aDsLUwYFXFn5Tnt+vXr1a9K1UBLZhaISMQ68veVbwNwZVZ5mWrOuFn4JQlZwPYiUAm7rMaRU/o&#10;ncmKPL/MesDaIUjlPd3ej06+TvhNo2T43DReBWYqTrWFtGPad3HP1itR7lG4VsupDPEPVXRCW0p6&#10;groXQbAD6r+gOi0RPDRhJqHLoGm0VKkH6mae/9HNYyucSr0QOd6daPL/D1Z+Oj66L8jC8BYGGmBq&#10;wrsHkN89s7Bphd2rO0ToWyVqSjyPlGW98+X0NFLtSx9Bdv1HqGnI4hAgAQ0NdpEV6pMROg3g6US6&#10;GgKTdFnMLy4uc3JJ8hXLZXFFRswhyufnDn14r6Bj8VBxpKkmeHF88GEMfQ6J2TwYXW+1McnA/W5j&#10;kB0FKWCb1oT+W5ixrK/4zbJYJmQL8X0SR6cDKdToruLXeVyjZiId72ydQoLQZjxT0cZO/ERKRnLC&#10;sBuYrifyIl07qJ+IMIRRkPSB6NAC/uSsJzFW3P84CFScmQ+WSL+ZLxZRvclYLK8KMvDcszv3CCsJ&#10;quKBs/G4CUnxkQ4LdzScRifaXiqZSiaRJeKnDxFVfG6nqJdvu/4FAAD//wMAUEsDBBQABgAIAAAA&#10;IQAKCgbd3gAAAAgBAAAPAAAAZHJzL2Rvd25yZXYueG1sTI9BT4NAFITvJv6HzTPxYtqlpS0WeTRq&#10;ovHa2h/wgFcgsm8Juy3037ue7HEyk5lvst1kOnXhwbVWEBbzCBRLaatWaoTj98fsGZTzJBV1Vhjh&#10;yg52+f1dRmllR9nz5eBrFUrEpYTQeN+nWruyYUNubnuW4J3sYMgHOdS6GmgM5abTyyjaaEOthIWG&#10;en5vuPw5nA3C6Wt8Wm/H4tMfk/1q80ZtUtgr4uPD9PoCyvPk/8Pwhx/QIQ9MhT1L5VSHMFuEIEIS&#10;xaCCHcfrLagCYZUsY9B5pm8P5L8AAAD//wMAUEsBAi0AFAAGAAgAAAAhALaDOJL+AAAA4QEAABMA&#10;AAAAAAAAAAAAAAAAAAAAAFtDb250ZW50X1R5cGVzXS54bWxQSwECLQAUAAYACAAAACEAOP0h/9YA&#10;AACUAQAACwAAAAAAAAAAAAAAAAAvAQAAX3JlbHMvLnJlbHNQSwECLQAUAAYACAAAACEA14C8WQ4C&#10;AAD+AwAADgAAAAAAAAAAAAAAAAAuAgAAZHJzL2Uyb0RvYy54bWxQSwECLQAUAAYACAAAACEACgoG&#10;3d4AAAAIAQAADwAAAAAAAAAAAAAAAABoBAAAZHJzL2Rvd25yZXYueG1sUEsFBgAAAAAEAAQA8wAA&#10;AHMFAAAAAA==&#10;" stroked="f">
                <v:textbox>
                  <w:txbxContent>
                    <w:p w14:paraId="7C1C8845" w14:textId="77777777" w:rsidR="004D416C" w:rsidRDefault="004D416C" w:rsidP="00BB4994">
                      <w:r>
                        <w:rPr>
                          <w:rFonts w:ascii="Calibri" w:hAnsi="Calibri"/>
                          <w:noProof/>
                          <w:sz w:val="20"/>
                          <w:szCs w:val="20"/>
                          <w:lang w:eastAsia="es-ES"/>
                        </w:rPr>
                        <w:drawing>
                          <wp:inline distT="0" distB="0" distL="0" distR="0" wp14:anchorId="621170F5" wp14:editId="3D7F0AAB">
                            <wp:extent cx="1553441" cy="2192617"/>
                            <wp:effectExtent l="19050" t="19050" r="27940" b="17780"/>
                            <wp:docPr id="27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4362" cy="2208032"/>
                                    </a:xfrm>
                                    <a:prstGeom prst="rect">
                                      <a:avLst/>
                                    </a:prstGeom>
                                    <a:noFill/>
                                    <a:ln w="9525" cmpd="sng">
                                      <a:solidFill>
                                        <a:srgbClr val="9D2235"/>
                                      </a:solidFill>
                                      <a:miter lim="800000"/>
                                      <a:headEnd/>
                                      <a:tailEnd/>
                                    </a:ln>
                                    <a:effectLst/>
                                  </pic:spPr>
                                </pic:pic>
                              </a:graphicData>
                            </a:graphic>
                          </wp:inline>
                        </w:drawing>
                      </w:r>
                    </w:p>
                  </w:txbxContent>
                </v:textbox>
                <w10:wrap type="square" anchorx="margin"/>
              </v:shape>
            </w:pict>
          </mc:Fallback>
        </mc:AlternateContent>
      </w:r>
      <w:r w:rsidRPr="00973028">
        <w:rPr>
          <w:rFonts w:ascii="Arial" w:eastAsia="Calibri" w:hAnsi="Arial" w:cs="Arial"/>
          <w:sz w:val="21"/>
        </w:rPr>
        <w:t>La primera de nuestras</w:t>
      </w:r>
      <w:r w:rsidR="00167686" w:rsidRPr="00973028">
        <w:rPr>
          <w:rFonts w:ascii="Arial" w:eastAsia="Calibri" w:hAnsi="Arial" w:cs="Arial"/>
          <w:sz w:val="21"/>
        </w:rPr>
        <w:t xml:space="preserve"> </w:t>
      </w:r>
      <w:r w:rsidRPr="00973028">
        <w:rPr>
          <w:rFonts w:ascii="Arial" w:eastAsia="Calibri" w:hAnsi="Arial" w:cs="Arial"/>
          <w:sz w:val="21"/>
        </w:rPr>
        <w:t>recomendaciones generales (</w:t>
      </w:r>
      <w:r w:rsidRPr="00973028">
        <w:rPr>
          <w:rFonts w:ascii="Arial" w:eastAsia="Calibri" w:hAnsi="Arial" w:cs="Arial"/>
          <w:b/>
          <w:bCs/>
          <w:sz w:val="21"/>
        </w:rPr>
        <w:t>“Reflexiones de la Agencia Valenciana Antifraude en el estado de alarma declarado ante la pandemia del COVID-19”</w:t>
      </w:r>
      <w:r w:rsidRPr="00973028">
        <w:rPr>
          <w:rFonts w:ascii="Arial" w:eastAsia="Calibri" w:hAnsi="Arial" w:cs="Arial"/>
          <w:sz w:val="21"/>
        </w:rPr>
        <w:t xml:space="preserve">) aprobada por Resolución del </w:t>
      </w:r>
      <w:r w:rsidR="00874FE3" w:rsidRPr="00973028">
        <w:rPr>
          <w:rFonts w:ascii="Arial" w:eastAsia="Calibri" w:hAnsi="Arial" w:cs="Arial"/>
          <w:sz w:val="21"/>
        </w:rPr>
        <w:t>d</w:t>
      </w:r>
      <w:r w:rsidRPr="00973028">
        <w:rPr>
          <w:rFonts w:ascii="Arial" w:eastAsia="Calibri" w:hAnsi="Arial" w:cs="Arial"/>
          <w:sz w:val="21"/>
        </w:rPr>
        <w:t>irector núm. 77/2020, de 27 de marzo, vino condicionada como consecuencia de la declaración del estado de alarma, vista la urgencia y gravedad de la situación, previo análisis de su marco normativo regulador y, en concreto, el que determinaba las medidas de carácter económico para paliar la situación de crisis sanitaria, social y económica.</w:t>
      </w:r>
    </w:p>
    <w:p w14:paraId="6CCF04FA" w14:textId="528EE5FB" w:rsidR="00BB4994" w:rsidRPr="00973028" w:rsidRDefault="00BB4994" w:rsidP="00BB4994">
      <w:pPr>
        <w:widowControl w:val="0"/>
        <w:suppressAutoHyphens/>
        <w:autoSpaceDN w:val="0"/>
        <w:spacing w:after="240" w:line="276" w:lineRule="auto"/>
        <w:jc w:val="both"/>
        <w:rPr>
          <w:rFonts w:ascii="Arial" w:eastAsia="Calibri" w:hAnsi="Arial" w:cs="Arial"/>
          <w:color w:val="000000"/>
          <w:sz w:val="21"/>
        </w:rPr>
      </w:pPr>
      <w:r w:rsidRPr="00973028">
        <w:rPr>
          <w:rFonts w:ascii="Arial" w:eastAsia="Calibri" w:hAnsi="Arial" w:cs="Arial"/>
          <w:sz w:val="21"/>
        </w:rPr>
        <w:t xml:space="preserve">Toda crisis, por devastadora que sea (como, por desgracia, la que estamos atravesando) supone oportunidades de actuar y aprendizajes que contribuyen a prevenir su repetición o a minimizar sus consecuencias. </w:t>
      </w:r>
      <w:r w:rsidRPr="00973028">
        <w:rPr>
          <w:rFonts w:ascii="Arial" w:eastAsia="Calibri" w:hAnsi="Arial" w:cs="Arial"/>
          <w:color w:val="000000"/>
          <w:sz w:val="21"/>
        </w:rPr>
        <w:t xml:space="preserve">Sin embargo, también es muy probable que los comportamientos corruptos para obtener réditos de esta situación se incrementen, impidiendo así que el dinero público llegue pronto a las personas y entidades que realmente lo necesitan. Por ello, resulta imprescindible conjugar una gestión rápida y transparente de los trámites y actuaciones con el mantenimiento de los procedimientos y los métodos adecuados que permitan la detección y control de posibles desviaciones o irregularidades. </w:t>
      </w:r>
      <w:r w:rsidRPr="00973028">
        <w:rPr>
          <w:rFonts w:ascii="Arial" w:eastAsia="Calibri" w:hAnsi="Arial" w:cs="Arial"/>
          <w:sz w:val="21"/>
        </w:rPr>
        <w:t>En nuestras Reflexiones, aportamos sugerencias que permitieran la gestión de estas medidas económicas con la máxima eficacia y, al mismo tiempo, seguridad jurídica con el fin de minimizar las incidencias que pudieran ocasionar riesgos de corrupción.</w:t>
      </w:r>
      <w:r w:rsidRPr="00973028">
        <w:rPr>
          <w:rFonts w:ascii="Arial" w:eastAsia="Calibri" w:hAnsi="Arial" w:cs="Arial"/>
          <w:color w:val="000000"/>
          <w:sz w:val="21"/>
        </w:rPr>
        <w:tab/>
      </w:r>
    </w:p>
    <w:p w14:paraId="5CFEE28E" w14:textId="236A31E0" w:rsidR="00BB4994" w:rsidRPr="00973028" w:rsidRDefault="00096F00" w:rsidP="00BB4994">
      <w:pPr>
        <w:widowControl w:val="0"/>
        <w:suppressAutoHyphens/>
        <w:autoSpaceDN w:val="0"/>
        <w:spacing w:after="240" w:line="276" w:lineRule="auto"/>
        <w:jc w:val="both"/>
        <w:rPr>
          <w:rFonts w:ascii="Arial" w:eastAsia="Calibri" w:hAnsi="Arial" w:cs="Arial"/>
          <w:sz w:val="21"/>
        </w:rPr>
      </w:pPr>
      <w:r>
        <w:rPr>
          <w:noProof/>
        </w:rPr>
        <w:lastRenderedPageBreak/>
        <mc:AlternateContent>
          <mc:Choice Requires="wps">
            <w:drawing>
              <wp:anchor distT="0" distB="0" distL="114300" distR="114300" simplePos="0" relativeHeight="251955200" behindDoc="0" locked="0" layoutInCell="1" allowOverlap="1" wp14:anchorId="37F8DA69" wp14:editId="586EDDFC">
                <wp:simplePos x="0" y="0"/>
                <wp:positionH relativeFrom="column">
                  <wp:posOffset>-635</wp:posOffset>
                </wp:positionH>
                <wp:positionV relativeFrom="paragraph">
                  <wp:posOffset>117533</wp:posOffset>
                </wp:positionV>
                <wp:extent cx="2133600" cy="457200"/>
                <wp:effectExtent l="0" t="0" r="0" b="0"/>
                <wp:wrapSquare wrapText="bothSides"/>
                <wp:docPr id="257" name="Cuadro de texto 257"/>
                <wp:cNvGraphicFramePr/>
                <a:graphic xmlns:a="http://schemas.openxmlformats.org/drawingml/2006/main">
                  <a:graphicData uri="http://schemas.microsoft.com/office/word/2010/wordprocessingShape">
                    <wps:wsp>
                      <wps:cNvSpPr txBox="1"/>
                      <wps:spPr>
                        <a:xfrm>
                          <a:off x="0" y="0"/>
                          <a:ext cx="2133600" cy="457200"/>
                        </a:xfrm>
                        <a:prstGeom prst="rect">
                          <a:avLst/>
                        </a:prstGeom>
                        <a:solidFill>
                          <a:prstClr val="white"/>
                        </a:solidFill>
                        <a:ln>
                          <a:noFill/>
                        </a:ln>
                      </wps:spPr>
                      <wps:txbx>
                        <w:txbxContent>
                          <w:p w14:paraId="1E349BB5" w14:textId="25A1A739" w:rsidR="004D416C" w:rsidRPr="00096F00" w:rsidRDefault="004D416C" w:rsidP="00096F00">
                            <w:pPr>
                              <w:pStyle w:val="Descripcin"/>
                              <w:rPr>
                                <w:rFonts w:ascii="Arial" w:eastAsia="Calibri" w:hAnsi="Arial" w:cs="Arial"/>
                                <w:smallCaps w:val="0"/>
                                <w:noProof/>
                                <w:sz w:val="16"/>
                                <w:szCs w:val="16"/>
                              </w:rPr>
                            </w:pPr>
                            <w:bookmarkStart w:id="17" w:name="_Toc67659163"/>
                            <w:r w:rsidRPr="00096F00">
                              <w:rPr>
                                <w:rFonts w:ascii="Arial" w:hAnsi="Arial" w:cs="Arial"/>
                                <w:smallCaps w:val="0"/>
                                <w:color w:val="9D2235" w:themeColor="accent1"/>
                                <w:sz w:val="16"/>
                                <w:szCs w:val="16"/>
                              </w:rPr>
                              <w:t xml:space="preserve">Imagen </w:t>
                            </w:r>
                            <w:r w:rsidRPr="00096F00">
                              <w:rPr>
                                <w:rFonts w:ascii="Arial" w:hAnsi="Arial" w:cs="Arial"/>
                                <w:smallCaps w:val="0"/>
                                <w:color w:val="9D2235" w:themeColor="accent1"/>
                                <w:sz w:val="16"/>
                                <w:szCs w:val="16"/>
                              </w:rPr>
                              <w:fldChar w:fldCharType="begin"/>
                            </w:r>
                            <w:r w:rsidRPr="00096F00">
                              <w:rPr>
                                <w:rFonts w:ascii="Arial" w:hAnsi="Arial" w:cs="Arial"/>
                                <w:smallCaps w:val="0"/>
                                <w:color w:val="9D2235" w:themeColor="accent1"/>
                                <w:sz w:val="16"/>
                                <w:szCs w:val="16"/>
                              </w:rPr>
                              <w:instrText xml:space="preserve"> SEQ Imagen \* ARABIC </w:instrText>
                            </w:r>
                            <w:r w:rsidRPr="00096F00">
                              <w:rPr>
                                <w:rFonts w:ascii="Arial" w:hAnsi="Arial" w:cs="Arial"/>
                                <w:smallCaps w:val="0"/>
                                <w:color w:val="9D2235" w:themeColor="accent1"/>
                                <w:sz w:val="16"/>
                                <w:szCs w:val="16"/>
                              </w:rPr>
                              <w:fldChar w:fldCharType="separate"/>
                            </w:r>
                            <w:r>
                              <w:rPr>
                                <w:rFonts w:ascii="Arial" w:hAnsi="Arial" w:cs="Arial"/>
                                <w:smallCaps w:val="0"/>
                                <w:noProof/>
                                <w:color w:val="9D2235" w:themeColor="accent1"/>
                                <w:sz w:val="16"/>
                                <w:szCs w:val="16"/>
                              </w:rPr>
                              <w:t>2</w:t>
                            </w:r>
                            <w:r w:rsidRPr="00096F00">
                              <w:rPr>
                                <w:rFonts w:ascii="Arial" w:hAnsi="Arial" w:cs="Arial"/>
                                <w:smallCaps w:val="0"/>
                                <w:color w:val="9D2235" w:themeColor="accent1"/>
                                <w:sz w:val="16"/>
                                <w:szCs w:val="16"/>
                              </w:rPr>
                              <w:fldChar w:fldCharType="end"/>
                            </w:r>
                            <w:r w:rsidRPr="00096F00">
                              <w:rPr>
                                <w:rFonts w:ascii="Arial" w:hAnsi="Arial" w:cs="Arial"/>
                                <w:smallCaps w:val="0"/>
                                <w:color w:val="9D2235" w:themeColor="accent1"/>
                                <w:sz w:val="16"/>
                                <w:szCs w:val="16"/>
                              </w:rPr>
                              <w:t xml:space="preserve">. </w:t>
                            </w:r>
                            <w:r w:rsidRPr="00096F00">
                              <w:rPr>
                                <w:rFonts w:ascii="Arial" w:hAnsi="Arial" w:cs="Arial"/>
                                <w:smallCaps w:val="0"/>
                                <w:sz w:val="16"/>
                                <w:szCs w:val="16"/>
                              </w:rPr>
                              <w:t>La vía del enriquecimiento injusto en el sector público: ¿uso o abuso?</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7F8DA69" id="Cuadro de texto 257" o:spid="_x0000_s1028" type="#_x0000_t202" style="position:absolute;left:0;text-align:left;margin-left:-.05pt;margin-top:9.25pt;width:168pt;height:36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QeGgIAAEIEAAAOAAAAZHJzL2Uyb0RvYy54bWysU02P0zAQvSPxHyzfadouLChquipdFSFV&#10;uyt10Z5dx24sOR4zdpuUX884Hy0snBAXZ+IZz8d7bxZ3bW3ZSWEw4Ao+m0w5U05Cadyh4N+eN+8+&#10;cRaicKWw4FTBzyrwu+XbN4vG52oOFdhSIaMkLuSNL3gVo8+zLMhK1SJMwCtHTg1Yi0i/eMhKFA1l&#10;r202n05vswaw9AhShUC3972TL7v8WisZH7UOKjJbcOotdid25z6d2XIh8gMKXxk5tCH+oYtaGEdF&#10;L6nuRRTsiOaPVLWRCAF0nEioM9DaSNXNQNPMpq+m2VXCq24WAif4C0zh/6WVD6edf0IW28/QEoEJ&#10;kMaHPNBlmqfVWKcvdcrITxCeL7CpNjJJl/PZzc3tlFySfO8/fCReUprs+tpjiF8U1CwZBUeipUNL&#10;nLYh9qFjSCoWwJpyY6xNP8mxtshOgihsKhPVkPy3KOtSrIP0qk+YbrLrKMmK7b5lpqSOxzH3UJ5p&#10;eoReGMHLjaF6WxHik0BSAk1F6o6PdGgLTcFhsDirAH/87T7FE0Hk5awhZRU8fD8KVJzZr46oSzIc&#10;DRyN/Wi4Y70GmnRGe+NlZ9IDjHY0NUL9QqJfpSrkEk5SrYLH0VzHXt+0NFKtVl0Qic2LuHU7L1Pq&#10;Edfn9kWgH1iJxOcDjJoT+Sty+tge5dUxgjYdcwnXHsUBbhJqx/2wVGkTfv3voq6rv/wJAAD//wMA&#10;UEsDBBQABgAIAAAAIQCRNThH3QAAAAcBAAAPAAAAZHJzL2Rvd25yZXYueG1sTI7NTsJAFIX3Jr7D&#10;5Jq4MTAFUgK1U6KgO12AhPXQubaNnTvNzJSWt/e6wuX5yTlfvhltKy7oQ+NIwWyagEAqnWmoUnD8&#10;ep+sQISoyejWESq4YoBNcX+X68y4gfZ4OcRK8AiFTCuoY+wyKUNZo9Vh6jokzr6dtzqy9JU0Xg88&#10;bls5T5KltLohfqh1h9say59DbxUsd74f9rR92h3fPvRnV81Pr9eTUo8P48sziIhjvJXhD5/RoWCm&#10;s+vJBNEqmMy4yPYqBcHxYpGuQZwVrJMUZJHL//zFLwAAAP//AwBQSwECLQAUAAYACAAAACEAtoM4&#10;kv4AAADhAQAAEwAAAAAAAAAAAAAAAAAAAAAAW0NvbnRlbnRfVHlwZXNdLnhtbFBLAQItABQABgAI&#10;AAAAIQA4/SH/1gAAAJQBAAALAAAAAAAAAAAAAAAAAC8BAABfcmVscy8ucmVsc1BLAQItABQABgAI&#10;AAAAIQCZTBQeGgIAAEIEAAAOAAAAAAAAAAAAAAAAAC4CAABkcnMvZTJvRG9jLnhtbFBLAQItABQA&#10;BgAIAAAAIQCRNThH3QAAAAcBAAAPAAAAAAAAAAAAAAAAAHQEAABkcnMvZG93bnJldi54bWxQSwUG&#10;AAAAAAQABADzAAAAfgUAAAAA&#10;" stroked="f">
                <v:textbox inset="0,0,0,0">
                  <w:txbxContent>
                    <w:p w14:paraId="1E349BB5" w14:textId="25A1A739" w:rsidR="004D416C" w:rsidRPr="00096F00" w:rsidRDefault="004D416C" w:rsidP="00096F00">
                      <w:pPr>
                        <w:pStyle w:val="Descripcin"/>
                        <w:rPr>
                          <w:rFonts w:ascii="Arial" w:eastAsia="Calibri" w:hAnsi="Arial" w:cs="Arial"/>
                          <w:smallCaps w:val="0"/>
                          <w:noProof/>
                          <w:sz w:val="16"/>
                          <w:szCs w:val="16"/>
                        </w:rPr>
                      </w:pPr>
                      <w:bookmarkStart w:id="18" w:name="_Toc67659163"/>
                      <w:r w:rsidRPr="00096F00">
                        <w:rPr>
                          <w:rFonts w:ascii="Arial" w:hAnsi="Arial" w:cs="Arial"/>
                          <w:smallCaps w:val="0"/>
                          <w:color w:val="9D2235" w:themeColor="accent1"/>
                          <w:sz w:val="16"/>
                          <w:szCs w:val="16"/>
                        </w:rPr>
                        <w:t xml:space="preserve">Imagen </w:t>
                      </w:r>
                      <w:r w:rsidRPr="00096F00">
                        <w:rPr>
                          <w:rFonts w:ascii="Arial" w:hAnsi="Arial" w:cs="Arial"/>
                          <w:smallCaps w:val="0"/>
                          <w:color w:val="9D2235" w:themeColor="accent1"/>
                          <w:sz w:val="16"/>
                          <w:szCs w:val="16"/>
                        </w:rPr>
                        <w:fldChar w:fldCharType="begin"/>
                      </w:r>
                      <w:r w:rsidRPr="00096F00">
                        <w:rPr>
                          <w:rFonts w:ascii="Arial" w:hAnsi="Arial" w:cs="Arial"/>
                          <w:smallCaps w:val="0"/>
                          <w:color w:val="9D2235" w:themeColor="accent1"/>
                          <w:sz w:val="16"/>
                          <w:szCs w:val="16"/>
                        </w:rPr>
                        <w:instrText xml:space="preserve"> SEQ Imagen \* ARABIC </w:instrText>
                      </w:r>
                      <w:r w:rsidRPr="00096F00">
                        <w:rPr>
                          <w:rFonts w:ascii="Arial" w:hAnsi="Arial" w:cs="Arial"/>
                          <w:smallCaps w:val="0"/>
                          <w:color w:val="9D2235" w:themeColor="accent1"/>
                          <w:sz w:val="16"/>
                          <w:szCs w:val="16"/>
                        </w:rPr>
                        <w:fldChar w:fldCharType="separate"/>
                      </w:r>
                      <w:r>
                        <w:rPr>
                          <w:rFonts w:ascii="Arial" w:hAnsi="Arial" w:cs="Arial"/>
                          <w:smallCaps w:val="0"/>
                          <w:noProof/>
                          <w:color w:val="9D2235" w:themeColor="accent1"/>
                          <w:sz w:val="16"/>
                          <w:szCs w:val="16"/>
                        </w:rPr>
                        <w:t>2</w:t>
                      </w:r>
                      <w:r w:rsidRPr="00096F00">
                        <w:rPr>
                          <w:rFonts w:ascii="Arial" w:hAnsi="Arial" w:cs="Arial"/>
                          <w:smallCaps w:val="0"/>
                          <w:color w:val="9D2235" w:themeColor="accent1"/>
                          <w:sz w:val="16"/>
                          <w:szCs w:val="16"/>
                        </w:rPr>
                        <w:fldChar w:fldCharType="end"/>
                      </w:r>
                      <w:r w:rsidRPr="00096F00">
                        <w:rPr>
                          <w:rFonts w:ascii="Arial" w:hAnsi="Arial" w:cs="Arial"/>
                          <w:smallCaps w:val="0"/>
                          <w:color w:val="9D2235" w:themeColor="accent1"/>
                          <w:sz w:val="16"/>
                          <w:szCs w:val="16"/>
                        </w:rPr>
                        <w:t xml:space="preserve">. </w:t>
                      </w:r>
                      <w:r w:rsidRPr="00096F00">
                        <w:rPr>
                          <w:rFonts w:ascii="Arial" w:hAnsi="Arial" w:cs="Arial"/>
                          <w:smallCaps w:val="0"/>
                          <w:sz w:val="16"/>
                          <w:szCs w:val="16"/>
                        </w:rPr>
                        <w:t>La vía del enriquecimiento injusto en el sector público: ¿uso o abuso?</w:t>
                      </w:r>
                      <w:bookmarkEnd w:id="18"/>
                    </w:p>
                  </w:txbxContent>
                </v:textbox>
                <w10:wrap type="square"/>
              </v:shape>
            </w:pict>
          </mc:Fallback>
        </mc:AlternateContent>
      </w:r>
      <w:r w:rsidRPr="00973028">
        <w:rPr>
          <w:rFonts w:ascii="Arial" w:eastAsia="Calibri" w:hAnsi="Arial" w:cs="Arial"/>
          <w:noProof/>
          <w:sz w:val="21"/>
        </w:rPr>
        <mc:AlternateContent>
          <mc:Choice Requires="wps">
            <w:drawing>
              <wp:anchor distT="45720" distB="45720" distL="114300" distR="114300" simplePos="0" relativeHeight="251916288" behindDoc="0" locked="0" layoutInCell="1" allowOverlap="1" wp14:anchorId="44D2D036" wp14:editId="69A835C4">
                <wp:simplePos x="0" y="0"/>
                <wp:positionH relativeFrom="margin">
                  <wp:posOffset>0</wp:posOffset>
                </wp:positionH>
                <wp:positionV relativeFrom="paragraph">
                  <wp:posOffset>457488</wp:posOffset>
                </wp:positionV>
                <wp:extent cx="2133600" cy="2492375"/>
                <wp:effectExtent l="0" t="0" r="0" b="3175"/>
                <wp:wrapSquare wrapText="bothSides"/>
                <wp:docPr id="1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492375"/>
                        </a:xfrm>
                        <a:prstGeom prst="rect">
                          <a:avLst/>
                        </a:prstGeom>
                        <a:solidFill>
                          <a:srgbClr val="FFFFFF"/>
                        </a:solidFill>
                        <a:ln w="9525">
                          <a:noFill/>
                          <a:miter lim="800000"/>
                          <a:headEnd/>
                          <a:tailEnd/>
                        </a:ln>
                      </wps:spPr>
                      <wps:txbx>
                        <w:txbxContent>
                          <w:p w14:paraId="5BB60662" w14:textId="54FD53B3" w:rsidR="004D416C" w:rsidRPr="000421F5" w:rsidRDefault="004D416C" w:rsidP="000421F5">
                            <w:pPr>
                              <w:pStyle w:val="Descripcin"/>
                              <w:keepNext/>
                              <w:rPr>
                                <w:rFonts w:ascii="Arial" w:hAnsi="Arial" w:cs="Arial"/>
                                <w:smallCaps w:val="0"/>
                                <w:sz w:val="16"/>
                                <w:szCs w:val="16"/>
                              </w:rPr>
                            </w:pPr>
                          </w:p>
                          <w:p w14:paraId="3CFD9F4A" w14:textId="77777777" w:rsidR="004D416C" w:rsidRDefault="004D416C" w:rsidP="00BB4994">
                            <w:r>
                              <w:rPr>
                                <w:rFonts w:ascii="Calibri" w:hAnsi="Calibri"/>
                                <w:noProof/>
                                <w:sz w:val="20"/>
                                <w:szCs w:val="20"/>
                                <w:lang w:eastAsia="es-ES"/>
                              </w:rPr>
                              <w:drawing>
                                <wp:inline distT="0" distB="0" distL="0" distR="0" wp14:anchorId="41A98145" wp14:editId="00013E4D">
                                  <wp:extent cx="1497732" cy="2050877"/>
                                  <wp:effectExtent l="19050" t="19050" r="26670" b="26035"/>
                                  <wp:docPr id="27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5195" cy="2074789"/>
                                          </a:xfrm>
                                          <a:prstGeom prst="rect">
                                            <a:avLst/>
                                          </a:prstGeom>
                                          <a:noFill/>
                                          <a:ln w="9525" cmpd="sng">
                                            <a:solidFill>
                                              <a:srgbClr val="9D2235"/>
                                            </a:solidFill>
                                            <a:miter lim="800000"/>
                                            <a:headEnd/>
                                            <a:tailEnd/>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2D036" id="_x0000_s1029" type="#_x0000_t202" style="position:absolute;left:0;text-align:left;margin-left:0;margin-top:36pt;width:168pt;height:196.25pt;z-index:25191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DlEwIAAP4DAAAOAAAAZHJzL2Uyb0RvYy54bWysU9uO2yAQfa/Uf0C8N3acZHdjxVlts01V&#10;aXuRtv0ADDhGxQwFEnv79R2wN5u2b1V5QDPMcJg5c9jcDp0mJ+m8AlPR+SynRBoOQplDRb993b+5&#10;ocQHZgTTYGRFn6Snt9vXrza9LWUBLWghHUEQ48veVrQNwZZZ5nkrO+ZnYKXBYAOuYwFdd8iEYz2i&#10;dzor8vwq68EJ64BL7/H0fgzSbcJvGsnD56bxMhBdUawtpN2lvY57tt2w8uCYbRWfymD/UEXHlMFH&#10;z1D3LDBydOovqE5xBx6aMOPQZdA0isvUA3Yzz//o5rFlVqZekBxvzzT5/wfLP50e7RdHwvAWBhxg&#10;asLbB+DfPTGwa5k5yDvnoG8lE/jwPFKW9daX09VItS99BKn7jyBwyOwYIAENjesiK9gnQXQcwNOZ&#10;dDkEwvGwmC8WVzmGOMaK5bpYXK/SG6x8vm6dD+8ldCQaFXU41QTPTg8+xHJY+ZwSX/OgldgrrZPj&#10;DvVOO3JiqIB9WhP6b2nakL6i61WxSsgG4v0kjk4FVKhWXUVv8rhGzUQ63hmRUgJTerSxEm0mfiIl&#10;IzlhqAeiREUX8W6kqwbxhIQ5GAWJHwiNFtxPSnoUY0X9jyNzkhL9wSDp6/lyGdWbnOXqukDHXUbq&#10;ywgzHKEqGigZzV1Iio90GLjD4TQq0fZSyVQyiiyxOX2IqOJLP2W9fNvtLwAAAP//AwBQSwMEFAAG&#10;AAgAAAAhALB/isrcAAAABwEAAA8AAABkcnMvZG93bnJldi54bWxMj0FPg0AQhe8m/ofNmHgxdrGl&#10;0CJLoyYar639AQNMgcjOEnZb6L93POlp3uRN3vsm3822VxcafefYwNMiAkVcubrjxsDx6/1xA8oH&#10;5Bp7x2TgSh52xe1NjlntJt7T5RAaJSHsMzTQhjBkWvuqJYt+4QZi8U5utBhkHRtdjzhJuO31MooS&#10;bbFjaWhxoLeWqu/D2Ro4fU4P6+1UfoRjuo+TV+zS0l2Nub+bX55BBZrD3zH84gs6FMJUujPXXvUG&#10;5JFgIF3KFHe1SkSUBuIkXoMucv2fv/gBAAD//wMAUEsBAi0AFAAGAAgAAAAhALaDOJL+AAAA4QEA&#10;ABMAAAAAAAAAAAAAAAAAAAAAAFtDb250ZW50X1R5cGVzXS54bWxQSwECLQAUAAYACAAAACEAOP0h&#10;/9YAAACUAQAACwAAAAAAAAAAAAAAAAAvAQAAX3JlbHMvLnJlbHNQSwECLQAUAAYACAAAACEAJnBA&#10;5RMCAAD+AwAADgAAAAAAAAAAAAAAAAAuAgAAZHJzL2Uyb0RvYy54bWxQSwECLQAUAAYACAAAACEA&#10;sH+KytwAAAAHAQAADwAAAAAAAAAAAAAAAABtBAAAZHJzL2Rvd25yZXYueG1sUEsFBgAAAAAEAAQA&#10;8wAAAHYFAAAAAA==&#10;" stroked="f">
                <v:textbox>
                  <w:txbxContent>
                    <w:p w14:paraId="5BB60662" w14:textId="54FD53B3" w:rsidR="004D416C" w:rsidRPr="000421F5" w:rsidRDefault="004D416C" w:rsidP="000421F5">
                      <w:pPr>
                        <w:pStyle w:val="Descripcin"/>
                        <w:keepNext/>
                        <w:rPr>
                          <w:rFonts w:ascii="Arial" w:hAnsi="Arial" w:cs="Arial"/>
                          <w:smallCaps w:val="0"/>
                          <w:sz w:val="16"/>
                          <w:szCs w:val="16"/>
                        </w:rPr>
                      </w:pPr>
                    </w:p>
                    <w:p w14:paraId="3CFD9F4A" w14:textId="77777777" w:rsidR="004D416C" w:rsidRDefault="004D416C" w:rsidP="00BB4994">
                      <w:r>
                        <w:rPr>
                          <w:rFonts w:ascii="Calibri" w:hAnsi="Calibri"/>
                          <w:noProof/>
                          <w:sz w:val="20"/>
                          <w:szCs w:val="20"/>
                          <w:lang w:eastAsia="es-ES"/>
                        </w:rPr>
                        <w:drawing>
                          <wp:inline distT="0" distB="0" distL="0" distR="0" wp14:anchorId="41A98145" wp14:editId="00013E4D">
                            <wp:extent cx="1497732" cy="2050877"/>
                            <wp:effectExtent l="19050" t="19050" r="26670" b="26035"/>
                            <wp:docPr id="27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5195" cy="2074789"/>
                                    </a:xfrm>
                                    <a:prstGeom prst="rect">
                                      <a:avLst/>
                                    </a:prstGeom>
                                    <a:noFill/>
                                    <a:ln w="9525" cmpd="sng">
                                      <a:solidFill>
                                        <a:srgbClr val="9D2235"/>
                                      </a:solidFill>
                                      <a:miter lim="800000"/>
                                      <a:headEnd/>
                                      <a:tailEnd/>
                                    </a:ln>
                                    <a:effectLst/>
                                  </pic:spPr>
                                </pic:pic>
                              </a:graphicData>
                            </a:graphic>
                          </wp:inline>
                        </w:drawing>
                      </w:r>
                    </w:p>
                  </w:txbxContent>
                </v:textbox>
                <w10:wrap type="square" anchorx="margin"/>
              </v:shape>
            </w:pict>
          </mc:Fallback>
        </mc:AlternateContent>
      </w:r>
      <w:r w:rsidR="00BB4994" w:rsidRPr="00973028">
        <w:rPr>
          <w:rFonts w:ascii="Arial" w:eastAsia="Calibri" w:hAnsi="Arial" w:cs="Arial"/>
          <w:sz w:val="21"/>
        </w:rPr>
        <w:t xml:space="preserve">Por </w:t>
      </w:r>
      <w:r w:rsidR="00BB4994" w:rsidRPr="00973028">
        <w:rPr>
          <w:rFonts w:ascii="Arial" w:eastAsia="Calibri" w:hAnsi="Arial" w:cs="Arial"/>
          <w:spacing w:val="-2"/>
          <w:sz w:val="21"/>
        </w:rPr>
        <w:t xml:space="preserve">Resolución del </w:t>
      </w:r>
      <w:r w:rsidR="00874FE3" w:rsidRPr="00973028">
        <w:rPr>
          <w:rFonts w:ascii="Arial" w:eastAsia="Calibri" w:hAnsi="Arial" w:cs="Arial"/>
          <w:spacing w:val="-2"/>
          <w:sz w:val="21"/>
        </w:rPr>
        <w:t>d</w:t>
      </w:r>
      <w:r w:rsidR="00BB4994" w:rsidRPr="00973028">
        <w:rPr>
          <w:rFonts w:ascii="Arial" w:eastAsia="Calibri" w:hAnsi="Arial" w:cs="Arial"/>
          <w:spacing w:val="-2"/>
          <w:sz w:val="21"/>
        </w:rPr>
        <w:t xml:space="preserve">irector núm. 122/2020, de 11 de mayo, se aprobó </w:t>
      </w:r>
      <w:r w:rsidR="00BB4994" w:rsidRPr="00973028">
        <w:rPr>
          <w:rFonts w:ascii="Arial" w:eastAsia="Calibri" w:hAnsi="Arial" w:cs="Arial"/>
          <w:sz w:val="21"/>
        </w:rPr>
        <w:t xml:space="preserve">otra recomendación general del Servicio de Prevención para prevenir las prácticas corruptas en nuestra Comunitat Valenciana: </w:t>
      </w:r>
      <w:r w:rsidR="00BB4994" w:rsidRPr="00973028">
        <w:rPr>
          <w:rFonts w:ascii="Arial" w:eastAsia="Calibri" w:hAnsi="Arial" w:cs="Arial"/>
          <w:b/>
          <w:bCs/>
          <w:sz w:val="21"/>
        </w:rPr>
        <w:t>“La vía del enriquecimiento injusto en el sector público: ¿uso o abuso?”,</w:t>
      </w:r>
      <w:r w:rsidR="00BB4994" w:rsidRPr="00973028">
        <w:rPr>
          <w:rFonts w:ascii="Arial" w:eastAsia="Calibri" w:hAnsi="Arial" w:cs="Arial"/>
          <w:sz w:val="21"/>
        </w:rPr>
        <w:t xml:space="preserve"> que contó con el respaldo del Conse</w:t>
      </w:r>
      <w:r w:rsidR="00874FE3" w:rsidRPr="00973028">
        <w:rPr>
          <w:rFonts w:ascii="Arial" w:eastAsia="Calibri" w:hAnsi="Arial" w:cs="Arial"/>
          <w:sz w:val="21"/>
        </w:rPr>
        <w:t>jo</w:t>
      </w:r>
      <w:r w:rsidR="00BB4994" w:rsidRPr="00973028">
        <w:rPr>
          <w:rFonts w:ascii="Arial" w:eastAsia="Calibri" w:hAnsi="Arial" w:cs="Arial"/>
          <w:sz w:val="21"/>
        </w:rPr>
        <w:t xml:space="preserve"> de Participació</w:t>
      </w:r>
      <w:r w:rsidR="00874FE3" w:rsidRPr="00973028">
        <w:rPr>
          <w:rFonts w:ascii="Arial" w:eastAsia="Calibri" w:hAnsi="Arial" w:cs="Arial"/>
          <w:sz w:val="21"/>
        </w:rPr>
        <w:t>n</w:t>
      </w:r>
      <w:r w:rsidR="00BB4994" w:rsidRPr="00973028">
        <w:rPr>
          <w:rFonts w:ascii="Arial" w:eastAsia="Calibri" w:hAnsi="Arial" w:cs="Arial"/>
          <w:sz w:val="21"/>
        </w:rPr>
        <w:t xml:space="preserve"> de la AVAF en su sesión de 11 de junio de 2020.</w:t>
      </w:r>
      <w:r w:rsidR="00BB4994" w:rsidRPr="00973028">
        <w:rPr>
          <w:rFonts w:ascii="Arial" w:eastAsia="Calibri" w:hAnsi="Arial" w:cs="Arial"/>
          <w:i/>
          <w:iCs/>
          <w:sz w:val="21"/>
        </w:rPr>
        <w:t xml:space="preserve"> </w:t>
      </w:r>
      <w:r w:rsidR="00BB4994" w:rsidRPr="00973028">
        <w:rPr>
          <w:rFonts w:ascii="Arial" w:eastAsia="Calibri" w:hAnsi="Arial" w:cs="Arial"/>
          <w:sz w:val="21"/>
        </w:rPr>
        <w:t>En ella,</w:t>
      </w:r>
      <w:r w:rsidR="00BB4994" w:rsidRPr="00973028">
        <w:rPr>
          <w:rFonts w:ascii="Arial" w:eastAsia="Calibri" w:hAnsi="Arial" w:cs="Arial"/>
          <w:i/>
          <w:iCs/>
          <w:sz w:val="21"/>
        </w:rPr>
        <w:t xml:space="preserve"> </w:t>
      </w:r>
      <w:r w:rsidR="00BB4994" w:rsidRPr="00973028">
        <w:rPr>
          <w:rFonts w:ascii="Arial" w:eastAsia="Calibri" w:hAnsi="Arial" w:cs="Arial"/>
          <w:sz w:val="21"/>
        </w:rPr>
        <w:t>constatamos cómo nuestro sector público está abusando en los últimos años del enriquecimiento injusto, acudiendo a un sistema meramente económico de reconocimiento extrajudicial de créditos que permite pagar directamente, esto es, sin fiscalización previa, “encargos” realizados al margen de la Ley y de los procedimientos reglados al efecto.</w:t>
      </w:r>
    </w:p>
    <w:p w14:paraId="3946459E"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Así, por ejemplo, en la Recomendación se evidencia que la Conselleria de Sanidad </w:t>
      </w:r>
      <w:r w:rsidRPr="00973028">
        <w:rPr>
          <w:rFonts w:ascii="Arial" w:eastAsia="Calibri" w:hAnsi="Arial" w:cs="Arial"/>
          <w:bCs/>
          <w:w w:val="105"/>
          <w:sz w:val="21"/>
        </w:rPr>
        <w:t xml:space="preserve">Universal y Salud Pública </w:t>
      </w:r>
      <w:r w:rsidRPr="00973028">
        <w:rPr>
          <w:rFonts w:ascii="Arial" w:eastAsia="Calibri" w:hAnsi="Arial" w:cs="Arial"/>
          <w:sz w:val="21"/>
        </w:rPr>
        <w:t xml:space="preserve">acudió en 2017 a dicha vía para pagar encargos al margen de la Ley por valor de </w:t>
      </w:r>
      <w:r w:rsidRPr="00973028">
        <w:rPr>
          <w:rFonts w:ascii="Arial" w:eastAsia="Calibri" w:hAnsi="Arial" w:cs="Arial"/>
          <w:w w:val="105"/>
          <w:sz w:val="21"/>
        </w:rPr>
        <w:t>959,70 millones de euros</w:t>
      </w:r>
      <w:r w:rsidRPr="00973028">
        <w:rPr>
          <w:rFonts w:ascii="Arial" w:eastAsia="Calibri" w:hAnsi="Arial" w:cs="Arial"/>
          <w:sz w:val="21"/>
        </w:rPr>
        <w:t>, tendencia al alza en ejercicios posteriores (</w:t>
      </w:r>
      <w:r w:rsidRPr="00973028">
        <w:rPr>
          <w:rFonts w:ascii="Arial" w:eastAsia="Calibri" w:hAnsi="Arial" w:cs="Arial"/>
          <w:w w:val="105"/>
          <w:sz w:val="21"/>
        </w:rPr>
        <w:t>1.319,6 millones de euros en 2018 y cifras similares en 2019).</w:t>
      </w:r>
    </w:p>
    <w:p w14:paraId="57E984AE" w14:textId="77777777" w:rsidR="00BB4994" w:rsidRPr="00973028" w:rsidRDefault="00BB4994" w:rsidP="00BB4994">
      <w:pPr>
        <w:widowControl w:val="0"/>
        <w:suppressAutoHyphens/>
        <w:autoSpaceDN w:val="0"/>
        <w:spacing w:after="240" w:line="276" w:lineRule="auto"/>
        <w:jc w:val="both"/>
        <w:rPr>
          <w:rFonts w:ascii="Arial" w:eastAsia="Open Sans" w:hAnsi="Arial" w:cs="Arial"/>
          <w:kern w:val="3"/>
          <w:sz w:val="21"/>
          <w:lang w:eastAsia="zh-CN" w:bidi="hi-IN"/>
        </w:rPr>
      </w:pPr>
      <w:r w:rsidRPr="00973028">
        <w:rPr>
          <w:rFonts w:ascii="Arial" w:eastAsia="Open Sans" w:hAnsi="Arial" w:cs="Arial"/>
          <w:kern w:val="3"/>
          <w:sz w:val="21"/>
          <w:lang w:eastAsia="zh-CN" w:bidi="hi-IN"/>
        </w:rPr>
        <w:t>El fin último del enriquecimiento injusto es lícito: evitar el empobrecimiento patrimonial de los que realizan prestaciones para las Administraciones por encargo de éstas, y el correlativo enriquecimiento de la Administración. Sin embargo, esta vía ha de ser excepcional y subsidiaria de las compensaciones que prevea cada norma especial.</w:t>
      </w:r>
    </w:p>
    <w:p w14:paraId="3493EF96" w14:textId="44B1580E" w:rsidR="00BB4994" w:rsidRPr="00973028" w:rsidRDefault="00BB4994" w:rsidP="00BB4994">
      <w:pPr>
        <w:widowControl w:val="0"/>
        <w:suppressAutoHyphens/>
        <w:autoSpaceDN w:val="0"/>
        <w:spacing w:after="240" w:line="276" w:lineRule="auto"/>
        <w:jc w:val="both"/>
        <w:rPr>
          <w:rFonts w:ascii="Arial" w:eastAsia="Open Sans" w:hAnsi="Arial" w:cs="Arial"/>
          <w:kern w:val="3"/>
          <w:sz w:val="21"/>
          <w:lang w:eastAsia="zh-CN" w:bidi="hi-IN"/>
        </w:rPr>
      </w:pPr>
      <w:r w:rsidRPr="00973028">
        <w:rPr>
          <w:rFonts w:ascii="Arial" w:eastAsia="Open Sans" w:hAnsi="Arial" w:cs="Arial"/>
          <w:kern w:val="3"/>
          <w:sz w:val="21"/>
          <w:lang w:eastAsia="zh-CN" w:bidi="hi-IN"/>
        </w:rPr>
        <w:t>En la Recomendación ponemos el foco en la causa legal del fondo del asunto que genera el incumplimiento, esto es, en la cuestión jurídico material que origina el enriquecimiento injusto: buscando soluciones (o creándolas) en este ámbito, puede ayudar a poner freno al fenómeno. A</w:t>
      </w:r>
      <w:r w:rsidR="000421F5" w:rsidRPr="00973028">
        <w:rPr>
          <w:rFonts w:ascii="Arial" w:eastAsia="Open Sans" w:hAnsi="Arial" w:cs="Arial"/>
          <w:kern w:val="3"/>
          <w:sz w:val="21"/>
          <w:lang w:eastAsia="zh-CN" w:bidi="hi-IN"/>
        </w:rPr>
        <w:t>u</w:t>
      </w:r>
      <w:r w:rsidRPr="00973028">
        <w:rPr>
          <w:rFonts w:ascii="Arial" w:eastAsia="Open Sans" w:hAnsi="Arial" w:cs="Arial"/>
          <w:kern w:val="3"/>
          <w:sz w:val="21"/>
          <w:lang w:eastAsia="zh-CN" w:bidi="hi-IN"/>
        </w:rPr>
        <w:t>n cuando inicialmente puede entenderse que estas soluciones son más gravosas que el mero reconocimiento extrajudicial de crédito, consideramos que el “uso abusivo” de esta figura exige reconducir esta práctica atendiendo también al marco normativo sustantivo de aplicación, por imperativo del principio de legalidad.</w:t>
      </w:r>
    </w:p>
    <w:p w14:paraId="2A5B284F" w14:textId="24DF7E5C" w:rsidR="00BB4994" w:rsidRPr="00973028" w:rsidRDefault="00BB4994" w:rsidP="00BB4994">
      <w:pPr>
        <w:widowControl w:val="0"/>
        <w:suppressAutoHyphens/>
        <w:autoSpaceDN w:val="0"/>
        <w:spacing w:after="240" w:line="276" w:lineRule="auto"/>
        <w:jc w:val="both"/>
        <w:rPr>
          <w:rFonts w:ascii="Arial" w:eastAsia="Open Sans" w:hAnsi="Arial" w:cs="Arial"/>
          <w:kern w:val="3"/>
          <w:sz w:val="21"/>
          <w:lang w:eastAsia="zh-CN" w:bidi="hi-IN"/>
        </w:rPr>
      </w:pPr>
      <w:r w:rsidRPr="00973028">
        <w:rPr>
          <w:rFonts w:ascii="Arial" w:eastAsia="Open Sans" w:hAnsi="Arial" w:cs="Arial"/>
          <w:kern w:val="3"/>
          <w:sz w:val="21"/>
          <w:lang w:eastAsia="zh-CN" w:bidi="hi-IN"/>
        </w:rPr>
        <w:t>Es este un enfoque de estudio, entre otros posibles que atiendan a otras causas y disciplinas que también determinan la normalización de la acción del enriquecimiento injusto, como son aquellas vinculadas a la financiación autonómica y local o a las cuestiones organizativas, Se trata, pues, de un punto de partida e invitación al imprescindible debate con los órganos de control y/o encargados de la legalidad del sector público y la doctrina especializada, entre otros, para articular soluciones que nos permitan reconducir a su excepcionalidad la controvertida figura del enriquecimiento injusto.</w:t>
      </w:r>
    </w:p>
    <w:p w14:paraId="062617E0" w14:textId="1613331B"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Y todo ello porque apreciamos que no cabe duda de que el abuso del enriquecimiento injusto es en la actualidad uno de los riesgos más preocupantes de fraude y corrupción permanente y sistémica, pues por mandato constitucional (art. 103</w:t>
      </w:r>
      <w:r w:rsidR="00212E69" w:rsidRPr="00973028">
        <w:rPr>
          <w:rFonts w:ascii="Arial" w:eastAsia="Calibri" w:hAnsi="Arial" w:cs="Arial"/>
          <w:sz w:val="21"/>
        </w:rPr>
        <w:t xml:space="preserve"> CE</w:t>
      </w:r>
      <w:r w:rsidRPr="00973028">
        <w:rPr>
          <w:rFonts w:ascii="Arial" w:eastAsia="Calibri" w:hAnsi="Arial" w:cs="Arial"/>
          <w:sz w:val="21"/>
        </w:rPr>
        <w:t xml:space="preserve">) la Administración está sometida a la Ley y al derecho y, en la mayoría de supuestos analizados por la AVAF, se emplean expedientes económicos para permitir el pago de los encargos realizados al margen de la </w:t>
      </w:r>
      <w:r w:rsidRPr="00973028">
        <w:rPr>
          <w:rFonts w:ascii="Arial" w:eastAsia="Calibri" w:hAnsi="Arial" w:cs="Arial"/>
          <w:sz w:val="21"/>
        </w:rPr>
        <w:lastRenderedPageBreak/>
        <w:t>Ley sin depurar la causa de fondo: la infracción del procedimiento administrativo que debió seguirse para realizar dicho encargo.</w:t>
      </w:r>
    </w:p>
    <w:p w14:paraId="7E6E9030" w14:textId="20681AC9"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w w:val="105"/>
          <w:sz w:val="21"/>
        </w:rPr>
        <w:t>En este sentido, en la Recomendación proponemos, como punto de partida, sendos mecanismos de prevención p</w:t>
      </w:r>
      <w:r w:rsidRPr="00973028">
        <w:rPr>
          <w:rFonts w:ascii="Arial" w:eastAsia="Calibri" w:hAnsi="Arial" w:cs="Arial"/>
          <w:sz w:val="21"/>
        </w:rPr>
        <w:t xml:space="preserve">ara hacer frente al abuso del enriquecimiento injusto en nuestra Comunitat. Entre ellos, la planificación de las políticas públicas y su ejecución, el sometimiento al mandato de la Ley para realizar encargos y para compensar su pago, la transparencia para garantizar la efectiva rendición de cuentas, la dotación de personal cualificado en los servicios jurídicos </w:t>
      </w:r>
      <w:r w:rsidR="00CF5B2C" w:rsidRPr="00973028">
        <w:rPr>
          <w:rFonts w:ascii="Arial" w:eastAsia="Calibri" w:hAnsi="Arial" w:cs="Arial"/>
          <w:sz w:val="21"/>
        </w:rPr>
        <w:t>y</w:t>
      </w:r>
      <w:r w:rsidRPr="00973028">
        <w:rPr>
          <w:rFonts w:ascii="Arial" w:eastAsia="Calibri" w:hAnsi="Arial" w:cs="Arial"/>
          <w:sz w:val="21"/>
        </w:rPr>
        <w:t xml:space="preserve"> en los servicios gestores y de control interno, así como sendas recomendaciones y propuestas concretas de actuación y cláusulas de contratación.</w:t>
      </w:r>
    </w:p>
    <w:p w14:paraId="729E7AE5" w14:textId="0C5770E2" w:rsidR="00BB4994" w:rsidRPr="00973028" w:rsidRDefault="00096F00"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noProof/>
          <w:sz w:val="21"/>
        </w:rPr>
        <mc:AlternateContent>
          <mc:Choice Requires="wps">
            <w:drawing>
              <wp:anchor distT="45720" distB="45720" distL="114300" distR="114300" simplePos="0" relativeHeight="251914240" behindDoc="0" locked="0" layoutInCell="1" allowOverlap="1" wp14:anchorId="6989E333" wp14:editId="6690E362">
                <wp:simplePos x="0" y="0"/>
                <wp:positionH relativeFrom="margin">
                  <wp:posOffset>0</wp:posOffset>
                </wp:positionH>
                <wp:positionV relativeFrom="paragraph">
                  <wp:posOffset>257175</wp:posOffset>
                </wp:positionV>
                <wp:extent cx="2133600" cy="2479675"/>
                <wp:effectExtent l="0" t="0" r="0" b="0"/>
                <wp:wrapSquare wrapText="bothSides"/>
                <wp:docPr id="1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479675"/>
                        </a:xfrm>
                        <a:prstGeom prst="rect">
                          <a:avLst/>
                        </a:prstGeom>
                        <a:solidFill>
                          <a:srgbClr val="FFFFFF"/>
                        </a:solidFill>
                        <a:ln w="9525">
                          <a:noFill/>
                          <a:miter lim="800000"/>
                          <a:headEnd/>
                          <a:tailEnd/>
                        </a:ln>
                      </wps:spPr>
                      <wps:txbx>
                        <w:txbxContent>
                          <w:p w14:paraId="61265AD2" w14:textId="77777777" w:rsidR="004D416C" w:rsidRDefault="004D416C" w:rsidP="00BB4994">
                            <w:r>
                              <w:rPr>
                                <w:rFonts w:ascii="Calibri" w:hAnsi="Calibri"/>
                                <w:noProof/>
                                <w:sz w:val="20"/>
                                <w:szCs w:val="20"/>
                                <w:lang w:eastAsia="es-ES"/>
                              </w:rPr>
                              <w:drawing>
                                <wp:inline distT="0" distB="0" distL="0" distR="0" wp14:anchorId="4F1692EE" wp14:editId="107822F9">
                                  <wp:extent cx="1456459" cy="2055731"/>
                                  <wp:effectExtent l="19050" t="19050" r="10795" b="20955"/>
                                  <wp:docPr id="27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6128" cy="2069378"/>
                                          </a:xfrm>
                                          <a:prstGeom prst="rect">
                                            <a:avLst/>
                                          </a:prstGeom>
                                          <a:noFill/>
                                          <a:ln w="9525" cmpd="sng">
                                            <a:solidFill>
                                              <a:srgbClr val="9D2235"/>
                                            </a:solidFill>
                                            <a:miter lim="800000"/>
                                            <a:headEnd/>
                                            <a:tailEnd/>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9E333" id="_x0000_s1030" type="#_x0000_t202" style="position:absolute;left:0;text-align:left;margin-left:0;margin-top:20.25pt;width:168pt;height:195.25pt;z-index:25191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582EwIAAP4DAAAOAAAAZHJzL2Uyb0RvYy54bWysU9uO2yAQfa/Uf0C8N3a8uWysOKtttqkq&#10;bS/Sth+AMbZRMUOBxE6/vgP2ZtP2rSoPaIYZDjNnDtu7oVPkJKyToAs6n6WUCM2hkrop6Levhze3&#10;lDjPdMUUaFHQs3D0bvf61bY3ucigBVUJSxBEu7w3BW29N3mSON6KjrkZGKExWIPtmEfXNkllWY/o&#10;nUqyNF0lPdjKWODCOTx9GIN0F/HrWnD/ua6d8EQVFGvzcbdxL8Oe7LYsbywzreRTGewfquiY1Pjo&#10;BeqBeUaOVv4F1UluwUHtZxy6BOpachF7wG7m6R/dPLXMiNgLkuPMhSb3/2D5p9OT+WKJH97CgAOM&#10;TTjzCPy7Ixr2LdONuLcW+lawCh+eB8qS3rh8uhqodrkLIGX/ESocMjt6iEBDbbvACvZJEB0HcL6Q&#10;LgZPOB5m85ubVYohjrFssd6s1sv4Bsufrxvr/HsBHQlGQS1ONcKz06PzoRyWP6eE1xwoWR2kUtGx&#10;TblXlpwYKuAQ14T+W5rSpC/oZpktI7KGcD+Ko5MeFapkV9DbNKxRM4GOd7qKKZ5JNdpYidITP4GS&#10;kRw/lAORVUEX4W6gq4TqjIRZGAWJHwiNFuxPSnoUY0HdjyOzghL1QSPpm/liEdQbncVynaFjryPl&#10;dYRpjlAF9ZSM5t5HxQc6NNzjcGoZaXupZCoZRRbZnD5EUPG1H7Nevu3uFwAAAP//AwBQSwMEFAAG&#10;AAgAAAAhAO4F8a/bAAAABwEAAA8AAABkcnMvZG93bnJldi54bWxMj8FOwzAQRO9I/IO1SFwQdUra&#10;FEKcCpBAXFv6AZt4m0TE6yh2m/TvWU5wnJnVzNtiO7tenWkMnWcDy0UCirj2tuPGwOHr/f4RVIjI&#10;FnvPZOBCAbbl9VWBufUT7+i8j42SEg45GmhjHHKtQ92Sw7DwA7FkRz86jCLHRtsRJyl3vX5Ikkw7&#10;7FgWWhzoraX6e39yBo6f0936aao+4mGzW2Wv2G0qfzHm9mZ+eQYVaY5/x/CLL+hQClPlT2yD6g3I&#10;I9HAKlmDkjRNMzEqMdJlAros9H/+8gcAAP//AwBQSwECLQAUAAYACAAAACEAtoM4kv4AAADhAQAA&#10;EwAAAAAAAAAAAAAAAAAAAAAAW0NvbnRlbnRfVHlwZXNdLnhtbFBLAQItABQABgAIAAAAIQA4/SH/&#10;1gAAAJQBAAALAAAAAAAAAAAAAAAAAC8BAABfcmVscy8ucmVsc1BLAQItABQABgAIAAAAIQB6D582&#10;EwIAAP4DAAAOAAAAAAAAAAAAAAAAAC4CAABkcnMvZTJvRG9jLnhtbFBLAQItABQABgAIAAAAIQDu&#10;BfGv2wAAAAcBAAAPAAAAAAAAAAAAAAAAAG0EAABkcnMvZG93bnJldi54bWxQSwUGAAAAAAQABADz&#10;AAAAdQUAAAAA&#10;" stroked="f">
                <v:textbox>
                  <w:txbxContent>
                    <w:p w14:paraId="61265AD2" w14:textId="77777777" w:rsidR="004D416C" w:rsidRDefault="004D416C" w:rsidP="00BB4994">
                      <w:r>
                        <w:rPr>
                          <w:rFonts w:ascii="Calibri" w:hAnsi="Calibri"/>
                          <w:noProof/>
                          <w:sz w:val="20"/>
                          <w:szCs w:val="20"/>
                          <w:lang w:eastAsia="es-ES"/>
                        </w:rPr>
                        <w:drawing>
                          <wp:inline distT="0" distB="0" distL="0" distR="0" wp14:anchorId="4F1692EE" wp14:editId="107822F9">
                            <wp:extent cx="1456459" cy="2055731"/>
                            <wp:effectExtent l="19050" t="19050" r="10795" b="20955"/>
                            <wp:docPr id="27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6128" cy="2069378"/>
                                    </a:xfrm>
                                    <a:prstGeom prst="rect">
                                      <a:avLst/>
                                    </a:prstGeom>
                                    <a:noFill/>
                                    <a:ln w="9525" cmpd="sng">
                                      <a:solidFill>
                                        <a:srgbClr val="9D2235"/>
                                      </a:solidFill>
                                      <a:miter lim="800000"/>
                                      <a:headEnd/>
                                      <a:tailEnd/>
                                    </a:ln>
                                    <a:effectLst/>
                                  </pic:spPr>
                                </pic:pic>
                              </a:graphicData>
                            </a:graphic>
                          </wp:inline>
                        </w:drawing>
                      </w:r>
                    </w:p>
                  </w:txbxContent>
                </v:textbox>
                <w10:wrap type="square" anchorx="margin"/>
              </v:shape>
            </w:pict>
          </mc:Fallback>
        </mc:AlternateContent>
      </w:r>
      <w:r>
        <w:rPr>
          <w:noProof/>
        </w:rPr>
        <mc:AlternateContent>
          <mc:Choice Requires="wps">
            <w:drawing>
              <wp:anchor distT="0" distB="0" distL="114300" distR="114300" simplePos="0" relativeHeight="251957248" behindDoc="0" locked="0" layoutInCell="1" allowOverlap="1" wp14:anchorId="6392E8E3" wp14:editId="786DB3CB">
                <wp:simplePos x="0" y="0"/>
                <wp:positionH relativeFrom="column">
                  <wp:posOffset>-635</wp:posOffset>
                </wp:positionH>
                <wp:positionV relativeFrom="paragraph">
                  <wp:posOffset>-199390</wp:posOffset>
                </wp:positionV>
                <wp:extent cx="2133600" cy="457200"/>
                <wp:effectExtent l="0" t="0" r="0" b="0"/>
                <wp:wrapSquare wrapText="bothSides"/>
                <wp:docPr id="271" name="Cuadro de texto 271"/>
                <wp:cNvGraphicFramePr/>
                <a:graphic xmlns:a="http://schemas.openxmlformats.org/drawingml/2006/main">
                  <a:graphicData uri="http://schemas.microsoft.com/office/word/2010/wordprocessingShape">
                    <wps:wsp>
                      <wps:cNvSpPr txBox="1"/>
                      <wps:spPr>
                        <a:xfrm>
                          <a:off x="0" y="0"/>
                          <a:ext cx="2133600" cy="457200"/>
                        </a:xfrm>
                        <a:prstGeom prst="rect">
                          <a:avLst/>
                        </a:prstGeom>
                        <a:solidFill>
                          <a:prstClr val="white"/>
                        </a:solidFill>
                        <a:ln>
                          <a:noFill/>
                        </a:ln>
                      </wps:spPr>
                      <wps:txbx>
                        <w:txbxContent>
                          <w:p w14:paraId="1AFB85AC" w14:textId="71EEE616" w:rsidR="004D416C" w:rsidRPr="00096F00" w:rsidRDefault="004D416C" w:rsidP="00096F00">
                            <w:pPr>
                              <w:pStyle w:val="Descripcin"/>
                              <w:rPr>
                                <w:rFonts w:ascii="Arial" w:eastAsia="Calibri" w:hAnsi="Arial" w:cs="Arial"/>
                                <w:smallCaps w:val="0"/>
                                <w:noProof/>
                                <w:sz w:val="16"/>
                                <w:szCs w:val="16"/>
                              </w:rPr>
                            </w:pPr>
                            <w:bookmarkStart w:id="19" w:name="_Toc67659164"/>
                            <w:r w:rsidRPr="00096F00">
                              <w:rPr>
                                <w:rFonts w:ascii="Arial" w:hAnsi="Arial" w:cs="Arial"/>
                                <w:smallCaps w:val="0"/>
                                <w:color w:val="9D2235" w:themeColor="accent1"/>
                                <w:sz w:val="16"/>
                                <w:szCs w:val="16"/>
                              </w:rPr>
                              <w:t xml:space="preserve">Imagen </w:t>
                            </w:r>
                            <w:r w:rsidRPr="00096F00">
                              <w:rPr>
                                <w:rFonts w:ascii="Arial" w:hAnsi="Arial" w:cs="Arial"/>
                                <w:smallCaps w:val="0"/>
                                <w:color w:val="9D2235" w:themeColor="accent1"/>
                                <w:sz w:val="16"/>
                                <w:szCs w:val="16"/>
                              </w:rPr>
                              <w:fldChar w:fldCharType="begin"/>
                            </w:r>
                            <w:r w:rsidRPr="00096F00">
                              <w:rPr>
                                <w:rFonts w:ascii="Arial" w:hAnsi="Arial" w:cs="Arial"/>
                                <w:smallCaps w:val="0"/>
                                <w:color w:val="9D2235" w:themeColor="accent1"/>
                                <w:sz w:val="16"/>
                                <w:szCs w:val="16"/>
                              </w:rPr>
                              <w:instrText xml:space="preserve"> SEQ Imagen \* ARABIC </w:instrText>
                            </w:r>
                            <w:r w:rsidRPr="00096F00">
                              <w:rPr>
                                <w:rFonts w:ascii="Arial" w:hAnsi="Arial" w:cs="Arial"/>
                                <w:smallCaps w:val="0"/>
                                <w:color w:val="9D2235" w:themeColor="accent1"/>
                                <w:sz w:val="16"/>
                                <w:szCs w:val="16"/>
                              </w:rPr>
                              <w:fldChar w:fldCharType="separate"/>
                            </w:r>
                            <w:r>
                              <w:rPr>
                                <w:rFonts w:ascii="Arial" w:hAnsi="Arial" w:cs="Arial"/>
                                <w:smallCaps w:val="0"/>
                                <w:noProof/>
                                <w:color w:val="9D2235" w:themeColor="accent1"/>
                                <w:sz w:val="16"/>
                                <w:szCs w:val="16"/>
                              </w:rPr>
                              <w:t>3</w:t>
                            </w:r>
                            <w:r w:rsidRPr="00096F00">
                              <w:rPr>
                                <w:rFonts w:ascii="Arial" w:hAnsi="Arial" w:cs="Arial"/>
                                <w:smallCaps w:val="0"/>
                                <w:color w:val="9D2235" w:themeColor="accent1"/>
                                <w:sz w:val="16"/>
                                <w:szCs w:val="16"/>
                              </w:rPr>
                              <w:fldChar w:fldCharType="end"/>
                            </w:r>
                            <w:r w:rsidRPr="00096F00">
                              <w:rPr>
                                <w:rFonts w:ascii="Arial" w:hAnsi="Arial" w:cs="Arial"/>
                                <w:smallCaps w:val="0"/>
                                <w:color w:val="9D2235" w:themeColor="accent1"/>
                                <w:sz w:val="16"/>
                                <w:szCs w:val="16"/>
                              </w:rPr>
                              <w:t xml:space="preserve">. </w:t>
                            </w:r>
                            <w:r w:rsidRPr="00096F00">
                              <w:rPr>
                                <w:rFonts w:ascii="Arial" w:hAnsi="Arial" w:cs="Arial"/>
                                <w:smallCaps w:val="0"/>
                                <w:sz w:val="16"/>
                                <w:szCs w:val="16"/>
                              </w:rPr>
                              <w:t>La planificación: herramienta clave para prevenir los riesgos de corrupción en las organizaciones.</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392E8E3" id="Cuadro de texto 271" o:spid="_x0000_s1031" type="#_x0000_t202" style="position:absolute;left:0;text-align:left;margin-left:-.05pt;margin-top:-15.7pt;width:168pt;height:36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vlGwIAAEIEAAAOAAAAZHJzL2Uyb0RvYy54bWysU01v2zAMvQ/YfxB0X5yka1cYcYosRYYB&#10;RVsgHXpWZCkWIIsapcTOfv0ofyRbt9Owi0yTFCm+97i4a2vLjgqDAVfw2WTKmXISSuP2Bf/2svlw&#10;y1mIwpXCglMFP6nA75bv3y0an6s5VGBLhYyKuJA3vuBVjD7PsiArVYswAa8cBTVgLSL94j4rUTRU&#10;vbbZfDq9yRrA0iNIFQJ57/sgX3b1tVYyPmkdVGS24PS22J3Ynbt0ZsuFyPcofGXk8AzxD6+ohXHU&#10;9FzqXkTBDmj+KFUbiRBAx4mEOgOtjVTdDDTNbPpmmm0lvOpmIXCCP8MU/l9Z+Xjc+mdksf0MLRGY&#10;AGl8yAM50zytxjp96aWM4gTh6QybaiOT5JzPrq5uphSSFPt4/Yl4SWWyy22PIX5RULNkFByJlg4t&#10;cXwIsU8dU1KzANaUG2Nt+kmBtUV2FERhU5mohuK/ZVmXch2kW33B5MkuoyQrtruWmbLg1+OYOyhP&#10;ND1CL4zg5cZQvwcR4rNAUgJNReqOT3RoC03BYbA4qwB//M2f8okginLWkLIKHr4fBCrO7FdH1CUZ&#10;jgaOxm403KFeA006o73xsjPpAkY7mhqhfiXRr1IXCgknqVfB42iuY69vWhqpVqsuicTmRXxwWy9T&#10;6RHXl/ZVoB9YicTnI4yaE/kbcvrcHuXVIYI2HXMJ1x7FAW4Sasf9sFRpE37977Iuq7/8CQAA//8D&#10;AFBLAwQUAAYACAAAACEAI48qBt8AAAAIAQAADwAAAGRycy9kb3ducmV2LnhtbEyPwU7DMBBE70j8&#10;g7VIXFDrpCkRTeNU0MINDi1Vz9vYJBHxOoqdJv17lhOcRqsZzbzNN5NtxcX0vnGkIJ5HIAyVTjdU&#10;KTh+vs2eQPiApLF1ZBRcjYdNcXuTY6bdSHtzOYRKcAn5DBXUIXSZlL6sjUU/d50h9r5cbzHw2VdS&#10;9zhyuW3lIopSabEhXqixM9valN+HwSpId/0w7mn7sDu+vuNHVy1OL9eTUvd30/MaRDBT+AvDLz6j&#10;Q8FMZzeQ9qJVMIs5yJLESxDsJ8njCsRZwTJKQRa5/P9A8QMAAP//AwBQSwECLQAUAAYACAAAACEA&#10;toM4kv4AAADhAQAAEwAAAAAAAAAAAAAAAAAAAAAAW0NvbnRlbnRfVHlwZXNdLnhtbFBLAQItABQA&#10;BgAIAAAAIQA4/SH/1gAAAJQBAAALAAAAAAAAAAAAAAAAAC8BAABfcmVscy8ucmVsc1BLAQItABQA&#10;BgAIAAAAIQAeOuvlGwIAAEIEAAAOAAAAAAAAAAAAAAAAAC4CAABkcnMvZTJvRG9jLnhtbFBLAQIt&#10;ABQABgAIAAAAIQAjjyoG3wAAAAgBAAAPAAAAAAAAAAAAAAAAAHUEAABkcnMvZG93bnJldi54bWxQ&#10;SwUGAAAAAAQABADzAAAAgQUAAAAA&#10;" stroked="f">
                <v:textbox inset="0,0,0,0">
                  <w:txbxContent>
                    <w:p w14:paraId="1AFB85AC" w14:textId="71EEE616" w:rsidR="004D416C" w:rsidRPr="00096F00" w:rsidRDefault="004D416C" w:rsidP="00096F00">
                      <w:pPr>
                        <w:pStyle w:val="Descripcin"/>
                        <w:rPr>
                          <w:rFonts w:ascii="Arial" w:eastAsia="Calibri" w:hAnsi="Arial" w:cs="Arial"/>
                          <w:smallCaps w:val="0"/>
                          <w:noProof/>
                          <w:sz w:val="16"/>
                          <w:szCs w:val="16"/>
                        </w:rPr>
                      </w:pPr>
                      <w:bookmarkStart w:id="20" w:name="_Toc67659164"/>
                      <w:r w:rsidRPr="00096F00">
                        <w:rPr>
                          <w:rFonts w:ascii="Arial" w:hAnsi="Arial" w:cs="Arial"/>
                          <w:smallCaps w:val="0"/>
                          <w:color w:val="9D2235" w:themeColor="accent1"/>
                          <w:sz w:val="16"/>
                          <w:szCs w:val="16"/>
                        </w:rPr>
                        <w:t xml:space="preserve">Imagen </w:t>
                      </w:r>
                      <w:r w:rsidRPr="00096F00">
                        <w:rPr>
                          <w:rFonts w:ascii="Arial" w:hAnsi="Arial" w:cs="Arial"/>
                          <w:smallCaps w:val="0"/>
                          <w:color w:val="9D2235" w:themeColor="accent1"/>
                          <w:sz w:val="16"/>
                          <w:szCs w:val="16"/>
                        </w:rPr>
                        <w:fldChar w:fldCharType="begin"/>
                      </w:r>
                      <w:r w:rsidRPr="00096F00">
                        <w:rPr>
                          <w:rFonts w:ascii="Arial" w:hAnsi="Arial" w:cs="Arial"/>
                          <w:smallCaps w:val="0"/>
                          <w:color w:val="9D2235" w:themeColor="accent1"/>
                          <w:sz w:val="16"/>
                          <w:szCs w:val="16"/>
                        </w:rPr>
                        <w:instrText xml:space="preserve"> SEQ Imagen \* ARABIC </w:instrText>
                      </w:r>
                      <w:r w:rsidRPr="00096F00">
                        <w:rPr>
                          <w:rFonts w:ascii="Arial" w:hAnsi="Arial" w:cs="Arial"/>
                          <w:smallCaps w:val="0"/>
                          <w:color w:val="9D2235" w:themeColor="accent1"/>
                          <w:sz w:val="16"/>
                          <w:szCs w:val="16"/>
                        </w:rPr>
                        <w:fldChar w:fldCharType="separate"/>
                      </w:r>
                      <w:r>
                        <w:rPr>
                          <w:rFonts w:ascii="Arial" w:hAnsi="Arial" w:cs="Arial"/>
                          <w:smallCaps w:val="0"/>
                          <w:noProof/>
                          <w:color w:val="9D2235" w:themeColor="accent1"/>
                          <w:sz w:val="16"/>
                          <w:szCs w:val="16"/>
                        </w:rPr>
                        <w:t>3</w:t>
                      </w:r>
                      <w:r w:rsidRPr="00096F00">
                        <w:rPr>
                          <w:rFonts w:ascii="Arial" w:hAnsi="Arial" w:cs="Arial"/>
                          <w:smallCaps w:val="0"/>
                          <w:color w:val="9D2235" w:themeColor="accent1"/>
                          <w:sz w:val="16"/>
                          <w:szCs w:val="16"/>
                        </w:rPr>
                        <w:fldChar w:fldCharType="end"/>
                      </w:r>
                      <w:r w:rsidRPr="00096F00">
                        <w:rPr>
                          <w:rFonts w:ascii="Arial" w:hAnsi="Arial" w:cs="Arial"/>
                          <w:smallCaps w:val="0"/>
                          <w:color w:val="9D2235" w:themeColor="accent1"/>
                          <w:sz w:val="16"/>
                          <w:szCs w:val="16"/>
                        </w:rPr>
                        <w:t xml:space="preserve">. </w:t>
                      </w:r>
                      <w:r w:rsidRPr="00096F00">
                        <w:rPr>
                          <w:rFonts w:ascii="Arial" w:hAnsi="Arial" w:cs="Arial"/>
                          <w:smallCaps w:val="0"/>
                          <w:sz w:val="16"/>
                          <w:szCs w:val="16"/>
                        </w:rPr>
                        <w:t>La planificación: herramienta clave para prevenir los riesgos de corrupción en las organizaciones.</w:t>
                      </w:r>
                      <w:bookmarkEnd w:id="20"/>
                    </w:p>
                  </w:txbxContent>
                </v:textbox>
                <w10:wrap type="square"/>
              </v:shape>
            </w:pict>
          </mc:Fallback>
        </mc:AlternateContent>
      </w:r>
      <w:r w:rsidR="00BB4994" w:rsidRPr="00973028">
        <w:rPr>
          <w:rFonts w:ascii="Arial" w:eastAsia="Calibri" w:hAnsi="Arial" w:cs="Arial"/>
          <w:sz w:val="21"/>
        </w:rPr>
        <w:t xml:space="preserve">Por Resolución del </w:t>
      </w:r>
      <w:r w:rsidR="00A9611D" w:rsidRPr="00973028">
        <w:rPr>
          <w:rFonts w:ascii="Arial" w:eastAsia="Calibri" w:hAnsi="Arial" w:cs="Arial"/>
          <w:sz w:val="21"/>
        </w:rPr>
        <w:t>d</w:t>
      </w:r>
      <w:r w:rsidR="00BB4994" w:rsidRPr="00973028">
        <w:rPr>
          <w:rFonts w:ascii="Arial" w:eastAsia="Calibri" w:hAnsi="Arial" w:cs="Arial"/>
          <w:sz w:val="21"/>
        </w:rPr>
        <w:t xml:space="preserve">irector núm. 449/2020, de 20 de octubre, se aprobó otra de las Recomendaciones generales del Servicio de Prevención: </w:t>
      </w:r>
      <w:r w:rsidR="00A9611D" w:rsidRPr="00973028">
        <w:rPr>
          <w:rFonts w:ascii="Arial" w:eastAsia="Calibri" w:hAnsi="Arial" w:cs="Arial"/>
          <w:b/>
          <w:bCs/>
          <w:sz w:val="21"/>
        </w:rPr>
        <w:t>“</w:t>
      </w:r>
      <w:r w:rsidR="00BB4994" w:rsidRPr="00973028">
        <w:rPr>
          <w:rFonts w:ascii="Arial" w:eastAsia="Calibri" w:hAnsi="Arial" w:cs="Arial"/>
          <w:b/>
          <w:bCs/>
          <w:sz w:val="21"/>
        </w:rPr>
        <w:t>La planificación: herramienta clave para prevenir los riesgos de corrupción en las organizaciones</w:t>
      </w:r>
      <w:r w:rsidR="00A9611D" w:rsidRPr="00973028">
        <w:rPr>
          <w:rFonts w:ascii="Arial" w:eastAsia="Calibri" w:hAnsi="Arial" w:cs="Arial"/>
          <w:b/>
          <w:bCs/>
          <w:sz w:val="21"/>
        </w:rPr>
        <w:t>”</w:t>
      </w:r>
      <w:r w:rsidR="00BB4994" w:rsidRPr="00973028">
        <w:rPr>
          <w:rFonts w:ascii="Arial" w:eastAsia="Calibri" w:hAnsi="Arial" w:cs="Arial"/>
          <w:b/>
          <w:bCs/>
          <w:sz w:val="21"/>
        </w:rPr>
        <w:t xml:space="preserve">. </w:t>
      </w:r>
      <w:r w:rsidR="00BB4994" w:rsidRPr="00973028">
        <w:rPr>
          <w:rFonts w:ascii="Arial" w:eastAsia="Calibri" w:hAnsi="Arial" w:cs="Arial"/>
          <w:sz w:val="21"/>
        </w:rPr>
        <w:t>Entre los principales riesgos de corrupción detectados se encuentra la falta de planificación de las políticas públicas y de su gestión, ya que sin dicha planificación no se pueden priorizar los intereses generales prevaleciendo la cultura de la improvisación y de lo “urgente” frente a lo “importante”. Así mismo la falta de planificación deja abierta la puerta a otros riesgos como el conflicto de interés, el enriquecimiento injusto o la falta de control de la actividad de las instituciones públicas.</w:t>
      </w:r>
    </w:p>
    <w:p w14:paraId="44DD8DF7" w14:textId="7F21A1A0"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La planificación es de vital importancia también en contextos de crisis como el actual que estamos viviendo con la COVID-19 ya que la planificación nos ofrece una visión estratégica que nos permite reasignar recursos en aquellas áreas de actividad que por considerarse “servicios esenciales” deben reforzarse.</w:t>
      </w:r>
    </w:p>
    <w:p w14:paraId="029C106E" w14:textId="3702D932"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Nuestra recomendación, además de señalar el valor de la planificación como herramienta básica de prevención de la corrupción, facilita algunas claves sobre cómo se debe realizar esta planificación señalando las consecuencias que provoca la falta de la misma e incide en la necesidad de evaluar los planes y tomar medidas ante las desviaciones detectadas entre lo pretendido y lo conseguido.</w:t>
      </w:r>
    </w:p>
    <w:p w14:paraId="382EFB51" w14:textId="64AEC5D2"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La última Recomendación general del ejercicio fue aprobada por Resolución del </w:t>
      </w:r>
      <w:r w:rsidR="00567ED4" w:rsidRPr="00973028">
        <w:rPr>
          <w:rFonts w:ascii="Arial" w:eastAsia="Calibri" w:hAnsi="Arial" w:cs="Arial"/>
          <w:sz w:val="21"/>
        </w:rPr>
        <w:t>d</w:t>
      </w:r>
      <w:r w:rsidRPr="00973028">
        <w:rPr>
          <w:rFonts w:ascii="Arial" w:eastAsia="Calibri" w:hAnsi="Arial" w:cs="Arial"/>
          <w:sz w:val="21"/>
        </w:rPr>
        <w:t xml:space="preserve">irector núm. 577/2020, de 3 de diciembre de 2020 </w:t>
      </w:r>
      <w:r w:rsidR="00CF5B2C" w:rsidRPr="00973028">
        <w:rPr>
          <w:rFonts w:ascii="Arial" w:eastAsia="Calibri" w:hAnsi="Arial" w:cs="Arial"/>
          <w:b/>
          <w:bCs/>
          <w:sz w:val="21"/>
        </w:rPr>
        <w:t>“</w:t>
      </w:r>
      <w:r w:rsidRPr="00973028">
        <w:rPr>
          <w:rFonts w:ascii="Arial" w:eastAsia="Calibri" w:hAnsi="Arial" w:cs="Arial"/>
          <w:b/>
          <w:bCs/>
          <w:sz w:val="21"/>
        </w:rPr>
        <w:t>Reflexiones sobre el conflicto de interés: su desconocimiento, la antesala de la corrupción</w:t>
      </w:r>
      <w:r w:rsidR="00567ED4" w:rsidRPr="00973028">
        <w:rPr>
          <w:rFonts w:ascii="Arial" w:eastAsia="Calibri" w:hAnsi="Arial" w:cs="Arial"/>
          <w:b/>
          <w:bCs/>
          <w:sz w:val="21"/>
        </w:rPr>
        <w:t>”</w:t>
      </w:r>
      <w:r w:rsidRPr="00973028">
        <w:rPr>
          <w:rFonts w:ascii="Arial" w:eastAsia="Calibri" w:hAnsi="Arial" w:cs="Arial"/>
          <w:sz w:val="21"/>
        </w:rPr>
        <w:t xml:space="preserve">, y presentada por la </w:t>
      </w:r>
      <w:r w:rsidR="002D5550" w:rsidRPr="00973028">
        <w:rPr>
          <w:rFonts w:ascii="Arial" w:eastAsia="Calibri" w:hAnsi="Arial" w:cs="Arial"/>
          <w:sz w:val="21"/>
        </w:rPr>
        <w:t>d</w:t>
      </w:r>
      <w:r w:rsidRPr="00973028">
        <w:rPr>
          <w:rFonts w:ascii="Arial" w:eastAsia="Calibri" w:hAnsi="Arial" w:cs="Arial"/>
          <w:sz w:val="21"/>
        </w:rPr>
        <w:t>irectora del área el pasado 9 de diciembre, con ocasión de la temática y celebración del Día Internacional de Lucha contra la Corrupción.</w:t>
      </w:r>
    </w:p>
    <w:p w14:paraId="7D6C2479" w14:textId="6E9DAB53" w:rsidR="00BB4994" w:rsidRPr="00973028" w:rsidRDefault="00096F00"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noProof/>
          <w:sz w:val="21"/>
        </w:rPr>
        <w:lastRenderedPageBreak/>
        <mc:AlternateContent>
          <mc:Choice Requires="wps">
            <w:drawing>
              <wp:anchor distT="45720" distB="45720" distL="114300" distR="114300" simplePos="0" relativeHeight="251915264" behindDoc="0" locked="0" layoutInCell="1" allowOverlap="1" wp14:anchorId="08BB0808" wp14:editId="56BA18A6">
                <wp:simplePos x="0" y="0"/>
                <wp:positionH relativeFrom="margin">
                  <wp:posOffset>0</wp:posOffset>
                </wp:positionH>
                <wp:positionV relativeFrom="paragraph">
                  <wp:posOffset>682625</wp:posOffset>
                </wp:positionV>
                <wp:extent cx="2133600" cy="2658110"/>
                <wp:effectExtent l="0" t="0" r="0" b="8890"/>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658110"/>
                        </a:xfrm>
                        <a:prstGeom prst="rect">
                          <a:avLst/>
                        </a:prstGeom>
                        <a:solidFill>
                          <a:srgbClr val="FFFFFF"/>
                        </a:solidFill>
                        <a:ln w="9525">
                          <a:noFill/>
                          <a:miter lim="800000"/>
                          <a:headEnd/>
                          <a:tailEnd/>
                        </a:ln>
                      </wps:spPr>
                      <wps:txbx>
                        <w:txbxContent>
                          <w:p w14:paraId="3236E16F" w14:textId="77777777" w:rsidR="004D416C" w:rsidRDefault="004D416C" w:rsidP="00BB4994">
                            <w:r>
                              <w:rPr>
                                <w:rFonts w:ascii="Calibri" w:hAnsi="Calibri"/>
                                <w:noProof/>
                                <w:sz w:val="20"/>
                                <w:szCs w:val="20"/>
                                <w:lang w:eastAsia="es-ES"/>
                              </w:rPr>
                              <w:drawing>
                                <wp:inline distT="0" distB="0" distL="0" distR="0" wp14:anchorId="25F76B56" wp14:editId="6ABB1957">
                                  <wp:extent cx="1561933" cy="2204604"/>
                                  <wp:effectExtent l="19050" t="19050" r="19685" b="24765"/>
                                  <wp:docPr id="27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2932" cy="2220129"/>
                                          </a:xfrm>
                                          <a:prstGeom prst="rect">
                                            <a:avLst/>
                                          </a:prstGeom>
                                          <a:noFill/>
                                          <a:ln w="9525" cmpd="sng">
                                            <a:solidFill>
                                              <a:srgbClr val="9D2235"/>
                                            </a:solidFill>
                                            <a:miter lim="800000"/>
                                            <a:headEnd/>
                                            <a:tailEnd/>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B0808" id="_x0000_s1032" type="#_x0000_t202" style="position:absolute;left:0;text-align:left;margin-left:0;margin-top:53.75pt;width:168pt;height:209.3pt;z-index:25191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WEgIAAP4DAAAOAAAAZHJzL2Uyb0RvYy54bWysU9tuGyEQfa/Uf0C813uJ7Tor4yh16qpS&#10;epHSfgDLsl5UlqGAvZt+fQbWcaz0rSoPiGFmDjNnDuubsdfkKJ1XYBgtZjkl0gholNkz+vPH7t2K&#10;Eh+4abgGIxl9lJ7ebN6+WQ+2kiV0oBvpCIIYXw2W0S4EW2WZF53suZ+BlQadLbieBzTdPmscHxC9&#10;11mZ58tsANdYB0J6j7d3k5NuEn7bShG+ta2XgWhGsbaQdpf2Ou7ZZs2rveO2U+JUBv+HKnquDD56&#10;hrrjgZODU39B9Uo48NCGmYA+g7ZVQqYesJsif9XNQ8etTL0gOd6eafL/D1Z8PT7Y746E8QOMOMDU&#10;hLf3IH55YmDbcbOXt87B0Ene4MNFpCwbrK9OqZFqX/kIUg9foMEh80OABDS2ro+sYJ8E0XEAj2fS&#10;5RiIwMuyuLpa5ugS6CuXi1VRpLFkvHpOt86HTxJ6Eg+MOpxqgufHex9iObx6DomvedCq2Smtk+H2&#10;9VY7cuSogF1aqYNXYdqQgdHrRblIyAZifhJHrwIqVKue0VUe16SZSMdH06SQwJWezliJNid+IiUT&#10;OWGsR6IaRpcxN9JVQ/OIhDmYBIkfCA8duD+UDChGRv3vA3eSEv3ZIOnXxXwe1ZuM+eJ9iYa79NSX&#10;Hm4EQjEaKJmO25AUH+kwcIvDaVWi7aWSU8kossTm6UNEFV/aKerl226eAAAA//8DAFBLAwQUAAYA&#10;CAAAACEAJF2lhNwAAAAIAQAADwAAAGRycy9kb3ducmV2LnhtbEyPQU+DQBCF7yb+h82YeDF2aSvQ&#10;IkujJhqvrf0BA0yByM4Sdlvov3c86XHee3nzvXw3215daPSdYwPLRQSKuHJ1x42B49f74waUD8g1&#10;9o7JwJU87Irbmxyz2k28p8shNEpK2GdooA1hyLT2VUsW/cINxOKd3GgxyDk2uh5xknLb61UUJdpi&#10;x/KhxYHeWqq+D2dr4PQ5PcTbqfwIx3T/lLxil5buasz93fzyDCrQHP7C8Isv6FAIU+nOXHvVG5Ah&#10;QdQojUGJvV4nopQG4lWyBF3k+v+A4gcAAP//AwBQSwECLQAUAAYACAAAACEAtoM4kv4AAADhAQAA&#10;EwAAAAAAAAAAAAAAAAAAAAAAW0NvbnRlbnRfVHlwZXNdLnhtbFBLAQItABQABgAIAAAAIQA4/SH/&#10;1gAAAJQBAAALAAAAAAAAAAAAAAAAAC8BAABfcmVscy8ucmVsc1BLAQItABQABgAIAAAAIQB/vgsW&#10;EgIAAP4DAAAOAAAAAAAAAAAAAAAAAC4CAABkcnMvZTJvRG9jLnhtbFBLAQItABQABgAIAAAAIQAk&#10;XaWE3AAAAAgBAAAPAAAAAAAAAAAAAAAAAGwEAABkcnMvZG93bnJldi54bWxQSwUGAAAAAAQABADz&#10;AAAAdQUAAAAA&#10;" stroked="f">
                <v:textbox>
                  <w:txbxContent>
                    <w:p w14:paraId="3236E16F" w14:textId="77777777" w:rsidR="004D416C" w:rsidRDefault="004D416C" w:rsidP="00BB4994">
                      <w:r>
                        <w:rPr>
                          <w:rFonts w:ascii="Calibri" w:hAnsi="Calibri"/>
                          <w:noProof/>
                          <w:sz w:val="20"/>
                          <w:szCs w:val="20"/>
                          <w:lang w:eastAsia="es-ES"/>
                        </w:rPr>
                        <w:drawing>
                          <wp:inline distT="0" distB="0" distL="0" distR="0" wp14:anchorId="25F76B56" wp14:editId="6ABB1957">
                            <wp:extent cx="1561933" cy="2204604"/>
                            <wp:effectExtent l="19050" t="19050" r="19685" b="24765"/>
                            <wp:docPr id="27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2932" cy="2220129"/>
                                    </a:xfrm>
                                    <a:prstGeom prst="rect">
                                      <a:avLst/>
                                    </a:prstGeom>
                                    <a:noFill/>
                                    <a:ln w="9525" cmpd="sng">
                                      <a:solidFill>
                                        <a:srgbClr val="9D2235"/>
                                      </a:solidFill>
                                      <a:miter lim="800000"/>
                                      <a:headEnd/>
                                      <a:tailEnd/>
                                    </a:ln>
                                    <a:effectLst/>
                                  </pic:spPr>
                                </pic:pic>
                              </a:graphicData>
                            </a:graphic>
                          </wp:inline>
                        </w:drawing>
                      </w:r>
                    </w:p>
                  </w:txbxContent>
                </v:textbox>
                <w10:wrap type="square" anchorx="margin"/>
              </v:shape>
            </w:pict>
          </mc:Fallback>
        </mc:AlternateContent>
      </w:r>
      <w:r>
        <w:rPr>
          <w:noProof/>
        </w:rPr>
        <mc:AlternateContent>
          <mc:Choice Requires="wps">
            <w:drawing>
              <wp:anchor distT="0" distB="0" distL="114300" distR="114300" simplePos="0" relativeHeight="251959296" behindDoc="0" locked="0" layoutInCell="1" allowOverlap="1" wp14:anchorId="452C38C0" wp14:editId="2FD45EE5">
                <wp:simplePos x="0" y="0"/>
                <wp:positionH relativeFrom="column">
                  <wp:posOffset>0</wp:posOffset>
                </wp:positionH>
                <wp:positionV relativeFrom="paragraph">
                  <wp:posOffset>0</wp:posOffset>
                </wp:positionV>
                <wp:extent cx="2133600" cy="457200"/>
                <wp:effectExtent l="0" t="0" r="0" b="0"/>
                <wp:wrapSquare wrapText="bothSides"/>
                <wp:docPr id="272" name="Cuadro de texto 272"/>
                <wp:cNvGraphicFramePr/>
                <a:graphic xmlns:a="http://schemas.openxmlformats.org/drawingml/2006/main">
                  <a:graphicData uri="http://schemas.microsoft.com/office/word/2010/wordprocessingShape">
                    <wps:wsp>
                      <wps:cNvSpPr txBox="1"/>
                      <wps:spPr>
                        <a:xfrm>
                          <a:off x="0" y="0"/>
                          <a:ext cx="2133600" cy="457200"/>
                        </a:xfrm>
                        <a:prstGeom prst="rect">
                          <a:avLst/>
                        </a:prstGeom>
                        <a:solidFill>
                          <a:prstClr val="white"/>
                        </a:solidFill>
                        <a:ln>
                          <a:noFill/>
                        </a:ln>
                      </wps:spPr>
                      <wps:txbx>
                        <w:txbxContent>
                          <w:p w14:paraId="48F87BC2" w14:textId="3A9922E2" w:rsidR="004D416C" w:rsidRPr="00096F00" w:rsidRDefault="004D416C" w:rsidP="00096F00">
                            <w:pPr>
                              <w:pStyle w:val="Descripcin"/>
                              <w:rPr>
                                <w:rFonts w:ascii="Arial" w:eastAsia="Calibri" w:hAnsi="Arial" w:cs="Arial"/>
                                <w:smallCaps w:val="0"/>
                                <w:noProof/>
                                <w:sz w:val="16"/>
                                <w:szCs w:val="16"/>
                              </w:rPr>
                            </w:pPr>
                            <w:bookmarkStart w:id="21" w:name="_Toc67659165"/>
                            <w:r w:rsidRPr="00096F00">
                              <w:rPr>
                                <w:rFonts w:ascii="Arial" w:hAnsi="Arial" w:cs="Arial"/>
                                <w:smallCaps w:val="0"/>
                                <w:color w:val="9D2235" w:themeColor="accent1"/>
                                <w:sz w:val="16"/>
                                <w:szCs w:val="16"/>
                              </w:rPr>
                              <w:t xml:space="preserve">Imagen </w:t>
                            </w:r>
                            <w:r w:rsidRPr="00096F00">
                              <w:rPr>
                                <w:rFonts w:ascii="Arial" w:hAnsi="Arial" w:cs="Arial"/>
                                <w:smallCaps w:val="0"/>
                                <w:color w:val="9D2235" w:themeColor="accent1"/>
                                <w:sz w:val="16"/>
                                <w:szCs w:val="16"/>
                              </w:rPr>
                              <w:fldChar w:fldCharType="begin"/>
                            </w:r>
                            <w:r w:rsidRPr="00096F00">
                              <w:rPr>
                                <w:rFonts w:ascii="Arial" w:hAnsi="Arial" w:cs="Arial"/>
                                <w:smallCaps w:val="0"/>
                                <w:color w:val="9D2235" w:themeColor="accent1"/>
                                <w:sz w:val="16"/>
                                <w:szCs w:val="16"/>
                              </w:rPr>
                              <w:instrText xml:space="preserve"> SEQ Imagen \* ARABIC </w:instrText>
                            </w:r>
                            <w:r w:rsidRPr="00096F00">
                              <w:rPr>
                                <w:rFonts w:ascii="Arial" w:hAnsi="Arial" w:cs="Arial"/>
                                <w:smallCaps w:val="0"/>
                                <w:color w:val="9D2235" w:themeColor="accent1"/>
                                <w:sz w:val="16"/>
                                <w:szCs w:val="16"/>
                              </w:rPr>
                              <w:fldChar w:fldCharType="separate"/>
                            </w:r>
                            <w:r w:rsidRPr="00096F00">
                              <w:rPr>
                                <w:rFonts w:ascii="Arial" w:hAnsi="Arial" w:cs="Arial"/>
                                <w:smallCaps w:val="0"/>
                                <w:noProof/>
                                <w:color w:val="9D2235" w:themeColor="accent1"/>
                                <w:sz w:val="16"/>
                                <w:szCs w:val="16"/>
                              </w:rPr>
                              <w:t>4</w:t>
                            </w:r>
                            <w:r w:rsidRPr="00096F00">
                              <w:rPr>
                                <w:rFonts w:ascii="Arial" w:hAnsi="Arial" w:cs="Arial"/>
                                <w:smallCaps w:val="0"/>
                                <w:color w:val="9D2235" w:themeColor="accent1"/>
                                <w:sz w:val="16"/>
                                <w:szCs w:val="16"/>
                              </w:rPr>
                              <w:fldChar w:fldCharType="end"/>
                            </w:r>
                            <w:r w:rsidRPr="00096F00">
                              <w:rPr>
                                <w:rFonts w:ascii="Arial" w:hAnsi="Arial" w:cs="Arial"/>
                                <w:smallCaps w:val="0"/>
                                <w:color w:val="9D2235" w:themeColor="accent1"/>
                                <w:sz w:val="16"/>
                                <w:szCs w:val="16"/>
                              </w:rPr>
                              <w:t xml:space="preserve">. </w:t>
                            </w:r>
                            <w:r w:rsidRPr="00096F00">
                              <w:rPr>
                                <w:rFonts w:ascii="Arial" w:hAnsi="Arial" w:cs="Arial"/>
                                <w:smallCaps w:val="0"/>
                                <w:sz w:val="16"/>
                                <w:szCs w:val="16"/>
                              </w:rPr>
                              <w:t>Reflexiones sobre el conflicto de interés: su desconocimiento, la antesala de la corrupción</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52C38C0" id="Cuadro de texto 272" o:spid="_x0000_s1033" type="#_x0000_t202" style="position:absolute;left:0;text-align:left;margin-left:0;margin-top:0;width:168pt;height:36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KvGwIAAEIEAAAOAAAAZHJzL2Uyb0RvYy54bWysU01v2zAMvQ/YfxB0X5ykW1sYcYosRYYB&#10;RVsgHXpWZCkWIIsapcTOfv0ofyRbt9Owi0yTFCm+97i4a2vLjgqDAVfw2WTKmXISSuP2Bf/2svlw&#10;y1mIwpXCglMFP6nA75bv3y0an6s5VGBLhYyKuJA3vuBVjD7PsiArVYswAa8cBTVgLSL94j4rUTRU&#10;vbbZfDq9zhrA0iNIFQJ57/sgX3b1tVYyPmkdVGS24PS22J3Ynbt0ZsuFyPcofGXk8AzxD6+ohXHU&#10;9FzqXkTBDmj+KFUbiRBAx4mEOgOtjVTdDDTNbPpmmm0lvOpmIXCCP8MU/l9Z+Xjc+mdksf0MLRGY&#10;AGl8yAM50zytxjp96aWM4gTh6QybaiOT5JzPrq6upxSSFPv46YZ4SWWyy22PIX5RULNkFByJlg4t&#10;cXwIsU8dU1KzANaUG2Nt+kmBtUV2FERhU5mohuK/ZVmXch2kW33B5MkuoyQrtruWmbLgN+OYOyhP&#10;ND1CL4zg5cZQvwcR4rNAUgJNReqOT3RoC03BYbA4qwB//M2f8okginLWkLIKHr4fBCrO7FdH1CUZ&#10;jgaOxm403KFeA006o73xsjPpAkY7mhqhfiXRr1IXCgknqVfB42iuY69vWhqpVqsuicTmRXxwWy9T&#10;6RHXl/ZVoB9YicTnI4yaE/kbcvrcHuXVIYI2HXMJ1x7FAW4Sasf9sFRpE37977Iuq7/8CQAA//8D&#10;AFBLAwQUAAYACAAAACEA1Uypk9oAAAAEAQAADwAAAGRycy9kb3ducmV2LnhtbEyPQUvDQBCF74L/&#10;YRnBi9iNKUSJ2RRt9aaH1tLzNDsmwexsyG6a9N87etHLg8cb3vumWM2uUycaQuvZwN0iAUVcedty&#10;bWD/8Xr7ACpEZIudZzJwpgCr8vKiwNz6ibd02sVaSQmHHA00Mfa51qFqyGFY+J5Ysk8/OIxih1rb&#10;AScpd51OkyTTDluWhQZ7WjdUfe1GZyDbDOO05fXNZv/yhu99nR6ezwdjrq/mp0dQkeb4dww/+IIO&#10;pTAd/cg2qM6APBJ/VbLlMhN7NHCfJqDLQv+HL78BAAD//wMAUEsBAi0AFAAGAAgAAAAhALaDOJL+&#10;AAAA4QEAABMAAAAAAAAAAAAAAAAAAAAAAFtDb250ZW50X1R5cGVzXS54bWxQSwECLQAUAAYACAAA&#10;ACEAOP0h/9YAAACUAQAACwAAAAAAAAAAAAAAAAAvAQAAX3JlbHMvLnJlbHNQSwECLQAUAAYACAAA&#10;ACEAHHWirxsCAABCBAAADgAAAAAAAAAAAAAAAAAuAgAAZHJzL2Uyb0RvYy54bWxQSwECLQAUAAYA&#10;CAAAACEA1Uypk9oAAAAEAQAADwAAAAAAAAAAAAAAAAB1BAAAZHJzL2Rvd25yZXYueG1sUEsFBgAA&#10;AAAEAAQA8wAAAHwFAAAAAA==&#10;" stroked="f">
                <v:textbox inset="0,0,0,0">
                  <w:txbxContent>
                    <w:p w14:paraId="48F87BC2" w14:textId="3A9922E2" w:rsidR="004D416C" w:rsidRPr="00096F00" w:rsidRDefault="004D416C" w:rsidP="00096F00">
                      <w:pPr>
                        <w:pStyle w:val="Descripcin"/>
                        <w:rPr>
                          <w:rFonts w:ascii="Arial" w:eastAsia="Calibri" w:hAnsi="Arial" w:cs="Arial"/>
                          <w:smallCaps w:val="0"/>
                          <w:noProof/>
                          <w:sz w:val="16"/>
                          <w:szCs w:val="16"/>
                        </w:rPr>
                      </w:pPr>
                      <w:bookmarkStart w:id="22" w:name="_Toc67659165"/>
                      <w:r w:rsidRPr="00096F00">
                        <w:rPr>
                          <w:rFonts w:ascii="Arial" w:hAnsi="Arial" w:cs="Arial"/>
                          <w:smallCaps w:val="0"/>
                          <w:color w:val="9D2235" w:themeColor="accent1"/>
                          <w:sz w:val="16"/>
                          <w:szCs w:val="16"/>
                        </w:rPr>
                        <w:t xml:space="preserve">Imagen </w:t>
                      </w:r>
                      <w:r w:rsidRPr="00096F00">
                        <w:rPr>
                          <w:rFonts w:ascii="Arial" w:hAnsi="Arial" w:cs="Arial"/>
                          <w:smallCaps w:val="0"/>
                          <w:color w:val="9D2235" w:themeColor="accent1"/>
                          <w:sz w:val="16"/>
                          <w:szCs w:val="16"/>
                        </w:rPr>
                        <w:fldChar w:fldCharType="begin"/>
                      </w:r>
                      <w:r w:rsidRPr="00096F00">
                        <w:rPr>
                          <w:rFonts w:ascii="Arial" w:hAnsi="Arial" w:cs="Arial"/>
                          <w:smallCaps w:val="0"/>
                          <w:color w:val="9D2235" w:themeColor="accent1"/>
                          <w:sz w:val="16"/>
                          <w:szCs w:val="16"/>
                        </w:rPr>
                        <w:instrText xml:space="preserve"> SEQ Imagen \* ARABIC </w:instrText>
                      </w:r>
                      <w:r w:rsidRPr="00096F00">
                        <w:rPr>
                          <w:rFonts w:ascii="Arial" w:hAnsi="Arial" w:cs="Arial"/>
                          <w:smallCaps w:val="0"/>
                          <w:color w:val="9D2235" w:themeColor="accent1"/>
                          <w:sz w:val="16"/>
                          <w:szCs w:val="16"/>
                        </w:rPr>
                        <w:fldChar w:fldCharType="separate"/>
                      </w:r>
                      <w:r w:rsidRPr="00096F00">
                        <w:rPr>
                          <w:rFonts w:ascii="Arial" w:hAnsi="Arial" w:cs="Arial"/>
                          <w:smallCaps w:val="0"/>
                          <w:noProof/>
                          <w:color w:val="9D2235" w:themeColor="accent1"/>
                          <w:sz w:val="16"/>
                          <w:szCs w:val="16"/>
                        </w:rPr>
                        <w:t>4</w:t>
                      </w:r>
                      <w:r w:rsidRPr="00096F00">
                        <w:rPr>
                          <w:rFonts w:ascii="Arial" w:hAnsi="Arial" w:cs="Arial"/>
                          <w:smallCaps w:val="0"/>
                          <w:color w:val="9D2235" w:themeColor="accent1"/>
                          <w:sz w:val="16"/>
                          <w:szCs w:val="16"/>
                        </w:rPr>
                        <w:fldChar w:fldCharType="end"/>
                      </w:r>
                      <w:r w:rsidRPr="00096F00">
                        <w:rPr>
                          <w:rFonts w:ascii="Arial" w:hAnsi="Arial" w:cs="Arial"/>
                          <w:smallCaps w:val="0"/>
                          <w:color w:val="9D2235" w:themeColor="accent1"/>
                          <w:sz w:val="16"/>
                          <w:szCs w:val="16"/>
                        </w:rPr>
                        <w:t xml:space="preserve">. </w:t>
                      </w:r>
                      <w:r w:rsidRPr="00096F00">
                        <w:rPr>
                          <w:rFonts w:ascii="Arial" w:hAnsi="Arial" w:cs="Arial"/>
                          <w:smallCaps w:val="0"/>
                          <w:sz w:val="16"/>
                          <w:szCs w:val="16"/>
                        </w:rPr>
                        <w:t>Reflexiones sobre el conflicto de interés: su desconocimiento, la antesala de la corrupción</w:t>
                      </w:r>
                      <w:bookmarkEnd w:id="22"/>
                    </w:p>
                  </w:txbxContent>
                </v:textbox>
                <w10:wrap type="square"/>
              </v:shape>
            </w:pict>
          </mc:Fallback>
        </mc:AlternateContent>
      </w:r>
      <w:r w:rsidR="00BB4994" w:rsidRPr="00973028">
        <w:rPr>
          <w:rFonts w:ascii="Arial" w:eastAsia="Calibri" w:hAnsi="Arial" w:cs="Arial"/>
          <w:sz w:val="21"/>
        </w:rPr>
        <w:t>La Recomendación se fundamenta en un análisis pormenorizado de la regulación internacional, nacional y autonómica del conflicto de interés y de su interpretación por los organismos más representativos (como, por ejemplo, la Organización para la Cooperación y el Desarrollo Económicos (OCDE) o la Autoridad independiente para la Transparencia francesa). Las reflexiones se concentran en la necesidad de conocer e identificar y tomar conciencia de las situaciones constitutivas de un conflicto de interés (real, potencial o aparente). Ello nos permitirá tomar las medidas adecuadas para prevenir y evitar las irregularidades (administrativas y penales) en las que deriva este gran riesgo de corrupción, que pone en jaque la imparcialidad, la objetividad y el servicio público y, por tanto, para actuar sin injerencias externas de intereses particulares que nos desvíen de la misión de servir al interés general.</w:t>
      </w:r>
    </w:p>
    <w:p w14:paraId="38C022D4"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Las Reflexiones contienen un amplio y didáctico elenco de ejemplos, situaciones de todo tipo, en las que podría darse un conflicto de interés (en los procesos de toma de decisiones, función pública, contratos del sector público o urbanismo, entre otros), así como una recopilación de sentencias judiciales y resoluciones de distintos órganos (tribunales administrativos de contratación, autoridad independiente de defensa de la competencia, etc.) con una breve explicación de cómo fueron tratadas, en cada caso, las situaciones de conflictos de interés.</w:t>
      </w:r>
    </w:p>
    <w:p w14:paraId="3E04F602"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Culmina el documento señalando los principales mecanismos al alcance las organizaciones para detectar y controlar los conflictos de interés, tales como las declaraciones responsables o los códigos éticos, entre otros.</w:t>
      </w:r>
    </w:p>
    <w:p w14:paraId="5F5E8025"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En este ejercicio, el Servicio de Prevención también ha ejercido las funciones de asesoramiento preventivo en colaboración con la Dirección de Análisis e Investigación elaborando propuestas de </w:t>
      </w:r>
      <w:r w:rsidRPr="00973028">
        <w:rPr>
          <w:rFonts w:ascii="Arial" w:eastAsia="Calibri" w:hAnsi="Arial" w:cs="Arial"/>
          <w:b/>
          <w:bCs/>
          <w:sz w:val="21"/>
        </w:rPr>
        <w:t xml:space="preserve">recomendaciones específicas </w:t>
      </w:r>
      <w:r w:rsidRPr="00973028">
        <w:rPr>
          <w:rFonts w:ascii="Arial" w:eastAsia="Calibri" w:hAnsi="Arial" w:cs="Arial"/>
          <w:sz w:val="21"/>
        </w:rPr>
        <w:t>sobre determinadas actuaciones investigadas. Concretamente, durante el 2020, colaboró en relación con algunas de las materias de mayor riesgo de fraude o corrupción, atendiendo a las denuncias con entrada en la Agencia.</w:t>
      </w:r>
    </w:p>
    <w:p w14:paraId="4766E7FA" w14:textId="4A57AB42"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Citaremos, por ejemplo, la recomendación específica aprobada por Resolución del </w:t>
      </w:r>
      <w:r w:rsidR="00567ED4" w:rsidRPr="00973028">
        <w:rPr>
          <w:rFonts w:ascii="Arial" w:eastAsia="Calibri" w:hAnsi="Arial" w:cs="Arial"/>
          <w:sz w:val="21"/>
        </w:rPr>
        <w:t>d</w:t>
      </w:r>
      <w:r w:rsidRPr="00973028">
        <w:rPr>
          <w:rFonts w:ascii="Arial" w:eastAsia="Calibri" w:hAnsi="Arial" w:cs="Arial"/>
          <w:sz w:val="21"/>
        </w:rPr>
        <w:t>irector de 26 de agosto de 2020 en materia de integridad pública y buenas praxis que contribuyan a ello y a la mejora del proceso de participación ciudadana “DecidimVlc”</w:t>
      </w:r>
      <w:r w:rsidRPr="00973028">
        <w:rPr>
          <w:rFonts w:ascii="Arial" w:eastAsia="Calibri" w:hAnsi="Arial" w:cs="Arial"/>
          <w:i/>
          <w:sz w:val="21"/>
        </w:rPr>
        <w:t xml:space="preserve"> </w:t>
      </w:r>
      <w:r w:rsidRPr="00973028">
        <w:rPr>
          <w:rFonts w:ascii="Arial" w:eastAsia="Calibri" w:hAnsi="Arial" w:cs="Arial"/>
          <w:sz w:val="21"/>
        </w:rPr>
        <w:t>del organismo destinatario (Ayuntamiento de Val</w:t>
      </w:r>
      <w:r w:rsidR="00FC1996">
        <w:rPr>
          <w:rFonts w:ascii="Arial" w:eastAsia="Calibri" w:hAnsi="Arial" w:cs="Arial"/>
          <w:sz w:val="21"/>
        </w:rPr>
        <w:t>è</w:t>
      </w:r>
      <w:r w:rsidRPr="00973028">
        <w:rPr>
          <w:rFonts w:ascii="Arial" w:eastAsia="Calibri" w:hAnsi="Arial" w:cs="Arial"/>
          <w:sz w:val="21"/>
        </w:rPr>
        <w:t>ncia).</w:t>
      </w:r>
    </w:p>
    <w:p w14:paraId="51DE482C"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La recomendación, que no tiene carácter vinculante, fue motivada por una denuncia anónima sobre el posible fraude en el procedimiento de participación ciudadana en la elaboración del Presupuesto Municipal 2020 (presupuestos participativos “DecidimVlc”) para decidir inversiones en Valencia, por ser fácilmente manipulable el resultado final y permitir </w:t>
      </w:r>
      <w:r w:rsidRPr="00973028">
        <w:rPr>
          <w:rFonts w:ascii="Arial" w:eastAsia="Calibri" w:hAnsi="Arial" w:cs="Arial"/>
          <w:sz w:val="21"/>
        </w:rPr>
        <w:lastRenderedPageBreak/>
        <w:t>la toma de decisiones a un escaso porcentaje de vecinos/as.</w:t>
      </w:r>
    </w:p>
    <w:p w14:paraId="57839E78"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Una vez constatada por la AVAF la inexistencia de fraude o corrupción en el mencionado proceso de participación ciudadana, se elaboró la propuesta de recomendación con pleno respeto a la autonomía local y sin prejuzgar ninguna actuación irregular,</w:t>
      </w:r>
      <w:r w:rsidRPr="00973028">
        <w:rPr>
          <w:rFonts w:ascii="Arial" w:eastAsia="Calibri" w:hAnsi="Arial" w:cs="Arial"/>
          <w:w w:val="105"/>
          <w:sz w:val="21"/>
        </w:rPr>
        <w:t xml:space="preserve"> </w:t>
      </w:r>
      <w:r w:rsidRPr="00973028">
        <w:rPr>
          <w:rFonts w:ascii="Arial" w:eastAsia="Calibri" w:hAnsi="Arial" w:cs="Arial"/>
          <w:sz w:val="21"/>
        </w:rPr>
        <w:t>con el propósito de mejorar la transparencia y la participación ciudadana en el procedimiento de elaboración del presupuesto municipal (“DecidimVlc”).</w:t>
      </w:r>
    </w:p>
    <w:p w14:paraId="6F633D4E"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La recomendación de la AVAF propone hasta diez mecanismos de prevención que suponen en la práctica implementar una cultura de la ética y la integridad pública</w:t>
      </w:r>
      <w:r w:rsidRPr="00973028">
        <w:rPr>
          <w:rFonts w:ascii="Arial" w:eastAsia="Calibri" w:hAnsi="Arial" w:cs="Arial"/>
          <w:w w:val="105"/>
          <w:sz w:val="21"/>
        </w:rPr>
        <w:t xml:space="preserve">. </w:t>
      </w:r>
      <w:r w:rsidRPr="00973028">
        <w:rPr>
          <w:rFonts w:ascii="Arial" w:eastAsia="Calibri" w:hAnsi="Arial" w:cs="Arial"/>
          <w:sz w:val="21"/>
        </w:rPr>
        <w:t>Entre ellos, se encuentran: l</w:t>
      </w:r>
      <w:r w:rsidRPr="00973028">
        <w:rPr>
          <w:rFonts w:ascii="Arial" w:eastAsia="Calibri" w:hAnsi="Arial" w:cs="Arial"/>
          <w:w w:val="105"/>
          <w:sz w:val="21"/>
        </w:rPr>
        <w:t>a necesidad de justificar las discrepancias entre la cuantía asignada a este proceso y la que conste en el presupuesto municipal; facilitar un enlace permanente visible desde la web del Ayuntamiento para maximizar la participación ciudadana; intensificar la campaña de divulgación sobre el proceso; utilizar espacios de deliberación presencial o telemáticos; publicar los resultados del proceso participativo y el seguimiento de su ejecución en formato abierto y reutilizable; considerar en el diseño y seguimiento del proceso la proporcionalidad entre el número de votos necesarios para la selección de los proyectos de inversiones a ejecutar y el incremento del porcentaje de participación ciudadana efectiva; planificar adecuadamente la extensión temporal de la fase de análisis de viabilidad e incrementar la labor pedagógica; incluir en las bases reguladoras del proceso participativo algún mecanismo (como, por ejemplo, declaraciones responsables, con compromisos de actualización) que permita la detección y ulterior control de la posible existencia de conflictos de intereses; planificar el proceso de participación ciudadana en los presupuestos municipales de manera integrada/coordinada con la planificación del resto de áreas de la organización; habilitar para futuros procesos participativos un canal específico de denuncias o quejas de la ciudadanía cuando detecte alguna disfunción en el proceso.</w:t>
      </w:r>
    </w:p>
    <w:p w14:paraId="4D33BFC3" w14:textId="7E495E56"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El documento fue remitido por la AVAF al Ayuntamiento de Val</w:t>
      </w:r>
      <w:r w:rsidR="00FC1996">
        <w:rPr>
          <w:rFonts w:ascii="Arial" w:eastAsia="Calibri" w:hAnsi="Arial" w:cs="Arial"/>
          <w:sz w:val="21"/>
        </w:rPr>
        <w:t>è</w:t>
      </w:r>
      <w:r w:rsidRPr="00973028">
        <w:rPr>
          <w:rFonts w:ascii="Arial" w:eastAsia="Calibri" w:hAnsi="Arial" w:cs="Arial"/>
          <w:sz w:val="21"/>
        </w:rPr>
        <w:t>ncia, quién, desde su versión inicial, lo recibió y valoró de forma constructiva, aceptando valorar la incorporación del grueso de las recomendaciones propuestas en sucesivos ejercicios presupuestarios, predisposición que desde la AVAF se agradece y celebra.</w:t>
      </w:r>
    </w:p>
    <w:p w14:paraId="5550815E" w14:textId="28E25A28"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Otras recomendaciones específicas y/o propuestas realizadas desde Prevención en relación a expedientes motivados por denuncias derivados por la Dirección de </w:t>
      </w:r>
      <w:r w:rsidR="00036D8C">
        <w:rPr>
          <w:rFonts w:ascii="Arial" w:eastAsia="Calibri" w:hAnsi="Arial" w:cs="Arial"/>
          <w:sz w:val="21"/>
        </w:rPr>
        <w:t>Análisis e Investigación</w:t>
      </w:r>
      <w:r w:rsidRPr="00973028">
        <w:rPr>
          <w:rFonts w:ascii="Arial" w:eastAsia="Calibri" w:hAnsi="Arial" w:cs="Arial"/>
          <w:sz w:val="21"/>
        </w:rPr>
        <w:t xml:space="preserve"> (DAI) han versado sobre: el acceso a la información pública en relación a las redes sociales de cargos electos; irregularidades en el otorgamiento de gratificaciones extraordinarias a determinados colectivos de empleados públicos; irregularidades en los procesos de selección de policías locales y cuestiones puntuales sobre la composición irregular de los órganos de asistencia a los órganos de contratación, entre otros.</w:t>
      </w:r>
    </w:p>
    <w:p w14:paraId="0C7FD1B6" w14:textId="02818DDD" w:rsidR="00BB4994" w:rsidRPr="00973028" w:rsidRDefault="00A01D3B" w:rsidP="00672ABA">
      <w:pPr>
        <w:pStyle w:val="Prrafodelista"/>
        <w:keepNext/>
        <w:numPr>
          <w:ilvl w:val="2"/>
          <w:numId w:val="22"/>
        </w:numPr>
        <w:spacing w:before="360" w:after="240" w:line="276" w:lineRule="auto"/>
        <w:ind w:left="1134" w:hanging="1134"/>
        <w:contextualSpacing w:val="0"/>
        <w:outlineLvl w:val="2"/>
        <w:rPr>
          <w:rFonts w:ascii="Arial" w:eastAsia="Times New Roman" w:hAnsi="Arial" w:cs="Arial"/>
          <w:b/>
          <w:color w:val="9D2235"/>
          <w:sz w:val="28"/>
          <w:szCs w:val="28"/>
        </w:rPr>
      </w:pPr>
      <w:bookmarkStart w:id="23" w:name="_Toc67646223"/>
      <w:r w:rsidRPr="00973028">
        <w:rPr>
          <w:rFonts w:ascii="Arial" w:eastAsia="Times New Roman" w:hAnsi="Arial" w:cs="Arial"/>
          <w:b/>
          <w:color w:val="9D2235"/>
          <w:sz w:val="28"/>
          <w:szCs w:val="28"/>
        </w:rPr>
        <w:t>Propuestas sobre disposiciones normativas</w:t>
      </w:r>
      <w:bookmarkEnd w:id="23"/>
    </w:p>
    <w:p w14:paraId="1E9CEF70" w14:textId="7035910F"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De acuerdo con los artículos 4.f) de la Ley 11/2016, de 28 de noviembre y 19.h) del Reglamento de funcionamiento y régimen interior, la Agencia tiene la función de asesorar y formular propuestas y recomendaciones a </w:t>
      </w:r>
      <w:r w:rsidR="00567ED4" w:rsidRPr="00973028">
        <w:rPr>
          <w:rFonts w:ascii="Arial" w:eastAsia="Calibri" w:hAnsi="Arial" w:cs="Arial"/>
          <w:sz w:val="21"/>
        </w:rPr>
        <w:t>las</w:t>
      </w:r>
      <w:r w:rsidRPr="00973028">
        <w:rPr>
          <w:rFonts w:ascii="Arial" w:eastAsia="Calibri" w:hAnsi="Arial" w:cs="Arial"/>
          <w:sz w:val="21"/>
        </w:rPr>
        <w:t xml:space="preserve"> Corts, al Consell de la Generalitat y a las entidades incluidas en su ámbito de actuación en materia de integridad, ética pública y prevención y lucha contra la corrupción, sobre disposiciones normativas vigentes o en </w:t>
      </w:r>
      <w:r w:rsidRPr="00973028">
        <w:rPr>
          <w:rFonts w:ascii="Arial" w:eastAsia="Calibri" w:hAnsi="Arial" w:cs="Arial"/>
          <w:sz w:val="21"/>
        </w:rPr>
        <w:lastRenderedPageBreak/>
        <w:t>trámite de aprobación.</w:t>
      </w:r>
    </w:p>
    <w:p w14:paraId="059A57A2" w14:textId="4CBB470F"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En ese sentido, el Plan estratégico del </w:t>
      </w:r>
      <w:r w:rsidR="00E05509">
        <w:rPr>
          <w:rFonts w:ascii="Arial" w:eastAsia="Calibri" w:hAnsi="Arial" w:cs="Arial"/>
          <w:sz w:val="21"/>
        </w:rPr>
        <w:t>S</w:t>
      </w:r>
      <w:r w:rsidRPr="00973028">
        <w:rPr>
          <w:rFonts w:ascii="Arial" w:eastAsia="Calibri" w:hAnsi="Arial" w:cs="Arial"/>
          <w:sz w:val="21"/>
        </w:rPr>
        <w:t>ervicio de Prevención contempla la realización de sugerencias o alegaciones durante los procesos de elaboración de normas vinculadas al marco de actuación objetivo y subjetivo de la Agencia, para coadyuvar en la mejora de la calidad normativa y convencidos de que la mejor medida de prevención es que la norma incorpore, desde su gestación, la perspectiva de la integridad pública.</w:t>
      </w:r>
    </w:p>
    <w:p w14:paraId="0D20A152"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El 28 de septiembre de 2020, se realizaron sugerencias al anteproyecto de Ley de medidas fiscales, de gestión administrativa y financiera y de organización de la Generalitat para 2021 en cuanto a la modificación de la Ley 8/2016, de 28 de octubre, de la Generalitat, de Incompatibilidades y Conflictos de intereses de personas con cargos públicos no electos.</w:t>
      </w:r>
    </w:p>
    <w:p w14:paraId="37D9747F" w14:textId="7D75139A"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En este sentido, formulamos estas sugerencias al valorar que las situaciones de conflictos de interés pueden afectar la imparcialidad y la objetividad con que tienen que actuar los servidores públicos, y son uno de los riesgos más importantes de fraude y corrupción. De aquí la importancia de una buena regulación del fenómeno, que aporte seguridad jurídica, así como de una gestión adecuada de estas situaciones.</w:t>
      </w:r>
    </w:p>
    <w:p w14:paraId="2C56FE56"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Estas observaciones se dirigieron a la Conselleria de Participación, Transparencia, Cooperación y Calidad Democrática, para su libre consideración, con la voluntad de coadyuvar en la mejora de la calidad normativa y con el convencimiento que una adecuada medida de prevención es que la norma incorpore, desde el momento de su gestación, la perspectiva de la integridad pública.</w:t>
      </w:r>
    </w:p>
    <w:p w14:paraId="2067E6B0" w14:textId="076959CC"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En este sentido, consideramos que hay que velar para que, cualquier modificación de la ley que nos ocupa, se adecúe a una interpretación sistemática del ordenamiento jurídico, así como integrada con la norma que se quiere modificar y con la normativa de desarrollo (en este caso, en relación con una coherencia del ámbito funcional de la Oficina de Control de Conflictos de Intereses (OCCI)), evitando generar inseguridad jurídica y, sobre todo, atendiendo también a su espíritu y a la voluntad del legislador de regular las situaciones de conflictos de interés.</w:t>
      </w:r>
    </w:p>
    <w:p w14:paraId="4D099F51"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En el informe sobre el resultado del proceso del trámite de audiencia, la conselleria manifestó que aceptaban las sugerencias de esta AVAF, preparando nuevo texto normativo ajustado a nuestras consideraciones. Por ello estamos agradecidos y satisfechos de haber colaborado en dicho proceso normativo.</w:t>
      </w:r>
    </w:p>
    <w:p w14:paraId="0531B4CE" w14:textId="77FACFAE"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Por último, durante el 2020 se ha realizado el seguimiento de los Planes anuales normativos 2020 de la Generalitat Valenciana, </w:t>
      </w:r>
      <w:r w:rsidR="00F21D37" w:rsidRPr="00973028">
        <w:rPr>
          <w:rFonts w:ascii="Arial" w:eastAsia="Calibri" w:hAnsi="Arial" w:cs="Arial"/>
          <w:sz w:val="21"/>
        </w:rPr>
        <w:t>d</w:t>
      </w:r>
      <w:r w:rsidRPr="00973028">
        <w:rPr>
          <w:rFonts w:ascii="Arial" w:eastAsia="Calibri" w:hAnsi="Arial" w:cs="Arial"/>
          <w:sz w:val="21"/>
        </w:rPr>
        <w:t xml:space="preserve">iputaciones y </w:t>
      </w:r>
      <w:r w:rsidR="00F21D37" w:rsidRPr="00973028">
        <w:rPr>
          <w:rFonts w:ascii="Arial" w:eastAsia="Calibri" w:hAnsi="Arial" w:cs="Arial"/>
          <w:sz w:val="21"/>
        </w:rPr>
        <w:t>a</w:t>
      </w:r>
      <w:r w:rsidRPr="00973028">
        <w:rPr>
          <w:rFonts w:ascii="Arial" w:eastAsia="Calibri" w:hAnsi="Arial" w:cs="Arial"/>
          <w:sz w:val="21"/>
        </w:rPr>
        <w:t xml:space="preserve">yuntamientos de más de 50.000 habitantes. Asimismo, desde el Servicio se analizaron puntualmente otras normas, si bien se decidió no hacer alegaciones a las mismas en esta ocasión (proyecto de reglamento de desarrollo de la Ley autonómica de Responsabilidad Social Corporativa, de la normativa que modifica la Legislación urbanística valenciana, determinados Reglamentos y Ordenanzas municipales de grandes </w:t>
      </w:r>
      <w:r w:rsidR="00F21D37" w:rsidRPr="00973028">
        <w:rPr>
          <w:rFonts w:ascii="Arial" w:eastAsia="Calibri" w:hAnsi="Arial" w:cs="Arial"/>
          <w:sz w:val="21"/>
        </w:rPr>
        <w:t>a</w:t>
      </w:r>
      <w:r w:rsidRPr="00973028">
        <w:rPr>
          <w:rFonts w:ascii="Arial" w:eastAsia="Calibri" w:hAnsi="Arial" w:cs="Arial"/>
          <w:sz w:val="21"/>
        </w:rPr>
        <w:t>yuntamientos, entre otros).</w:t>
      </w:r>
    </w:p>
    <w:p w14:paraId="5EF1F629" w14:textId="4612B5D5" w:rsidR="00BB4994" w:rsidRPr="00973028" w:rsidRDefault="00A01D3B" w:rsidP="00672ABA">
      <w:pPr>
        <w:pStyle w:val="Prrafodelista"/>
        <w:keepNext/>
        <w:numPr>
          <w:ilvl w:val="2"/>
          <w:numId w:val="22"/>
        </w:numPr>
        <w:spacing w:before="360" w:after="240" w:line="276" w:lineRule="auto"/>
        <w:ind w:left="1134" w:hanging="1134"/>
        <w:contextualSpacing w:val="0"/>
        <w:jc w:val="both"/>
        <w:outlineLvl w:val="2"/>
        <w:rPr>
          <w:rFonts w:ascii="Arial" w:eastAsia="Times New Roman" w:hAnsi="Arial" w:cs="Arial"/>
          <w:b/>
          <w:color w:val="9D2235"/>
          <w:sz w:val="28"/>
          <w:szCs w:val="28"/>
        </w:rPr>
      </w:pPr>
      <w:bookmarkStart w:id="24" w:name="_Toc67646224"/>
      <w:r w:rsidRPr="00973028">
        <w:rPr>
          <w:rFonts w:ascii="Arial" w:eastAsia="Times New Roman" w:hAnsi="Arial" w:cs="Arial"/>
          <w:b/>
          <w:color w:val="9D2235"/>
          <w:sz w:val="28"/>
          <w:szCs w:val="28"/>
        </w:rPr>
        <w:lastRenderedPageBreak/>
        <w:t>Identificación de riesgos de corrupción y estrategia de integridad pública</w:t>
      </w:r>
      <w:bookmarkEnd w:id="24"/>
    </w:p>
    <w:p w14:paraId="037D6CFF"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En desarrollo del Plan Estratégico de Prevención, se han estudiado y sistematizado las diferentes metodologías de prevención y análisis de riesgos, herramientas de fomento de la integridad pública y modelos de códigos éticos existentes tanto a nivel nacional como internacional. A tal efecto, desde el Servicio, se ha desarrollado una base de datos interna de sistematización del material estudiado y se han preparado numerosas fichas que estructuran y sintetizan el contenido de cada documento individualmente considerado.</w:t>
      </w:r>
    </w:p>
    <w:p w14:paraId="7DCB2DE7"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De los trabajos de sistematización descritos se han derivado otros trabajos tan relevantes como la ampliación de los catálogos de riesgos comunes en cualquier proceso de toma de decisiones y de riesgos contrarios a la integridad pública en los procesos de contratación del sector público, que, junto con una serie de mecanismos de prevención que el Servicio ha preparado, podrán ser tomados en consideración por nuestras instituciones en los correspondientes planes de prevención que se aprueben partiendo de sus propios diagnósticos.</w:t>
      </w:r>
    </w:p>
    <w:p w14:paraId="76ACEAC1"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Se han realizado otros trabajos de identificación de riesgos, partiendo de las denuncias con entrada en la AVAF y de datos oficiales y de distintos anuarios, al preparar los gráficos incluidos en las diferentes recomendaciones y acciones formativas del Servicio.</w:t>
      </w:r>
    </w:p>
    <w:p w14:paraId="62B6E76C"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Adicionalmente, se han realizado trabajos motivados por el contexto COVID-19 de estudio, recopilación y seguimiento de diferente material relativo a las contrataciones de emergencia.</w:t>
      </w:r>
    </w:p>
    <w:p w14:paraId="1DD8F713" w14:textId="105FA90A"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Durante el 2020 se han iniciado los trabajos y estudios preliminares de uno de los pilares sobre el que se construye el Plan estratégico de Prevención: crear una estrategia de integridad pública, pionera en la Comunitat Valenciana, e ir desarrollando un conjunto de herramientas que las instituciones puedan aplicar, atendiendo a sus respectivas peculiaridades. A tal efecto, previa su exposición, se solicitó la colaboración a los miembros del grupo de trabajo de Prevención y Formación del Conse</w:t>
      </w:r>
      <w:r w:rsidR="00E432A9" w:rsidRPr="00973028">
        <w:rPr>
          <w:rFonts w:ascii="Arial" w:eastAsia="Calibri" w:hAnsi="Arial" w:cs="Arial"/>
          <w:sz w:val="21"/>
        </w:rPr>
        <w:t>jo</w:t>
      </w:r>
      <w:r w:rsidRPr="00973028">
        <w:rPr>
          <w:rFonts w:ascii="Arial" w:eastAsia="Calibri" w:hAnsi="Arial" w:cs="Arial"/>
          <w:sz w:val="21"/>
        </w:rPr>
        <w:t xml:space="preserve"> de Participació</w:t>
      </w:r>
      <w:r w:rsidR="00E432A9" w:rsidRPr="00973028">
        <w:rPr>
          <w:rFonts w:ascii="Arial" w:eastAsia="Calibri" w:hAnsi="Arial" w:cs="Arial"/>
          <w:sz w:val="21"/>
        </w:rPr>
        <w:t>n</w:t>
      </w:r>
      <w:r w:rsidRPr="00973028">
        <w:rPr>
          <w:rFonts w:ascii="Arial" w:eastAsia="Calibri" w:hAnsi="Arial" w:cs="Arial"/>
          <w:sz w:val="21"/>
        </w:rPr>
        <w:t xml:space="preserve"> de la AVAF en su sesión de junio de 2020.</w:t>
      </w:r>
    </w:p>
    <w:p w14:paraId="278B4967" w14:textId="404DE90F" w:rsidR="00BB4994" w:rsidRPr="00973028" w:rsidRDefault="00BB4994" w:rsidP="00672ABA">
      <w:pPr>
        <w:pStyle w:val="Prrafodelista"/>
        <w:keepNext/>
        <w:numPr>
          <w:ilvl w:val="2"/>
          <w:numId w:val="22"/>
        </w:numPr>
        <w:spacing w:before="360" w:after="240" w:line="276" w:lineRule="auto"/>
        <w:ind w:left="1134" w:hanging="1134"/>
        <w:contextualSpacing w:val="0"/>
        <w:jc w:val="both"/>
        <w:outlineLvl w:val="2"/>
        <w:rPr>
          <w:rFonts w:ascii="Arial" w:eastAsia="Times New Roman" w:hAnsi="Arial" w:cs="Arial"/>
          <w:b/>
          <w:color w:val="9D2235"/>
          <w:sz w:val="28"/>
          <w:szCs w:val="28"/>
        </w:rPr>
      </w:pPr>
      <w:bookmarkStart w:id="25" w:name="_Toc67646225"/>
      <w:r w:rsidRPr="00973028">
        <w:rPr>
          <w:rFonts w:ascii="Arial" w:eastAsia="Times New Roman" w:hAnsi="Arial" w:cs="Arial"/>
          <w:b/>
          <w:color w:val="9D2235"/>
          <w:sz w:val="28"/>
          <w:szCs w:val="28"/>
        </w:rPr>
        <w:t>C</w:t>
      </w:r>
      <w:r w:rsidR="00A01D3B" w:rsidRPr="00973028">
        <w:rPr>
          <w:rFonts w:ascii="Arial" w:eastAsia="Times New Roman" w:hAnsi="Arial" w:cs="Arial"/>
          <w:b/>
          <w:color w:val="9D2235"/>
          <w:sz w:val="28"/>
          <w:szCs w:val="28"/>
        </w:rPr>
        <w:t>onsultoría, difusión y otras colaboraciones</w:t>
      </w:r>
      <w:bookmarkEnd w:id="25"/>
    </w:p>
    <w:p w14:paraId="258BC26C"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El Servicio de Prevención tiene entre sus funciones la de prestar asesoramiento y respuesta a las consultas que plantee cualquier persona en relación con las funciones preventivas de la Agencia, contribuyendo así a disipar dudas en materia de prevención del fraude, la corrupción y la integridad públicas. A tal fin, desde el Servicio se redactó una propuesta para fomentar esta función en la nueva estructura de la página web institucional de la AVAF.</w:t>
      </w:r>
    </w:p>
    <w:p w14:paraId="7DAE6014" w14:textId="6E975872"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A título enunciativo, durante el 2020 se han mantenido encuentros, entre otros, con representantes del Aeropuerto de Castelló (AEROCAS) o de la Entidad Pública de Saneamiento de Aguas Residuales (EPSAR) </w:t>
      </w:r>
      <w:r w:rsidRPr="00973028">
        <w:rPr>
          <w:rFonts w:ascii="Arial" w:eastAsia="Calibri" w:hAnsi="Arial" w:cs="Arial"/>
          <w:color w:val="1C052E"/>
          <w:sz w:val="21"/>
        </w:rPr>
        <w:t>en el ámbito de la integridad en la contratación pública, así como en el asesoramiento general sobre cómo implantar marcos de integridad pública</w:t>
      </w:r>
      <w:r w:rsidRPr="00973028">
        <w:rPr>
          <w:rFonts w:ascii="Arial" w:eastAsia="Calibri" w:hAnsi="Arial" w:cs="Arial"/>
          <w:sz w:val="21"/>
        </w:rPr>
        <w:t xml:space="preserve">, pendientes de concretar, en línea con la tesis que expusimos en las memorias de los ejercicios 2018 y 2019, relativa al necesario impulso de la integridad del sector público </w:t>
      </w:r>
      <w:r w:rsidRPr="00973028">
        <w:rPr>
          <w:rFonts w:ascii="Arial" w:eastAsia="Calibri" w:hAnsi="Arial" w:cs="Arial"/>
          <w:sz w:val="21"/>
        </w:rPr>
        <w:lastRenderedPageBreak/>
        <w:t>instrumental de la Generalitat Valenciana.</w:t>
      </w:r>
    </w:p>
    <w:p w14:paraId="25A8DDF9"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Así mismo, se han mantenido encuentros con representantes de la Conselleria de Participación, Transparencia, Cooperación y Calidad Democrática y de la OCCI (Oficina de Control de Conflictos de Interés) adscrita a la misma, para valorar una posible colaboración y coordinación de determinadas actuaciones de interés común.</w:t>
      </w:r>
    </w:p>
    <w:p w14:paraId="5A5852ED" w14:textId="7F84F575"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La </w:t>
      </w:r>
      <w:r w:rsidR="009F0AA4" w:rsidRPr="00973028">
        <w:rPr>
          <w:rFonts w:ascii="Arial" w:eastAsia="Calibri" w:hAnsi="Arial" w:cs="Arial"/>
          <w:sz w:val="21"/>
        </w:rPr>
        <w:t>j</w:t>
      </w:r>
      <w:r w:rsidRPr="00973028">
        <w:rPr>
          <w:rFonts w:ascii="Arial" w:eastAsia="Calibri" w:hAnsi="Arial" w:cs="Arial"/>
          <w:sz w:val="21"/>
        </w:rPr>
        <w:t>efa del Servicio de Prevención ha colaborado en la elaboración de contenidos y en la impartición, como ponente, de diversas acciones formativas realizadas por la Agencia, cuya descripción más pormenorizada se relata en el epígrafe correspondiente al Servicio de Formación. En concreto, ha participado con la ponencia “Antes, durante y después del contrato: integridad”, del curso sobre “Integridad y Prevención en la Contratación Pública en la Comuni</w:t>
      </w:r>
      <w:r w:rsidR="00C24397">
        <w:rPr>
          <w:rFonts w:ascii="Arial" w:eastAsia="Calibri" w:hAnsi="Arial" w:cs="Arial"/>
          <w:sz w:val="21"/>
        </w:rPr>
        <w:t>t</w:t>
      </w:r>
      <w:r w:rsidRPr="00973028">
        <w:rPr>
          <w:rFonts w:ascii="Arial" w:eastAsia="Calibri" w:hAnsi="Arial" w:cs="Arial"/>
          <w:sz w:val="21"/>
        </w:rPr>
        <w:t>a</w:t>
      </w:r>
      <w:r w:rsidR="00C24397">
        <w:rPr>
          <w:rFonts w:ascii="Arial" w:eastAsia="Calibri" w:hAnsi="Arial" w:cs="Arial"/>
          <w:sz w:val="21"/>
        </w:rPr>
        <w:t>t</w:t>
      </w:r>
      <w:r w:rsidRPr="00973028">
        <w:rPr>
          <w:rFonts w:ascii="Arial" w:eastAsia="Calibri" w:hAnsi="Arial" w:cs="Arial"/>
          <w:sz w:val="21"/>
        </w:rPr>
        <w:t xml:space="preserve"> Valenciana”, en colaboración con el Institut Valencià d’Administració Pública (IVAP).</w:t>
      </w:r>
    </w:p>
    <w:p w14:paraId="5E3AF527" w14:textId="63A991BC" w:rsidR="00C71D87" w:rsidRPr="00973028" w:rsidRDefault="00BB4994" w:rsidP="00C71D87">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Con ocasión de la Recomendación general </w:t>
      </w:r>
      <w:r w:rsidRPr="00973028">
        <w:rPr>
          <w:rFonts w:ascii="Arial" w:eastAsia="Open Sans" w:hAnsi="Arial" w:cs="Arial"/>
          <w:sz w:val="21"/>
        </w:rPr>
        <w:t>de Planificación</w:t>
      </w:r>
      <w:r w:rsidRPr="00973028">
        <w:rPr>
          <w:rFonts w:ascii="Arial" w:eastAsia="Calibri" w:hAnsi="Arial" w:cs="Arial"/>
          <w:sz w:val="21"/>
        </w:rPr>
        <w:t xml:space="preserve">, la </w:t>
      </w:r>
      <w:r w:rsidR="009F0AA4" w:rsidRPr="00973028">
        <w:rPr>
          <w:rFonts w:ascii="Arial" w:eastAsia="Calibri" w:hAnsi="Arial" w:cs="Arial"/>
          <w:sz w:val="21"/>
        </w:rPr>
        <w:t>j</w:t>
      </w:r>
      <w:r w:rsidRPr="00973028">
        <w:rPr>
          <w:rFonts w:ascii="Arial" w:eastAsia="Calibri" w:hAnsi="Arial" w:cs="Arial"/>
          <w:sz w:val="21"/>
        </w:rPr>
        <w:t xml:space="preserve">efa de Servicio de Prevención preparó un video presentando su contenido que, por primera vez en la AVAF, se puede ver en el </w:t>
      </w:r>
      <w:r w:rsidRPr="00973028">
        <w:rPr>
          <w:rFonts w:ascii="Arial" w:eastAsia="Calibri" w:hAnsi="Arial" w:cs="Arial"/>
          <w:i/>
          <w:iCs/>
          <w:sz w:val="21"/>
        </w:rPr>
        <w:t xml:space="preserve">canal de </w:t>
      </w:r>
      <w:r w:rsidR="00384B48" w:rsidRPr="00973028">
        <w:rPr>
          <w:rFonts w:ascii="Arial" w:eastAsia="Calibri" w:hAnsi="Arial" w:cs="Arial"/>
          <w:i/>
          <w:iCs/>
          <w:sz w:val="21"/>
        </w:rPr>
        <w:t>Y</w:t>
      </w:r>
      <w:r w:rsidRPr="00973028">
        <w:rPr>
          <w:rFonts w:ascii="Arial" w:eastAsia="Calibri" w:hAnsi="Arial" w:cs="Arial"/>
          <w:i/>
          <w:iCs/>
          <w:sz w:val="21"/>
        </w:rPr>
        <w:t>ou</w:t>
      </w:r>
      <w:r w:rsidR="00384B48" w:rsidRPr="00973028">
        <w:rPr>
          <w:rFonts w:ascii="Arial" w:eastAsia="Calibri" w:hAnsi="Arial" w:cs="Arial"/>
          <w:i/>
          <w:iCs/>
          <w:sz w:val="21"/>
        </w:rPr>
        <w:t>T</w:t>
      </w:r>
      <w:r w:rsidRPr="00973028">
        <w:rPr>
          <w:rFonts w:ascii="Arial" w:eastAsia="Calibri" w:hAnsi="Arial" w:cs="Arial"/>
          <w:i/>
          <w:iCs/>
          <w:sz w:val="21"/>
        </w:rPr>
        <w:t>ube</w:t>
      </w:r>
      <w:r w:rsidRPr="00973028">
        <w:rPr>
          <w:rFonts w:ascii="Arial" w:eastAsia="Calibri" w:hAnsi="Arial" w:cs="Arial"/>
          <w:sz w:val="21"/>
        </w:rPr>
        <w:t xml:space="preserve"> de la Agencia. Todo ello, con la inestimable colaboración del personal de Gabinete de Relaciones Institucionales. Asimismo, realizó una presentación virtual de la Recomendación a todo el personal de la AVAF.</w:t>
      </w:r>
    </w:p>
    <w:p w14:paraId="3AD7847D" w14:textId="3F578EFE" w:rsidR="00BB4994" w:rsidRPr="00973028" w:rsidRDefault="00384B48" w:rsidP="00672ABA">
      <w:pPr>
        <w:pStyle w:val="Prrafodelista"/>
        <w:widowControl w:val="0"/>
        <w:numPr>
          <w:ilvl w:val="1"/>
          <w:numId w:val="22"/>
        </w:numPr>
        <w:suppressAutoHyphens/>
        <w:autoSpaceDN w:val="0"/>
        <w:spacing w:before="360" w:after="240" w:line="276" w:lineRule="auto"/>
        <w:ind w:left="851" w:hanging="851"/>
        <w:contextualSpacing w:val="0"/>
        <w:outlineLvl w:val="1"/>
        <w:rPr>
          <w:rFonts w:ascii="Arial" w:eastAsia="Times New Roman" w:hAnsi="Arial" w:cs="Arial"/>
          <w:b/>
          <w:color w:val="9D2235"/>
          <w:sz w:val="32"/>
          <w:szCs w:val="32"/>
        </w:rPr>
      </w:pPr>
      <w:bookmarkStart w:id="26" w:name="_Toc67646226"/>
      <w:r w:rsidRPr="00973028">
        <w:rPr>
          <w:rFonts w:ascii="Arial" w:eastAsia="Times New Roman" w:hAnsi="Arial" w:cs="Arial"/>
          <w:b/>
          <w:color w:val="9D2235"/>
          <w:sz w:val="32"/>
          <w:szCs w:val="32"/>
        </w:rPr>
        <w:t>Servicio de Formación</w:t>
      </w:r>
      <w:bookmarkEnd w:id="26"/>
    </w:p>
    <w:p w14:paraId="79029456" w14:textId="55E0E89A" w:rsidR="00BB4994" w:rsidRPr="00973028" w:rsidRDefault="00384B48" w:rsidP="00672ABA">
      <w:pPr>
        <w:pStyle w:val="Prrafodelista"/>
        <w:keepNext/>
        <w:numPr>
          <w:ilvl w:val="2"/>
          <w:numId w:val="22"/>
        </w:numPr>
        <w:spacing w:before="360" w:after="240" w:line="276" w:lineRule="auto"/>
        <w:ind w:left="1134" w:hanging="1134"/>
        <w:contextualSpacing w:val="0"/>
        <w:jc w:val="both"/>
        <w:outlineLvl w:val="2"/>
        <w:rPr>
          <w:rFonts w:ascii="Arial" w:eastAsia="Times New Roman" w:hAnsi="Arial" w:cs="Arial"/>
          <w:b/>
          <w:color w:val="9D2235"/>
          <w:sz w:val="28"/>
          <w:szCs w:val="28"/>
        </w:rPr>
      </w:pPr>
      <w:bookmarkStart w:id="27" w:name="_Toc67646227"/>
      <w:r w:rsidRPr="00973028">
        <w:rPr>
          <w:rFonts w:ascii="Arial" w:eastAsia="Times New Roman" w:hAnsi="Arial" w:cs="Arial"/>
          <w:b/>
          <w:color w:val="9D2235"/>
          <w:sz w:val="28"/>
          <w:szCs w:val="28"/>
        </w:rPr>
        <w:t>Funciones</w:t>
      </w:r>
      <w:bookmarkEnd w:id="27"/>
    </w:p>
    <w:p w14:paraId="73019AC7"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El Servicio de Formación desarrolla las acciones necesarias para cumplir con las funciones de la Agencia relativas a:</w:t>
      </w:r>
    </w:p>
    <w:p w14:paraId="1F9BC818" w14:textId="762D60CC" w:rsidR="00BB4994" w:rsidRPr="00973028" w:rsidRDefault="00BB4994" w:rsidP="00253ED4">
      <w:pPr>
        <w:widowControl w:val="0"/>
        <w:numPr>
          <w:ilvl w:val="0"/>
          <w:numId w:val="8"/>
        </w:numPr>
        <w:suppressAutoHyphens/>
        <w:autoSpaceDN w:val="0"/>
        <w:spacing w:after="120" w:line="276" w:lineRule="auto"/>
        <w:ind w:left="714" w:hanging="357"/>
        <w:jc w:val="both"/>
        <w:rPr>
          <w:rFonts w:ascii="Arial" w:eastAsia="Times New Roman" w:hAnsi="Arial" w:cs="Arial"/>
          <w:sz w:val="21"/>
        </w:rPr>
      </w:pPr>
      <w:r w:rsidRPr="00973028">
        <w:rPr>
          <w:rFonts w:ascii="Arial" w:eastAsia="Times New Roman" w:hAnsi="Arial" w:cs="Arial"/>
          <w:sz w:val="21"/>
        </w:rPr>
        <w:t>La formación de los servidores públicos en materia de integridad y ética públicas</w:t>
      </w:r>
      <w:r w:rsidR="00F21D37" w:rsidRPr="00973028">
        <w:rPr>
          <w:rFonts w:ascii="Arial" w:eastAsia="Times New Roman" w:hAnsi="Arial" w:cs="Arial"/>
          <w:sz w:val="21"/>
        </w:rPr>
        <w:t>.</w:t>
      </w:r>
    </w:p>
    <w:p w14:paraId="365807AD" w14:textId="2B103EE8" w:rsidR="00BB4994" w:rsidRPr="00973028" w:rsidRDefault="00BB4994" w:rsidP="00253ED4">
      <w:pPr>
        <w:widowControl w:val="0"/>
        <w:numPr>
          <w:ilvl w:val="0"/>
          <w:numId w:val="8"/>
        </w:numPr>
        <w:suppressAutoHyphens/>
        <w:autoSpaceDN w:val="0"/>
        <w:spacing w:after="120" w:line="276" w:lineRule="auto"/>
        <w:ind w:left="714" w:hanging="357"/>
        <w:jc w:val="both"/>
        <w:rPr>
          <w:rFonts w:ascii="Arial" w:eastAsia="Times New Roman" w:hAnsi="Arial" w:cs="Arial"/>
          <w:sz w:val="21"/>
        </w:rPr>
      </w:pPr>
      <w:r w:rsidRPr="00973028">
        <w:rPr>
          <w:rFonts w:ascii="Arial" w:eastAsia="Times New Roman" w:hAnsi="Arial" w:cs="Arial"/>
          <w:sz w:val="21"/>
        </w:rPr>
        <w:t>La realización de programas de sensibilización de la ciudadanía</w:t>
      </w:r>
      <w:r w:rsidR="00F21D37" w:rsidRPr="00973028">
        <w:rPr>
          <w:rFonts w:ascii="Arial" w:eastAsia="Times New Roman" w:hAnsi="Arial" w:cs="Arial"/>
          <w:sz w:val="21"/>
        </w:rPr>
        <w:t>.</w:t>
      </w:r>
    </w:p>
    <w:p w14:paraId="6A2B5235" w14:textId="77777777" w:rsidR="00BB4994" w:rsidRPr="00973028" w:rsidRDefault="00BB4994" w:rsidP="00253ED4">
      <w:pPr>
        <w:widowControl w:val="0"/>
        <w:numPr>
          <w:ilvl w:val="0"/>
          <w:numId w:val="8"/>
        </w:numPr>
        <w:suppressAutoHyphens/>
        <w:autoSpaceDN w:val="0"/>
        <w:spacing w:after="240" w:line="276" w:lineRule="auto"/>
        <w:ind w:left="714" w:hanging="357"/>
        <w:jc w:val="both"/>
        <w:rPr>
          <w:rFonts w:ascii="Arial" w:eastAsia="Times New Roman" w:hAnsi="Arial" w:cs="Arial"/>
          <w:sz w:val="21"/>
        </w:rPr>
      </w:pPr>
      <w:r w:rsidRPr="00973028">
        <w:rPr>
          <w:rFonts w:ascii="Arial" w:eastAsia="Times New Roman" w:hAnsi="Arial" w:cs="Arial"/>
          <w:sz w:val="21"/>
        </w:rPr>
        <w:t>La capacitación técnica y formación continuada del personal de la Agencia.</w:t>
      </w:r>
    </w:p>
    <w:p w14:paraId="1AFDBDB5"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De acuerdo con el </w:t>
      </w:r>
      <w:r w:rsidRPr="00973028">
        <w:rPr>
          <w:rFonts w:ascii="Arial" w:eastAsia="Calibri" w:hAnsi="Arial" w:cs="Arial"/>
          <w:bCs/>
          <w:sz w:val="21"/>
        </w:rPr>
        <w:t>Reglamento de funcionamiento y régimen interior</w:t>
      </w:r>
      <w:r w:rsidRPr="00973028">
        <w:rPr>
          <w:rFonts w:ascii="Arial" w:eastAsia="Calibri" w:hAnsi="Arial" w:cs="Arial"/>
          <w:color w:val="000081"/>
          <w:sz w:val="21"/>
        </w:rPr>
        <w:t xml:space="preserve"> </w:t>
      </w:r>
      <w:r w:rsidRPr="00973028">
        <w:rPr>
          <w:rFonts w:ascii="Arial" w:eastAsia="Calibri" w:hAnsi="Arial" w:cs="Arial"/>
          <w:sz w:val="21"/>
        </w:rPr>
        <w:t>de la Agencia, el Servicio de Formación debe desarrollar programas, guías formativas y asesoramiento en materia de lucha contra el fraude y la corrupción, en colaboración con las instituciones competentes en la formación de servidores públicos, las universidades, las organizaciones y colegios profesionales, y cualquier otra entidad de educación superior o especializada.</w:t>
      </w:r>
    </w:p>
    <w:p w14:paraId="1363854D" w14:textId="43161EEA"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En la Memoria del ejercicio 2019 describíamos el contenido del Plan de Formación 2019-2020, aprobado por Resolución del director de la Agencia el 26 de febrero de 2019, cuya ejecución se ha continuado en este ejercicio, tal como se describe a continuación.</w:t>
      </w:r>
    </w:p>
    <w:p w14:paraId="6BFD8574" w14:textId="05A0A346"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Cabe destacar que la situación de excepcionalidad y las medidas adoptadas para gestionar la situación de crisis sanitaria producida por la pandemia del COVID-19, nos han obligado a adaptar los formatos y el calendario para desarrollar las actividades de formación, muchas de las actividades han pasado a realizarse </w:t>
      </w:r>
      <w:r w:rsidRPr="00973028">
        <w:rPr>
          <w:rFonts w:ascii="Arial" w:eastAsia="Calibri" w:hAnsi="Arial" w:cs="Arial"/>
          <w:i/>
          <w:iCs/>
          <w:sz w:val="21"/>
        </w:rPr>
        <w:t>on line</w:t>
      </w:r>
      <w:r w:rsidRPr="00973028">
        <w:rPr>
          <w:rFonts w:ascii="Arial" w:eastAsia="Calibri" w:hAnsi="Arial" w:cs="Arial"/>
          <w:sz w:val="21"/>
        </w:rPr>
        <w:t xml:space="preserve"> y en el segundo semestre del año para </w:t>
      </w:r>
      <w:r w:rsidRPr="00973028">
        <w:rPr>
          <w:rFonts w:ascii="Arial" w:eastAsia="Calibri" w:hAnsi="Arial" w:cs="Arial"/>
          <w:sz w:val="21"/>
        </w:rPr>
        <w:lastRenderedPageBreak/>
        <w:t xml:space="preserve">continuar con la acción formativa y preservar la salud de todas las personas intervinientes en esta tarea. </w:t>
      </w:r>
    </w:p>
    <w:p w14:paraId="77F5B2F7" w14:textId="28381F9D" w:rsidR="00BB4994" w:rsidRPr="00973028" w:rsidRDefault="00BB4994" w:rsidP="00672ABA">
      <w:pPr>
        <w:pStyle w:val="Prrafodelista"/>
        <w:keepNext/>
        <w:numPr>
          <w:ilvl w:val="2"/>
          <w:numId w:val="22"/>
        </w:numPr>
        <w:spacing w:before="360" w:after="240" w:line="276" w:lineRule="auto"/>
        <w:ind w:left="1134" w:hanging="1134"/>
        <w:contextualSpacing w:val="0"/>
        <w:jc w:val="both"/>
        <w:outlineLvl w:val="2"/>
        <w:rPr>
          <w:rFonts w:ascii="Arial" w:eastAsia="Times New Roman" w:hAnsi="Arial" w:cs="Arial"/>
          <w:b/>
          <w:color w:val="9D2235"/>
          <w:sz w:val="28"/>
          <w:szCs w:val="28"/>
        </w:rPr>
      </w:pPr>
      <w:bookmarkStart w:id="28" w:name="_Toc67646228"/>
      <w:r w:rsidRPr="00973028">
        <w:rPr>
          <w:rFonts w:ascii="Arial" w:eastAsia="Times New Roman" w:hAnsi="Arial" w:cs="Arial"/>
          <w:b/>
          <w:color w:val="9D2235"/>
          <w:sz w:val="28"/>
          <w:szCs w:val="28"/>
        </w:rPr>
        <w:t>F</w:t>
      </w:r>
      <w:r w:rsidR="00FF15E1" w:rsidRPr="00973028">
        <w:rPr>
          <w:rFonts w:ascii="Arial" w:eastAsia="Times New Roman" w:hAnsi="Arial" w:cs="Arial"/>
          <w:b/>
          <w:color w:val="9D2235"/>
          <w:sz w:val="28"/>
          <w:szCs w:val="28"/>
        </w:rPr>
        <w:t>ormación interna</w:t>
      </w:r>
      <w:bookmarkEnd w:id="28"/>
    </w:p>
    <w:p w14:paraId="27DFA970" w14:textId="7A704B0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Durante el ejercicio 2020 destacamos un incremento de las propuestas formativas para la capacitación técnica y la formación continuada de las personas que prestan sus servicios en la Agencia. </w:t>
      </w:r>
    </w:p>
    <w:p w14:paraId="4A740355" w14:textId="77777777" w:rsidR="00BB4994" w:rsidRPr="00973028" w:rsidRDefault="00BB4994" w:rsidP="00BB4994">
      <w:pPr>
        <w:widowControl w:val="0"/>
        <w:suppressAutoHyphens/>
        <w:autoSpaceDN w:val="0"/>
        <w:spacing w:after="240" w:line="276" w:lineRule="auto"/>
        <w:jc w:val="both"/>
        <w:rPr>
          <w:rFonts w:ascii="Arial" w:eastAsia="Calibri" w:hAnsi="Arial" w:cs="Arial"/>
          <w:color w:val="000000"/>
          <w:sz w:val="21"/>
        </w:rPr>
      </w:pPr>
      <w:r w:rsidRPr="00973028">
        <w:rPr>
          <w:rFonts w:ascii="Arial" w:eastAsia="Calibri" w:hAnsi="Arial" w:cs="Arial"/>
          <w:color w:val="000000"/>
          <w:sz w:val="21"/>
        </w:rPr>
        <w:t>De acuerdo con los ámbitos de actuación previstos en el Plan de Formación 2019-2020, las actividades de formación interna son:</w:t>
      </w:r>
    </w:p>
    <w:p w14:paraId="5FB09EF5" w14:textId="25BDFD40" w:rsidR="00BB4994" w:rsidRPr="00973028" w:rsidRDefault="00BB4994" w:rsidP="00672ABA">
      <w:pPr>
        <w:pStyle w:val="Prrafodelista"/>
        <w:keepNext/>
        <w:numPr>
          <w:ilvl w:val="3"/>
          <w:numId w:val="22"/>
        </w:numPr>
        <w:spacing w:before="360" w:after="240" w:line="276" w:lineRule="auto"/>
        <w:ind w:left="1134" w:hanging="1134"/>
        <w:contextualSpacing w:val="0"/>
        <w:jc w:val="both"/>
        <w:outlineLvl w:val="3"/>
        <w:rPr>
          <w:rFonts w:ascii="Arial" w:eastAsia="Times New Roman" w:hAnsi="Arial" w:cs="Arial"/>
          <w:b/>
          <w:color w:val="9D2235"/>
          <w:sz w:val="24"/>
          <w:szCs w:val="24"/>
        </w:rPr>
      </w:pPr>
      <w:r w:rsidRPr="00973028">
        <w:rPr>
          <w:rFonts w:ascii="Arial" w:eastAsia="Times New Roman" w:hAnsi="Arial" w:cs="Arial"/>
          <w:b/>
          <w:color w:val="9D2235"/>
          <w:sz w:val="24"/>
          <w:szCs w:val="24"/>
        </w:rPr>
        <w:t>Formación institucional</w:t>
      </w:r>
    </w:p>
    <w:p w14:paraId="15CEF6FF" w14:textId="77777777" w:rsidR="00BB4994" w:rsidRPr="00973028" w:rsidRDefault="00BB4994" w:rsidP="00BB4994">
      <w:pPr>
        <w:widowControl w:val="0"/>
        <w:suppressAutoHyphens/>
        <w:autoSpaceDN w:val="0"/>
        <w:spacing w:after="240" w:line="276" w:lineRule="auto"/>
        <w:jc w:val="both"/>
        <w:rPr>
          <w:rFonts w:ascii="Arial" w:eastAsia="Calibri" w:hAnsi="Arial" w:cs="Arial"/>
        </w:rPr>
      </w:pPr>
      <w:r w:rsidRPr="00973028">
        <w:rPr>
          <w:rFonts w:ascii="Arial" w:eastAsia="Calibri" w:hAnsi="Arial" w:cs="Arial"/>
          <w:sz w:val="21"/>
        </w:rPr>
        <w:t xml:space="preserve">El objetivo de esta dimensión de la formación es establecer las bases para la mejora del funcionamiento del equipo de profesionales de la Agencia. </w:t>
      </w:r>
      <w:r w:rsidRPr="00973028">
        <w:rPr>
          <w:rFonts w:ascii="Arial" w:eastAsia="Calibri" w:hAnsi="Arial" w:cs="Arial"/>
          <w:spacing w:val="-2"/>
        </w:rPr>
        <w:t>En este ámbito, se han realizado durante 2020, siete actividades formativas, cinco más que en 2019:</w:t>
      </w:r>
    </w:p>
    <w:p w14:paraId="3FE64DE2" w14:textId="77777777" w:rsidR="00BB4994" w:rsidRPr="00973028" w:rsidRDefault="00BB4994" w:rsidP="00253ED4">
      <w:pPr>
        <w:widowControl w:val="0"/>
        <w:numPr>
          <w:ilvl w:val="0"/>
          <w:numId w:val="8"/>
        </w:numPr>
        <w:suppressAutoHyphens/>
        <w:autoSpaceDN w:val="0"/>
        <w:spacing w:after="120" w:line="276" w:lineRule="auto"/>
        <w:ind w:left="714" w:hanging="357"/>
        <w:jc w:val="both"/>
        <w:rPr>
          <w:rFonts w:ascii="Arial" w:eastAsia="SimSun" w:hAnsi="Arial" w:cs="Arial"/>
          <w:color w:val="000000"/>
          <w:sz w:val="21"/>
        </w:rPr>
      </w:pPr>
      <w:r w:rsidRPr="00973028">
        <w:rPr>
          <w:rFonts w:ascii="Arial" w:eastAsia="Times New Roman" w:hAnsi="Arial" w:cs="Arial"/>
          <w:sz w:val="21"/>
        </w:rPr>
        <w:t xml:space="preserve">Del 1 al 28 de abril. </w:t>
      </w:r>
      <w:r w:rsidRPr="00973028">
        <w:rPr>
          <w:rFonts w:ascii="Arial" w:eastAsia="Times New Roman" w:hAnsi="Arial" w:cs="Arial"/>
          <w:b/>
          <w:bCs/>
          <w:sz w:val="21"/>
        </w:rPr>
        <w:t>Curso: Los</w:t>
      </w:r>
      <w:r w:rsidRPr="00973028">
        <w:rPr>
          <w:rFonts w:ascii="Arial" w:eastAsia="Times New Roman" w:hAnsi="Arial" w:cs="Arial"/>
          <w:b/>
          <w:bCs/>
          <w:color w:val="000000"/>
          <w:sz w:val="21"/>
        </w:rPr>
        <w:t xml:space="preserve"> medios electrónicos y el procedimiento administrativo electrónico previsto en la Ley 39/2015, LPACAP, (VII edición)</w:t>
      </w:r>
      <w:r w:rsidRPr="00973028">
        <w:rPr>
          <w:rFonts w:ascii="Arial" w:eastAsia="Times New Roman" w:hAnsi="Arial" w:cs="Arial"/>
          <w:color w:val="000000"/>
          <w:sz w:val="21"/>
        </w:rPr>
        <w:t>.</w:t>
      </w:r>
      <w:r w:rsidRPr="00973028">
        <w:rPr>
          <w:rFonts w:ascii="Arial" w:eastAsia="Times New Roman" w:hAnsi="Arial" w:cs="Arial"/>
          <w:sz w:val="21"/>
        </w:rPr>
        <w:t xml:space="preserve"> Organizado por el Centro de Estudios Municipales y de Cooperación Internacional (CEMCI-Granada). </w:t>
      </w:r>
      <w:r w:rsidRPr="00973028">
        <w:rPr>
          <w:rFonts w:ascii="Arial" w:eastAsia="Times New Roman" w:hAnsi="Arial" w:cs="Arial"/>
          <w:color w:val="000000"/>
          <w:sz w:val="21"/>
        </w:rPr>
        <w:t xml:space="preserve">El curso facilitó, desde una doble perspectiva legal y técnica, la formación y los medios para conocer la implementación del procedimiento administrativo en la administración electrónica, tras la aprobación de la Ley 39/2015, LPACAP, y la Ley 40/2015, LRJSP. </w:t>
      </w:r>
    </w:p>
    <w:p w14:paraId="0146A841" w14:textId="77A1773D" w:rsidR="00BB4994" w:rsidRPr="00973028" w:rsidRDefault="00BB4994" w:rsidP="00253ED4">
      <w:pPr>
        <w:widowControl w:val="0"/>
        <w:numPr>
          <w:ilvl w:val="0"/>
          <w:numId w:val="8"/>
        </w:numPr>
        <w:suppressAutoHyphens/>
        <w:autoSpaceDN w:val="0"/>
        <w:spacing w:after="120" w:line="276" w:lineRule="auto"/>
        <w:ind w:left="714" w:hanging="357"/>
        <w:jc w:val="both"/>
        <w:rPr>
          <w:rFonts w:ascii="Arial" w:eastAsia="Calibri" w:hAnsi="Arial" w:cs="Arial"/>
          <w:color w:val="000000"/>
          <w:sz w:val="21"/>
        </w:rPr>
      </w:pPr>
      <w:r w:rsidRPr="00973028">
        <w:rPr>
          <w:rFonts w:ascii="Arial" w:eastAsia="Times New Roman" w:hAnsi="Arial" w:cs="Arial"/>
          <w:sz w:val="21"/>
        </w:rPr>
        <w:t xml:space="preserve">18 de junio. </w:t>
      </w:r>
      <w:r w:rsidRPr="00973028">
        <w:rPr>
          <w:rFonts w:ascii="Arial" w:eastAsia="Times New Roman" w:hAnsi="Arial" w:cs="Arial"/>
          <w:b/>
          <w:bCs/>
          <w:sz w:val="21"/>
        </w:rPr>
        <w:t xml:space="preserve">Videoconferencia: La </w:t>
      </w:r>
      <w:r w:rsidRPr="00973028">
        <w:rPr>
          <w:rFonts w:ascii="Arial" w:eastAsia="Times New Roman" w:hAnsi="Arial" w:cs="Arial"/>
          <w:b/>
          <w:bCs/>
          <w:color w:val="000000"/>
          <w:sz w:val="21"/>
        </w:rPr>
        <w:t>Relación entre la AVAF y los órganos jurisdiccionales</w:t>
      </w:r>
      <w:r w:rsidRPr="00973028">
        <w:rPr>
          <w:rFonts w:ascii="Arial" w:eastAsia="Times New Roman" w:hAnsi="Arial" w:cs="Arial"/>
          <w:i/>
          <w:iCs/>
          <w:color w:val="000000"/>
          <w:sz w:val="21"/>
        </w:rPr>
        <w:t>.</w:t>
      </w:r>
      <w:r w:rsidRPr="00973028">
        <w:rPr>
          <w:rFonts w:ascii="Arial" w:eastAsia="Times New Roman" w:hAnsi="Arial" w:cs="Arial"/>
          <w:color w:val="000000"/>
          <w:sz w:val="21"/>
        </w:rPr>
        <w:t xml:space="preserve"> Actividad organizada por la Agencia. La acción formativa ha venido motivada al ser la Agencia un organismo que mantiene relaciones de apoyo y de colaboración con las autoridades judiciales y el </w:t>
      </w:r>
      <w:r w:rsidR="003803CD">
        <w:rPr>
          <w:rFonts w:ascii="Arial" w:eastAsia="Times New Roman" w:hAnsi="Arial" w:cs="Arial"/>
          <w:color w:val="000000"/>
          <w:sz w:val="21"/>
        </w:rPr>
        <w:t>M</w:t>
      </w:r>
      <w:r w:rsidRPr="00973028">
        <w:rPr>
          <w:rFonts w:ascii="Arial" w:eastAsia="Times New Roman" w:hAnsi="Arial" w:cs="Arial"/>
          <w:color w:val="000000"/>
          <w:sz w:val="21"/>
        </w:rPr>
        <w:t xml:space="preserve">inisterio </w:t>
      </w:r>
      <w:r w:rsidR="003803CD">
        <w:rPr>
          <w:rFonts w:ascii="Arial" w:eastAsia="Times New Roman" w:hAnsi="Arial" w:cs="Arial"/>
          <w:color w:val="000000"/>
          <w:sz w:val="21"/>
        </w:rPr>
        <w:t>F</w:t>
      </w:r>
      <w:r w:rsidRPr="00973028">
        <w:rPr>
          <w:rFonts w:ascii="Arial" w:eastAsia="Times New Roman" w:hAnsi="Arial" w:cs="Arial"/>
          <w:color w:val="000000"/>
          <w:sz w:val="21"/>
        </w:rPr>
        <w:t xml:space="preserve">iscal. La conferencia fue impartida por el juez magistrado Sr. Joaquim Bosch Grau. </w:t>
      </w:r>
    </w:p>
    <w:p w14:paraId="0EB16E3A" w14:textId="77777777" w:rsidR="00BB4994" w:rsidRPr="00973028" w:rsidRDefault="00BB4994" w:rsidP="00253ED4">
      <w:pPr>
        <w:widowControl w:val="0"/>
        <w:numPr>
          <w:ilvl w:val="0"/>
          <w:numId w:val="8"/>
        </w:numPr>
        <w:suppressAutoHyphens/>
        <w:autoSpaceDN w:val="0"/>
        <w:spacing w:after="120" w:line="276" w:lineRule="auto"/>
        <w:ind w:left="714" w:hanging="357"/>
        <w:jc w:val="both"/>
        <w:rPr>
          <w:rFonts w:ascii="Arial" w:eastAsia="Times New Roman" w:hAnsi="Arial" w:cs="Arial"/>
          <w:color w:val="000000"/>
          <w:sz w:val="21"/>
        </w:rPr>
      </w:pPr>
      <w:r w:rsidRPr="00973028">
        <w:rPr>
          <w:rFonts w:ascii="Arial" w:eastAsia="SimSun" w:hAnsi="Arial" w:cs="Arial"/>
          <w:sz w:val="21"/>
        </w:rPr>
        <w:t>26 de mayo, 2 de junio y 9 de junio.</w:t>
      </w:r>
      <w:r w:rsidRPr="00973028">
        <w:rPr>
          <w:rFonts w:ascii="Arial" w:eastAsia="Times New Roman" w:hAnsi="Arial" w:cs="Arial"/>
          <w:sz w:val="21"/>
        </w:rPr>
        <w:t xml:space="preserve"> </w:t>
      </w:r>
      <w:r w:rsidRPr="00973028">
        <w:rPr>
          <w:rFonts w:ascii="Arial" w:eastAsia="Times New Roman" w:hAnsi="Arial" w:cs="Arial"/>
          <w:b/>
          <w:bCs/>
          <w:sz w:val="21"/>
        </w:rPr>
        <w:t xml:space="preserve">Ciclo de </w:t>
      </w:r>
      <w:r w:rsidRPr="00973028">
        <w:rPr>
          <w:rFonts w:ascii="Arial" w:eastAsia="Times New Roman" w:hAnsi="Arial" w:cs="Arial"/>
          <w:b/>
          <w:bCs/>
          <w:i/>
          <w:iCs/>
          <w:sz w:val="21"/>
        </w:rPr>
        <w:t>Webinars:</w:t>
      </w:r>
      <w:r w:rsidRPr="00973028">
        <w:rPr>
          <w:rFonts w:ascii="Arial" w:eastAsia="Times New Roman" w:hAnsi="Arial" w:cs="Arial"/>
          <w:b/>
          <w:bCs/>
          <w:sz w:val="21"/>
        </w:rPr>
        <w:t xml:space="preserve"> Aspectos prácticos de la contratación pública y de la gestión administrativa en tiempos de COVID-19.</w:t>
      </w:r>
      <w:r w:rsidRPr="00973028">
        <w:rPr>
          <w:rFonts w:ascii="Arial" w:eastAsia="Times New Roman" w:hAnsi="Arial" w:cs="Arial"/>
          <w:color w:val="000000"/>
          <w:sz w:val="21"/>
        </w:rPr>
        <w:t xml:space="preserve"> </w:t>
      </w:r>
      <w:r w:rsidRPr="00973028">
        <w:rPr>
          <w:rFonts w:ascii="Arial" w:eastAsia="Times New Roman" w:hAnsi="Arial" w:cs="Arial"/>
          <w:sz w:val="21"/>
        </w:rPr>
        <w:t xml:space="preserve">Fundación Universidad Empresa de Valencia – ADEIT-UV. El </w:t>
      </w:r>
      <w:r w:rsidRPr="00973028">
        <w:rPr>
          <w:rFonts w:ascii="Arial" w:eastAsia="Times New Roman" w:hAnsi="Arial" w:cs="Arial"/>
          <w:color w:val="000000"/>
          <w:sz w:val="21"/>
        </w:rPr>
        <w:t xml:space="preserve">objetivo del ciclo de seminarios era promover las buenas prácticas para mejorar la gestión ante la urgencia de actuación pública provocada por la crisis socioeconómica generada por la COVID-19. </w:t>
      </w:r>
    </w:p>
    <w:p w14:paraId="47DE6BC8" w14:textId="77777777" w:rsidR="00BB4994" w:rsidRPr="00973028" w:rsidRDefault="00BB4994" w:rsidP="00253ED4">
      <w:pPr>
        <w:widowControl w:val="0"/>
        <w:numPr>
          <w:ilvl w:val="0"/>
          <w:numId w:val="8"/>
        </w:numPr>
        <w:suppressAutoHyphens/>
        <w:autoSpaceDN w:val="0"/>
        <w:spacing w:after="120" w:line="276" w:lineRule="auto"/>
        <w:ind w:left="714" w:hanging="357"/>
        <w:jc w:val="both"/>
        <w:rPr>
          <w:rFonts w:ascii="Arial" w:eastAsia="Calibri" w:hAnsi="Arial" w:cs="Arial"/>
          <w:color w:val="000000"/>
          <w:sz w:val="21"/>
        </w:rPr>
      </w:pPr>
      <w:r w:rsidRPr="00973028">
        <w:rPr>
          <w:rFonts w:ascii="Arial" w:eastAsia="Times New Roman" w:hAnsi="Arial" w:cs="Arial"/>
          <w:color w:val="000000"/>
          <w:sz w:val="21"/>
        </w:rPr>
        <w:t xml:space="preserve">Del 28 de septiembre al 1 de octubre. </w:t>
      </w:r>
      <w:r w:rsidRPr="00973028">
        <w:rPr>
          <w:rFonts w:ascii="Arial" w:eastAsia="Times New Roman" w:hAnsi="Arial" w:cs="Arial"/>
          <w:b/>
          <w:bCs/>
          <w:color w:val="000000"/>
          <w:sz w:val="21"/>
        </w:rPr>
        <w:t xml:space="preserve">V Congreso Internacional de Transparencia y Acceso a la Información. </w:t>
      </w:r>
      <w:r w:rsidRPr="00973028">
        <w:rPr>
          <w:rFonts w:ascii="Arial" w:eastAsia="Times New Roman" w:hAnsi="Arial" w:cs="Arial"/>
          <w:color w:val="000000"/>
          <w:sz w:val="21"/>
        </w:rPr>
        <w:t>Organizado conjuntamente por el Centro de Estudios de Partidos Políticos de la UNED, el</w:t>
      </w:r>
      <w:r w:rsidRPr="00973028">
        <w:rPr>
          <w:rFonts w:ascii="Arial" w:eastAsia="Times New Roman" w:hAnsi="Arial" w:cs="Arial"/>
          <w:sz w:val="21"/>
        </w:rPr>
        <w:t xml:space="preserve"> Grupo de Investigación Regulación Jurídica y Participación del Ciudadano Digital de la Universidad Complutense de Madrid, la Asociación de Profesionales e Investigadores de la Transparencia (ACREDITRA) y la Plataforma en Defensa de la Libertad de la Información. </w:t>
      </w:r>
      <w:r w:rsidRPr="00973028">
        <w:rPr>
          <w:rFonts w:ascii="Arial" w:eastAsia="Times New Roman" w:hAnsi="Arial" w:cs="Arial"/>
          <w:color w:val="000000"/>
          <w:sz w:val="21"/>
        </w:rPr>
        <w:t xml:space="preserve">El congreso, de carácter internacional, con participantes de 21 países, estaba abierto a enfoques del derecho, la ciencia política, la archivística, la economía, la documentación, la comunicación, la ética o la sociología. El objeto central de estudio fue la integridad pública y el </w:t>
      </w:r>
      <w:r w:rsidRPr="00973028">
        <w:rPr>
          <w:rFonts w:ascii="Arial" w:eastAsia="Times New Roman" w:hAnsi="Arial" w:cs="Arial"/>
          <w:color w:val="000000"/>
          <w:sz w:val="21"/>
        </w:rPr>
        <w:lastRenderedPageBreak/>
        <w:t xml:space="preserve">desarrollo de la ética pública en el ámbito de las instituciones que deben ser transparentes. </w:t>
      </w:r>
    </w:p>
    <w:p w14:paraId="3AD9AC4A" w14:textId="77777777" w:rsidR="00BB4994" w:rsidRPr="00973028" w:rsidRDefault="00BB4994" w:rsidP="00253ED4">
      <w:pPr>
        <w:widowControl w:val="0"/>
        <w:numPr>
          <w:ilvl w:val="0"/>
          <w:numId w:val="8"/>
        </w:numPr>
        <w:suppressAutoHyphens/>
        <w:autoSpaceDN w:val="0"/>
        <w:spacing w:after="240" w:line="276" w:lineRule="auto"/>
        <w:ind w:left="714" w:hanging="357"/>
        <w:jc w:val="both"/>
        <w:rPr>
          <w:rFonts w:ascii="Arial" w:eastAsia="Times New Roman" w:hAnsi="Arial" w:cs="Arial"/>
          <w:color w:val="000000"/>
          <w:sz w:val="21"/>
          <w:highlight w:val="white"/>
        </w:rPr>
      </w:pPr>
      <w:r w:rsidRPr="00973028">
        <w:rPr>
          <w:rFonts w:ascii="Arial" w:eastAsia="Times New Roman" w:hAnsi="Arial" w:cs="Arial"/>
          <w:color w:val="000000"/>
          <w:sz w:val="21"/>
        </w:rPr>
        <w:t xml:space="preserve">Del 23 de noviembre al 21 de diciembre. </w:t>
      </w:r>
      <w:r w:rsidRPr="00973028">
        <w:rPr>
          <w:rFonts w:ascii="Arial" w:eastAsia="NSimSun" w:hAnsi="Arial" w:cs="Arial"/>
          <w:b/>
          <w:bCs/>
          <w:color w:val="000000"/>
          <w:sz w:val="21"/>
          <w:shd w:val="clear" w:color="auto" w:fill="FFFFFF"/>
        </w:rPr>
        <w:t xml:space="preserve">Curso: Negociación colectiva. </w:t>
      </w:r>
      <w:r w:rsidRPr="00973028">
        <w:rPr>
          <w:rFonts w:ascii="Arial" w:eastAsia="NSimSun" w:hAnsi="Arial" w:cs="Arial"/>
          <w:bCs/>
          <w:color w:val="000000"/>
          <w:sz w:val="21"/>
          <w:shd w:val="clear" w:color="auto" w:fill="FFFFFF"/>
        </w:rPr>
        <w:t>O</w:t>
      </w:r>
      <w:r w:rsidRPr="00973028">
        <w:rPr>
          <w:rFonts w:ascii="Arial" w:eastAsia="Times New Roman" w:hAnsi="Arial" w:cs="Arial"/>
          <w:color w:val="000000"/>
          <w:sz w:val="21"/>
        </w:rPr>
        <w:t xml:space="preserve">ferta formativa del Consejo General de Secretarios, Interventores y Tesoreros de la Administración Local (COSITAL-Network). El objetivo del curso fue el estudio de los derechos los empleados públicos durante su participación en el proceso de determinación de las condiciones de trabajo. Adicionalmente, se ha analizado los elementos en las diferentes fases del proceso de negociación colectiva y los límites de las materias objeto de negociación. </w:t>
      </w:r>
    </w:p>
    <w:p w14:paraId="4BB35FC2" w14:textId="6832A47D" w:rsidR="00BB4994" w:rsidRPr="00973028" w:rsidRDefault="00BB4994" w:rsidP="00672ABA">
      <w:pPr>
        <w:pStyle w:val="Prrafodelista"/>
        <w:keepNext/>
        <w:numPr>
          <w:ilvl w:val="3"/>
          <w:numId w:val="22"/>
        </w:numPr>
        <w:spacing w:before="360" w:after="240" w:line="276" w:lineRule="auto"/>
        <w:ind w:left="1134" w:hanging="1134"/>
        <w:contextualSpacing w:val="0"/>
        <w:jc w:val="both"/>
        <w:outlineLvl w:val="3"/>
        <w:rPr>
          <w:rFonts w:ascii="Arial" w:eastAsia="Times New Roman" w:hAnsi="Arial" w:cs="Arial"/>
          <w:b/>
          <w:color w:val="9D2235"/>
          <w:sz w:val="24"/>
          <w:szCs w:val="24"/>
        </w:rPr>
      </w:pPr>
      <w:r w:rsidRPr="00973028">
        <w:rPr>
          <w:rFonts w:ascii="Arial" w:eastAsia="Times New Roman" w:hAnsi="Arial" w:cs="Arial"/>
          <w:b/>
          <w:color w:val="9D2235"/>
          <w:sz w:val="24"/>
          <w:szCs w:val="24"/>
        </w:rPr>
        <w:t xml:space="preserve">Formación departamental </w:t>
      </w:r>
    </w:p>
    <w:p w14:paraId="3B6D7D41" w14:textId="77777777" w:rsidR="00BB4994" w:rsidRPr="00973028" w:rsidRDefault="00BB4994" w:rsidP="00BB4994">
      <w:pPr>
        <w:widowControl w:val="0"/>
        <w:suppressAutoHyphens/>
        <w:autoSpaceDN w:val="0"/>
        <w:spacing w:after="240" w:line="276" w:lineRule="auto"/>
        <w:jc w:val="both"/>
        <w:rPr>
          <w:rFonts w:ascii="Arial" w:eastAsia="Calibri" w:hAnsi="Arial" w:cs="Arial"/>
        </w:rPr>
      </w:pPr>
      <w:r w:rsidRPr="00973028">
        <w:rPr>
          <w:rFonts w:ascii="Arial" w:eastAsia="Calibri" w:hAnsi="Arial" w:cs="Arial"/>
          <w:sz w:val="21"/>
          <w:lang w:eastAsia="ca-ES-valencia"/>
        </w:rPr>
        <w:t xml:space="preserve">En este ámbito se han desarrollado 14 actividades frente a 5 actividades realizadas el año anterior, para mejorar los conocimientos específicos de cada área de trabajo. </w:t>
      </w:r>
    </w:p>
    <w:p w14:paraId="726AF00A" w14:textId="77777777" w:rsidR="00BB4994" w:rsidRPr="00973028" w:rsidRDefault="00BB4994" w:rsidP="00253ED4">
      <w:pPr>
        <w:widowControl w:val="0"/>
        <w:numPr>
          <w:ilvl w:val="0"/>
          <w:numId w:val="8"/>
        </w:numPr>
        <w:suppressAutoHyphens/>
        <w:autoSpaceDN w:val="0"/>
        <w:spacing w:after="120" w:line="276" w:lineRule="auto"/>
        <w:ind w:left="714" w:hanging="357"/>
        <w:jc w:val="both"/>
        <w:rPr>
          <w:rFonts w:ascii="Arial" w:eastAsia="Times New Roman" w:hAnsi="Arial" w:cs="Arial"/>
          <w:sz w:val="21"/>
        </w:rPr>
      </w:pPr>
      <w:r w:rsidRPr="00973028">
        <w:rPr>
          <w:rFonts w:ascii="Arial" w:eastAsia="Times New Roman" w:hAnsi="Arial" w:cs="Arial"/>
          <w:sz w:val="21"/>
        </w:rPr>
        <w:t xml:space="preserve">Del </w:t>
      </w:r>
      <w:r w:rsidRPr="00973028">
        <w:rPr>
          <w:rFonts w:ascii="Arial" w:eastAsia="NSimSun" w:hAnsi="Arial" w:cs="Arial"/>
          <w:sz w:val="21"/>
        </w:rPr>
        <w:t xml:space="preserve">17 de febrero al 15 de abril. </w:t>
      </w:r>
      <w:r w:rsidRPr="00973028">
        <w:rPr>
          <w:rFonts w:ascii="Arial" w:eastAsia="Times New Roman" w:hAnsi="Arial" w:cs="Arial"/>
          <w:b/>
          <w:bCs/>
          <w:sz w:val="21"/>
        </w:rPr>
        <w:t xml:space="preserve">Curso: Prevención de riesgos laborales (PRL 2020). </w:t>
      </w:r>
      <w:r w:rsidRPr="00973028">
        <w:rPr>
          <w:rFonts w:ascii="Arial" w:eastAsia="Times New Roman" w:hAnsi="Arial" w:cs="Arial"/>
          <w:sz w:val="21"/>
        </w:rPr>
        <w:t xml:space="preserve">Organizado por el Instituto Valenciano de la Seguridad y Salud en el trabajo de la Generalitat Valenciana (INVASSAT). </w:t>
      </w:r>
    </w:p>
    <w:p w14:paraId="0B87B023" w14:textId="5A0F74EC" w:rsidR="00BB4994" w:rsidRPr="00973028" w:rsidRDefault="00BB4994" w:rsidP="00253ED4">
      <w:pPr>
        <w:widowControl w:val="0"/>
        <w:numPr>
          <w:ilvl w:val="0"/>
          <w:numId w:val="8"/>
        </w:numPr>
        <w:suppressAutoHyphens/>
        <w:autoSpaceDN w:val="0"/>
        <w:spacing w:after="120" w:line="276" w:lineRule="auto"/>
        <w:ind w:left="714" w:hanging="357"/>
        <w:jc w:val="both"/>
        <w:rPr>
          <w:rFonts w:ascii="Arial" w:eastAsia="Times New Roman" w:hAnsi="Arial" w:cs="Arial"/>
          <w:kern w:val="2"/>
          <w:sz w:val="21"/>
          <w:highlight w:val="white"/>
          <w:lang w:eastAsia="zh-CN" w:bidi="hi-IN"/>
        </w:rPr>
      </w:pPr>
      <w:r w:rsidRPr="00973028">
        <w:rPr>
          <w:rFonts w:ascii="Arial" w:eastAsia="Times New Roman" w:hAnsi="Arial" w:cs="Arial"/>
          <w:kern w:val="2"/>
          <w:sz w:val="21"/>
          <w:lang w:eastAsia="zh-CN" w:bidi="hi-IN"/>
        </w:rPr>
        <w:t>Del 27 de febrero al 31 de ma</w:t>
      </w:r>
      <w:r w:rsidRPr="00973028">
        <w:rPr>
          <w:rFonts w:ascii="Arial" w:eastAsia="Times New Roman" w:hAnsi="Arial" w:cs="Arial"/>
          <w:kern w:val="2"/>
          <w:sz w:val="21"/>
          <w:lang w:eastAsia="zh-CN"/>
        </w:rPr>
        <w:t>yo</w:t>
      </w:r>
      <w:r w:rsidRPr="00973028">
        <w:rPr>
          <w:rFonts w:ascii="Arial" w:eastAsia="Times New Roman" w:hAnsi="Arial" w:cs="Arial"/>
          <w:kern w:val="2"/>
          <w:sz w:val="21"/>
          <w:lang w:eastAsia="zh-CN" w:bidi="hi-IN"/>
        </w:rPr>
        <w:t xml:space="preserve"> de 2020, y el 8 y 10 de septiembre</w:t>
      </w:r>
      <w:r w:rsidRPr="00973028">
        <w:rPr>
          <w:rFonts w:ascii="Arial" w:eastAsia="Times New Roman" w:hAnsi="Arial" w:cs="Arial"/>
          <w:kern w:val="2"/>
          <w:sz w:val="21"/>
          <w:shd w:val="clear" w:color="auto" w:fill="FFFFFF"/>
          <w:lang w:eastAsia="zh-CN" w:bidi="hi-IN"/>
        </w:rPr>
        <w:t xml:space="preserve"> de 2020. </w:t>
      </w:r>
      <w:r w:rsidRPr="00973028">
        <w:rPr>
          <w:rFonts w:ascii="Arial" w:eastAsia="Times New Roman" w:hAnsi="Arial" w:cs="Arial"/>
          <w:b/>
          <w:bCs/>
          <w:sz w:val="21"/>
        </w:rPr>
        <w:t xml:space="preserve">Curso: Procedimiento administrativo electrónico. </w:t>
      </w:r>
      <w:r w:rsidRPr="00973028">
        <w:rPr>
          <w:rFonts w:ascii="Arial" w:eastAsia="Times New Roman" w:hAnsi="Arial" w:cs="Arial"/>
          <w:sz w:val="21"/>
        </w:rPr>
        <w:t>Organizado por el Consejo General de Secretarios, Interventores y Tesoreros de la Administración Local (COSITAL-Network).</w:t>
      </w:r>
      <w:r w:rsidRPr="00973028">
        <w:rPr>
          <w:rFonts w:ascii="Arial" w:eastAsia="Times New Roman" w:hAnsi="Arial" w:cs="Arial"/>
          <w:b/>
          <w:bCs/>
          <w:sz w:val="21"/>
        </w:rPr>
        <w:t xml:space="preserve"> </w:t>
      </w:r>
      <w:r w:rsidRPr="00973028">
        <w:rPr>
          <w:rFonts w:ascii="Arial" w:eastAsia="Times New Roman" w:hAnsi="Arial" w:cs="Arial"/>
          <w:kern w:val="2"/>
          <w:sz w:val="21"/>
          <w:lang w:eastAsia="zh-CN" w:bidi="hi-IN"/>
        </w:rPr>
        <w:t xml:space="preserve">El objetivo del curso ha sido el conocimiento y la comprensión de los aspectos fundamentales del nuevo procedimiento administrativo electrónico después de las Ley 39/2015, del </w:t>
      </w:r>
      <w:r w:rsidR="007B6693">
        <w:rPr>
          <w:rFonts w:ascii="Arial" w:eastAsia="Times New Roman" w:hAnsi="Arial" w:cs="Arial"/>
          <w:kern w:val="2"/>
          <w:sz w:val="21"/>
          <w:lang w:eastAsia="zh-CN" w:bidi="hi-IN"/>
        </w:rPr>
        <w:t>P</w:t>
      </w:r>
      <w:r w:rsidRPr="00973028">
        <w:rPr>
          <w:rFonts w:ascii="Arial" w:eastAsia="Times New Roman" w:hAnsi="Arial" w:cs="Arial"/>
          <w:kern w:val="2"/>
          <w:sz w:val="21"/>
          <w:lang w:eastAsia="zh-CN" w:bidi="hi-IN"/>
        </w:rPr>
        <w:t xml:space="preserve">rocedimiento </w:t>
      </w:r>
      <w:r w:rsidR="007B6693">
        <w:rPr>
          <w:rFonts w:ascii="Arial" w:eastAsia="Times New Roman" w:hAnsi="Arial" w:cs="Arial"/>
          <w:kern w:val="2"/>
          <w:sz w:val="21"/>
          <w:lang w:eastAsia="zh-CN" w:bidi="hi-IN"/>
        </w:rPr>
        <w:t>A</w:t>
      </w:r>
      <w:r w:rsidRPr="00973028">
        <w:rPr>
          <w:rFonts w:ascii="Arial" w:eastAsia="Times New Roman" w:hAnsi="Arial" w:cs="Arial"/>
          <w:kern w:val="2"/>
          <w:sz w:val="21"/>
          <w:lang w:eastAsia="zh-CN" w:bidi="hi-IN"/>
        </w:rPr>
        <w:t xml:space="preserve">dministrativo </w:t>
      </w:r>
      <w:r w:rsidR="007B6693">
        <w:rPr>
          <w:rFonts w:ascii="Arial" w:eastAsia="Times New Roman" w:hAnsi="Arial" w:cs="Arial"/>
          <w:kern w:val="2"/>
          <w:sz w:val="21"/>
          <w:lang w:eastAsia="zh-CN" w:bidi="hi-IN"/>
        </w:rPr>
        <w:t>C</w:t>
      </w:r>
      <w:r w:rsidRPr="00973028">
        <w:rPr>
          <w:rFonts w:ascii="Arial" w:eastAsia="Times New Roman" w:hAnsi="Arial" w:cs="Arial"/>
          <w:kern w:val="2"/>
          <w:sz w:val="21"/>
          <w:lang w:eastAsia="zh-CN" w:bidi="hi-IN"/>
        </w:rPr>
        <w:t xml:space="preserve">omún de las </w:t>
      </w:r>
      <w:r w:rsidR="007B6693">
        <w:rPr>
          <w:rFonts w:ascii="Arial" w:eastAsia="Times New Roman" w:hAnsi="Arial" w:cs="Arial"/>
          <w:kern w:val="2"/>
          <w:sz w:val="21"/>
          <w:lang w:eastAsia="zh-CN" w:bidi="hi-IN"/>
        </w:rPr>
        <w:t>A</w:t>
      </w:r>
      <w:r w:rsidRPr="00973028">
        <w:rPr>
          <w:rFonts w:ascii="Arial" w:eastAsia="Times New Roman" w:hAnsi="Arial" w:cs="Arial"/>
          <w:kern w:val="2"/>
          <w:sz w:val="21"/>
          <w:lang w:eastAsia="zh-CN" w:bidi="hi-IN"/>
        </w:rPr>
        <w:t xml:space="preserve">dministraciones </w:t>
      </w:r>
      <w:r w:rsidR="007B6693">
        <w:rPr>
          <w:rFonts w:ascii="Arial" w:eastAsia="Times New Roman" w:hAnsi="Arial" w:cs="Arial"/>
          <w:kern w:val="2"/>
          <w:sz w:val="21"/>
          <w:lang w:eastAsia="zh-CN" w:bidi="hi-IN"/>
        </w:rPr>
        <w:t>P</w:t>
      </w:r>
      <w:r w:rsidRPr="00973028">
        <w:rPr>
          <w:rFonts w:ascii="Arial" w:eastAsia="Times New Roman" w:hAnsi="Arial" w:cs="Arial"/>
          <w:kern w:val="2"/>
          <w:sz w:val="21"/>
          <w:lang w:eastAsia="zh-CN" w:bidi="hi-IN"/>
        </w:rPr>
        <w:t xml:space="preserve">úblicas y la Ley 40/2015, de </w:t>
      </w:r>
      <w:r w:rsidR="007B6693">
        <w:rPr>
          <w:rFonts w:ascii="Arial" w:eastAsia="Times New Roman" w:hAnsi="Arial" w:cs="Arial"/>
          <w:kern w:val="2"/>
          <w:sz w:val="21"/>
          <w:lang w:eastAsia="zh-CN" w:bidi="hi-IN"/>
        </w:rPr>
        <w:t>R</w:t>
      </w:r>
      <w:r w:rsidRPr="00973028">
        <w:rPr>
          <w:rFonts w:ascii="Arial" w:eastAsia="Times New Roman" w:hAnsi="Arial" w:cs="Arial"/>
          <w:kern w:val="2"/>
          <w:sz w:val="21"/>
          <w:lang w:eastAsia="zh-CN" w:bidi="hi-IN"/>
        </w:rPr>
        <w:t xml:space="preserve">égimen </w:t>
      </w:r>
      <w:r w:rsidR="007B6693">
        <w:rPr>
          <w:rFonts w:ascii="Arial" w:eastAsia="Times New Roman" w:hAnsi="Arial" w:cs="Arial"/>
          <w:kern w:val="2"/>
          <w:sz w:val="21"/>
          <w:lang w:eastAsia="zh-CN" w:bidi="hi-IN"/>
        </w:rPr>
        <w:t>J</w:t>
      </w:r>
      <w:r w:rsidRPr="00973028">
        <w:rPr>
          <w:rFonts w:ascii="Arial" w:eastAsia="Times New Roman" w:hAnsi="Arial" w:cs="Arial"/>
          <w:kern w:val="2"/>
          <w:sz w:val="21"/>
          <w:lang w:eastAsia="zh-CN" w:bidi="hi-IN"/>
        </w:rPr>
        <w:t xml:space="preserve">urídico del </w:t>
      </w:r>
      <w:r w:rsidR="007B6693">
        <w:rPr>
          <w:rFonts w:ascii="Arial" w:eastAsia="Times New Roman" w:hAnsi="Arial" w:cs="Arial"/>
          <w:kern w:val="2"/>
          <w:sz w:val="21"/>
          <w:lang w:eastAsia="zh-CN" w:bidi="hi-IN"/>
        </w:rPr>
        <w:t>S</w:t>
      </w:r>
      <w:r w:rsidRPr="00973028">
        <w:rPr>
          <w:rFonts w:ascii="Arial" w:eastAsia="Times New Roman" w:hAnsi="Arial" w:cs="Arial"/>
          <w:kern w:val="2"/>
          <w:sz w:val="21"/>
          <w:lang w:eastAsia="zh-CN" w:bidi="hi-IN"/>
        </w:rPr>
        <w:t xml:space="preserve">ector </w:t>
      </w:r>
      <w:r w:rsidR="007B6693">
        <w:rPr>
          <w:rFonts w:ascii="Arial" w:eastAsia="Times New Roman" w:hAnsi="Arial" w:cs="Arial"/>
          <w:kern w:val="2"/>
          <w:sz w:val="21"/>
          <w:lang w:eastAsia="zh-CN" w:bidi="hi-IN"/>
        </w:rPr>
        <w:t>P</w:t>
      </w:r>
      <w:r w:rsidRPr="00973028">
        <w:rPr>
          <w:rFonts w:ascii="Arial" w:eastAsia="Times New Roman" w:hAnsi="Arial" w:cs="Arial"/>
          <w:kern w:val="2"/>
          <w:sz w:val="21"/>
          <w:lang w:eastAsia="zh-CN" w:bidi="hi-IN"/>
        </w:rPr>
        <w:t xml:space="preserve">úblico. </w:t>
      </w:r>
    </w:p>
    <w:p w14:paraId="6F7CF5F8" w14:textId="77777777" w:rsidR="00BB4994" w:rsidRPr="00973028" w:rsidRDefault="00BB4994" w:rsidP="00253ED4">
      <w:pPr>
        <w:widowControl w:val="0"/>
        <w:numPr>
          <w:ilvl w:val="0"/>
          <w:numId w:val="8"/>
        </w:numPr>
        <w:suppressAutoHyphens/>
        <w:autoSpaceDN w:val="0"/>
        <w:spacing w:after="120" w:line="276" w:lineRule="auto"/>
        <w:ind w:left="714" w:hanging="357"/>
        <w:jc w:val="both"/>
        <w:rPr>
          <w:rFonts w:ascii="Arial" w:eastAsia="SimSun" w:hAnsi="Arial" w:cs="Arial"/>
          <w:kern w:val="2"/>
          <w:sz w:val="21"/>
          <w:lang w:eastAsia="zh-CN" w:bidi="hi-IN"/>
        </w:rPr>
      </w:pPr>
      <w:r w:rsidRPr="00973028">
        <w:rPr>
          <w:rFonts w:ascii="Arial" w:eastAsia="NSimSun" w:hAnsi="Arial" w:cs="Arial"/>
          <w:kern w:val="2"/>
          <w:sz w:val="21"/>
          <w:lang w:eastAsia="zh-CN" w:bidi="hi-IN"/>
        </w:rPr>
        <w:t xml:space="preserve">12 y 13 de febrero de 2020. </w:t>
      </w:r>
      <w:r w:rsidRPr="00973028">
        <w:rPr>
          <w:rFonts w:ascii="Arial" w:eastAsia="NSimSun" w:hAnsi="Arial" w:cs="Arial"/>
          <w:b/>
          <w:bCs/>
          <w:kern w:val="2"/>
          <w:sz w:val="21"/>
          <w:lang w:eastAsia="zh-CN" w:bidi="hi-IN"/>
        </w:rPr>
        <w:t>III Congreso Nacional Antifraude.</w:t>
      </w:r>
      <w:r w:rsidRPr="00973028">
        <w:rPr>
          <w:rFonts w:ascii="Arial" w:eastAsia="NSimSun" w:hAnsi="Arial" w:cs="Arial"/>
          <w:kern w:val="2"/>
          <w:sz w:val="21"/>
          <w:lang w:eastAsia="zh-CN" w:bidi="hi-IN"/>
        </w:rPr>
        <w:t xml:space="preserve"> Organizado por la </w:t>
      </w:r>
      <w:r w:rsidRPr="00973028">
        <w:rPr>
          <w:rFonts w:ascii="Arial" w:eastAsia="NSimSun" w:hAnsi="Arial" w:cs="Arial"/>
          <w:i/>
          <w:iCs/>
          <w:kern w:val="2"/>
          <w:sz w:val="21"/>
          <w:lang w:eastAsia="zh-CN" w:bidi="hi-IN"/>
        </w:rPr>
        <w:t>World Compliance Association</w:t>
      </w:r>
      <w:r w:rsidRPr="00973028">
        <w:rPr>
          <w:rFonts w:ascii="Arial" w:eastAsia="NSimSun" w:hAnsi="Arial" w:cs="Arial"/>
          <w:kern w:val="2"/>
          <w:sz w:val="21"/>
          <w:lang w:eastAsia="zh-CN" w:bidi="hi-IN"/>
        </w:rPr>
        <w:t xml:space="preserve">, la Fundación Universitaria </w:t>
      </w:r>
      <w:r w:rsidRPr="00973028">
        <w:rPr>
          <w:rFonts w:ascii="Arial" w:eastAsia="NSimSun" w:hAnsi="Arial" w:cs="Arial"/>
          <w:i/>
          <w:iCs/>
          <w:kern w:val="2"/>
          <w:sz w:val="21"/>
          <w:lang w:eastAsia="zh-CN" w:bidi="hi-IN"/>
        </w:rPr>
        <w:t>Behavior &amp; Law</w:t>
      </w:r>
      <w:r w:rsidRPr="00973028">
        <w:rPr>
          <w:rFonts w:ascii="Arial" w:eastAsia="NSimSun" w:hAnsi="Arial" w:cs="Arial"/>
          <w:kern w:val="2"/>
          <w:sz w:val="21"/>
          <w:lang w:eastAsia="zh-CN" w:bidi="hi-IN"/>
        </w:rPr>
        <w:t xml:space="preserve"> y la Asociación Española de Empresas contra el Fraude (AEECF)</w:t>
      </w:r>
      <w:r w:rsidRPr="00973028">
        <w:rPr>
          <w:rFonts w:ascii="Arial" w:eastAsia="Times New Roman" w:hAnsi="Arial" w:cs="Arial"/>
          <w:kern w:val="2"/>
          <w:sz w:val="21"/>
          <w:lang w:eastAsia="zh-CN" w:bidi="hi-IN"/>
        </w:rPr>
        <w:t xml:space="preserve">. El objetivo del congreso era profundizar en el análisis de casos de fraude y las técnicas de entrevista. Se analizaron también estrategias de lucha antifraude y de anticipación para prevenir, detectar y contrarrestar las nuevas amenazas a tiempo. Adicionalmente, en el congreso se incluyó un panel específico sobre inteligencia artificial aplicada. </w:t>
      </w:r>
    </w:p>
    <w:p w14:paraId="27F52155" w14:textId="1CD81810" w:rsidR="00BB4994" w:rsidRPr="00973028" w:rsidRDefault="00BB4994" w:rsidP="00253ED4">
      <w:pPr>
        <w:widowControl w:val="0"/>
        <w:numPr>
          <w:ilvl w:val="0"/>
          <w:numId w:val="8"/>
        </w:numPr>
        <w:suppressAutoHyphens/>
        <w:autoSpaceDN w:val="0"/>
        <w:spacing w:after="120" w:line="276" w:lineRule="auto"/>
        <w:ind w:left="714" w:hanging="357"/>
        <w:jc w:val="both"/>
        <w:rPr>
          <w:rFonts w:ascii="Arial" w:eastAsia="NSimSun" w:hAnsi="Arial" w:cs="Arial"/>
          <w:sz w:val="21"/>
        </w:rPr>
      </w:pPr>
      <w:r w:rsidRPr="00973028">
        <w:rPr>
          <w:rFonts w:ascii="Arial" w:eastAsia="NSimSun" w:hAnsi="Arial" w:cs="Arial"/>
          <w:kern w:val="2"/>
          <w:sz w:val="21"/>
          <w:lang w:eastAsia="zh-CN" w:bidi="hi-IN"/>
        </w:rPr>
        <w:t xml:space="preserve">9 y 10 de marzo. </w:t>
      </w:r>
      <w:r w:rsidRPr="00973028">
        <w:rPr>
          <w:rFonts w:ascii="Arial" w:eastAsia="NSimSun" w:hAnsi="Arial" w:cs="Arial"/>
          <w:b/>
          <w:bCs/>
          <w:kern w:val="2"/>
          <w:sz w:val="21"/>
          <w:lang w:eastAsia="zh-CN" w:bidi="hi-IN"/>
        </w:rPr>
        <w:t xml:space="preserve">Curso: </w:t>
      </w:r>
      <w:r w:rsidRPr="00973028">
        <w:rPr>
          <w:rFonts w:ascii="Arial" w:eastAsia="Times New Roman" w:hAnsi="Arial" w:cs="Arial"/>
          <w:b/>
          <w:bCs/>
          <w:sz w:val="21"/>
        </w:rPr>
        <w:t xml:space="preserve">Contratación y </w:t>
      </w:r>
      <w:r w:rsidRPr="00973028">
        <w:rPr>
          <w:rFonts w:ascii="Arial" w:eastAsia="Times New Roman" w:hAnsi="Arial" w:cs="Arial"/>
          <w:b/>
          <w:bCs/>
          <w:i/>
          <w:iCs/>
          <w:sz w:val="21"/>
        </w:rPr>
        <w:t>compliance</w:t>
      </w:r>
      <w:r w:rsidRPr="00973028">
        <w:rPr>
          <w:rFonts w:ascii="Arial" w:eastAsia="Times New Roman" w:hAnsi="Arial" w:cs="Arial"/>
          <w:b/>
          <w:bCs/>
          <w:sz w:val="21"/>
        </w:rPr>
        <w:t>, hacia una contratación de calidad, innovadora e íntegra.</w:t>
      </w:r>
      <w:r w:rsidRPr="00973028">
        <w:rPr>
          <w:rFonts w:ascii="Arial" w:eastAsia="Times New Roman" w:hAnsi="Arial" w:cs="Arial"/>
          <w:sz w:val="21"/>
        </w:rPr>
        <w:t xml:space="preserve"> Organizado por la Fundación Universidad Empresa de la </w:t>
      </w:r>
      <w:r w:rsidR="00012862">
        <w:rPr>
          <w:rFonts w:ascii="Arial" w:eastAsia="Times New Roman" w:hAnsi="Arial" w:cs="Arial"/>
          <w:sz w:val="21"/>
        </w:rPr>
        <w:t>Universitat de València</w:t>
      </w:r>
      <w:r w:rsidRPr="00973028">
        <w:rPr>
          <w:rFonts w:ascii="Arial" w:eastAsia="Times New Roman" w:hAnsi="Arial" w:cs="Arial"/>
          <w:sz w:val="21"/>
        </w:rPr>
        <w:t xml:space="preserve"> ADEIT-UV en su sede. </w:t>
      </w:r>
      <w:r w:rsidRPr="00973028">
        <w:rPr>
          <w:rFonts w:ascii="Arial" w:eastAsia="Times New Roman" w:hAnsi="Arial" w:cs="Arial"/>
          <w:kern w:val="2"/>
          <w:sz w:val="21"/>
          <w:lang w:eastAsia="zh-CN" w:bidi="hi-IN"/>
        </w:rPr>
        <w:t xml:space="preserve">El objetivo del curso fue la formación y la especialización de los trabajadores y gestores públicos en la aplicación de manera adecuada de la normativa de contratación pública tras haber transcurrido dos años desde la entrada en vigor de la Ley 9/2017, de 8 de noviembre de </w:t>
      </w:r>
      <w:r w:rsidR="007B6693">
        <w:rPr>
          <w:rFonts w:ascii="Arial" w:eastAsia="Times New Roman" w:hAnsi="Arial" w:cs="Arial"/>
          <w:kern w:val="2"/>
          <w:sz w:val="21"/>
          <w:lang w:eastAsia="zh-CN" w:bidi="hi-IN"/>
        </w:rPr>
        <w:t>C</w:t>
      </w:r>
      <w:r w:rsidRPr="00973028">
        <w:rPr>
          <w:rFonts w:ascii="Arial" w:eastAsia="Times New Roman" w:hAnsi="Arial" w:cs="Arial"/>
          <w:kern w:val="2"/>
          <w:sz w:val="21"/>
          <w:lang w:eastAsia="zh-CN" w:bidi="hi-IN"/>
        </w:rPr>
        <w:t xml:space="preserve">ontratos del </w:t>
      </w:r>
      <w:r w:rsidR="007B6693">
        <w:rPr>
          <w:rFonts w:ascii="Arial" w:eastAsia="Times New Roman" w:hAnsi="Arial" w:cs="Arial"/>
          <w:kern w:val="2"/>
          <w:sz w:val="21"/>
          <w:lang w:eastAsia="zh-CN" w:bidi="hi-IN"/>
        </w:rPr>
        <w:t>S</w:t>
      </w:r>
      <w:r w:rsidRPr="00973028">
        <w:rPr>
          <w:rFonts w:ascii="Arial" w:eastAsia="Times New Roman" w:hAnsi="Arial" w:cs="Arial"/>
          <w:kern w:val="2"/>
          <w:sz w:val="21"/>
          <w:lang w:eastAsia="zh-CN" w:bidi="hi-IN"/>
        </w:rPr>
        <w:t xml:space="preserve">ector </w:t>
      </w:r>
      <w:r w:rsidR="007B6693">
        <w:rPr>
          <w:rFonts w:ascii="Arial" w:eastAsia="Times New Roman" w:hAnsi="Arial" w:cs="Arial"/>
          <w:kern w:val="2"/>
          <w:sz w:val="21"/>
          <w:lang w:eastAsia="zh-CN" w:bidi="hi-IN"/>
        </w:rPr>
        <w:t>P</w:t>
      </w:r>
      <w:r w:rsidRPr="00973028">
        <w:rPr>
          <w:rFonts w:ascii="Arial" w:eastAsia="Times New Roman" w:hAnsi="Arial" w:cs="Arial"/>
          <w:kern w:val="2"/>
          <w:sz w:val="21"/>
          <w:lang w:eastAsia="zh-CN" w:bidi="hi-IN"/>
        </w:rPr>
        <w:t xml:space="preserve">úblico. </w:t>
      </w:r>
      <w:r w:rsidRPr="00973028">
        <w:rPr>
          <w:rFonts w:ascii="Arial" w:eastAsia="NSimSun" w:hAnsi="Arial" w:cs="Arial"/>
          <w:sz w:val="21"/>
        </w:rPr>
        <w:t xml:space="preserve">El 13 de julio se completó el curso con el taller gratuito </w:t>
      </w:r>
      <w:r w:rsidRPr="00973028">
        <w:rPr>
          <w:rFonts w:ascii="Arial" w:eastAsia="NSimSun" w:hAnsi="Arial" w:cs="Arial"/>
          <w:i/>
          <w:iCs/>
          <w:sz w:val="21"/>
        </w:rPr>
        <w:t>online</w:t>
      </w:r>
      <w:r w:rsidRPr="00973028">
        <w:rPr>
          <w:rFonts w:ascii="Arial" w:eastAsia="NSimSun" w:hAnsi="Arial" w:cs="Arial"/>
          <w:sz w:val="21"/>
        </w:rPr>
        <w:t xml:space="preserve"> </w:t>
      </w:r>
      <w:r w:rsidRPr="00973028">
        <w:rPr>
          <w:rFonts w:ascii="Arial" w:eastAsia="NSimSun" w:hAnsi="Arial" w:cs="Arial"/>
          <w:i/>
          <w:iCs/>
          <w:sz w:val="21"/>
        </w:rPr>
        <w:t>Compliance</w:t>
      </w:r>
      <w:r w:rsidRPr="00973028">
        <w:rPr>
          <w:rFonts w:ascii="Arial" w:eastAsia="NSimSun" w:hAnsi="Arial" w:cs="Arial"/>
          <w:sz w:val="21"/>
        </w:rPr>
        <w:t xml:space="preserve"> en el ámbito del sector público, sobre la elaboración de un sistema de </w:t>
      </w:r>
      <w:r w:rsidRPr="00973028">
        <w:rPr>
          <w:rFonts w:ascii="Arial" w:eastAsia="NSimSun" w:hAnsi="Arial" w:cs="Arial"/>
          <w:i/>
          <w:iCs/>
          <w:sz w:val="21"/>
        </w:rPr>
        <w:t>Compliance</w:t>
      </w:r>
      <w:r w:rsidRPr="00973028">
        <w:rPr>
          <w:rFonts w:ascii="Arial" w:eastAsia="NSimSun" w:hAnsi="Arial" w:cs="Arial"/>
          <w:sz w:val="21"/>
        </w:rPr>
        <w:t xml:space="preserve"> como garantía de integridad en la gestión pública, y las herramientas y mecanismos a utilizar.</w:t>
      </w:r>
    </w:p>
    <w:p w14:paraId="020C85A3" w14:textId="77777777" w:rsidR="00BB4994" w:rsidRPr="00973028" w:rsidRDefault="00BB4994" w:rsidP="00253ED4">
      <w:pPr>
        <w:widowControl w:val="0"/>
        <w:numPr>
          <w:ilvl w:val="0"/>
          <w:numId w:val="8"/>
        </w:numPr>
        <w:suppressAutoHyphens/>
        <w:autoSpaceDN w:val="0"/>
        <w:spacing w:after="120" w:line="276" w:lineRule="auto"/>
        <w:ind w:left="714" w:hanging="357"/>
        <w:jc w:val="both"/>
        <w:rPr>
          <w:rFonts w:ascii="Arial" w:eastAsia="NSimSun" w:hAnsi="Arial" w:cs="Arial"/>
          <w:sz w:val="21"/>
        </w:rPr>
      </w:pPr>
      <w:r w:rsidRPr="00973028">
        <w:rPr>
          <w:rFonts w:ascii="Arial" w:eastAsia="NSimSun" w:hAnsi="Arial" w:cs="Arial"/>
          <w:kern w:val="2"/>
          <w:sz w:val="21"/>
          <w:lang w:eastAsia="zh-CN" w:bidi="hi-IN"/>
        </w:rPr>
        <w:t>2, 6 y 7 de abril de 2020.</w:t>
      </w:r>
      <w:r w:rsidRPr="00973028">
        <w:rPr>
          <w:rFonts w:ascii="Arial" w:eastAsia="NSimSun" w:hAnsi="Arial" w:cs="Arial"/>
          <w:b/>
          <w:bCs/>
          <w:kern w:val="2"/>
          <w:sz w:val="21"/>
          <w:lang w:eastAsia="zh-CN" w:bidi="hi-IN"/>
        </w:rPr>
        <w:t xml:space="preserve"> Curso </w:t>
      </w:r>
      <w:r w:rsidRPr="00973028">
        <w:rPr>
          <w:rFonts w:ascii="Arial" w:eastAsia="NSimSun" w:hAnsi="Arial" w:cs="Arial"/>
          <w:b/>
          <w:bCs/>
          <w:i/>
          <w:iCs/>
          <w:kern w:val="2"/>
          <w:sz w:val="21"/>
          <w:lang w:eastAsia="zh-CN" w:bidi="hi-IN"/>
        </w:rPr>
        <w:t>online</w:t>
      </w:r>
      <w:r w:rsidRPr="00973028">
        <w:rPr>
          <w:rFonts w:ascii="Arial" w:eastAsia="NSimSun" w:hAnsi="Arial" w:cs="Arial"/>
          <w:b/>
          <w:bCs/>
          <w:kern w:val="2"/>
          <w:sz w:val="21"/>
          <w:lang w:eastAsia="zh-CN" w:bidi="hi-IN"/>
        </w:rPr>
        <w:t xml:space="preserve"> </w:t>
      </w:r>
      <w:r w:rsidRPr="00973028">
        <w:rPr>
          <w:rFonts w:ascii="Arial" w:eastAsia="Times New Roman" w:hAnsi="Arial" w:cs="Arial"/>
          <w:b/>
          <w:bCs/>
          <w:kern w:val="2"/>
          <w:sz w:val="21"/>
          <w:lang w:eastAsia="zh-CN" w:bidi="hi-IN"/>
        </w:rPr>
        <w:t>sobre</w:t>
      </w:r>
      <w:r w:rsidRPr="00973028">
        <w:rPr>
          <w:rFonts w:ascii="Arial" w:eastAsia="NSimSun" w:hAnsi="Arial" w:cs="Arial"/>
          <w:b/>
          <w:bCs/>
          <w:kern w:val="2"/>
          <w:sz w:val="21"/>
          <w:lang w:eastAsia="zh-CN" w:bidi="hi-IN"/>
        </w:rPr>
        <w:t xml:space="preserve"> la herramienta MODEL@.</w:t>
      </w:r>
      <w:r w:rsidRPr="00973028">
        <w:rPr>
          <w:rFonts w:ascii="Arial" w:eastAsia="Times New Roman" w:hAnsi="Arial" w:cs="Arial"/>
          <w:sz w:val="21"/>
        </w:rPr>
        <w:t xml:space="preserve"> El curso </w:t>
      </w:r>
      <w:r w:rsidRPr="00973028">
        <w:rPr>
          <w:rFonts w:ascii="Arial" w:eastAsia="Times New Roman" w:hAnsi="Arial" w:cs="Arial"/>
          <w:sz w:val="21"/>
        </w:rPr>
        <w:lastRenderedPageBreak/>
        <w:t xml:space="preserve">ha sido </w:t>
      </w:r>
      <w:r w:rsidRPr="00973028">
        <w:rPr>
          <w:rFonts w:ascii="Arial" w:eastAsia="NSimSun" w:hAnsi="Arial" w:cs="Arial"/>
          <w:sz w:val="21"/>
        </w:rPr>
        <w:t xml:space="preserve">impartido por Guadaltel, empresa adjudicataria del contrato de servicios de implantación de la administración electrónica de la Agencia, para </w:t>
      </w:r>
      <w:r w:rsidRPr="00973028">
        <w:rPr>
          <w:rFonts w:ascii="Arial" w:eastAsia="NSimSun" w:hAnsi="Arial" w:cs="Arial"/>
          <w:kern w:val="2"/>
          <w:sz w:val="21"/>
          <w:lang w:eastAsia="zh-CN" w:bidi="hi-IN"/>
        </w:rPr>
        <w:t xml:space="preserve">maximizar el rendimiento, eficacia y eficiencia en los recursos de la plataforma de la administración electrónica de la Agencia. </w:t>
      </w:r>
    </w:p>
    <w:p w14:paraId="356F63D4" w14:textId="77777777" w:rsidR="00BB4994" w:rsidRPr="00973028" w:rsidRDefault="00BB4994" w:rsidP="00253ED4">
      <w:pPr>
        <w:widowControl w:val="0"/>
        <w:numPr>
          <w:ilvl w:val="0"/>
          <w:numId w:val="8"/>
        </w:numPr>
        <w:suppressAutoHyphens/>
        <w:autoSpaceDN w:val="0"/>
        <w:spacing w:after="120" w:line="276" w:lineRule="auto"/>
        <w:ind w:left="714" w:hanging="357"/>
        <w:jc w:val="both"/>
        <w:rPr>
          <w:rFonts w:ascii="Arial" w:eastAsia="NSimSun" w:hAnsi="Arial" w:cs="Arial"/>
          <w:sz w:val="21"/>
        </w:rPr>
      </w:pPr>
      <w:r w:rsidRPr="00973028">
        <w:rPr>
          <w:rFonts w:ascii="Arial" w:eastAsia="NSimSun" w:hAnsi="Arial" w:cs="Arial"/>
          <w:kern w:val="2"/>
          <w:sz w:val="21"/>
          <w:lang w:eastAsia="zh-CN" w:bidi="hi-IN"/>
        </w:rPr>
        <w:t xml:space="preserve">21 de abril. </w:t>
      </w:r>
      <w:r w:rsidRPr="00973028">
        <w:rPr>
          <w:rFonts w:ascii="Arial" w:eastAsia="NSimSun" w:hAnsi="Arial" w:cs="Arial"/>
          <w:b/>
          <w:bCs/>
          <w:kern w:val="2"/>
          <w:sz w:val="21"/>
          <w:lang w:eastAsia="zh-CN" w:bidi="hi-IN"/>
        </w:rPr>
        <w:t>Congreso</w:t>
      </w:r>
      <w:r w:rsidRPr="00973028">
        <w:rPr>
          <w:rFonts w:ascii="Arial" w:eastAsia="Times New Roman" w:hAnsi="Arial" w:cs="Arial"/>
          <w:b/>
          <w:bCs/>
          <w:sz w:val="21"/>
        </w:rPr>
        <w:t xml:space="preserve"> </w:t>
      </w:r>
      <w:r w:rsidRPr="00973028">
        <w:rPr>
          <w:rFonts w:ascii="Arial" w:eastAsia="Times New Roman" w:hAnsi="Arial" w:cs="Arial"/>
          <w:b/>
          <w:bCs/>
          <w:i/>
          <w:iCs/>
          <w:sz w:val="21"/>
        </w:rPr>
        <w:t>COVID-Compliance</w:t>
      </w:r>
      <w:r w:rsidRPr="00973028">
        <w:rPr>
          <w:rFonts w:ascii="Arial" w:eastAsia="Times New Roman" w:hAnsi="Arial" w:cs="Arial"/>
          <w:sz w:val="21"/>
        </w:rPr>
        <w:t xml:space="preserve">. Organizado por la </w:t>
      </w:r>
      <w:r w:rsidRPr="00973028">
        <w:rPr>
          <w:rFonts w:ascii="Arial" w:eastAsia="Times New Roman" w:hAnsi="Arial" w:cs="Arial"/>
          <w:i/>
          <w:iCs/>
          <w:sz w:val="21"/>
        </w:rPr>
        <w:t>World Compliance Association</w:t>
      </w:r>
      <w:r w:rsidRPr="00973028">
        <w:rPr>
          <w:rFonts w:ascii="Arial" w:eastAsia="Times New Roman" w:hAnsi="Arial" w:cs="Arial"/>
          <w:sz w:val="21"/>
        </w:rPr>
        <w:t xml:space="preserve"> de manera online. </w:t>
      </w:r>
      <w:r w:rsidRPr="00973028">
        <w:rPr>
          <w:rFonts w:ascii="Arial" w:eastAsia="Times New Roman" w:hAnsi="Arial" w:cs="Arial"/>
          <w:kern w:val="2"/>
          <w:sz w:val="21"/>
          <w:lang w:eastAsia="zh-CN" w:bidi="hi-IN"/>
        </w:rPr>
        <w:t xml:space="preserve">El objetivo del congreso fue </w:t>
      </w:r>
      <w:r w:rsidRPr="00973028">
        <w:rPr>
          <w:rFonts w:ascii="Arial" w:eastAsia="Times New Roman" w:hAnsi="Arial" w:cs="Arial"/>
          <w:kern w:val="2"/>
          <w:sz w:val="21"/>
          <w:lang w:eastAsia="zh-CN"/>
        </w:rPr>
        <w:t xml:space="preserve">el tratamiento de los temas más relevantes, críticos y de actualidad en cuanto al </w:t>
      </w:r>
      <w:r w:rsidRPr="00973028">
        <w:rPr>
          <w:rFonts w:ascii="Arial" w:eastAsia="Times New Roman" w:hAnsi="Arial" w:cs="Arial"/>
          <w:i/>
          <w:iCs/>
          <w:kern w:val="2"/>
          <w:sz w:val="21"/>
          <w:lang w:eastAsia="zh-CN"/>
        </w:rPr>
        <w:t>compliance</w:t>
      </w:r>
      <w:r w:rsidRPr="00973028">
        <w:rPr>
          <w:rFonts w:ascii="Arial" w:eastAsia="Times New Roman" w:hAnsi="Arial" w:cs="Arial"/>
          <w:kern w:val="2"/>
          <w:sz w:val="21"/>
          <w:lang w:eastAsia="zh-CN"/>
        </w:rPr>
        <w:t xml:space="preserve"> y su papel en la crisis mundial originada a raíz de la pandemia COVID-19. </w:t>
      </w:r>
    </w:p>
    <w:p w14:paraId="0D559CE7" w14:textId="77777777" w:rsidR="00BB4994" w:rsidRPr="00973028" w:rsidRDefault="00BB4994" w:rsidP="00253ED4">
      <w:pPr>
        <w:widowControl w:val="0"/>
        <w:numPr>
          <w:ilvl w:val="0"/>
          <w:numId w:val="8"/>
        </w:numPr>
        <w:suppressAutoHyphens/>
        <w:autoSpaceDN w:val="0"/>
        <w:spacing w:after="120" w:line="276" w:lineRule="auto"/>
        <w:ind w:left="714" w:hanging="357"/>
        <w:jc w:val="both"/>
        <w:rPr>
          <w:rFonts w:ascii="Arial" w:eastAsia="NSimSun" w:hAnsi="Arial" w:cs="Arial"/>
          <w:kern w:val="2"/>
          <w:sz w:val="21"/>
          <w:lang w:eastAsia="zh-CN" w:bidi="hi-IN"/>
        </w:rPr>
      </w:pPr>
      <w:r w:rsidRPr="00973028">
        <w:rPr>
          <w:rFonts w:ascii="Arial" w:eastAsia="NSimSun" w:hAnsi="Arial" w:cs="Arial"/>
          <w:kern w:val="2"/>
          <w:sz w:val="21"/>
          <w:lang w:eastAsia="zh-CN" w:bidi="hi-IN"/>
        </w:rPr>
        <w:t xml:space="preserve">7 de mayo. </w:t>
      </w:r>
      <w:r w:rsidRPr="00973028">
        <w:rPr>
          <w:rFonts w:ascii="Arial" w:eastAsia="NSimSun" w:hAnsi="Arial" w:cs="Arial"/>
          <w:b/>
          <w:bCs/>
          <w:kern w:val="2"/>
          <w:sz w:val="21"/>
          <w:lang w:eastAsia="zh-CN" w:bidi="hi-IN"/>
        </w:rPr>
        <w:t xml:space="preserve">Curso </w:t>
      </w:r>
      <w:r w:rsidRPr="00973028">
        <w:rPr>
          <w:rFonts w:ascii="Arial" w:eastAsia="NSimSun" w:hAnsi="Arial" w:cs="Arial"/>
          <w:b/>
          <w:bCs/>
          <w:i/>
          <w:iCs/>
          <w:kern w:val="2"/>
          <w:sz w:val="21"/>
          <w:lang w:eastAsia="zh-CN" w:bidi="hi-IN"/>
        </w:rPr>
        <w:t xml:space="preserve">online: </w:t>
      </w:r>
      <w:r w:rsidRPr="00973028">
        <w:rPr>
          <w:rFonts w:ascii="Arial" w:eastAsia="NSimSun" w:hAnsi="Arial" w:cs="Arial"/>
          <w:b/>
          <w:bCs/>
          <w:kern w:val="2"/>
          <w:sz w:val="21"/>
          <w:lang w:eastAsia="zh-CN" w:bidi="hi-IN"/>
        </w:rPr>
        <w:t>G-ede: expediente y documento electrónico.</w:t>
      </w:r>
      <w:r w:rsidRPr="00973028">
        <w:rPr>
          <w:rFonts w:ascii="Arial" w:eastAsia="NSimSun" w:hAnsi="Arial" w:cs="Arial"/>
          <w:kern w:val="2"/>
          <w:sz w:val="21"/>
          <w:lang w:eastAsia="zh-CN" w:bidi="hi-IN"/>
        </w:rPr>
        <w:t xml:space="preserve"> </w:t>
      </w:r>
      <w:r w:rsidRPr="00973028">
        <w:rPr>
          <w:rFonts w:ascii="Arial" w:eastAsia="Times New Roman" w:hAnsi="Arial" w:cs="Arial"/>
          <w:kern w:val="2"/>
          <w:sz w:val="21"/>
          <w:lang w:eastAsia="zh-CN" w:bidi="hi-IN"/>
        </w:rPr>
        <w:t xml:space="preserve">El curso fue </w:t>
      </w:r>
      <w:r w:rsidRPr="00973028">
        <w:rPr>
          <w:rFonts w:ascii="Arial" w:eastAsia="NSimSun" w:hAnsi="Arial" w:cs="Arial"/>
          <w:kern w:val="2"/>
          <w:sz w:val="21"/>
          <w:lang w:eastAsia="zh-CN" w:bidi="hi-IN"/>
        </w:rPr>
        <w:t xml:space="preserve">impartido por Guadaltel y trató la explotación de la funcionalidad real de la aplicación G-ede, de gestión de expedientes y documentos electrónicos y de gestión documental </w:t>
      </w:r>
      <w:r w:rsidRPr="00973028">
        <w:rPr>
          <w:rFonts w:ascii="Arial" w:eastAsia="Times New Roman" w:hAnsi="Arial" w:cs="Arial"/>
          <w:kern w:val="2"/>
          <w:sz w:val="21"/>
          <w:lang w:eastAsia="zh-CN" w:bidi="hi-IN"/>
        </w:rPr>
        <w:t xml:space="preserve">integral de toda la organización, </w:t>
      </w:r>
      <w:r w:rsidRPr="00973028">
        <w:rPr>
          <w:rFonts w:ascii="Arial" w:eastAsia="NSimSun" w:hAnsi="Arial" w:cs="Arial"/>
          <w:kern w:val="2"/>
          <w:sz w:val="21"/>
          <w:lang w:eastAsia="zh-CN" w:bidi="hi-IN"/>
        </w:rPr>
        <w:t>y la administración y la clasificación de documentos, así como de sus metadatos asociados.</w:t>
      </w:r>
    </w:p>
    <w:p w14:paraId="28710F14" w14:textId="0992279B" w:rsidR="00BB4994" w:rsidRPr="00C75A98" w:rsidRDefault="00BB4994" w:rsidP="00253ED4">
      <w:pPr>
        <w:widowControl w:val="0"/>
        <w:numPr>
          <w:ilvl w:val="0"/>
          <w:numId w:val="8"/>
        </w:numPr>
        <w:suppressAutoHyphens/>
        <w:autoSpaceDN w:val="0"/>
        <w:spacing w:after="120" w:line="276" w:lineRule="auto"/>
        <w:ind w:left="714" w:hanging="357"/>
        <w:jc w:val="both"/>
        <w:rPr>
          <w:rFonts w:ascii="Arial" w:eastAsia="NSimSun" w:hAnsi="Arial" w:cs="Arial"/>
          <w:kern w:val="2"/>
          <w:sz w:val="21"/>
          <w:szCs w:val="21"/>
          <w:lang w:eastAsia="zh-CN" w:bidi="hi-IN"/>
        </w:rPr>
      </w:pPr>
      <w:r w:rsidRPr="00973028">
        <w:rPr>
          <w:rFonts w:ascii="Arial" w:eastAsia="SimSun" w:hAnsi="Arial" w:cs="Arial"/>
          <w:kern w:val="2"/>
          <w:sz w:val="21"/>
          <w:lang w:eastAsia="zh-CN" w:bidi="hi-IN"/>
        </w:rPr>
        <w:t xml:space="preserve">En marzo y con carácter anual. </w:t>
      </w:r>
      <w:r w:rsidRPr="00973028">
        <w:rPr>
          <w:rFonts w:ascii="Arial" w:eastAsia="SimSun" w:hAnsi="Arial" w:cs="Arial"/>
          <w:b/>
          <w:bCs/>
          <w:kern w:val="2"/>
          <w:sz w:val="21"/>
          <w:lang w:eastAsia="zh-CN" w:bidi="hi-IN"/>
        </w:rPr>
        <w:t>Curso formativo básico de Ciber</w:t>
      </w:r>
      <w:r w:rsidR="006668D6" w:rsidRPr="00973028">
        <w:rPr>
          <w:rFonts w:ascii="Arial" w:eastAsia="SimSun" w:hAnsi="Arial" w:cs="Arial"/>
          <w:b/>
          <w:bCs/>
          <w:kern w:val="2"/>
          <w:sz w:val="21"/>
          <w:lang w:eastAsia="zh-CN" w:bidi="hi-IN"/>
        </w:rPr>
        <w:t>s</w:t>
      </w:r>
      <w:r w:rsidRPr="00973028">
        <w:rPr>
          <w:rFonts w:ascii="Arial" w:eastAsia="SimSun" w:hAnsi="Arial" w:cs="Arial"/>
          <w:b/>
          <w:bCs/>
          <w:kern w:val="2"/>
          <w:sz w:val="21"/>
          <w:lang w:eastAsia="zh-CN" w:bidi="hi-IN"/>
        </w:rPr>
        <w:t>eguridad.</w:t>
      </w:r>
      <w:r w:rsidRPr="00973028">
        <w:rPr>
          <w:rFonts w:ascii="Arial" w:eastAsia="SimSun" w:hAnsi="Arial" w:cs="Arial"/>
          <w:kern w:val="2"/>
          <w:sz w:val="21"/>
          <w:lang w:eastAsia="zh-CN" w:bidi="hi-IN"/>
        </w:rPr>
        <w:t xml:space="preserve"> Publicitado a toda la Agencia y en abierto, e impartido por el Centro Criptológico Nacional (CCN), adscrito al Centro Nacional de Inteligencia. En este curso se trataron los factores de amenaza para la Ciber</w:t>
      </w:r>
      <w:r w:rsidR="006668D6" w:rsidRPr="00973028">
        <w:rPr>
          <w:rFonts w:ascii="Arial" w:eastAsia="SimSun" w:hAnsi="Arial" w:cs="Arial"/>
          <w:kern w:val="2"/>
          <w:sz w:val="21"/>
          <w:lang w:eastAsia="zh-CN" w:bidi="hi-IN"/>
        </w:rPr>
        <w:t>s</w:t>
      </w:r>
      <w:r w:rsidRPr="00973028">
        <w:rPr>
          <w:rFonts w:ascii="Arial" w:eastAsia="SimSun" w:hAnsi="Arial" w:cs="Arial"/>
          <w:kern w:val="2"/>
          <w:sz w:val="21"/>
          <w:lang w:eastAsia="zh-CN" w:bidi="hi-IN"/>
        </w:rPr>
        <w:t>eguridad.</w:t>
      </w:r>
      <w:r w:rsidRPr="00973028">
        <w:rPr>
          <w:rFonts w:ascii="Arial" w:eastAsia="NSimSun" w:hAnsi="Arial" w:cs="Arial"/>
          <w:kern w:val="2"/>
          <w:sz w:val="21"/>
          <w:lang w:eastAsia="zh-CN" w:bidi="hi-IN"/>
        </w:rPr>
        <w:t xml:space="preserve"> El curso </w:t>
      </w:r>
      <w:r w:rsidRPr="00973028">
        <w:rPr>
          <w:rFonts w:ascii="Arial" w:eastAsia="SimSun" w:hAnsi="Arial" w:cs="Arial"/>
          <w:kern w:val="2"/>
          <w:sz w:val="21"/>
          <w:lang w:eastAsia="ca-ES-valencia" w:bidi="hi-IN"/>
        </w:rPr>
        <w:t>se ha impartido con dos modalidades: en abierto y otra privada y certificada para usuarios registrados en el portal CCN-CERT.</w:t>
      </w:r>
    </w:p>
    <w:p w14:paraId="145C3ED8" w14:textId="25EBB24C" w:rsidR="00BB4994" w:rsidRPr="00973028" w:rsidRDefault="00BB4994" w:rsidP="00253ED4">
      <w:pPr>
        <w:widowControl w:val="0"/>
        <w:numPr>
          <w:ilvl w:val="0"/>
          <w:numId w:val="8"/>
        </w:numPr>
        <w:suppressAutoHyphens/>
        <w:autoSpaceDN w:val="0"/>
        <w:spacing w:after="120" w:line="276" w:lineRule="auto"/>
        <w:ind w:left="714" w:hanging="357"/>
        <w:jc w:val="both"/>
        <w:rPr>
          <w:rFonts w:ascii="Arial" w:eastAsia="Calibri" w:hAnsi="Arial" w:cs="Arial"/>
          <w:kern w:val="2"/>
          <w:sz w:val="21"/>
          <w:szCs w:val="24"/>
          <w:lang w:eastAsia="zh-CN" w:bidi="hi-IN"/>
        </w:rPr>
      </w:pPr>
      <w:r w:rsidRPr="00973028">
        <w:rPr>
          <w:rFonts w:ascii="Arial" w:eastAsia="Times New Roman" w:hAnsi="Arial" w:cs="Arial"/>
          <w:kern w:val="2"/>
          <w:sz w:val="21"/>
          <w:lang w:eastAsia="zh-CN" w:bidi="hi-IN"/>
        </w:rPr>
        <w:t xml:space="preserve">2 de junio. </w:t>
      </w:r>
      <w:r w:rsidRPr="00973028">
        <w:rPr>
          <w:rFonts w:ascii="Arial" w:eastAsia="Times New Roman" w:hAnsi="Arial" w:cs="Arial"/>
          <w:b/>
          <w:bCs/>
          <w:kern w:val="2"/>
          <w:sz w:val="21"/>
          <w:lang w:eastAsia="zh-CN" w:bidi="hi-IN"/>
        </w:rPr>
        <w:t>Curso mediante videoconferencia: La prueba pericial en el proceso penal</w:t>
      </w:r>
      <w:r w:rsidRPr="00973028">
        <w:rPr>
          <w:rFonts w:ascii="Arial" w:eastAsia="Times New Roman" w:hAnsi="Arial" w:cs="Arial"/>
          <w:i/>
          <w:iCs/>
          <w:kern w:val="2"/>
          <w:sz w:val="21"/>
          <w:lang w:eastAsia="zh-CN" w:bidi="hi-IN"/>
        </w:rPr>
        <w:t xml:space="preserve">. </w:t>
      </w:r>
      <w:r w:rsidRPr="00973028">
        <w:rPr>
          <w:rFonts w:ascii="Arial" w:eastAsia="Times New Roman" w:hAnsi="Arial" w:cs="Arial"/>
          <w:iCs/>
          <w:kern w:val="2"/>
          <w:sz w:val="21"/>
          <w:lang w:eastAsia="zh-CN" w:bidi="hi-IN"/>
        </w:rPr>
        <w:t xml:space="preserve">Organizada por la Agencia. </w:t>
      </w:r>
      <w:r w:rsidRPr="00973028">
        <w:rPr>
          <w:rFonts w:ascii="Arial" w:eastAsia="Times New Roman" w:hAnsi="Arial" w:cs="Arial"/>
          <w:sz w:val="21"/>
        </w:rPr>
        <w:t xml:space="preserve">La actividad consistió en una conferencia impartida por el Sr. Pablo Ponce Martínez, fiscal delegado de la Fiscalía Especial contra la Corrupción y Criminalidad. El objetivo era </w:t>
      </w:r>
      <w:r w:rsidRPr="00973028">
        <w:rPr>
          <w:rFonts w:ascii="Arial" w:eastAsia="Times New Roman" w:hAnsi="Arial" w:cs="Arial"/>
          <w:kern w:val="2"/>
          <w:sz w:val="21"/>
          <w:lang w:eastAsia="zh-CN" w:bidi="hi-IN"/>
        </w:rPr>
        <w:t>proporcionar una mayor especialización a los profesionales de la Agencia en las funciones de</w:t>
      </w:r>
      <w:r w:rsidRPr="00973028">
        <w:rPr>
          <w:rFonts w:ascii="Arial" w:eastAsia="Times New Roman" w:hAnsi="Arial" w:cs="Arial"/>
          <w:sz w:val="21"/>
        </w:rPr>
        <w:t xml:space="preserve"> colaboración técnica y emisión de informes periciales cuando se coopera </w:t>
      </w:r>
      <w:r w:rsidRPr="00973028">
        <w:rPr>
          <w:rFonts w:ascii="Arial" w:eastAsia="Times New Roman" w:hAnsi="Arial" w:cs="Arial"/>
          <w:kern w:val="2"/>
          <w:sz w:val="21"/>
          <w:lang w:eastAsia="zh-CN" w:bidi="hi-IN"/>
        </w:rPr>
        <w:t xml:space="preserve">con el </w:t>
      </w:r>
      <w:r w:rsidR="003803CD">
        <w:rPr>
          <w:rFonts w:ascii="Arial" w:eastAsia="Times New Roman" w:hAnsi="Arial" w:cs="Arial"/>
          <w:kern w:val="2"/>
          <w:sz w:val="21"/>
          <w:lang w:eastAsia="zh-CN" w:bidi="hi-IN"/>
        </w:rPr>
        <w:t>Ministerio Fiscal</w:t>
      </w:r>
      <w:r w:rsidRPr="00973028">
        <w:rPr>
          <w:rFonts w:ascii="Arial" w:eastAsia="Times New Roman" w:hAnsi="Arial" w:cs="Arial"/>
          <w:kern w:val="2"/>
          <w:sz w:val="21"/>
          <w:lang w:eastAsia="zh-CN" w:bidi="hi-IN"/>
        </w:rPr>
        <w:t xml:space="preserve"> y con juzgados y tribunales.</w:t>
      </w:r>
    </w:p>
    <w:p w14:paraId="31E3B05F" w14:textId="77777777" w:rsidR="00BB4994" w:rsidRPr="00973028" w:rsidRDefault="00BB4994" w:rsidP="00253ED4">
      <w:pPr>
        <w:widowControl w:val="0"/>
        <w:numPr>
          <w:ilvl w:val="0"/>
          <w:numId w:val="8"/>
        </w:numPr>
        <w:suppressAutoHyphens/>
        <w:autoSpaceDN w:val="0"/>
        <w:spacing w:after="120" w:line="276" w:lineRule="auto"/>
        <w:ind w:left="714" w:hanging="357"/>
        <w:jc w:val="both"/>
        <w:rPr>
          <w:rFonts w:ascii="Arial" w:eastAsia="Times New Roman" w:hAnsi="Arial" w:cs="Arial"/>
        </w:rPr>
      </w:pPr>
      <w:r w:rsidRPr="00973028">
        <w:rPr>
          <w:rFonts w:ascii="Arial" w:eastAsia="Times New Roman" w:hAnsi="Arial" w:cs="Arial"/>
          <w:sz w:val="21"/>
        </w:rPr>
        <w:t xml:space="preserve">4 de junio. </w:t>
      </w:r>
      <w:r w:rsidRPr="00973028">
        <w:rPr>
          <w:rFonts w:ascii="Arial" w:eastAsia="Times New Roman" w:hAnsi="Arial" w:cs="Arial"/>
          <w:b/>
          <w:bCs/>
          <w:sz w:val="21"/>
        </w:rPr>
        <w:t>Curso mediante videoconferencia: Investigación de causas complejas</w:t>
      </w:r>
      <w:r w:rsidRPr="00973028">
        <w:rPr>
          <w:rFonts w:ascii="Arial" w:eastAsia="Times New Roman" w:hAnsi="Arial" w:cs="Arial"/>
          <w:b/>
          <w:bCs/>
          <w:i/>
          <w:iCs/>
          <w:sz w:val="21"/>
        </w:rPr>
        <w:t>.</w:t>
      </w:r>
      <w:r w:rsidRPr="00973028">
        <w:rPr>
          <w:rFonts w:ascii="Arial" w:eastAsia="Times New Roman" w:hAnsi="Arial" w:cs="Arial"/>
          <w:sz w:val="21"/>
        </w:rPr>
        <w:t xml:space="preserve"> Organizada por la Agencia. La actividad fue impartida por la fiscal delegada de la Fiscalía Especial contra la Corrupción y la Criminalidad organizada de la Delegación de Valencia, Sra. Virginia Abad Rodríguez. Respondía a la necesidad de contar con técnicas adecuadas para las actuaciones de investigación e inspección de causas complejas. </w:t>
      </w:r>
    </w:p>
    <w:p w14:paraId="06F2066E" w14:textId="77777777" w:rsidR="00BB4994" w:rsidRPr="00973028" w:rsidRDefault="00BB4994" w:rsidP="00253ED4">
      <w:pPr>
        <w:widowControl w:val="0"/>
        <w:numPr>
          <w:ilvl w:val="0"/>
          <w:numId w:val="8"/>
        </w:numPr>
        <w:suppressAutoHyphens/>
        <w:autoSpaceDN w:val="0"/>
        <w:spacing w:after="120" w:line="276" w:lineRule="auto"/>
        <w:ind w:left="714" w:hanging="357"/>
        <w:jc w:val="both"/>
        <w:rPr>
          <w:rFonts w:ascii="Arial" w:eastAsia="Times New Roman" w:hAnsi="Arial" w:cs="Arial"/>
          <w:i/>
          <w:iCs/>
          <w:sz w:val="21"/>
        </w:rPr>
      </w:pPr>
      <w:r w:rsidRPr="00973028">
        <w:rPr>
          <w:rFonts w:ascii="Arial" w:eastAsia="NSimSun" w:hAnsi="Arial" w:cs="Arial"/>
          <w:sz w:val="21"/>
          <w:shd w:val="clear" w:color="auto" w:fill="FFFFFF"/>
        </w:rPr>
        <w:t xml:space="preserve">7 de julio. </w:t>
      </w:r>
      <w:r w:rsidRPr="00973028">
        <w:rPr>
          <w:rFonts w:ascii="Arial" w:eastAsia="NSimSun" w:hAnsi="Arial" w:cs="Arial"/>
          <w:b/>
          <w:bCs/>
          <w:i/>
          <w:iCs/>
          <w:sz w:val="21"/>
          <w:shd w:val="clear" w:color="auto" w:fill="FFFFFF"/>
        </w:rPr>
        <w:t>Webinar</w:t>
      </w:r>
      <w:r w:rsidRPr="00973028">
        <w:rPr>
          <w:rFonts w:ascii="Arial" w:eastAsia="NSimSun" w:hAnsi="Arial" w:cs="Arial"/>
          <w:b/>
          <w:bCs/>
          <w:sz w:val="21"/>
          <w:shd w:val="clear" w:color="auto" w:fill="FFFFFF"/>
        </w:rPr>
        <w:t xml:space="preserve"> </w:t>
      </w:r>
      <w:r w:rsidRPr="00973028">
        <w:rPr>
          <w:rFonts w:ascii="Arial" w:eastAsia="Times New Roman" w:hAnsi="Arial" w:cs="Arial"/>
          <w:b/>
          <w:bCs/>
          <w:sz w:val="21"/>
        </w:rPr>
        <w:t>Integridad para la prosperidad</w:t>
      </w:r>
      <w:r w:rsidRPr="00973028">
        <w:rPr>
          <w:rFonts w:ascii="Arial" w:eastAsia="Times New Roman" w:hAnsi="Arial" w:cs="Arial"/>
          <w:sz w:val="21"/>
        </w:rPr>
        <w:t xml:space="preserve">. Organizado por la Organización para la Cooperación y el Desarrollo Económico (OCDE). La sesión trató la necesidad de fundamentar la gobernabilidad en la integridad y las herramientas prácticas y guías para conseguirlo, como el </w:t>
      </w:r>
      <w:r w:rsidRPr="00973028">
        <w:rPr>
          <w:rFonts w:ascii="Arial" w:eastAsia="Times New Roman" w:hAnsi="Arial" w:cs="Arial"/>
          <w:i/>
          <w:iCs/>
          <w:sz w:val="21"/>
        </w:rPr>
        <w:t xml:space="preserve">Manual de la OCDE sobre la integridad pública. </w:t>
      </w:r>
    </w:p>
    <w:p w14:paraId="0DED5C3E" w14:textId="2FF9B35A" w:rsidR="00BB4994" w:rsidRPr="00973028" w:rsidRDefault="00BB4994" w:rsidP="00253ED4">
      <w:pPr>
        <w:widowControl w:val="0"/>
        <w:numPr>
          <w:ilvl w:val="0"/>
          <w:numId w:val="8"/>
        </w:numPr>
        <w:suppressAutoHyphens/>
        <w:autoSpaceDN w:val="0"/>
        <w:spacing w:after="120" w:line="276" w:lineRule="auto"/>
        <w:ind w:left="714" w:hanging="357"/>
        <w:jc w:val="both"/>
        <w:rPr>
          <w:rFonts w:ascii="Arial" w:eastAsia="Times New Roman" w:hAnsi="Arial" w:cs="Arial"/>
          <w:kern w:val="2"/>
          <w:sz w:val="21"/>
          <w:szCs w:val="24"/>
          <w:lang w:eastAsia="zh-CN" w:bidi="hi-IN"/>
        </w:rPr>
      </w:pPr>
      <w:r w:rsidRPr="00973028">
        <w:rPr>
          <w:rFonts w:ascii="Arial" w:eastAsia="Times New Roman" w:hAnsi="Arial" w:cs="Arial"/>
          <w:kern w:val="2"/>
          <w:sz w:val="21"/>
          <w:lang w:eastAsia="zh-CN"/>
        </w:rPr>
        <w:t>13, 15, 20, 22, 27 y 29 de octubre.</w:t>
      </w:r>
      <w:r w:rsidRPr="00973028">
        <w:rPr>
          <w:rFonts w:ascii="Arial" w:eastAsia="Times New Roman" w:hAnsi="Arial" w:cs="Arial"/>
          <w:b/>
          <w:bCs/>
          <w:kern w:val="2"/>
          <w:sz w:val="21"/>
          <w:lang w:eastAsia="zh-CN"/>
        </w:rPr>
        <w:t xml:space="preserve"> Curso: El régimen jurídico de las subvenciones, los convenios de colaboración y los contratos de patrocinio. </w:t>
      </w:r>
      <w:r w:rsidRPr="00973028">
        <w:rPr>
          <w:rFonts w:ascii="Arial" w:eastAsia="Times New Roman" w:hAnsi="Arial" w:cs="Arial"/>
          <w:kern w:val="2"/>
          <w:sz w:val="21"/>
          <w:lang w:eastAsia="zh-CN"/>
        </w:rPr>
        <w:t xml:space="preserve">Organizado por la Fundación Universidad Empresa de la </w:t>
      </w:r>
      <w:r w:rsidR="00012862">
        <w:rPr>
          <w:rFonts w:ascii="Arial" w:eastAsia="Times New Roman" w:hAnsi="Arial" w:cs="Arial"/>
          <w:kern w:val="2"/>
          <w:sz w:val="21"/>
          <w:lang w:eastAsia="zh-CN"/>
        </w:rPr>
        <w:t>Universitat de València</w:t>
      </w:r>
      <w:r w:rsidRPr="00973028">
        <w:rPr>
          <w:rFonts w:ascii="Arial" w:eastAsia="Times New Roman" w:hAnsi="Arial" w:cs="Arial"/>
          <w:kern w:val="2"/>
          <w:sz w:val="21"/>
          <w:lang w:eastAsia="zh-CN"/>
        </w:rPr>
        <w:t xml:space="preserve"> (Adeit-UV). El</w:t>
      </w:r>
      <w:r w:rsidRPr="00973028">
        <w:rPr>
          <w:rFonts w:ascii="Arial" w:eastAsia="Times New Roman" w:hAnsi="Arial" w:cs="Arial"/>
          <w:kern w:val="2"/>
          <w:sz w:val="21"/>
          <w:lang w:eastAsia="zh-CN" w:bidi="hi-IN"/>
        </w:rPr>
        <w:t xml:space="preserve"> objetivo fue conocer estas materias para </w:t>
      </w:r>
      <w:r w:rsidRPr="00973028">
        <w:rPr>
          <w:rFonts w:ascii="Arial" w:eastAsia="Times New Roman" w:hAnsi="Arial" w:cs="Arial"/>
          <w:kern w:val="2"/>
          <w:sz w:val="21"/>
          <w:lang w:eastAsia="zh-CN"/>
        </w:rPr>
        <w:t>detectar los casos en los que existe un uso inadecuado o abusivo de determinados instrumentos en los procedimientos administrativos.</w:t>
      </w:r>
      <w:r w:rsidRPr="00973028">
        <w:rPr>
          <w:rFonts w:ascii="Arial" w:eastAsia="Times New Roman" w:hAnsi="Arial" w:cs="Arial"/>
          <w:sz w:val="21"/>
        </w:rPr>
        <w:t xml:space="preserve"> </w:t>
      </w:r>
    </w:p>
    <w:p w14:paraId="65F8656D" w14:textId="6E88787B" w:rsidR="00BB4994" w:rsidRPr="00973028" w:rsidRDefault="00BB4994" w:rsidP="00253ED4">
      <w:pPr>
        <w:widowControl w:val="0"/>
        <w:numPr>
          <w:ilvl w:val="0"/>
          <w:numId w:val="8"/>
        </w:numPr>
        <w:suppressAutoHyphens/>
        <w:autoSpaceDN w:val="0"/>
        <w:spacing w:after="120" w:line="276" w:lineRule="auto"/>
        <w:ind w:left="714" w:hanging="357"/>
        <w:jc w:val="both"/>
        <w:rPr>
          <w:rFonts w:ascii="Arial" w:eastAsia="Times New Roman" w:hAnsi="Arial" w:cs="Arial"/>
          <w:kern w:val="2"/>
          <w:sz w:val="21"/>
          <w:lang w:eastAsia="zh-CN" w:bidi="hi-IN"/>
        </w:rPr>
      </w:pPr>
      <w:r w:rsidRPr="00973028">
        <w:rPr>
          <w:rFonts w:ascii="Arial" w:eastAsia="Times New Roman" w:hAnsi="Arial" w:cs="Arial"/>
          <w:sz w:val="21"/>
        </w:rPr>
        <w:t xml:space="preserve">2020-2021. </w:t>
      </w:r>
      <w:r w:rsidRPr="00973028">
        <w:rPr>
          <w:rFonts w:ascii="Arial" w:eastAsia="Times New Roman" w:hAnsi="Arial" w:cs="Arial"/>
          <w:b/>
          <w:bCs/>
          <w:sz w:val="21"/>
        </w:rPr>
        <w:t>M</w:t>
      </w:r>
      <w:r w:rsidRPr="00973028">
        <w:rPr>
          <w:rFonts w:ascii="Arial" w:eastAsia="Times New Roman" w:hAnsi="Arial" w:cs="Arial"/>
          <w:b/>
          <w:bCs/>
          <w:color w:val="1B1B1B"/>
          <w:sz w:val="21"/>
        </w:rPr>
        <w:t xml:space="preserve">áster </w:t>
      </w:r>
      <w:r w:rsidRPr="00973028">
        <w:rPr>
          <w:rFonts w:ascii="Arial" w:eastAsia="Times New Roman" w:hAnsi="Arial" w:cs="Arial"/>
          <w:b/>
          <w:bCs/>
          <w:sz w:val="21"/>
        </w:rPr>
        <w:t xml:space="preserve">en Contratación pública y </w:t>
      </w:r>
      <w:r w:rsidRPr="00973028">
        <w:rPr>
          <w:rFonts w:ascii="Arial" w:eastAsia="Times New Roman" w:hAnsi="Arial" w:cs="Arial"/>
          <w:b/>
          <w:bCs/>
          <w:i/>
          <w:iCs/>
          <w:sz w:val="21"/>
        </w:rPr>
        <w:t>compliance</w:t>
      </w:r>
      <w:r w:rsidRPr="00973028">
        <w:rPr>
          <w:rFonts w:ascii="Arial" w:eastAsia="Times New Roman" w:hAnsi="Arial" w:cs="Arial"/>
          <w:sz w:val="21"/>
        </w:rPr>
        <w:t xml:space="preserve">. Organizado por la </w:t>
      </w:r>
      <w:r w:rsidR="00012862">
        <w:rPr>
          <w:rFonts w:ascii="Arial" w:eastAsia="Times New Roman" w:hAnsi="Arial" w:cs="Arial"/>
          <w:sz w:val="21"/>
        </w:rPr>
        <w:lastRenderedPageBreak/>
        <w:t>Universitat de València</w:t>
      </w:r>
      <w:r w:rsidRPr="00973028">
        <w:rPr>
          <w:rFonts w:ascii="Arial" w:eastAsia="Times New Roman" w:hAnsi="Arial" w:cs="Arial"/>
          <w:sz w:val="21"/>
        </w:rPr>
        <w:t>. Dos alumnos matriculados. La actividad finalizará en 2021.</w:t>
      </w:r>
    </w:p>
    <w:p w14:paraId="0557FB91" w14:textId="300B370A" w:rsidR="00BB4994" w:rsidRPr="00973028" w:rsidRDefault="00BB4994" w:rsidP="00F24AAF">
      <w:pPr>
        <w:widowControl w:val="0"/>
        <w:numPr>
          <w:ilvl w:val="0"/>
          <w:numId w:val="8"/>
        </w:numPr>
        <w:suppressAutoHyphens/>
        <w:autoSpaceDN w:val="0"/>
        <w:spacing w:after="120" w:line="276" w:lineRule="auto"/>
        <w:ind w:left="714" w:hanging="357"/>
        <w:jc w:val="both"/>
        <w:rPr>
          <w:rFonts w:ascii="Arial" w:eastAsia="Times New Roman" w:hAnsi="Arial" w:cs="Arial"/>
          <w:kern w:val="2"/>
          <w:sz w:val="21"/>
          <w:lang w:eastAsia="zh-CN" w:bidi="hi-IN"/>
        </w:rPr>
      </w:pPr>
      <w:r w:rsidRPr="00973028">
        <w:rPr>
          <w:rFonts w:ascii="Arial" w:eastAsia="Times New Roman" w:hAnsi="Arial" w:cs="Arial"/>
          <w:sz w:val="21"/>
        </w:rPr>
        <w:t xml:space="preserve">2020-2021. </w:t>
      </w:r>
      <w:r w:rsidRPr="00973028">
        <w:rPr>
          <w:rFonts w:ascii="Arial" w:eastAsia="Times New Roman" w:hAnsi="Arial" w:cs="Arial"/>
          <w:b/>
          <w:bCs/>
          <w:color w:val="1B1B1B"/>
          <w:sz w:val="21"/>
        </w:rPr>
        <w:t>Diploma de especialización de Gestión y preservación de documentos electrónicos</w:t>
      </w:r>
      <w:r w:rsidRPr="00973028">
        <w:rPr>
          <w:rFonts w:ascii="Arial" w:eastAsia="Times New Roman" w:hAnsi="Arial" w:cs="Arial"/>
          <w:sz w:val="21"/>
        </w:rPr>
        <w:t xml:space="preserve">. Organizado por la </w:t>
      </w:r>
      <w:r w:rsidR="00012862">
        <w:rPr>
          <w:rFonts w:ascii="Arial" w:eastAsia="Times New Roman" w:hAnsi="Arial" w:cs="Arial"/>
          <w:sz w:val="21"/>
        </w:rPr>
        <w:t>Universitat de València</w:t>
      </w:r>
      <w:r w:rsidRPr="00973028">
        <w:rPr>
          <w:rFonts w:ascii="Arial" w:eastAsia="Times New Roman" w:hAnsi="Arial" w:cs="Arial"/>
          <w:sz w:val="21"/>
        </w:rPr>
        <w:t>. U</w:t>
      </w:r>
      <w:r w:rsidRPr="00973028">
        <w:rPr>
          <w:rFonts w:ascii="Arial" w:eastAsia="Times New Roman" w:hAnsi="Arial" w:cs="Arial"/>
          <w:color w:val="1B1B1B"/>
          <w:sz w:val="21"/>
        </w:rPr>
        <w:t>na alumna matriculada</w:t>
      </w:r>
      <w:r w:rsidRPr="00973028">
        <w:rPr>
          <w:rFonts w:ascii="Arial" w:eastAsia="Times New Roman" w:hAnsi="Arial" w:cs="Arial"/>
          <w:sz w:val="21"/>
        </w:rPr>
        <w:t>. La actividad formativa finalizará en 2021.</w:t>
      </w:r>
    </w:p>
    <w:p w14:paraId="1B5A8B8C" w14:textId="7ACAF959" w:rsidR="00BB4994" w:rsidRPr="00973028" w:rsidRDefault="00BB4994" w:rsidP="00672ABA">
      <w:pPr>
        <w:pStyle w:val="Prrafodelista"/>
        <w:keepNext/>
        <w:numPr>
          <w:ilvl w:val="3"/>
          <w:numId w:val="22"/>
        </w:numPr>
        <w:spacing w:before="360" w:after="240" w:line="276" w:lineRule="auto"/>
        <w:ind w:left="1134" w:hanging="1134"/>
        <w:contextualSpacing w:val="0"/>
        <w:jc w:val="both"/>
        <w:outlineLvl w:val="3"/>
        <w:rPr>
          <w:rFonts w:ascii="Arial" w:eastAsia="Times New Roman" w:hAnsi="Arial" w:cs="Arial"/>
          <w:b/>
          <w:color w:val="9D2235"/>
          <w:sz w:val="24"/>
          <w:szCs w:val="24"/>
        </w:rPr>
      </w:pPr>
      <w:r w:rsidRPr="00973028">
        <w:rPr>
          <w:rFonts w:ascii="Arial" w:eastAsia="Times New Roman" w:hAnsi="Arial" w:cs="Arial"/>
          <w:b/>
          <w:color w:val="9D2235"/>
          <w:sz w:val="24"/>
          <w:szCs w:val="24"/>
        </w:rPr>
        <w:t xml:space="preserve">Formación instrumental </w:t>
      </w:r>
    </w:p>
    <w:p w14:paraId="7BA8313A" w14:textId="77777777" w:rsidR="00BB4994" w:rsidRPr="00973028" w:rsidRDefault="00BB4994" w:rsidP="00F24AAF">
      <w:pPr>
        <w:widowControl w:val="0"/>
        <w:suppressAutoHyphens/>
        <w:autoSpaceDN w:val="0"/>
        <w:spacing w:after="120" w:line="276" w:lineRule="auto"/>
        <w:jc w:val="both"/>
        <w:rPr>
          <w:rFonts w:ascii="Arial" w:eastAsia="Calibri" w:hAnsi="Arial" w:cs="Arial"/>
        </w:rPr>
      </w:pPr>
      <w:r w:rsidRPr="00973028">
        <w:rPr>
          <w:rFonts w:ascii="Arial" w:eastAsia="Calibri" w:hAnsi="Arial" w:cs="Arial"/>
          <w:sz w:val="21"/>
        </w:rPr>
        <w:t>La formación Instrumental está destinada a la mejora de los conocimientos y habilidades profesionales necesarias en el ámbito de la Administración Pública. Se orienta a garantizar la buena gestión en lo referente al conocimiento de idiomas, uso de nuevas herramientas o plataformas, administración digital y seguridad y normativa básica.</w:t>
      </w:r>
    </w:p>
    <w:p w14:paraId="7E758730" w14:textId="77777777" w:rsidR="00BB4994" w:rsidRPr="00973028" w:rsidRDefault="00BB4994" w:rsidP="00F24AAF">
      <w:pPr>
        <w:widowControl w:val="0"/>
        <w:suppressAutoHyphens/>
        <w:autoSpaceDN w:val="0"/>
        <w:spacing w:after="120" w:line="276" w:lineRule="auto"/>
        <w:jc w:val="both"/>
        <w:rPr>
          <w:rFonts w:ascii="Arial" w:eastAsia="Calibri" w:hAnsi="Arial" w:cs="Arial"/>
          <w:sz w:val="21"/>
        </w:rPr>
      </w:pPr>
      <w:r w:rsidRPr="00973028">
        <w:rPr>
          <w:rFonts w:ascii="Arial" w:eastAsia="Calibri" w:hAnsi="Arial" w:cs="Arial"/>
          <w:sz w:val="21"/>
        </w:rPr>
        <w:t>En el año 2020 se han llevado a cabo 12 actividades de esta categoría:</w:t>
      </w:r>
    </w:p>
    <w:p w14:paraId="7DD025DC" w14:textId="77777777" w:rsidR="00BB4994" w:rsidRPr="00973028" w:rsidRDefault="00BB4994" w:rsidP="00253ED4">
      <w:pPr>
        <w:widowControl w:val="0"/>
        <w:numPr>
          <w:ilvl w:val="0"/>
          <w:numId w:val="8"/>
        </w:numPr>
        <w:suppressAutoHyphens/>
        <w:autoSpaceDN w:val="0"/>
        <w:spacing w:after="120" w:line="276" w:lineRule="auto"/>
        <w:ind w:hanging="357"/>
        <w:jc w:val="both"/>
        <w:rPr>
          <w:rFonts w:ascii="Arial" w:eastAsia="Times New Roman" w:hAnsi="Arial" w:cs="Arial"/>
        </w:rPr>
      </w:pPr>
      <w:r w:rsidRPr="00973028">
        <w:rPr>
          <w:rFonts w:ascii="Arial" w:eastAsia="Times New Roman" w:hAnsi="Arial" w:cs="Arial"/>
          <w:sz w:val="21"/>
        </w:rPr>
        <w:t xml:space="preserve">4, 11, 18 y 24 de febrero y 3 de marzo. </w:t>
      </w:r>
      <w:r w:rsidRPr="00973028">
        <w:rPr>
          <w:rFonts w:ascii="Arial" w:eastAsia="Times New Roman" w:hAnsi="Arial" w:cs="Arial"/>
          <w:b/>
          <w:bCs/>
          <w:sz w:val="21"/>
        </w:rPr>
        <w:t>V Curso de actualización de normas 2020 en materia económico y financiera: el control interno y otras actuaciones en materia económico-financiera en las entidades locales</w:t>
      </w:r>
      <w:r w:rsidRPr="00973028">
        <w:rPr>
          <w:rFonts w:ascii="Arial" w:eastAsia="Times New Roman" w:hAnsi="Arial" w:cs="Arial"/>
          <w:sz w:val="21"/>
        </w:rPr>
        <w:t xml:space="preserve">. Organizado por el Colegio de Secretarios, Interventores-Tesoreros y Secretarios-Interventores de administración local de Valencia (COSITAL Valencia). </w:t>
      </w:r>
    </w:p>
    <w:p w14:paraId="354958A4" w14:textId="77777777" w:rsidR="00BB4994" w:rsidRPr="00973028" w:rsidRDefault="00BB4994" w:rsidP="00253ED4">
      <w:pPr>
        <w:widowControl w:val="0"/>
        <w:numPr>
          <w:ilvl w:val="0"/>
          <w:numId w:val="8"/>
        </w:numPr>
        <w:suppressAutoHyphens/>
        <w:autoSpaceDN w:val="0"/>
        <w:spacing w:after="120" w:line="276" w:lineRule="auto"/>
        <w:ind w:hanging="357"/>
        <w:jc w:val="both"/>
        <w:rPr>
          <w:rFonts w:ascii="Arial" w:eastAsia="Times New Roman" w:hAnsi="Arial" w:cs="Arial"/>
          <w:sz w:val="21"/>
        </w:rPr>
      </w:pPr>
      <w:r w:rsidRPr="00973028">
        <w:rPr>
          <w:rFonts w:ascii="Arial" w:eastAsia="Times New Roman" w:hAnsi="Arial" w:cs="Arial"/>
          <w:sz w:val="21"/>
        </w:rPr>
        <w:t xml:space="preserve">Julio-noviembre. Cuatro cursos de especialización para docentes y administradores del campus virtual de formación </w:t>
      </w:r>
      <w:r w:rsidRPr="00973028">
        <w:rPr>
          <w:rFonts w:ascii="Arial" w:eastAsia="Times New Roman" w:hAnsi="Arial" w:cs="Arial"/>
          <w:i/>
          <w:iCs/>
          <w:sz w:val="21"/>
        </w:rPr>
        <w:t xml:space="preserve">e-Learning. </w:t>
      </w:r>
      <w:r w:rsidRPr="00973028">
        <w:rPr>
          <w:rFonts w:ascii="Arial" w:eastAsia="Times New Roman" w:hAnsi="Arial" w:cs="Arial"/>
          <w:iCs/>
          <w:sz w:val="21"/>
        </w:rPr>
        <w:t>La realización de estos cursos ha</w:t>
      </w:r>
      <w:r w:rsidRPr="00973028">
        <w:rPr>
          <w:rFonts w:ascii="Arial" w:eastAsia="Times New Roman" w:hAnsi="Arial" w:cs="Arial"/>
          <w:sz w:val="21"/>
        </w:rPr>
        <w:t xml:space="preserve"> venido motivada por la necesidad de dar continuidad a las actividades formativas y plantear una metodología avanzada para el diseño, producción, publicación, impartición y dinamización de los cursos </w:t>
      </w:r>
      <w:r w:rsidRPr="00973028">
        <w:rPr>
          <w:rFonts w:ascii="Arial" w:eastAsia="Times New Roman" w:hAnsi="Arial" w:cs="Arial"/>
          <w:i/>
          <w:iCs/>
          <w:sz w:val="21"/>
        </w:rPr>
        <w:t>online</w:t>
      </w:r>
      <w:r w:rsidRPr="00973028">
        <w:rPr>
          <w:rFonts w:ascii="Arial" w:eastAsia="Times New Roman" w:hAnsi="Arial" w:cs="Arial"/>
          <w:sz w:val="21"/>
        </w:rPr>
        <w:t>. Los cuatro cursos realizados son:</w:t>
      </w:r>
    </w:p>
    <w:p w14:paraId="59DA5ED2" w14:textId="77777777" w:rsidR="00BB4994" w:rsidRPr="00973028" w:rsidRDefault="00BB4994" w:rsidP="00253ED4">
      <w:pPr>
        <w:widowControl w:val="0"/>
        <w:numPr>
          <w:ilvl w:val="1"/>
          <w:numId w:val="8"/>
        </w:numPr>
        <w:suppressAutoHyphens/>
        <w:autoSpaceDN w:val="0"/>
        <w:spacing w:after="120" w:line="276" w:lineRule="auto"/>
        <w:ind w:hanging="357"/>
        <w:jc w:val="both"/>
        <w:rPr>
          <w:rFonts w:ascii="Arial" w:eastAsia="Times New Roman" w:hAnsi="Arial" w:cs="Arial"/>
          <w:sz w:val="21"/>
        </w:rPr>
      </w:pPr>
      <w:r w:rsidRPr="00973028">
        <w:rPr>
          <w:rFonts w:ascii="Arial" w:eastAsia="Times New Roman" w:hAnsi="Arial" w:cs="Arial"/>
          <w:b/>
          <w:bCs/>
          <w:sz w:val="21"/>
        </w:rPr>
        <w:t>ABC del eXeLearning Ed. 2020/4</w:t>
      </w:r>
      <w:r w:rsidRPr="00973028">
        <w:rPr>
          <w:rFonts w:ascii="Arial" w:eastAsia="Times New Roman" w:hAnsi="Arial" w:cs="Arial"/>
          <w:sz w:val="21"/>
        </w:rPr>
        <w:t xml:space="preserve">: realizado en el campus SAPS-GVA. </w:t>
      </w:r>
    </w:p>
    <w:p w14:paraId="297496ED" w14:textId="77777777" w:rsidR="00BB4994" w:rsidRPr="00973028" w:rsidRDefault="00BB4994" w:rsidP="00253ED4">
      <w:pPr>
        <w:widowControl w:val="0"/>
        <w:numPr>
          <w:ilvl w:val="1"/>
          <w:numId w:val="8"/>
        </w:numPr>
        <w:suppressAutoHyphens/>
        <w:autoSpaceDN w:val="0"/>
        <w:spacing w:after="120" w:line="276" w:lineRule="auto"/>
        <w:ind w:hanging="357"/>
        <w:jc w:val="both"/>
        <w:rPr>
          <w:rFonts w:ascii="Arial" w:eastAsia="Times New Roman" w:hAnsi="Arial" w:cs="Arial"/>
          <w:sz w:val="21"/>
        </w:rPr>
      </w:pPr>
      <w:r w:rsidRPr="00973028">
        <w:rPr>
          <w:rFonts w:ascii="Arial" w:eastAsia="Times New Roman" w:hAnsi="Arial" w:cs="Arial"/>
          <w:b/>
          <w:bCs/>
          <w:sz w:val="21"/>
        </w:rPr>
        <w:t>Aula Moodle e-Formación Ed 2020/4</w:t>
      </w:r>
      <w:r w:rsidRPr="00973028">
        <w:rPr>
          <w:rFonts w:ascii="Arial" w:eastAsia="Times New Roman" w:hAnsi="Arial" w:cs="Arial"/>
          <w:sz w:val="21"/>
        </w:rPr>
        <w:t>: realizado en el campus SAPS-GVA.</w:t>
      </w:r>
    </w:p>
    <w:p w14:paraId="78CEC681" w14:textId="77777777" w:rsidR="00BB4994" w:rsidRPr="00973028" w:rsidRDefault="00BB4994" w:rsidP="00253ED4">
      <w:pPr>
        <w:widowControl w:val="0"/>
        <w:numPr>
          <w:ilvl w:val="1"/>
          <w:numId w:val="8"/>
        </w:numPr>
        <w:suppressAutoHyphens/>
        <w:autoSpaceDN w:val="0"/>
        <w:spacing w:after="120" w:line="276" w:lineRule="auto"/>
        <w:ind w:hanging="357"/>
        <w:jc w:val="both"/>
        <w:rPr>
          <w:rFonts w:ascii="Arial" w:eastAsia="Times New Roman" w:hAnsi="Arial" w:cs="Arial"/>
          <w:sz w:val="21"/>
        </w:rPr>
      </w:pPr>
      <w:r w:rsidRPr="00973028">
        <w:rPr>
          <w:rFonts w:ascii="Arial" w:eastAsia="Times New Roman" w:hAnsi="Arial" w:cs="Arial"/>
          <w:b/>
          <w:bCs/>
          <w:sz w:val="21"/>
        </w:rPr>
        <w:t>Gestión del Aula Moodle e-Formación Ed. 2020/01</w:t>
      </w:r>
      <w:r w:rsidRPr="00973028">
        <w:rPr>
          <w:rFonts w:ascii="Arial" w:eastAsia="Times New Roman" w:hAnsi="Arial" w:cs="Arial"/>
          <w:sz w:val="21"/>
        </w:rPr>
        <w:t xml:space="preserve">: realizado por la Dirección General de Tecnologías de la Información y Comunicaciones (DGTIC) de la GVA en su campus virtual. </w:t>
      </w:r>
    </w:p>
    <w:p w14:paraId="2FA23CD9" w14:textId="77777777" w:rsidR="00BB4994" w:rsidRPr="00973028" w:rsidRDefault="00BB4994" w:rsidP="00253ED4">
      <w:pPr>
        <w:widowControl w:val="0"/>
        <w:numPr>
          <w:ilvl w:val="1"/>
          <w:numId w:val="8"/>
        </w:numPr>
        <w:suppressAutoHyphens/>
        <w:autoSpaceDN w:val="0"/>
        <w:spacing w:after="120" w:line="276" w:lineRule="auto"/>
        <w:ind w:hanging="357"/>
        <w:jc w:val="both"/>
        <w:rPr>
          <w:rFonts w:ascii="Arial" w:eastAsia="Times New Roman" w:hAnsi="Arial" w:cs="Arial"/>
          <w:sz w:val="21"/>
        </w:rPr>
      </w:pPr>
      <w:r w:rsidRPr="00973028">
        <w:rPr>
          <w:rFonts w:ascii="Arial" w:eastAsia="Times New Roman" w:hAnsi="Arial" w:cs="Arial"/>
          <w:b/>
          <w:bCs/>
          <w:sz w:val="21"/>
        </w:rPr>
        <w:t xml:space="preserve">Creación de contenidos y metodologías didácticas para </w:t>
      </w:r>
      <w:r w:rsidRPr="00973028">
        <w:rPr>
          <w:rFonts w:ascii="Arial" w:eastAsia="Times New Roman" w:hAnsi="Arial" w:cs="Arial"/>
          <w:b/>
          <w:bCs/>
          <w:i/>
          <w:iCs/>
          <w:sz w:val="21"/>
        </w:rPr>
        <w:t xml:space="preserve">e-Learning </w:t>
      </w:r>
      <w:r w:rsidRPr="00973028">
        <w:rPr>
          <w:rFonts w:ascii="Arial" w:eastAsia="Times New Roman" w:hAnsi="Arial" w:cs="Arial"/>
          <w:b/>
          <w:bCs/>
          <w:sz w:val="21"/>
        </w:rPr>
        <w:t>Ed. 2020/02:</w:t>
      </w:r>
      <w:r w:rsidRPr="00973028">
        <w:rPr>
          <w:rFonts w:ascii="Arial" w:eastAsia="Times New Roman" w:hAnsi="Arial" w:cs="Arial"/>
          <w:sz w:val="21"/>
        </w:rPr>
        <w:t xml:space="preserve"> realizado por la Dirección General de Tecnologías de la Información y Comunicaciones (DGTIC) de la GVA en su campus virtual. </w:t>
      </w:r>
    </w:p>
    <w:p w14:paraId="7E051F94" w14:textId="77777777" w:rsidR="00BB4994" w:rsidRPr="00973028" w:rsidRDefault="00BB4994" w:rsidP="00253ED4">
      <w:pPr>
        <w:widowControl w:val="0"/>
        <w:numPr>
          <w:ilvl w:val="0"/>
          <w:numId w:val="8"/>
        </w:numPr>
        <w:suppressAutoHyphens/>
        <w:autoSpaceDN w:val="0"/>
        <w:spacing w:after="120" w:line="276" w:lineRule="auto"/>
        <w:ind w:hanging="357"/>
        <w:jc w:val="both"/>
        <w:rPr>
          <w:rFonts w:ascii="Arial" w:eastAsia="Open Sans" w:hAnsi="Arial" w:cs="Arial"/>
          <w:sz w:val="21"/>
          <w:lang w:eastAsia="zh-CN" w:bidi="hi-IN"/>
        </w:rPr>
      </w:pPr>
      <w:r w:rsidRPr="00973028">
        <w:rPr>
          <w:rFonts w:ascii="Arial" w:eastAsia="Times New Roman" w:hAnsi="Arial" w:cs="Arial"/>
          <w:sz w:val="21"/>
          <w:lang w:eastAsia="zh-CN"/>
        </w:rPr>
        <w:t xml:space="preserve">14, 15 y 16 de octubre de 2020. </w:t>
      </w:r>
      <w:r w:rsidRPr="00973028">
        <w:rPr>
          <w:rFonts w:ascii="Arial" w:eastAsia="Times New Roman" w:hAnsi="Arial" w:cs="Arial"/>
          <w:b/>
          <w:bCs/>
          <w:sz w:val="21"/>
          <w:lang w:eastAsia="zh-CN"/>
        </w:rPr>
        <w:t xml:space="preserve">IX Congreso Nacional de Auditoría en el Sector Público. </w:t>
      </w:r>
      <w:r w:rsidRPr="00973028">
        <w:rPr>
          <w:rFonts w:ascii="Arial" w:eastAsia="Times New Roman" w:hAnsi="Arial" w:cs="Arial"/>
          <w:sz w:val="21"/>
          <w:lang w:eastAsia="zh-CN"/>
        </w:rPr>
        <w:t xml:space="preserve">Organizado por la Fundación FIASEP, junto con la Fundación General de la Universidad de Salamanca. </w:t>
      </w:r>
      <w:r w:rsidRPr="00973028">
        <w:rPr>
          <w:rFonts w:ascii="Arial" w:eastAsia="Open Sans" w:hAnsi="Arial" w:cs="Arial"/>
          <w:sz w:val="21"/>
          <w:lang w:eastAsia="zh-CN" w:bidi="hi-IN"/>
        </w:rPr>
        <w:t>El objetivo del congreso fue la mejora de la práctica de la gestión y auditoría pública, con especial atención a la gestión digital de las auditorías y a las técnicas informáticas, infraestructuras y de implantación de sistemas de seguridad.</w:t>
      </w:r>
    </w:p>
    <w:p w14:paraId="25996D4C" w14:textId="77777777" w:rsidR="00BB4994" w:rsidRPr="00973028" w:rsidRDefault="00BB4994" w:rsidP="00253ED4">
      <w:pPr>
        <w:widowControl w:val="0"/>
        <w:numPr>
          <w:ilvl w:val="0"/>
          <w:numId w:val="8"/>
        </w:numPr>
        <w:suppressAutoHyphens/>
        <w:autoSpaceDN w:val="0"/>
        <w:spacing w:after="120" w:line="276" w:lineRule="auto"/>
        <w:ind w:hanging="357"/>
        <w:jc w:val="both"/>
        <w:rPr>
          <w:rFonts w:ascii="Arial" w:eastAsia="Open Sans" w:hAnsi="Arial" w:cs="Arial"/>
          <w:sz w:val="21"/>
          <w:szCs w:val="24"/>
          <w:lang w:eastAsia="zh-CN" w:bidi="hi-IN"/>
        </w:rPr>
      </w:pPr>
      <w:r w:rsidRPr="00973028">
        <w:rPr>
          <w:rFonts w:ascii="Arial" w:eastAsia="Times New Roman" w:hAnsi="Arial" w:cs="Arial"/>
          <w:sz w:val="21"/>
          <w:lang w:eastAsia="zh-CN"/>
        </w:rPr>
        <w:t xml:space="preserve">20 de octubre. </w:t>
      </w:r>
      <w:r w:rsidRPr="00973028">
        <w:rPr>
          <w:rFonts w:ascii="Arial" w:eastAsia="Times New Roman" w:hAnsi="Arial" w:cs="Arial"/>
          <w:b/>
          <w:bCs/>
          <w:sz w:val="21"/>
          <w:lang w:eastAsia="zh-CN"/>
        </w:rPr>
        <w:t xml:space="preserve">Jornada: Elaboración de informes periciales y de auditoría forense. </w:t>
      </w:r>
      <w:r w:rsidRPr="00973028">
        <w:rPr>
          <w:rFonts w:ascii="Arial" w:eastAsia="Times New Roman" w:hAnsi="Arial" w:cs="Arial"/>
          <w:sz w:val="21"/>
          <w:lang w:eastAsia="zh-CN"/>
        </w:rPr>
        <w:t xml:space="preserve">Organizado por INTEDYA. El objetivo era tratar aspectos básicos de la elaboración de informes periciales en los procedimientos penales sobre casos de fraude y corrupción. </w:t>
      </w:r>
    </w:p>
    <w:p w14:paraId="0A02D242" w14:textId="161A39CE" w:rsidR="00BB4994" w:rsidRPr="00973028" w:rsidRDefault="00BB4994" w:rsidP="00253ED4">
      <w:pPr>
        <w:widowControl w:val="0"/>
        <w:numPr>
          <w:ilvl w:val="0"/>
          <w:numId w:val="8"/>
        </w:numPr>
        <w:suppressAutoHyphens/>
        <w:autoSpaceDN w:val="0"/>
        <w:spacing w:after="120" w:line="276" w:lineRule="auto"/>
        <w:ind w:hanging="357"/>
        <w:jc w:val="both"/>
        <w:rPr>
          <w:rFonts w:ascii="Arial" w:eastAsia="Open Sans" w:hAnsi="Arial" w:cs="Arial"/>
          <w:sz w:val="21"/>
          <w:szCs w:val="24"/>
          <w:lang w:eastAsia="zh-CN" w:bidi="hi-IN"/>
        </w:rPr>
      </w:pPr>
      <w:r w:rsidRPr="00973028">
        <w:rPr>
          <w:rFonts w:ascii="Arial" w:eastAsia="Open Sans" w:hAnsi="Arial" w:cs="Arial"/>
          <w:bCs/>
          <w:spacing w:val="-2"/>
          <w:sz w:val="21"/>
        </w:rPr>
        <w:t xml:space="preserve">Desde diciembre de 2019 hasta septiembre de 2020. </w:t>
      </w:r>
      <w:r w:rsidRPr="00973028">
        <w:rPr>
          <w:rFonts w:ascii="Arial" w:eastAsia="Times New Roman" w:hAnsi="Arial" w:cs="Arial"/>
          <w:b/>
          <w:bCs/>
          <w:sz w:val="21"/>
          <w:lang w:eastAsia="zh-CN"/>
        </w:rPr>
        <w:t>Cursos de Valenciano de</w:t>
      </w:r>
      <w:r w:rsidRPr="00973028">
        <w:rPr>
          <w:rFonts w:ascii="Arial" w:eastAsia="Open Sans" w:hAnsi="Arial" w:cs="Arial"/>
          <w:b/>
          <w:bCs/>
          <w:sz w:val="21"/>
          <w:lang w:eastAsia="zh-CN"/>
        </w:rPr>
        <w:t xml:space="preserve"> la </w:t>
      </w:r>
      <w:r w:rsidRPr="00973028">
        <w:rPr>
          <w:rFonts w:ascii="Arial" w:eastAsia="Open Sans" w:hAnsi="Arial" w:cs="Arial"/>
          <w:b/>
          <w:bCs/>
          <w:sz w:val="21"/>
          <w:lang w:eastAsia="zh-CN"/>
        </w:rPr>
        <w:lastRenderedPageBreak/>
        <w:t xml:space="preserve">Dirección General de Política Lingüística y Gestión del Multilingüismo. </w:t>
      </w:r>
      <w:r w:rsidRPr="00973028">
        <w:rPr>
          <w:rFonts w:ascii="Arial" w:eastAsia="Open Sans" w:hAnsi="Arial" w:cs="Arial"/>
          <w:sz w:val="21"/>
          <w:lang w:eastAsia="zh-CN"/>
        </w:rPr>
        <w:t xml:space="preserve">Coordinados por </w:t>
      </w:r>
      <w:r w:rsidR="006668D6" w:rsidRPr="00973028">
        <w:rPr>
          <w:rFonts w:ascii="Arial" w:eastAsia="Open Sans" w:hAnsi="Arial" w:cs="Arial"/>
          <w:sz w:val="21"/>
          <w:lang w:eastAsia="zh-CN"/>
        </w:rPr>
        <w:t>las</w:t>
      </w:r>
      <w:r w:rsidRPr="00973028">
        <w:rPr>
          <w:rFonts w:ascii="Arial" w:eastAsia="Open Sans" w:hAnsi="Arial" w:cs="Arial"/>
          <w:sz w:val="21"/>
          <w:lang w:eastAsia="zh-CN"/>
        </w:rPr>
        <w:t xml:space="preserve"> Corts. C</w:t>
      </w:r>
      <w:r w:rsidRPr="00973028">
        <w:rPr>
          <w:rFonts w:ascii="Arial" w:eastAsia="Open Sans" w:hAnsi="Arial" w:cs="Arial"/>
          <w:bCs/>
          <w:spacing w:val="-2"/>
          <w:sz w:val="21"/>
        </w:rPr>
        <w:t>ursos de valenciano de nivel C1, C2 y de Lenguaje Administrativo</w:t>
      </w:r>
      <w:r w:rsidRPr="00973028">
        <w:rPr>
          <w:rFonts w:ascii="Arial" w:eastAsia="Open Sans" w:hAnsi="Arial" w:cs="Arial"/>
          <w:sz w:val="21"/>
          <w:lang w:eastAsia="zh-CN" w:bidi="hi-IN"/>
        </w:rPr>
        <w:t xml:space="preserve">. </w:t>
      </w:r>
    </w:p>
    <w:p w14:paraId="2948D2B1" w14:textId="77777777" w:rsidR="00BB4994" w:rsidRPr="00973028" w:rsidRDefault="00BB4994" w:rsidP="00253ED4">
      <w:pPr>
        <w:widowControl w:val="0"/>
        <w:numPr>
          <w:ilvl w:val="0"/>
          <w:numId w:val="8"/>
        </w:numPr>
        <w:suppressAutoHyphens/>
        <w:autoSpaceDN w:val="0"/>
        <w:spacing w:after="120" w:line="276" w:lineRule="auto"/>
        <w:ind w:hanging="357"/>
        <w:jc w:val="both"/>
        <w:rPr>
          <w:rFonts w:ascii="Arial" w:eastAsia="Open Sans" w:hAnsi="Arial" w:cs="Arial"/>
          <w:sz w:val="21"/>
          <w:szCs w:val="24"/>
          <w:lang w:eastAsia="zh-CN" w:bidi="hi-IN"/>
        </w:rPr>
      </w:pPr>
      <w:r w:rsidRPr="00973028">
        <w:rPr>
          <w:rFonts w:ascii="Arial" w:eastAsia="Open Sans" w:hAnsi="Arial" w:cs="Arial"/>
          <w:sz w:val="21"/>
          <w:lang w:eastAsia="zh-CN" w:bidi="hi-IN"/>
        </w:rPr>
        <w:t>30 de noviembre.</w:t>
      </w:r>
      <w:r w:rsidRPr="00973028">
        <w:rPr>
          <w:rFonts w:ascii="Arial" w:eastAsia="Open Sans" w:hAnsi="Arial" w:cs="Arial"/>
          <w:b/>
          <w:bCs/>
          <w:sz w:val="21"/>
          <w:lang w:eastAsia="zh-CN" w:bidi="hi-IN"/>
        </w:rPr>
        <w:t xml:space="preserve"> Se</w:t>
      </w:r>
      <w:r w:rsidRPr="00973028">
        <w:rPr>
          <w:rFonts w:ascii="Arial" w:eastAsia="Open Sans" w:hAnsi="Arial" w:cs="Arial"/>
          <w:b/>
          <w:bCs/>
          <w:sz w:val="21"/>
          <w:lang w:eastAsia="zh-CN"/>
        </w:rPr>
        <w:t xml:space="preserve">sión Formativa Virtual Insignis-Aranzadi. </w:t>
      </w:r>
      <w:r w:rsidRPr="00973028">
        <w:rPr>
          <w:rFonts w:ascii="Arial" w:eastAsia="Open Sans" w:hAnsi="Arial" w:cs="Arial"/>
          <w:sz w:val="21"/>
          <w:lang w:eastAsia="zh-CN"/>
        </w:rPr>
        <w:t>Organizado por la AVAF y Thomson Reuters.</w:t>
      </w:r>
      <w:r w:rsidRPr="00973028">
        <w:rPr>
          <w:rFonts w:ascii="Arial" w:eastAsia="Open Sans" w:hAnsi="Arial" w:cs="Arial"/>
          <w:b/>
          <w:bCs/>
          <w:sz w:val="21"/>
          <w:lang w:eastAsia="zh-CN"/>
        </w:rPr>
        <w:t xml:space="preserve"> </w:t>
      </w:r>
      <w:r w:rsidRPr="00973028">
        <w:rPr>
          <w:rFonts w:ascii="Arial" w:eastAsia="Open Sans" w:hAnsi="Arial" w:cs="Arial"/>
          <w:sz w:val="21"/>
          <w:lang w:eastAsia="zh-CN"/>
        </w:rPr>
        <w:t>Esta actividad consistió en</w:t>
      </w:r>
      <w:r w:rsidRPr="00973028">
        <w:rPr>
          <w:rFonts w:ascii="Arial" w:eastAsia="Open Sans" w:hAnsi="Arial" w:cs="Arial"/>
          <w:b/>
          <w:bCs/>
          <w:sz w:val="21"/>
          <w:lang w:eastAsia="zh-CN"/>
        </w:rPr>
        <w:t xml:space="preserve"> </w:t>
      </w:r>
      <w:r w:rsidRPr="00973028">
        <w:rPr>
          <w:rFonts w:ascii="Arial" w:eastAsia="Open Sans" w:hAnsi="Arial" w:cs="Arial"/>
          <w:sz w:val="21"/>
          <w:lang w:eastAsia="zh-CN"/>
        </w:rPr>
        <w:t xml:space="preserve">una sesión formativa para trabajar el uso de la base de datos jurídica Aranzadi-Insignis. </w:t>
      </w:r>
    </w:p>
    <w:p w14:paraId="69C7AA4A" w14:textId="40FB4214" w:rsidR="00BB4994" w:rsidRPr="00973028" w:rsidRDefault="00BB4994" w:rsidP="00F24AAF">
      <w:pPr>
        <w:widowControl w:val="0"/>
        <w:numPr>
          <w:ilvl w:val="0"/>
          <w:numId w:val="8"/>
        </w:numPr>
        <w:suppressAutoHyphens/>
        <w:autoSpaceDN w:val="0"/>
        <w:spacing w:after="120" w:line="276" w:lineRule="auto"/>
        <w:ind w:hanging="357"/>
        <w:jc w:val="both"/>
        <w:rPr>
          <w:rFonts w:ascii="Arial" w:eastAsia="Open Sans" w:hAnsi="Arial" w:cs="Arial"/>
          <w:sz w:val="21"/>
          <w:lang w:eastAsia="zh-CN" w:bidi="hi-IN"/>
        </w:rPr>
      </w:pPr>
      <w:r w:rsidRPr="00973028">
        <w:rPr>
          <w:rFonts w:ascii="Arial" w:eastAsia="Open Sans" w:hAnsi="Arial" w:cs="Arial"/>
          <w:sz w:val="21"/>
          <w:lang w:eastAsia="zh-CN"/>
        </w:rPr>
        <w:t xml:space="preserve">2020-2021. </w:t>
      </w:r>
      <w:r w:rsidRPr="00973028">
        <w:rPr>
          <w:rFonts w:ascii="Arial" w:eastAsia="Open Sans" w:hAnsi="Arial" w:cs="Arial"/>
          <w:b/>
          <w:bCs/>
          <w:sz w:val="21"/>
          <w:lang w:eastAsia="zh-CN"/>
        </w:rPr>
        <w:t>Curso de Peritos en c</w:t>
      </w:r>
      <w:r w:rsidRPr="00973028">
        <w:rPr>
          <w:rFonts w:ascii="Arial" w:eastAsia="Open Sans" w:hAnsi="Arial" w:cs="Arial"/>
          <w:b/>
          <w:bCs/>
          <w:i/>
          <w:iCs/>
          <w:sz w:val="21"/>
          <w:lang w:eastAsia="zh-CN"/>
        </w:rPr>
        <w:t xml:space="preserve">ompliance. </w:t>
      </w:r>
      <w:r w:rsidRPr="00973028">
        <w:rPr>
          <w:rFonts w:ascii="Arial" w:eastAsia="Open Sans" w:hAnsi="Arial" w:cs="Arial"/>
          <w:sz w:val="21"/>
          <w:lang w:eastAsia="zh-CN"/>
        </w:rPr>
        <w:t xml:space="preserve">Organizado por </w:t>
      </w:r>
      <w:r w:rsidR="00DE2FED" w:rsidRPr="00973028">
        <w:rPr>
          <w:rFonts w:ascii="Arial" w:eastAsia="Open Sans" w:hAnsi="Arial" w:cs="Arial"/>
          <w:sz w:val="21"/>
          <w:lang w:eastAsia="zh-CN"/>
        </w:rPr>
        <w:t xml:space="preserve">World </w:t>
      </w:r>
      <w:r w:rsidRPr="00973028">
        <w:rPr>
          <w:rFonts w:ascii="Arial" w:eastAsia="Open Sans" w:hAnsi="Arial" w:cs="Arial"/>
          <w:sz w:val="21"/>
          <w:lang w:eastAsia="zh-CN"/>
        </w:rPr>
        <w:t>Compliance Association. Este curso finalizará en 2021.</w:t>
      </w:r>
    </w:p>
    <w:p w14:paraId="2BDCB87E" w14:textId="0F1A6CB0" w:rsidR="00BB4994" w:rsidRPr="00973028" w:rsidRDefault="00BB4994" w:rsidP="00F24AAF">
      <w:pPr>
        <w:widowControl w:val="0"/>
        <w:suppressAutoHyphens/>
        <w:autoSpaceDN w:val="0"/>
        <w:spacing w:after="120" w:line="276" w:lineRule="auto"/>
        <w:jc w:val="both"/>
        <w:rPr>
          <w:rFonts w:ascii="Arial" w:eastAsia="Calibri" w:hAnsi="Arial" w:cs="Arial"/>
          <w:sz w:val="21"/>
          <w:lang w:eastAsia="zh-CN"/>
        </w:rPr>
      </w:pPr>
      <w:r w:rsidRPr="00973028">
        <w:rPr>
          <w:rFonts w:ascii="Arial" w:eastAsia="Calibri" w:hAnsi="Arial" w:cs="Arial"/>
          <w:sz w:val="21"/>
          <w:lang w:eastAsia="zh-CN"/>
        </w:rPr>
        <w:t>Junto a estas propuestas, el Servicio de Formación también ha realizado un trabajo de información y difusión de más de 25 actividades en repositorios de otras instituciones con recursos formativos en formato abierto, relacionados con las funciones que tenemos asignadas, con el fin de poner a disposición de los miembros de la Agencia, por si resulta de su interés, estas acciones formativas y el material didáctico correspondiente.</w:t>
      </w:r>
    </w:p>
    <w:p w14:paraId="4D9E8AEC" w14:textId="77777777" w:rsidR="00BB4994" w:rsidRPr="00973028" w:rsidRDefault="00BB4994" w:rsidP="00F24AAF">
      <w:pPr>
        <w:widowControl w:val="0"/>
        <w:suppressAutoHyphens/>
        <w:autoSpaceDN w:val="0"/>
        <w:spacing w:after="120" w:line="276" w:lineRule="auto"/>
        <w:jc w:val="both"/>
        <w:rPr>
          <w:rFonts w:ascii="Arial" w:eastAsia="Calibri" w:hAnsi="Arial" w:cs="Arial"/>
          <w:sz w:val="21"/>
          <w:lang w:eastAsia="zh-CN"/>
        </w:rPr>
      </w:pPr>
      <w:r w:rsidRPr="00973028">
        <w:rPr>
          <w:rFonts w:ascii="Arial" w:eastAsia="Calibri" w:hAnsi="Arial" w:cs="Arial"/>
          <w:sz w:val="21"/>
          <w:lang w:eastAsia="zh-CN"/>
        </w:rPr>
        <w:t xml:space="preserve">La siguiente tabla describe el número de asistentes, las horas de formación y la valoración de cada actividad. </w:t>
      </w:r>
    </w:p>
    <w:p w14:paraId="4E1ED95E" w14:textId="71A5C15D" w:rsidR="004927C3" w:rsidRPr="00973028" w:rsidRDefault="004927C3" w:rsidP="004927C3">
      <w:pPr>
        <w:pStyle w:val="Descripcin"/>
        <w:keepNext/>
        <w:rPr>
          <w:rFonts w:ascii="Arial" w:hAnsi="Arial" w:cs="Arial"/>
          <w:smallCaps w:val="0"/>
          <w:sz w:val="18"/>
          <w:szCs w:val="18"/>
        </w:rPr>
      </w:pPr>
      <w:bookmarkStart w:id="29" w:name="_Toc67646339"/>
      <w:r w:rsidRPr="00973028">
        <w:rPr>
          <w:rFonts w:ascii="Arial" w:hAnsi="Arial" w:cs="Arial"/>
          <w:smallCaps w:val="0"/>
          <w:color w:val="9D2235" w:themeColor="accent1"/>
          <w:sz w:val="18"/>
          <w:szCs w:val="18"/>
        </w:rPr>
        <w:t xml:space="preserve">Tabla </w:t>
      </w:r>
      <w:r w:rsidRPr="00973028">
        <w:rPr>
          <w:rFonts w:ascii="Arial" w:hAnsi="Arial" w:cs="Arial"/>
          <w:smallCaps w:val="0"/>
          <w:color w:val="9D2235" w:themeColor="accent1"/>
          <w:sz w:val="18"/>
          <w:szCs w:val="18"/>
        </w:rPr>
        <w:fldChar w:fldCharType="begin"/>
      </w:r>
      <w:r w:rsidRPr="00973028">
        <w:rPr>
          <w:rFonts w:ascii="Arial" w:hAnsi="Arial" w:cs="Arial"/>
          <w:smallCaps w:val="0"/>
          <w:color w:val="9D2235" w:themeColor="accent1"/>
          <w:sz w:val="18"/>
          <w:szCs w:val="18"/>
        </w:rPr>
        <w:instrText xml:space="preserve"> SEQ Tabla \* ARABIC </w:instrText>
      </w:r>
      <w:r w:rsidRPr="00973028">
        <w:rPr>
          <w:rFonts w:ascii="Arial" w:hAnsi="Arial" w:cs="Arial"/>
          <w:smallCaps w:val="0"/>
          <w:color w:val="9D2235" w:themeColor="accent1"/>
          <w:sz w:val="18"/>
          <w:szCs w:val="18"/>
        </w:rPr>
        <w:fldChar w:fldCharType="separate"/>
      </w:r>
      <w:r w:rsidR="00ED7F0D">
        <w:rPr>
          <w:rFonts w:ascii="Arial" w:hAnsi="Arial" w:cs="Arial"/>
          <w:smallCaps w:val="0"/>
          <w:noProof/>
          <w:color w:val="9D2235" w:themeColor="accent1"/>
          <w:sz w:val="18"/>
          <w:szCs w:val="18"/>
        </w:rPr>
        <w:t>2</w:t>
      </w:r>
      <w:r w:rsidRPr="00973028">
        <w:rPr>
          <w:rFonts w:ascii="Arial" w:hAnsi="Arial" w:cs="Arial"/>
          <w:smallCaps w:val="0"/>
          <w:color w:val="9D2235" w:themeColor="accent1"/>
          <w:sz w:val="18"/>
          <w:szCs w:val="18"/>
        </w:rPr>
        <w:fldChar w:fldCharType="end"/>
      </w:r>
      <w:r w:rsidR="00876C89">
        <w:rPr>
          <w:rFonts w:ascii="Arial" w:hAnsi="Arial" w:cs="Arial"/>
          <w:smallCaps w:val="0"/>
          <w:color w:val="9D2235" w:themeColor="accent1"/>
          <w:sz w:val="18"/>
          <w:szCs w:val="18"/>
        </w:rPr>
        <w:t>.</w:t>
      </w:r>
      <w:r w:rsidRPr="00973028">
        <w:rPr>
          <w:rFonts w:ascii="Arial" w:hAnsi="Arial" w:cs="Arial"/>
          <w:smallCaps w:val="0"/>
          <w:color w:val="9D2235" w:themeColor="accent1"/>
          <w:sz w:val="18"/>
          <w:szCs w:val="18"/>
        </w:rPr>
        <w:t xml:space="preserve"> </w:t>
      </w:r>
      <w:r w:rsidRPr="00973028">
        <w:rPr>
          <w:rFonts w:ascii="Arial" w:hAnsi="Arial" w:cs="Arial"/>
          <w:smallCaps w:val="0"/>
          <w:sz w:val="18"/>
          <w:szCs w:val="18"/>
        </w:rPr>
        <w:t>Resumen de Formación interna</w:t>
      </w:r>
      <w:bookmarkEnd w:id="29"/>
    </w:p>
    <w:tbl>
      <w:tblPr>
        <w:tblW w:w="9300" w:type="dxa"/>
        <w:tblLook w:val="04A0" w:firstRow="1" w:lastRow="0" w:firstColumn="1" w:lastColumn="0" w:noHBand="0" w:noVBand="1"/>
      </w:tblPr>
      <w:tblGrid>
        <w:gridCol w:w="2316"/>
        <w:gridCol w:w="965"/>
        <w:gridCol w:w="1194"/>
        <w:gridCol w:w="963"/>
        <w:gridCol w:w="1020"/>
        <w:gridCol w:w="853"/>
        <w:gridCol w:w="1021"/>
        <w:gridCol w:w="968"/>
      </w:tblGrid>
      <w:tr w:rsidR="00BB4994" w:rsidRPr="00F24AAF" w14:paraId="10F19835" w14:textId="77777777" w:rsidTr="00BB4994">
        <w:tc>
          <w:tcPr>
            <w:tcW w:w="9300" w:type="dxa"/>
            <w:gridSpan w:val="8"/>
            <w:tcBorders>
              <w:top w:val="single" w:sz="4" w:space="0" w:color="000000"/>
              <w:left w:val="single" w:sz="4" w:space="0" w:color="000000"/>
              <w:bottom w:val="single" w:sz="4" w:space="0" w:color="000000"/>
              <w:right w:val="single" w:sz="4" w:space="0" w:color="000000"/>
            </w:tcBorders>
            <w:shd w:val="clear" w:color="auto" w:fill="ABABAB"/>
            <w:hideMark/>
          </w:tcPr>
          <w:p w14:paraId="456D6612" w14:textId="77777777" w:rsidR="00BB4994" w:rsidRPr="00F24AAF" w:rsidRDefault="00BB4994" w:rsidP="00BB4994">
            <w:pPr>
              <w:widowControl w:val="0"/>
              <w:suppressAutoHyphens/>
              <w:autoSpaceDN w:val="0"/>
              <w:spacing w:after="0" w:line="240" w:lineRule="auto"/>
              <w:jc w:val="both"/>
              <w:rPr>
                <w:rFonts w:ascii="Arial" w:eastAsia="Open Sans" w:hAnsi="Arial" w:cs="Arial"/>
                <w:b/>
                <w:bCs/>
                <w:kern w:val="2"/>
                <w:sz w:val="20"/>
                <w:szCs w:val="20"/>
                <w:lang w:eastAsia="zh-CN" w:bidi="hi-IN"/>
              </w:rPr>
            </w:pPr>
            <w:r w:rsidRPr="00F24AAF">
              <w:rPr>
                <w:rFonts w:ascii="Arial" w:eastAsia="Open Sans" w:hAnsi="Arial" w:cs="Arial"/>
                <w:b/>
                <w:bCs/>
                <w:color w:val="FFFFFF"/>
                <w:kern w:val="2"/>
                <w:sz w:val="20"/>
                <w:szCs w:val="20"/>
                <w:lang w:eastAsia="zh-CN" w:bidi="hi-IN"/>
              </w:rPr>
              <w:t>FORMACIÓN INTERNA DE ÁMBITO INSTITUCIONAL (7)</w:t>
            </w:r>
          </w:p>
        </w:tc>
      </w:tr>
      <w:tr w:rsidR="00BB4994" w:rsidRPr="00973028" w14:paraId="3BAD71D0" w14:textId="77777777" w:rsidTr="004927C3">
        <w:tc>
          <w:tcPr>
            <w:tcW w:w="2316" w:type="dxa"/>
            <w:tcBorders>
              <w:top w:val="single" w:sz="4" w:space="0" w:color="000000"/>
              <w:left w:val="single" w:sz="4" w:space="0" w:color="000000"/>
              <w:bottom w:val="single" w:sz="4" w:space="0" w:color="000000"/>
              <w:right w:val="single" w:sz="4" w:space="0" w:color="000000"/>
            </w:tcBorders>
            <w:vAlign w:val="center"/>
            <w:hideMark/>
          </w:tcPr>
          <w:p w14:paraId="1F68F0AA"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Actividad</w:t>
            </w:r>
          </w:p>
        </w:tc>
        <w:tc>
          <w:tcPr>
            <w:tcW w:w="965" w:type="dxa"/>
            <w:tcBorders>
              <w:top w:val="single" w:sz="4" w:space="0" w:color="000000"/>
              <w:left w:val="single" w:sz="4" w:space="0" w:color="000000"/>
              <w:bottom w:val="single" w:sz="4" w:space="0" w:color="000000"/>
              <w:right w:val="single" w:sz="4" w:space="0" w:color="000000"/>
            </w:tcBorders>
            <w:vAlign w:val="center"/>
            <w:hideMark/>
          </w:tcPr>
          <w:p w14:paraId="17E56135"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Fechas</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55CEF19D"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Núm. asistentes</w:t>
            </w:r>
          </w:p>
        </w:tc>
        <w:tc>
          <w:tcPr>
            <w:tcW w:w="963" w:type="dxa"/>
            <w:tcBorders>
              <w:top w:val="single" w:sz="4" w:space="0" w:color="000000"/>
              <w:left w:val="single" w:sz="4" w:space="0" w:color="000000"/>
              <w:bottom w:val="single" w:sz="4" w:space="0" w:color="000000"/>
              <w:right w:val="single" w:sz="4" w:space="0" w:color="000000"/>
            </w:tcBorders>
            <w:vAlign w:val="center"/>
            <w:hideMark/>
          </w:tcPr>
          <w:p w14:paraId="7F17F92F"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 Mujeres</w:t>
            </w:r>
          </w:p>
        </w:tc>
        <w:tc>
          <w:tcPr>
            <w:tcW w:w="1020" w:type="dxa"/>
            <w:tcBorders>
              <w:top w:val="single" w:sz="4" w:space="0" w:color="000000"/>
              <w:left w:val="single" w:sz="4" w:space="0" w:color="000000"/>
              <w:bottom w:val="single" w:sz="4" w:space="0" w:color="000000"/>
              <w:right w:val="single" w:sz="4" w:space="0" w:color="000000"/>
            </w:tcBorders>
            <w:vAlign w:val="center"/>
            <w:hideMark/>
          </w:tcPr>
          <w:p w14:paraId="55BF8885"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 Hombres</w:t>
            </w: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2FE52751"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Horas</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05220F78"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Asist. x h</w:t>
            </w:r>
          </w:p>
        </w:tc>
        <w:tc>
          <w:tcPr>
            <w:tcW w:w="968" w:type="dxa"/>
            <w:tcBorders>
              <w:top w:val="single" w:sz="4" w:space="0" w:color="000000"/>
              <w:left w:val="single" w:sz="4" w:space="0" w:color="000000"/>
              <w:bottom w:val="single" w:sz="4" w:space="0" w:color="000000"/>
              <w:right w:val="single" w:sz="4" w:space="0" w:color="000000"/>
            </w:tcBorders>
            <w:vAlign w:val="center"/>
            <w:hideMark/>
          </w:tcPr>
          <w:p w14:paraId="06B81530"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Val.</w:t>
            </w:r>
          </w:p>
          <w:p w14:paraId="5F117474"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(0-10)</w:t>
            </w:r>
          </w:p>
        </w:tc>
      </w:tr>
      <w:tr w:rsidR="00BB4994" w:rsidRPr="00973028" w14:paraId="18245363" w14:textId="77777777" w:rsidTr="004927C3">
        <w:tc>
          <w:tcPr>
            <w:tcW w:w="2316" w:type="dxa"/>
            <w:tcBorders>
              <w:top w:val="nil"/>
              <w:left w:val="single" w:sz="4" w:space="0" w:color="000000"/>
              <w:bottom w:val="single" w:sz="4" w:space="0" w:color="000000"/>
              <w:right w:val="single" w:sz="4" w:space="0" w:color="000000"/>
            </w:tcBorders>
            <w:vAlign w:val="center"/>
            <w:hideMark/>
          </w:tcPr>
          <w:p w14:paraId="07F41314"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Los medios electrónicos y el procedimiento administrativo electrónico previsto en la Ley 39/2015 LPACAP (VII edición)</w:t>
            </w:r>
          </w:p>
        </w:tc>
        <w:tc>
          <w:tcPr>
            <w:tcW w:w="965" w:type="dxa"/>
            <w:tcBorders>
              <w:top w:val="nil"/>
              <w:left w:val="single" w:sz="4" w:space="0" w:color="000000"/>
              <w:bottom w:val="single" w:sz="4" w:space="0" w:color="000000"/>
              <w:right w:val="single" w:sz="4" w:space="0" w:color="000000"/>
            </w:tcBorders>
            <w:vAlign w:val="center"/>
            <w:hideMark/>
          </w:tcPr>
          <w:p w14:paraId="398CA9ED"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1-28/04</w:t>
            </w:r>
          </w:p>
        </w:tc>
        <w:tc>
          <w:tcPr>
            <w:tcW w:w="1194" w:type="dxa"/>
            <w:tcBorders>
              <w:top w:val="nil"/>
              <w:left w:val="single" w:sz="4" w:space="0" w:color="000000"/>
              <w:bottom w:val="single" w:sz="4" w:space="0" w:color="000000"/>
              <w:right w:val="single" w:sz="4" w:space="0" w:color="000000"/>
            </w:tcBorders>
            <w:vAlign w:val="center"/>
            <w:hideMark/>
          </w:tcPr>
          <w:p w14:paraId="645FC3C2"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7</w:t>
            </w:r>
          </w:p>
        </w:tc>
        <w:tc>
          <w:tcPr>
            <w:tcW w:w="963" w:type="dxa"/>
            <w:tcBorders>
              <w:top w:val="nil"/>
              <w:left w:val="single" w:sz="4" w:space="0" w:color="000000"/>
              <w:bottom w:val="single" w:sz="4" w:space="0" w:color="000000"/>
              <w:right w:val="single" w:sz="4" w:space="0" w:color="000000"/>
            </w:tcBorders>
            <w:vAlign w:val="center"/>
            <w:hideMark/>
          </w:tcPr>
          <w:p w14:paraId="48E5E170"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85,7</w:t>
            </w:r>
          </w:p>
        </w:tc>
        <w:tc>
          <w:tcPr>
            <w:tcW w:w="1020" w:type="dxa"/>
            <w:tcBorders>
              <w:top w:val="nil"/>
              <w:left w:val="single" w:sz="4" w:space="0" w:color="000000"/>
              <w:bottom w:val="single" w:sz="4" w:space="0" w:color="000000"/>
              <w:right w:val="single" w:sz="4" w:space="0" w:color="000000"/>
            </w:tcBorders>
            <w:vAlign w:val="center"/>
            <w:hideMark/>
          </w:tcPr>
          <w:p w14:paraId="3606581C"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14,3</w:t>
            </w:r>
          </w:p>
        </w:tc>
        <w:tc>
          <w:tcPr>
            <w:tcW w:w="853" w:type="dxa"/>
            <w:tcBorders>
              <w:top w:val="nil"/>
              <w:left w:val="single" w:sz="4" w:space="0" w:color="000000"/>
              <w:bottom w:val="single" w:sz="4" w:space="0" w:color="000000"/>
              <w:right w:val="single" w:sz="4" w:space="0" w:color="000000"/>
            </w:tcBorders>
            <w:vAlign w:val="center"/>
            <w:hideMark/>
          </w:tcPr>
          <w:p w14:paraId="2C6EFC85"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40</w:t>
            </w:r>
          </w:p>
        </w:tc>
        <w:tc>
          <w:tcPr>
            <w:tcW w:w="1021" w:type="dxa"/>
            <w:tcBorders>
              <w:top w:val="nil"/>
              <w:left w:val="single" w:sz="4" w:space="0" w:color="000000"/>
              <w:bottom w:val="single" w:sz="4" w:space="0" w:color="000000"/>
              <w:right w:val="single" w:sz="4" w:space="0" w:color="000000"/>
            </w:tcBorders>
            <w:vAlign w:val="center"/>
            <w:hideMark/>
          </w:tcPr>
          <w:p w14:paraId="38DA45B2"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280</w:t>
            </w:r>
          </w:p>
        </w:tc>
        <w:tc>
          <w:tcPr>
            <w:tcW w:w="968" w:type="dxa"/>
            <w:tcBorders>
              <w:top w:val="nil"/>
              <w:left w:val="single" w:sz="4" w:space="0" w:color="000000"/>
              <w:bottom w:val="single" w:sz="4" w:space="0" w:color="000000"/>
              <w:right w:val="single" w:sz="4" w:space="0" w:color="000000"/>
            </w:tcBorders>
            <w:vAlign w:val="center"/>
            <w:hideMark/>
          </w:tcPr>
          <w:p w14:paraId="28B08D2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8,1</w:t>
            </w:r>
          </w:p>
        </w:tc>
      </w:tr>
      <w:tr w:rsidR="00BB4994" w:rsidRPr="00973028" w14:paraId="3A17371A" w14:textId="77777777" w:rsidTr="004927C3">
        <w:tc>
          <w:tcPr>
            <w:tcW w:w="2316" w:type="dxa"/>
            <w:tcBorders>
              <w:top w:val="nil"/>
              <w:left w:val="single" w:sz="4" w:space="0" w:color="000000"/>
              <w:bottom w:val="single" w:sz="4" w:space="0" w:color="000000"/>
              <w:right w:val="single" w:sz="4" w:space="0" w:color="000000"/>
            </w:tcBorders>
            <w:vAlign w:val="center"/>
            <w:hideMark/>
          </w:tcPr>
          <w:p w14:paraId="449FA93F"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Las relaciones entre la Agencia y los órganos jurisdiccionales</w:t>
            </w:r>
          </w:p>
        </w:tc>
        <w:tc>
          <w:tcPr>
            <w:tcW w:w="965" w:type="dxa"/>
            <w:tcBorders>
              <w:top w:val="nil"/>
              <w:left w:val="single" w:sz="4" w:space="0" w:color="000000"/>
              <w:bottom w:val="single" w:sz="4" w:space="0" w:color="000000"/>
              <w:right w:val="single" w:sz="4" w:space="0" w:color="000000"/>
            </w:tcBorders>
            <w:vAlign w:val="center"/>
            <w:hideMark/>
          </w:tcPr>
          <w:p w14:paraId="3C2CBD23"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18/06</w:t>
            </w:r>
          </w:p>
        </w:tc>
        <w:tc>
          <w:tcPr>
            <w:tcW w:w="1194" w:type="dxa"/>
            <w:tcBorders>
              <w:top w:val="nil"/>
              <w:left w:val="single" w:sz="4" w:space="0" w:color="000000"/>
              <w:bottom w:val="single" w:sz="4" w:space="0" w:color="000000"/>
              <w:right w:val="single" w:sz="4" w:space="0" w:color="000000"/>
            </w:tcBorders>
            <w:vAlign w:val="center"/>
            <w:hideMark/>
          </w:tcPr>
          <w:p w14:paraId="1B60CD18"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27</w:t>
            </w:r>
          </w:p>
        </w:tc>
        <w:tc>
          <w:tcPr>
            <w:tcW w:w="963" w:type="dxa"/>
            <w:tcBorders>
              <w:top w:val="nil"/>
              <w:left w:val="single" w:sz="4" w:space="0" w:color="000000"/>
              <w:bottom w:val="single" w:sz="4" w:space="0" w:color="000000"/>
              <w:right w:val="single" w:sz="4" w:space="0" w:color="000000"/>
            </w:tcBorders>
            <w:vAlign w:val="center"/>
            <w:hideMark/>
          </w:tcPr>
          <w:p w14:paraId="6BA8E257"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70,4</w:t>
            </w:r>
          </w:p>
        </w:tc>
        <w:tc>
          <w:tcPr>
            <w:tcW w:w="1020" w:type="dxa"/>
            <w:tcBorders>
              <w:top w:val="nil"/>
              <w:left w:val="single" w:sz="4" w:space="0" w:color="000000"/>
              <w:bottom w:val="single" w:sz="4" w:space="0" w:color="000000"/>
              <w:right w:val="single" w:sz="4" w:space="0" w:color="000000"/>
            </w:tcBorders>
            <w:vAlign w:val="center"/>
            <w:hideMark/>
          </w:tcPr>
          <w:p w14:paraId="49000E87"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29,6</w:t>
            </w:r>
          </w:p>
        </w:tc>
        <w:tc>
          <w:tcPr>
            <w:tcW w:w="853" w:type="dxa"/>
            <w:tcBorders>
              <w:top w:val="nil"/>
              <w:left w:val="single" w:sz="4" w:space="0" w:color="000000"/>
              <w:bottom w:val="single" w:sz="4" w:space="0" w:color="000000"/>
              <w:right w:val="single" w:sz="4" w:space="0" w:color="000000"/>
            </w:tcBorders>
            <w:vAlign w:val="center"/>
            <w:hideMark/>
          </w:tcPr>
          <w:p w14:paraId="223A32AD"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2,5</w:t>
            </w:r>
          </w:p>
        </w:tc>
        <w:tc>
          <w:tcPr>
            <w:tcW w:w="1021" w:type="dxa"/>
            <w:tcBorders>
              <w:top w:val="nil"/>
              <w:left w:val="single" w:sz="4" w:space="0" w:color="000000"/>
              <w:bottom w:val="single" w:sz="4" w:space="0" w:color="000000"/>
              <w:right w:val="single" w:sz="4" w:space="0" w:color="000000"/>
            </w:tcBorders>
            <w:vAlign w:val="center"/>
            <w:hideMark/>
          </w:tcPr>
          <w:p w14:paraId="2DB6E453"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67,5</w:t>
            </w:r>
          </w:p>
        </w:tc>
        <w:tc>
          <w:tcPr>
            <w:tcW w:w="968" w:type="dxa"/>
            <w:tcBorders>
              <w:top w:val="nil"/>
              <w:left w:val="single" w:sz="4" w:space="0" w:color="000000"/>
              <w:bottom w:val="single" w:sz="4" w:space="0" w:color="000000"/>
              <w:right w:val="single" w:sz="4" w:space="0" w:color="000000"/>
            </w:tcBorders>
            <w:vAlign w:val="center"/>
            <w:hideMark/>
          </w:tcPr>
          <w:p w14:paraId="5C6216F2"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8,9</w:t>
            </w:r>
          </w:p>
        </w:tc>
      </w:tr>
      <w:tr w:rsidR="00BB4994" w:rsidRPr="00973028" w14:paraId="5F4F0370" w14:textId="77777777" w:rsidTr="004927C3">
        <w:tc>
          <w:tcPr>
            <w:tcW w:w="2316" w:type="dxa"/>
            <w:vMerge w:val="restart"/>
            <w:tcBorders>
              <w:top w:val="single" w:sz="4" w:space="0" w:color="000000"/>
              <w:left w:val="single" w:sz="4" w:space="0" w:color="000000"/>
              <w:bottom w:val="single" w:sz="4" w:space="0" w:color="000000"/>
              <w:right w:val="single" w:sz="4" w:space="0" w:color="000000"/>
            </w:tcBorders>
            <w:vAlign w:val="center"/>
            <w:hideMark/>
          </w:tcPr>
          <w:p w14:paraId="27A9BD95"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I cicle de </w:t>
            </w:r>
            <w:r w:rsidRPr="00973028">
              <w:rPr>
                <w:rFonts w:ascii="Arial" w:eastAsia="Open Sans" w:hAnsi="Arial" w:cs="Arial"/>
                <w:i/>
                <w:kern w:val="2"/>
                <w:sz w:val="18"/>
                <w:szCs w:val="18"/>
                <w:lang w:eastAsia="zh-CN" w:bidi="hi-IN"/>
              </w:rPr>
              <w:t xml:space="preserve">webinars </w:t>
            </w:r>
            <w:r w:rsidRPr="00973028">
              <w:rPr>
                <w:rFonts w:ascii="Arial" w:eastAsia="Open Sans" w:hAnsi="Arial" w:cs="Arial"/>
                <w:kern w:val="2"/>
                <w:sz w:val="18"/>
                <w:szCs w:val="18"/>
                <w:lang w:eastAsia="zh-CN" w:bidi="hi-IN"/>
              </w:rPr>
              <w:t>sobre aspectos prácticos de la contratación pública y de la gestión administrativa en tiempos de Covid-19</w:t>
            </w:r>
          </w:p>
        </w:tc>
        <w:tc>
          <w:tcPr>
            <w:tcW w:w="965" w:type="dxa"/>
            <w:vMerge w:val="restart"/>
            <w:tcBorders>
              <w:top w:val="single" w:sz="4" w:space="0" w:color="000000"/>
              <w:left w:val="single" w:sz="4" w:space="0" w:color="000000"/>
              <w:bottom w:val="single" w:sz="4" w:space="0" w:color="000000"/>
              <w:right w:val="single" w:sz="4" w:space="0" w:color="000000"/>
            </w:tcBorders>
            <w:vAlign w:val="center"/>
            <w:hideMark/>
          </w:tcPr>
          <w:p w14:paraId="35DACE81"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26/5, 2/6 y 9/6</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2630E862"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w:t>
            </w:r>
          </w:p>
        </w:tc>
        <w:tc>
          <w:tcPr>
            <w:tcW w:w="963" w:type="dxa"/>
            <w:tcBorders>
              <w:top w:val="single" w:sz="4" w:space="0" w:color="000000"/>
              <w:left w:val="single" w:sz="4" w:space="0" w:color="000000"/>
              <w:bottom w:val="single" w:sz="4" w:space="0" w:color="000000"/>
              <w:right w:val="single" w:sz="4" w:space="0" w:color="000000"/>
            </w:tcBorders>
            <w:vAlign w:val="center"/>
            <w:hideMark/>
          </w:tcPr>
          <w:p w14:paraId="3D4FAFF3"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100</w:t>
            </w:r>
          </w:p>
        </w:tc>
        <w:tc>
          <w:tcPr>
            <w:tcW w:w="1020" w:type="dxa"/>
            <w:tcBorders>
              <w:top w:val="single" w:sz="4" w:space="0" w:color="000000"/>
              <w:left w:val="single" w:sz="4" w:space="0" w:color="000000"/>
              <w:bottom w:val="single" w:sz="4" w:space="0" w:color="000000"/>
              <w:right w:val="single" w:sz="4" w:space="0" w:color="000000"/>
            </w:tcBorders>
            <w:vAlign w:val="center"/>
            <w:hideMark/>
          </w:tcPr>
          <w:p w14:paraId="351DC788"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0</w:t>
            </w: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527C8678"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4,5</w:t>
            </w:r>
          </w:p>
        </w:tc>
        <w:tc>
          <w:tcPr>
            <w:tcW w:w="1021" w:type="dxa"/>
            <w:tcBorders>
              <w:top w:val="nil"/>
              <w:left w:val="single" w:sz="4" w:space="0" w:color="000000"/>
              <w:bottom w:val="single" w:sz="4" w:space="0" w:color="000000"/>
              <w:right w:val="single" w:sz="4" w:space="0" w:color="000000"/>
            </w:tcBorders>
            <w:vAlign w:val="center"/>
            <w:hideMark/>
          </w:tcPr>
          <w:p w14:paraId="0E3F902D"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4,5</w:t>
            </w:r>
          </w:p>
        </w:tc>
        <w:tc>
          <w:tcPr>
            <w:tcW w:w="968" w:type="dxa"/>
            <w:tcBorders>
              <w:top w:val="single" w:sz="4" w:space="0" w:color="000000"/>
              <w:left w:val="single" w:sz="4" w:space="0" w:color="000000"/>
              <w:bottom w:val="single" w:sz="4" w:space="0" w:color="000000"/>
              <w:right w:val="single" w:sz="4" w:space="0" w:color="000000"/>
            </w:tcBorders>
            <w:vAlign w:val="center"/>
            <w:hideMark/>
          </w:tcPr>
          <w:p w14:paraId="378AB503"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8</w:t>
            </w:r>
          </w:p>
        </w:tc>
      </w:tr>
      <w:tr w:rsidR="00BB4994" w:rsidRPr="00973028" w14:paraId="10985F7D" w14:textId="77777777" w:rsidTr="004927C3">
        <w:trPr>
          <w:trHeight w:val="5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43C73C" w14:textId="77777777" w:rsidR="00BB4994" w:rsidRPr="00973028" w:rsidRDefault="00BB4994" w:rsidP="00BB4994">
            <w:pPr>
              <w:widowControl w:val="0"/>
              <w:autoSpaceDN w:val="0"/>
              <w:spacing w:after="0" w:line="240" w:lineRule="auto"/>
              <w:rPr>
                <w:rFonts w:ascii="Arial" w:eastAsia="Open Sans" w:hAnsi="Arial" w:cs="Arial"/>
                <w:kern w:val="2"/>
                <w:sz w:val="18"/>
                <w:szCs w:val="18"/>
                <w:lang w:eastAsia="zh-CN" w:bidi="hi-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3F4A0C" w14:textId="77777777" w:rsidR="00BB4994" w:rsidRPr="00973028" w:rsidRDefault="00BB4994" w:rsidP="00BB4994">
            <w:pPr>
              <w:widowControl w:val="0"/>
              <w:autoSpaceDN w:val="0"/>
              <w:spacing w:after="0" w:line="240" w:lineRule="auto"/>
              <w:rPr>
                <w:rFonts w:ascii="Arial" w:eastAsia="Open Sans" w:hAnsi="Arial" w:cs="Arial"/>
                <w:kern w:val="2"/>
                <w:sz w:val="18"/>
                <w:szCs w:val="18"/>
                <w:lang w:eastAsia="zh-CN" w:bidi="hi-IN"/>
              </w:rPr>
            </w:pPr>
          </w:p>
        </w:tc>
        <w:tc>
          <w:tcPr>
            <w:tcW w:w="1194" w:type="dxa"/>
            <w:tcBorders>
              <w:top w:val="nil"/>
              <w:left w:val="single" w:sz="4" w:space="0" w:color="000000"/>
              <w:bottom w:val="single" w:sz="4" w:space="0" w:color="000000"/>
              <w:right w:val="single" w:sz="4" w:space="0" w:color="000000"/>
            </w:tcBorders>
            <w:vAlign w:val="center"/>
            <w:hideMark/>
          </w:tcPr>
          <w:p w14:paraId="4B0894F0"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w:t>
            </w:r>
          </w:p>
        </w:tc>
        <w:tc>
          <w:tcPr>
            <w:tcW w:w="963" w:type="dxa"/>
            <w:tcBorders>
              <w:top w:val="nil"/>
              <w:left w:val="single" w:sz="4" w:space="0" w:color="000000"/>
              <w:bottom w:val="single" w:sz="4" w:space="0" w:color="000000"/>
              <w:right w:val="single" w:sz="4" w:space="0" w:color="000000"/>
            </w:tcBorders>
            <w:vAlign w:val="center"/>
            <w:hideMark/>
          </w:tcPr>
          <w:p w14:paraId="23468837"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100</w:t>
            </w:r>
          </w:p>
        </w:tc>
        <w:tc>
          <w:tcPr>
            <w:tcW w:w="1020" w:type="dxa"/>
            <w:tcBorders>
              <w:top w:val="nil"/>
              <w:left w:val="single" w:sz="4" w:space="0" w:color="000000"/>
              <w:bottom w:val="single" w:sz="4" w:space="0" w:color="000000"/>
              <w:right w:val="single" w:sz="4" w:space="0" w:color="000000"/>
            </w:tcBorders>
            <w:vAlign w:val="center"/>
            <w:hideMark/>
          </w:tcPr>
          <w:p w14:paraId="63E47554"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0</w:t>
            </w:r>
          </w:p>
        </w:tc>
        <w:tc>
          <w:tcPr>
            <w:tcW w:w="853" w:type="dxa"/>
            <w:tcBorders>
              <w:top w:val="nil"/>
              <w:left w:val="single" w:sz="4" w:space="0" w:color="000000"/>
              <w:bottom w:val="single" w:sz="4" w:space="0" w:color="000000"/>
              <w:right w:val="single" w:sz="4" w:space="0" w:color="000000"/>
            </w:tcBorders>
            <w:vAlign w:val="center"/>
            <w:hideMark/>
          </w:tcPr>
          <w:p w14:paraId="4E75FF11"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1,5</w:t>
            </w:r>
          </w:p>
        </w:tc>
        <w:tc>
          <w:tcPr>
            <w:tcW w:w="1021" w:type="dxa"/>
            <w:tcBorders>
              <w:top w:val="nil"/>
              <w:left w:val="single" w:sz="4" w:space="0" w:color="000000"/>
              <w:bottom w:val="single" w:sz="4" w:space="0" w:color="000000"/>
              <w:right w:val="single" w:sz="4" w:space="0" w:color="000000"/>
            </w:tcBorders>
            <w:vAlign w:val="center"/>
            <w:hideMark/>
          </w:tcPr>
          <w:p w14:paraId="1FC70A11"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4,5</w:t>
            </w:r>
          </w:p>
        </w:tc>
        <w:tc>
          <w:tcPr>
            <w:tcW w:w="968" w:type="dxa"/>
            <w:tcBorders>
              <w:top w:val="nil"/>
              <w:left w:val="single" w:sz="4" w:space="0" w:color="000000"/>
              <w:bottom w:val="single" w:sz="4" w:space="0" w:color="000000"/>
              <w:right w:val="single" w:sz="4" w:space="0" w:color="000000"/>
            </w:tcBorders>
            <w:vAlign w:val="center"/>
            <w:hideMark/>
          </w:tcPr>
          <w:p w14:paraId="31D9EE51"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8</w:t>
            </w:r>
          </w:p>
        </w:tc>
      </w:tr>
      <w:tr w:rsidR="00BB4994" w:rsidRPr="00973028" w14:paraId="5D401F5E" w14:textId="77777777" w:rsidTr="004927C3">
        <w:tc>
          <w:tcPr>
            <w:tcW w:w="2316" w:type="dxa"/>
            <w:tcBorders>
              <w:top w:val="single" w:sz="4" w:space="0" w:color="000000"/>
              <w:left w:val="single" w:sz="4" w:space="0" w:color="000000"/>
              <w:bottom w:val="single" w:sz="4" w:space="0" w:color="000000"/>
              <w:right w:val="nil"/>
            </w:tcBorders>
            <w:shd w:val="clear" w:color="auto" w:fill="FFFFFF"/>
            <w:vAlign w:val="center"/>
            <w:hideMark/>
          </w:tcPr>
          <w:p w14:paraId="4093EB84"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V Congreso Internacional de Transparencia</w:t>
            </w:r>
          </w:p>
        </w:tc>
        <w:tc>
          <w:tcPr>
            <w:tcW w:w="965" w:type="dxa"/>
            <w:tcBorders>
              <w:top w:val="single" w:sz="4" w:space="0" w:color="000000"/>
              <w:left w:val="single" w:sz="4" w:space="0" w:color="000000"/>
              <w:bottom w:val="single" w:sz="4" w:space="0" w:color="000000"/>
              <w:right w:val="nil"/>
            </w:tcBorders>
            <w:shd w:val="clear" w:color="auto" w:fill="FFFFFF"/>
            <w:vAlign w:val="center"/>
            <w:hideMark/>
          </w:tcPr>
          <w:p w14:paraId="05BF0E22"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28/09- 1/10</w:t>
            </w:r>
          </w:p>
        </w:tc>
        <w:tc>
          <w:tcPr>
            <w:tcW w:w="1194" w:type="dxa"/>
            <w:tcBorders>
              <w:top w:val="single" w:sz="4" w:space="0" w:color="000000"/>
              <w:left w:val="single" w:sz="4" w:space="0" w:color="000000"/>
              <w:bottom w:val="single" w:sz="4" w:space="0" w:color="000000"/>
              <w:right w:val="nil"/>
            </w:tcBorders>
            <w:shd w:val="clear" w:color="auto" w:fill="FFFFFF"/>
            <w:vAlign w:val="center"/>
            <w:hideMark/>
          </w:tcPr>
          <w:p w14:paraId="0D8DE667"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7</w:t>
            </w:r>
          </w:p>
        </w:tc>
        <w:tc>
          <w:tcPr>
            <w:tcW w:w="963" w:type="dxa"/>
            <w:tcBorders>
              <w:top w:val="single" w:sz="4" w:space="0" w:color="000000"/>
              <w:left w:val="single" w:sz="4" w:space="0" w:color="000000"/>
              <w:bottom w:val="single" w:sz="4" w:space="0" w:color="000000"/>
              <w:right w:val="nil"/>
            </w:tcBorders>
            <w:shd w:val="clear" w:color="auto" w:fill="FFFFFF"/>
            <w:vAlign w:val="center"/>
            <w:hideMark/>
          </w:tcPr>
          <w:p w14:paraId="17CCABCD"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85,7</w:t>
            </w:r>
          </w:p>
        </w:tc>
        <w:tc>
          <w:tcPr>
            <w:tcW w:w="1020" w:type="dxa"/>
            <w:tcBorders>
              <w:top w:val="single" w:sz="4" w:space="0" w:color="000000"/>
              <w:left w:val="single" w:sz="4" w:space="0" w:color="000000"/>
              <w:bottom w:val="single" w:sz="4" w:space="0" w:color="000000"/>
              <w:right w:val="nil"/>
            </w:tcBorders>
            <w:shd w:val="clear" w:color="auto" w:fill="FFFFFF"/>
            <w:vAlign w:val="center"/>
            <w:hideMark/>
          </w:tcPr>
          <w:p w14:paraId="21E79BA9"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14,3</w:t>
            </w:r>
          </w:p>
        </w:tc>
        <w:tc>
          <w:tcPr>
            <w:tcW w:w="853" w:type="dxa"/>
            <w:tcBorders>
              <w:top w:val="single" w:sz="4" w:space="0" w:color="000000"/>
              <w:left w:val="single" w:sz="4" w:space="0" w:color="000000"/>
              <w:bottom w:val="single" w:sz="4" w:space="0" w:color="000000"/>
              <w:right w:val="nil"/>
            </w:tcBorders>
            <w:shd w:val="clear" w:color="auto" w:fill="FFFFFF"/>
            <w:vAlign w:val="center"/>
            <w:hideMark/>
          </w:tcPr>
          <w:p w14:paraId="4D4B611C"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16,5</w:t>
            </w:r>
          </w:p>
        </w:tc>
        <w:tc>
          <w:tcPr>
            <w:tcW w:w="1021" w:type="dxa"/>
            <w:tcBorders>
              <w:top w:val="single" w:sz="4" w:space="0" w:color="000000"/>
              <w:left w:val="single" w:sz="4" w:space="0" w:color="000000"/>
              <w:bottom w:val="single" w:sz="4" w:space="0" w:color="000000"/>
              <w:right w:val="nil"/>
            </w:tcBorders>
            <w:shd w:val="clear" w:color="auto" w:fill="FFFFFF"/>
            <w:vAlign w:val="center"/>
            <w:hideMark/>
          </w:tcPr>
          <w:p w14:paraId="5FD94A48"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115,5</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03A791"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7,3</w:t>
            </w:r>
          </w:p>
        </w:tc>
      </w:tr>
      <w:tr w:rsidR="00BB4994" w:rsidRPr="00973028" w14:paraId="100A26F7" w14:textId="77777777" w:rsidTr="004927C3">
        <w:tc>
          <w:tcPr>
            <w:tcW w:w="2316" w:type="dxa"/>
            <w:tcBorders>
              <w:top w:val="nil"/>
              <w:left w:val="single" w:sz="4" w:space="0" w:color="000000"/>
              <w:bottom w:val="single" w:sz="4" w:space="0" w:color="000000"/>
              <w:right w:val="nil"/>
            </w:tcBorders>
            <w:shd w:val="clear" w:color="auto" w:fill="FFFFFF"/>
            <w:vAlign w:val="center"/>
            <w:hideMark/>
          </w:tcPr>
          <w:p w14:paraId="0000541C"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1B1B1B"/>
                <w:kern w:val="2"/>
                <w:sz w:val="18"/>
                <w:szCs w:val="18"/>
                <w:lang w:eastAsia="zh-CN" w:bidi="hi-IN"/>
              </w:rPr>
              <w:t>Negociación colectiva</w:t>
            </w:r>
          </w:p>
        </w:tc>
        <w:tc>
          <w:tcPr>
            <w:tcW w:w="965" w:type="dxa"/>
            <w:tcBorders>
              <w:top w:val="nil"/>
              <w:left w:val="single" w:sz="4" w:space="0" w:color="000000"/>
              <w:bottom w:val="single" w:sz="4" w:space="0" w:color="000000"/>
              <w:right w:val="nil"/>
            </w:tcBorders>
            <w:shd w:val="clear" w:color="auto" w:fill="FFFFFF"/>
            <w:vAlign w:val="center"/>
            <w:hideMark/>
          </w:tcPr>
          <w:p w14:paraId="27A76C6C"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23/11-21/12</w:t>
            </w:r>
          </w:p>
        </w:tc>
        <w:tc>
          <w:tcPr>
            <w:tcW w:w="1194" w:type="dxa"/>
            <w:tcBorders>
              <w:top w:val="nil"/>
              <w:left w:val="single" w:sz="4" w:space="0" w:color="000000"/>
              <w:bottom w:val="single" w:sz="4" w:space="0" w:color="000000"/>
              <w:right w:val="nil"/>
            </w:tcBorders>
            <w:shd w:val="clear" w:color="auto" w:fill="FFFFFF"/>
            <w:vAlign w:val="center"/>
            <w:hideMark/>
          </w:tcPr>
          <w:p w14:paraId="5CF73231"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5</w:t>
            </w:r>
          </w:p>
        </w:tc>
        <w:tc>
          <w:tcPr>
            <w:tcW w:w="963" w:type="dxa"/>
            <w:tcBorders>
              <w:top w:val="nil"/>
              <w:left w:val="single" w:sz="4" w:space="0" w:color="000000"/>
              <w:bottom w:val="single" w:sz="4" w:space="0" w:color="000000"/>
              <w:right w:val="nil"/>
            </w:tcBorders>
            <w:shd w:val="clear" w:color="auto" w:fill="FFFFFF"/>
            <w:vAlign w:val="center"/>
            <w:hideMark/>
          </w:tcPr>
          <w:p w14:paraId="124D69F4"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80</w:t>
            </w:r>
          </w:p>
        </w:tc>
        <w:tc>
          <w:tcPr>
            <w:tcW w:w="1020" w:type="dxa"/>
            <w:tcBorders>
              <w:top w:val="nil"/>
              <w:left w:val="single" w:sz="4" w:space="0" w:color="000000"/>
              <w:bottom w:val="single" w:sz="4" w:space="0" w:color="000000"/>
              <w:right w:val="nil"/>
            </w:tcBorders>
            <w:shd w:val="clear" w:color="auto" w:fill="FFFFFF"/>
            <w:vAlign w:val="center"/>
            <w:hideMark/>
          </w:tcPr>
          <w:p w14:paraId="3EE67B8D"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20</w:t>
            </w:r>
          </w:p>
        </w:tc>
        <w:tc>
          <w:tcPr>
            <w:tcW w:w="853" w:type="dxa"/>
            <w:tcBorders>
              <w:top w:val="nil"/>
              <w:left w:val="single" w:sz="4" w:space="0" w:color="000000"/>
              <w:bottom w:val="single" w:sz="4" w:space="0" w:color="000000"/>
              <w:right w:val="nil"/>
            </w:tcBorders>
            <w:shd w:val="clear" w:color="auto" w:fill="FFFFFF"/>
            <w:vAlign w:val="center"/>
            <w:hideMark/>
          </w:tcPr>
          <w:p w14:paraId="2B1E95C2"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40</w:t>
            </w:r>
          </w:p>
        </w:tc>
        <w:tc>
          <w:tcPr>
            <w:tcW w:w="1021" w:type="dxa"/>
            <w:tcBorders>
              <w:top w:val="nil"/>
              <w:left w:val="single" w:sz="4" w:space="0" w:color="000000"/>
              <w:bottom w:val="single" w:sz="4" w:space="0" w:color="000000"/>
              <w:right w:val="nil"/>
            </w:tcBorders>
            <w:shd w:val="clear" w:color="auto" w:fill="FFFFFF"/>
            <w:vAlign w:val="center"/>
            <w:hideMark/>
          </w:tcPr>
          <w:p w14:paraId="4F63FC88"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200</w:t>
            </w:r>
          </w:p>
        </w:tc>
        <w:tc>
          <w:tcPr>
            <w:tcW w:w="968" w:type="dxa"/>
            <w:tcBorders>
              <w:top w:val="nil"/>
              <w:left w:val="single" w:sz="4" w:space="0" w:color="000000"/>
              <w:bottom w:val="single" w:sz="4" w:space="0" w:color="000000"/>
              <w:right w:val="single" w:sz="4" w:space="0" w:color="000000"/>
            </w:tcBorders>
            <w:shd w:val="clear" w:color="auto" w:fill="FFFFFF"/>
            <w:vAlign w:val="center"/>
            <w:hideMark/>
          </w:tcPr>
          <w:p w14:paraId="49DBCB11"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8,2</w:t>
            </w:r>
          </w:p>
        </w:tc>
      </w:tr>
      <w:tr w:rsidR="00BB4994" w:rsidRPr="00F24AAF" w14:paraId="5042522C" w14:textId="77777777" w:rsidTr="00BB4994">
        <w:tc>
          <w:tcPr>
            <w:tcW w:w="9300" w:type="dxa"/>
            <w:gridSpan w:val="8"/>
            <w:tcBorders>
              <w:top w:val="nil"/>
              <w:left w:val="single" w:sz="4" w:space="0" w:color="000000"/>
              <w:bottom w:val="single" w:sz="4" w:space="0" w:color="000000"/>
              <w:right w:val="single" w:sz="4" w:space="0" w:color="000000"/>
            </w:tcBorders>
            <w:shd w:val="clear" w:color="auto" w:fill="27251F"/>
            <w:vAlign w:val="center"/>
            <w:hideMark/>
          </w:tcPr>
          <w:p w14:paraId="708598C3" w14:textId="77777777" w:rsidR="00BB4994" w:rsidRPr="00F24AAF" w:rsidRDefault="00BB4994" w:rsidP="00BB4994">
            <w:pPr>
              <w:widowControl w:val="0"/>
              <w:suppressAutoHyphens/>
              <w:autoSpaceDN w:val="0"/>
              <w:spacing w:after="0" w:line="240" w:lineRule="auto"/>
              <w:jc w:val="both"/>
              <w:rPr>
                <w:rFonts w:ascii="Arial" w:eastAsia="Open Sans" w:hAnsi="Arial" w:cs="Arial"/>
                <w:b/>
                <w:bCs/>
                <w:color w:val="FFFFFF"/>
                <w:kern w:val="2"/>
                <w:sz w:val="20"/>
                <w:szCs w:val="20"/>
                <w:lang w:eastAsia="zh-CN" w:bidi="hi-IN"/>
              </w:rPr>
            </w:pPr>
            <w:r w:rsidRPr="00F24AAF">
              <w:rPr>
                <w:rFonts w:ascii="Arial" w:eastAsia="Open Sans" w:hAnsi="Arial" w:cs="Arial"/>
                <w:b/>
                <w:bCs/>
                <w:color w:val="FFFFFF"/>
                <w:kern w:val="2"/>
                <w:sz w:val="20"/>
                <w:szCs w:val="20"/>
                <w:lang w:eastAsia="zh-CN" w:bidi="hi-IN"/>
              </w:rPr>
              <w:t>FORMACIÓN INTERNA DE ÁMBITO DEPARTAMENTAL (14)</w:t>
            </w:r>
          </w:p>
        </w:tc>
      </w:tr>
      <w:tr w:rsidR="00BB4994" w:rsidRPr="00973028" w14:paraId="59BB7227" w14:textId="77777777" w:rsidTr="004927C3">
        <w:tc>
          <w:tcPr>
            <w:tcW w:w="2316" w:type="dxa"/>
            <w:tcBorders>
              <w:top w:val="single" w:sz="4" w:space="0" w:color="000000"/>
              <w:left w:val="single" w:sz="4" w:space="0" w:color="000000"/>
              <w:bottom w:val="single" w:sz="4" w:space="0" w:color="000000"/>
              <w:right w:val="single" w:sz="4" w:space="0" w:color="000000"/>
            </w:tcBorders>
            <w:vAlign w:val="center"/>
            <w:hideMark/>
          </w:tcPr>
          <w:p w14:paraId="1B573A07"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Actividad</w:t>
            </w:r>
          </w:p>
        </w:tc>
        <w:tc>
          <w:tcPr>
            <w:tcW w:w="965" w:type="dxa"/>
            <w:tcBorders>
              <w:top w:val="single" w:sz="4" w:space="0" w:color="000000"/>
              <w:left w:val="single" w:sz="4" w:space="0" w:color="000000"/>
              <w:bottom w:val="single" w:sz="4" w:space="0" w:color="000000"/>
              <w:right w:val="single" w:sz="4" w:space="0" w:color="000000"/>
            </w:tcBorders>
            <w:vAlign w:val="center"/>
            <w:hideMark/>
          </w:tcPr>
          <w:p w14:paraId="7C59E26D"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Fechas</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1F505F2B"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Núm. asistentes</w:t>
            </w:r>
          </w:p>
        </w:tc>
        <w:tc>
          <w:tcPr>
            <w:tcW w:w="963" w:type="dxa"/>
            <w:tcBorders>
              <w:top w:val="single" w:sz="4" w:space="0" w:color="000000"/>
              <w:left w:val="single" w:sz="4" w:space="0" w:color="000000"/>
              <w:bottom w:val="single" w:sz="4" w:space="0" w:color="000000"/>
              <w:right w:val="single" w:sz="4" w:space="0" w:color="000000"/>
            </w:tcBorders>
            <w:vAlign w:val="center"/>
            <w:hideMark/>
          </w:tcPr>
          <w:p w14:paraId="695FB9ED"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 Mujeres</w:t>
            </w:r>
          </w:p>
        </w:tc>
        <w:tc>
          <w:tcPr>
            <w:tcW w:w="1020" w:type="dxa"/>
            <w:tcBorders>
              <w:top w:val="single" w:sz="4" w:space="0" w:color="000000"/>
              <w:left w:val="single" w:sz="4" w:space="0" w:color="000000"/>
              <w:bottom w:val="single" w:sz="4" w:space="0" w:color="000000"/>
              <w:right w:val="single" w:sz="4" w:space="0" w:color="000000"/>
            </w:tcBorders>
            <w:vAlign w:val="center"/>
            <w:hideMark/>
          </w:tcPr>
          <w:p w14:paraId="186CB9FA"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 Hombres</w:t>
            </w: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1E276F7C"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Tiempo</w:t>
            </w:r>
          </w:p>
          <w:p w14:paraId="69EC9C58"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(h)</w:t>
            </w:r>
          </w:p>
        </w:tc>
        <w:tc>
          <w:tcPr>
            <w:tcW w:w="1021" w:type="dxa"/>
            <w:tcBorders>
              <w:top w:val="nil"/>
              <w:left w:val="single" w:sz="4" w:space="0" w:color="000000"/>
              <w:bottom w:val="single" w:sz="4" w:space="0" w:color="000000"/>
              <w:right w:val="single" w:sz="4" w:space="0" w:color="000000"/>
            </w:tcBorders>
            <w:vAlign w:val="center"/>
            <w:hideMark/>
          </w:tcPr>
          <w:p w14:paraId="3536D3EE"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Asist. x h</w:t>
            </w:r>
          </w:p>
        </w:tc>
        <w:tc>
          <w:tcPr>
            <w:tcW w:w="968" w:type="dxa"/>
            <w:tcBorders>
              <w:top w:val="single" w:sz="4" w:space="0" w:color="000000"/>
              <w:left w:val="single" w:sz="4" w:space="0" w:color="000000"/>
              <w:bottom w:val="single" w:sz="4" w:space="0" w:color="000000"/>
              <w:right w:val="single" w:sz="4" w:space="0" w:color="000000"/>
            </w:tcBorders>
            <w:vAlign w:val="center"/>
            <w:hideMark/>
          </w:tcPr>
          <w:p w14:paraId="136D23E3"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Val.</w:t>
            </w:r>
          </w:p>
          <w:p w14:paraId="5D066772"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(0-10)</w:t>
            </w:r>
          </w:p>
        </w:tc>
      </w:tr>
      <w:tr w:rsidR="00BB4994" w:rsidRPr="00973028" w14:paraId="6B628549" w14:textId="77777777" w:rsidTr="004927C3">
        <w:tc>
          <w:tcPr>
            <w:tcW w:w="2316" w:type="dxa"/>
            <w:tcBorders>
              <w:top w:val="nil"/>
              <w:left w:val="single" w:sz="4" w:space="0" w:color="000000"/>
              <w:bottom w:val="single" w:sz="4" w:space="0" w:color="000000"/>
              <w:right w:val="single" w:sz="4" w:space="0" w:color="000000"/>
            </w:tcBorders>
            <w:vAlign w:val="center"/>
            <w:hideMark/>
          </w:tcPr>
          <w:p w14:paraId="07173809"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Curso de PRL para mandos directivos PRL 2020 INVASSAT</w:t>
            </w:r>
          </w:p>
        </w:tc>
        <w:tc>
          <w:tcPr>
            <w:tcW w:w="965" w:type="dxa"/>
            <w:tcBorders>
              <w:top w:val="nil"/>
              <w:left w:val="single" w:sz="4" w:space="0" w:color="000000"/>
              <w:bottom w:val="single" w:sz="4" w:space="0" w:color="000000"/>
              <w:right w:val="single" w:sz="4" w:space="0" w:color="000000"/>
            </w:tcBorders>
            <w:vAlign w:val="center"/>
            <w:hideMark/>
          </w:tcPr>
          <w:p w14:paraId="20CD5A08"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15/02- 15/04</w:t>
            </w:r>
          </w:p>
        </w:tc>
        <w:tc>
          <w:tcPr>
            <w:tcW w:w="1194" w:type="dxa"/>
            <w:tcBorders>
              <w:top w:val="nil"/>
              <w:left w:val="single" w:sz="4" w:space="0" w:color="000000"/>
              <w:bottom w:val="single" w:sz="4" w:space="0" w:color="000000"/>
              <w:right w:val="single" w:sz="4" w:space="0" w:color="000000"/>
            </w:tcBorders>
            <w:vAlign w:val="center"/>
          </w:tcPr>
          <w:p w14:paraId="0103B78E"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p>
          <w:p w14:paraId="06A5837A"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w:t>
            </w:r>
          </w:p>
          <w:p w14:paraId="16B19E57"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p>
        </w:tc>
        <w:tc>
          <w:tcPr>
            <w:tcW w:w="963" w:type="dxa"/>
            <w:tcBorders>
              <w:top w:val="nil"/>
              <w:left w:val="single" w:sz="4" w:space="0" w:color="000000"/>
              <w:bottom w:val="single" w:sz="4" w:space="0" w:color="000000"/>
              <w:right w:val="single" w:sz="4" w:space="0" w:color="000000"/>
            </w:tcBorders>
            <w:vAlign w:val="center"/>
          </w:tcPr>
          <w:p w14:paraId="3714255D"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p>
          <w:p w14:paraId="1AEA2C5F"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100</w:t>
            </w:r>
          </w:p>
          <w:p w14:paraId="24B4FE6C"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p>
        </w:tc>
        <w:tc>
          <w:tcPr>
            <w:tcW w:w="1020" w:type="dxa"/>
            <w:tcBorders>
              <w:top w:val="nil"/>
              <w:left w:val="single" w:sz="4" w:space="0" w:color="000000"/>
              <w:bottom w:val="single" w:sz="4" w:space="0" w:color="000000"/>
              <w:right w:val="single" w:sz="4" w:space="0" w:color="000000"/>
            </w:tcBorders>
            <w:vAlign w:val="center"/>
            <w:hideMark/>
          </w:tcPr>
          <w:p w14:paraId="4E913AC4"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0</w:t>
            </w:r>
          </w:p>
        </w:tc>
        <w:tc>
          <w:tcPr>
            <w:tcW w:w="853" w:type="dxa"/>
            <w:tcBorders>
              <w:top w:val="nil"/>
              <w:left w:val="single" w:sz="4" w:space="0" w:color="000000"/>
              <w:bottom w:val="single" w:sz="4" w:space="0" w:color="000000"/>
              <w:right w:val="single" w:sz="4" w:space="0" w:color="000000"/>
            </w:tcBorders>
            <w:vAlign w:val="center"/>
            <w:hideMark/>
          </w:tcPr>
          <w:p w14:paraId="3488609F"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30</w:t>
            </w:r>
          </w:p>
        </w:tc>
        <w:tc>
          <w:tcPr>
            <w:tcW w:w="1021" w:type="dxa"/>
            <w:tcBorders>
              <w:top w:val="nil"/>
              <w:left w:val="single" w:sz="4" w:space="0" w:color="000000"/>
              <w:bottom w:val="single" w:sz="4" w:space="0" w:color="000000"/>
              <w:right w:val="single" w:sz="4" w:space="0" w:color="000000"/>
            </w:tcBorders>
            <w:vAlign w:val="center"/>
            <w:hideMark/>
          </w:tcPr>
          <w:p w14:paraId="6EEF916B"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30</w:t>
            </w:r>
          </w:p>
        </w:tc>
        <w:tc>
          <w:tcPr>
            <w:tcW w:w="968" w:type="dxa"/>
            <w:tcBorders>
              <w:top w:val="nil"/>
              <w:left w:val="single" w:sz="4" w:space="0" w:color="000000"/>
              <w:bottom w:val="single" w:sz="4" w:space="0" w:color="000000"/>
              <w:right w:val="single" w:sz="4" w:space="0" w:color="000000"/>
            </w:tcBorders>
            <w:vAlign w:val="center"/>
            <w:hideMark/>
          </w:tcPr>
          <w:p w14:paraId="77AAB805"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s/d</w:t>
            </w:r>
          </w:p>
        </w:tc>
      </w:tr>
      <w:tr w:rsidR="00BB4994" w:rsidRPr="00973028" w14:paraId="2F436AFD" w14:textId="77777777" w:rsidTr="004927C3">
        <w:tc>
          <w:tcPr>
            <w:tcW w:w="2316" w:type="dxa"/>
            <w:tcBorders>
              <w:top w:val="nil"/>
              <w:left w:val="single" w:sz="4" w:space="0" w:color="000000"/>
              <w:bottom w:val="single" w:sz="4" w:space="0" w:color="000000"/>
              <w:right w:val="single" w:sz="4" w:space="0" w:color="000000"/>
            </w:tcBorders>
            <w:vAlign w:val="center"/>
            <w:hideMark/>
          </w:tcPr>
          <w:p w14:paraId="3DA029E5" w14:textId="77777777" w:rsidR="00BB4994" w:rsidRPr="00973028" w:rsidRDefault="00BB4994" w:rsidP="006B226E">
            <w:pPr>
              <w:rPr>
                <w:rFonts w:ascii="Arial" w:eastAsia="NSimSun" w:hAnsi="Arial" w:cs="Arial"/>
                <w:b/>
                <w:bCs/>
                <w:sz w:val="18"/>
                <w:szCs w:val="18"/>
                <w:lang w:eastAsia="zh-CN" w:bidi="hi-IN"/>
              </w:rPr>
            </w:pPr>
            <w:r w:rsidRPr="00973028">
              <w:rPr>
                <w:rFonts w:ascii="Arial" w:eastAsia="NSimSun" w:hAnsi="Arial" w:cs="Arial"/>
                <w:sz w:val="18"/>
                <w:szCs w:val="18"/>
                <w:lang w:eastAsia="zh-CN" w:bidi="hi-IN"/>
              </w:rPr>
              <w:t>Curso procedimiento administrativo electrónico</w:t>
            </w:r>
          </w:p>
        </w:tc>
        <w:tc>
          <w:tcPr>
            <w:tcW w:w="965" w:type="dxa"/>
            <w:tcBorders>
              <w:top w:val="nil"/>
              <w:left w:val="single" w:sz="4" w:space="0" w:color="000000"/>
              <w:bottom w:val="single" w:sz="4" w:space="0" w:color="000000"/>
              <w:right w:val="single" w:sz="4" w:space="0" w:color="000000"/>
            </w:tcBorders>
            <w:vAlign w:val="center"/>
            <w:hideMark/>
          </w:tcPr>
          <w:p w14:paraId="44741114"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27/02 -10/09</w:t>
            </w:r>
          </w:p>
        </w:tc>
        <w:tc>
          <w:tcPr>
            <w:tcW w:w="1194" w:type="dxa"/>
            <w:tcBorders>
              <w:top w:val="nil"/>
              <w:left w:val="single" w:sz="4" w:space="0" w:color="000000"/>
              <w:bottom w:val="single" w:sz="4" w:space="0" w:color="000000"/>
              <w:right w:val="single" w:sz="4" w:space="0" w:color="000000"/>
            </w:tcBorders>
            <w:vAlign w:val="center"/>
            <w:hideMark/>
          </w:tcPr>
          <w:p w14:paraId="33C012C5"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w:t>
            </w:r>
          </w:p>
        </w:tc>
        <w:tc>
          <w:tcPr>
            <w:tcW w:w="963" w:type="dxa"/>
            <w:tcBorders>
              <w:top w:val="nil"/>
              <w:left w:val="single" w:sz="4" w:space="0" w:color="000000"/>
              <w:bottom w:val="single" w:sz="4" w:space="0" w:color="000000"/>
              <w:right w:val="single" w:sz="4" w:space="0" w:color="000000"/>
            </w:tcBorders>
            <w:vAlign w:val="center"/>
            <w:hideMark/>
          </w:tcPr>
          <w:p w14:paraId="6A9CD59F"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100</w:t>
            </w:r>
          </w:p>
        </w:tc>
        <w:tc>
          <w:tcPr>
            <w:tcW w:w="1020" w:type="dxa"/>
            <w:tcBorders>
              <w:top w:val="nil"/>
              <w:left w:val="single" w:sz="4" w:space="0" w:color="000000"/>
              <w:bottom w:val="single" w:sz="4" w:space="0" w:color="000000"/>
              <w:right w:val="single" w:sz="4" w:space="0" w:color="000000"/>
            </w:tcBorders>
            <w:vAlign w:val="center"/>
            <w:hideMark/>
          </w:tcPr>
          <w:p w14:paraId="1DBC2E99"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0</w:t>
            </w:r>
          </w:p>
        </w:tc>
        <w:tc>
          <w:tcPr>
            <w:tcW w:w="853" w:type="dxa"/>
            <w:tcBorders>
              <w:top w:val="nil"/>
              <w:left w:val="single" w:sz="4" w:space="0" w:color="000000"/>
              <w:bottom w:val="single" w:sz="4" w:space="0" w:color="000000"/>
              <w:right w:val="single" w:sz="4" w:space="0" w:color="000000"/>
            </w:tcBorders>
            <w:vAlign w:val="center"/>
            <w:hideMark/>
          </w:tcPr>
          <w:p w14:paraId="57546465"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115</w:t>
            </w:r>
          </w:p>
        </w:tc>
        <w:tc>
          <w:tcPr>
            <w:tcW w:w="1021" w:type="dxa"/>
            <w:tcBorders>
              <w:top w:val="nil"/>
              <w:left w:val="single" w:sz="4" w:space="0" w:color="000000"/>
              <w:bottom w:val="single" w:sz="4" w:space="0" w:color="000000"/>
              <w:right w:val="single" w:sz="4" w:space="0" w:color="000000"/>
            </w:tcBorders>
            <w:vAlign w:val="center"/>
            <w:hideMark/>
          </w:tcPr>
          <w:p w14:paraId="5B9C551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230</w:t>
            </w:r>
          </w:p>
        </w:tc>
        <w:tc>
          <w:tcPr>
            <w:tcW w:w="968" w:type="dxa"/>
            <w:tcBorders>
              <w:top w:val="nil"/>
              <w:left w:val="single" w:sz="4" w:space="0" w:color="000000"/>
              <w:bottom w:val="single" w:sz="4" w:space="0" w:color="000000"/>
              <w:right w:val="single" w:sz="4" w:space="0" w:color="000000"/>
            </w:tcBorders>
            <w:vAlign w:val="center"/>
            <w:hideMark/>
          </w:tcPr>
          <w:p w14:paraId="17799B31"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s/d</w:t>
            </w:r>
          </w:p>
        </w:tc>
      </w:tr>
      <w:tr w:rsidR="00BB4994" w:rsidRPr="00973028" w14:paraId="3066C9A3" w14:textId="77777777" w:rsidTr="004927C3">
        <w:tc>
          <w:tcPr>
            <w:tcW w:w="2316" w:type="dxa"/>
            <w:tcBorders>
              <w:top w:val="nil"/>
              <w:left w:val="single" w:sz="4" w:space="0" w:color="000000"/>
              <w:bottom w:val="single" w:sz="4" w:space="0" w:color="000000"/>
              <w:right w:val="single" w:sz="4" w:space="0" w:color="000000"/>
            </w:tcBorders>
            <w:vAlign w:val="center"/>
            <w:hideMark/>
          </w:tcPr>
          <w:p w14:paraId="486C2AA0"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 xml:space="preserve"> III Congreso Nacional Antifraude</w:t>
            </w:r>
          </w:p>
        </w:tc>
        <w:tc>
          <w:tcPr>
            <w:tcW w:w="965" w:type="dxa"/>
            <w:tcBorders>
              <w:top w:val="nil"/>
              <w:left w:val="single" w:sz="4" w:space="0" w:color="000000"/>
              <w:bottom w:val="single" w:sz="4" w:space="0" w:color="000000"/>
              <w:right w:val="single" w:sz="4" w:space="0" w:color="000000"/>
            </w:tcBorders>
            <w:vAlign w:val="center"/>
            <w:hideMark/>
          </w:tcPr>
          <w:p w14:paraId="78AC173C"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12-13/02</w:t>
            </w:r>
          </w:p>
        </w:tc>
        <w:tc>
          <w:tcPr>
            <w:tcW w:w="1194" w:type="dxa"/>
            <w:tcBorders>
              <w:top w:val="nil"/>
              <w:left w:val="single" w:sz="4" w:space="0" w:color="000000"/>
              <w:bottom w:val="single" w:sz="4" w:space="0" w:color="000000"/>
              <w:right w:val="single" w:sz="4" w:space="0" w:color="000000"/>
            </w:tcBorders>
            <w:vAlign w:val="center"/>
            <w:hideMark/>
          </w:tcPr>
          <w:p w14:paraId="7D045433"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5</w:t>
            </w:r>
          </w:p>
        </w:tc>
        <w:tc>
          <w:tcPr>
            <w:tcW w:w="963" w:type="dxa"/>
            <w:tcBorders>
              <w:top w:val="nil"/>
              <w:left w:val="single" w:sz="4" w:space="0" w:color="000000"/>
              <w:bottom w:val="single" w:sz="4" w:space="0" w:color="000000"/>
              <w:right w:val="single" w:sz="4" w:space="0" w:color="000000"/>
            </w:tcBorders>
            <w:vAlign w:val="center"/>
            <w:hideMark/>
          </w:tcPr>
          <w:p w14:paraId="2A1F2F06"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100</w:t>
            </w:r>
          </w:p>
        </w:tc>
        <w:tc>
          <w:tcPr>
            <w:tcW w:w="1020" w:type="dxa"/>
            <w:tcBorders>
              <w:top w:val="nil"/>
              <w:left w:val="single" w:sz="4" w:space="0" w:color="000000"/>
              <w:bottom w:val="single" w:sz="4" w:space="0" w:color="000000"/>
              <w:right w:val="single" w:sz="4" w:space="0" w:color="000000"/>
            </w:tcBorders>
            <w:vAlign w:val="center"/>
            <w:hideMark/>
          </w:tcPr>
          <w:p w14:paraId="095BD4D2"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0</w:t>
            </w:r>
          </w:p>
        </w:tc>
        <w:tc>
          <w:tcPr>
            <w:tcW w:w="853" w:type="dxa"/>
            <w:tcBorders>
              <w:top w:val="nil"/>
              <w:left w:val="single" w:sz="4" w:space="0" w:color="000000"/>
              <w:bottom w:val="single" w:sz="4" w:space="0" w:color="000000"/>
              <w:right w:val="single" w:sz="4" w:space="0" w:color="000000"/>
            </w:tcBorders>
            <w:vAlign w:val="center"/>
            <w:hideMark/>
          </w:tcPr>
          <w:p w14:paraId="23003563"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12</w:t>
            </w:r>
          </w:p>
        </w:tc>
        <w:tc>
          <w:tcPr>
            <w:tcW w:w="1021" w:type="dxa"/>
            <w:tcBorders>
              <w:top w:val="nil"/>
              <w:left w:val="single" w:sz="4" w:space="0" w:color="000000"/>
              <w:bottom w:val="single" w:sz="4" w:space="0" w:color="000000"/>
              <w:right w:val="single" w:sz="4" w:space="0" w:color="000000"/>
            </w:tcBorders>
            <w:vAlign w:val="center"/>
            <w:hideMark/>
          </w:tcPr>
          <w:p w14:paraId="5A0CDA2D"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60</w:t>
            </w:r>
          </w:p>
        </w:tc>
        <w:tc>
          <w:tcPr>
            <w:tcW w:w="968" w:type="dxa"/>
            <w:tcBorders>
              <w:top w:val="nil"/>
              <w:left w:val="single" w:sz="4" w:space="0" w:color="000000"/>
              <w:bottom w:val="single" w:sz="4" w:space="0" w:color="000000"/>
              <w:right w:val="single" w:sz="4" w:space="0" w:color="000000"/>
            </w:tcBorders>
            <w:vAlign w:val="center"/>
            <w:hideMark/>
          </w:tcPr>
          <w:p w14:paraId="3A1AC791"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8,6</w:t>
            </w:r>
          </w:p>
        </w:tc>
      </w:tr>
      <w:tr w:rsidR="00BB4994" w:rsidRPr="00973028" w14:paraId="54E700D5" w14:textId="77777777" w:rsidTr="004927C3">
        <w:tc>
          <w:tcPr>
            <w:tcW w:w="2316" w:type="dxa"/>
            <w:tcBorders>
              <w:top w:val="nil"/>
              <w:left w:val="single" w:sz="4" w:space="0" w:color="000000"/>
              <w:bottom w:val="single" w:sz="4" w:space="0" w:color="000000"/>
              <w:right w:val="single" w:sz="4" w:space="0" w:color="000000"/>
            </w:tcBorders>
            <w:vAlign w:val="center"/>
            <w:hideMark/>
          </w:tcPr>
          <w:p w14:paraId="72524263"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Curso Contratación i compliance: hacia una contratación de calidad, innovadora y </w:t>
            </w:r>
            <w:r w:rsidRPr="00973028">
              <w:rPr>
                <w:rFonts w:ascii="Arial" w:eastAsia="Open Sans" w:hAnsi="Arial" w:cs="Arial"/>
                <w:color w:val="000000"/>
                <w:kern w:val="2"/>
                <w:sz w:val="18"/>
                <w:szCs w:val="18"/>
                <w:lang w:eastAsia="zh-CN" w:bidi="hi-IN"/>
              </w:rPr>
              <w:t>íntegra</w:t>
            </w:r>
          </w:p>
        </w:tc>
        <w:tc>
          <w:tcPr>
            <w:tcW w:w="965" w:type="dxa"/>
            <w:tcBorders>
              <w:top w:val="nil"/>
              <w:left w:val="single" w:sz="4" w:space="0" w:color="000000"/>
              <w:bottom w:val="single" w:sz="4" w:space="0" w:color="000000"/>
              <w:right w:val="single" w:sz="4" w:space="0" w:color="000000"/>
            </w:tcBorders>
            <w:vAlign w:val="center"/>
            <w:hideMark/>
          </w:tcPr>
          <w:p w14:paraId="58C9B771"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9-10/03</w:t>
            </w:r>
          </w:p>
        </w:tc>
        <w:tc>
          <w:tcPr>
            <w:tcW w:w="1194" w:type="dxa"/>
            <w:tcBorders>
              <w:top w:val="nil"/>
              <w:left w:val="single" w:sz="4" w:space="0" w:color="000000"/>
              <w:bottom w:val="single" w:sz="4" w:space="0" w:color="000000"/>
              <w:right w:val="single" w:sz="4" w:space="0" w:color="000000"/>
            </w:tcBorders>
            <w:vAlign w:val="center"/>
            <w:hideMark/>
          </w:tcPr>
          <w:p w14:paraId="4D8F3E0B"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6</w:t>
            </w:r>
          </w:p>
        </w:tc>
        <w:tc>
          <w:tcPr>
            <w:tcW w:w="963" w:type="dxa"/>
            <w:tcBorders>
              <w:top w:val="nil"/>
              <w:left w:val="single" w:sz="4" w:space="0" w:color="000000"/>
              <w:bottom w:val="single" w:sz="4" w:space="0" w:color="000000"/>
              <w:right w:val="single" w:sz="4" w:space="0" w:color="000000"/>
            </w:tcBorders>
            <w:vAlign w:val="center"/>
            <w:hideMark/>
          </w:tcPr>
          <w:p w14:paraId="0B4C1D97"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66,7</w:t>
            </w:r>
          </w:p>
        </w:tc>
        <w:tc>
          <w:tcPr>
            <w:tcW w:w="1020" w:type="dxa"/>
            <w:tcBorders>
              <w:top w:val="nil"/>
              <w:left w:val="single" w:sz="4" w:space="0" w:color="000000"/>
              <w:bottom w:val="single" w:sz="4" w:space="0" w:color="000000"/>
              <w:right w:val="single" w:sz="4" w:space="0" w:color="000000"/>
            </w:tcBorders>
            <w:vAlign w:val="center"/>
            <w:hideMark/>
          </w:tcPr>
          <w:p w14:paraId="0217EB6C"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33,3</w:t>
            </w:r>
          </w:p>
        </w:tc>
        <w:tc>
          <w:tcPr>
            <w:tcW w:w="853" w:type="dxa"/>
            <w:tcBorders>
              <w:top w:val="nil"/>
              <w:left w:val="single" w:sz="4" w:space="0" w:color="000000"/>
              <w:bottom w:val="single" w:sz="4" w:space="0" w:color="000000"/>
              <w:right w:val="single" w:sz="4" w:space="0" w:color="000000"/>
            </w:tcBorders>
            <w:vAlign w:val="center"/>
            <w:hideMark/>
          </w:tcPr>
          <w:p w14:paraId="6AAF3F3C"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15</w:t>
            </w:r>
          </w:p>
        </w:tc>
        <w:tc>
          <w:tcPr>
            <w:tcW w:w="1021" w:type="dxa"/>
            <w:tcBorders>
              <w:top w:val="nil"/>
              <w:left w:val="single" w:sz="4" w:space="0" w:color="000000"/>
              <w:bottom w:val="single" w:sz="4" w:space="0" w:color="000000"/>
              <w:right w:val="single" w:sz="4" w:space="0" w:color="000000"/>
            </w:tcBorders>
            <w:vAlign w:val="center"/>
          </w:tcPr>
          <w:p w14:paraId="6019D90F" w14:textId="77777777" w:rsidR="00BB4994" w:rsidRPr="00973028" w:rsidRDefault="00BB4994" w:rsidP="00BB4994">
            <w:pPr>
              <w:widowControl w:val="0"/>
              <w:suppressAutoHyphens/>
              <w:autoSpaceDN w:val="0"/>
              <w:spacing w:after="0" w:line="240" w:lineRule="auto"/>
              <w:jc w:val="both"/>
              <w:rPr>
                <w:rFonts w:ascii="Arial" w:eastAsia="Open Sans" w:hAnsi="Arial" w:cs="Arial"/>
                <w:color w:val="000000"/>
                <w:kern w:val="2"/>
                <w:sz w:val="18"/>
                <w:szCs w:val="18"/>
                <w:lang w:eastAsia="zh-CN" w:bidi="hi-IN"/>
              </w:rPr>
            </w:pPr>
          </w:p>
          <w:p w14:paraId="5AA8F362"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90</w:t>
            </w:r>
          </w:p>
          <w:p w14:paraId="1E8DD5C3" w14:textId="77777777" w:rsidR="00BB4994" w:rsidRPr="00973028" w:rsidRDefault="00BB4994" w:rsidP="00BB4994">
            <w:pPr>
              <w:widowControl w:val="0"/>
              <w:suppressAutoHyphens/>
              <w:autoSpaceDN w:val="0"/>
              <w:spacing w:after="0" w:line="240" w:lineRule="auto"/>
              <w:jc w:val="both"/>
              <w:rPr>
                <w:rFonts w:ascii="Arial" w:eastAsia="Open Sans" w:hAnsi="Arial" w:cs="Arial"/>
                <w:color w:val="000000"/>
                <w:kern w:val="2"/>
                <w:sz w:val="18"/>
                <w:szCs w:val="18"/>
                <w:lang w:eastAsia="zh-CN" w:bidi="hi-IN"/>
              </w:rPr>
            </w:pPr>
          </w:p>
        </w:tc>
        <w:tc>
          <w:tcPr>
            <w:tcW w:w="968" w:type="dxa"/>
            <w:tcBorders>
              <w:top w:val="nil"/>
              <w:left w:val="single" w:sz="4" w:space="0" w:color="000000"/>
              <w:bottom w:val="single" w:sz="4" w:space="0" w:color="000000"/>
              <w:right w:val="single" w:sz="4" w:space="0" w:color="000000"/>
            </w:tcBorders>
            <w:vAlign w:val="center"/>
            <w:hideMark/>
          </w:tcPr>
          <w:p w14:paraId="424E678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7,8</w:t>
            </w:r>
          </w:p>
        </w:tc>
      </w:tr>
      <w:tr w:rsidR="00BB4994" w:rsidRPr="00973028" w14:paraId="49709435" w14:textId="77777777" w:rsidTr="004927C3">
        <w:tc>
          <w:tcPr>
            <w:tcW w:w="2316" w:type="dxa"/>
            <w:tcBorders>
              <w:top w:val="nil"/>
              <w:left w:val="single" w:sz="4" w:space="0" w:color="000000"/>
              <w:bottom w:val="single" w:sz="4" w:space="0" w:color="000000"/>
              <w:right w:val="single" w:sz="4" w:space="0" w:color="000000"/>
            </w:tcBorders>
            <w:vAlign w:val="center"/>
            <w:hideMark/>
          </w:tcPr>
          <w:p w14:paraId="3D17D434"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Formación sobre la herramienta Modela</w:t>
            </w:r>
          </w:p>
        </w:tc>
        <w:tc>
          <w:tcPr>
            <w:tcW w:w="965" w:type="dxa"/>
            <w:tcBorders>
              <w:top w:val="nil"/>
              <w:left w:val="single" w:sz="4" w:space="0" w:color="000000"/>
              <w:bottom w:val="single" w:sz="4" w:space="0" w:color="000000"/>
              <w:right w:val="single" w:sz="4" w:space="0" w:color="000000"/>
            </w:tcBorders>
            <w:vAlign w:val="center"/>
            <w:hideMark/>
          </w:tcPr>
          <w:p w14:paraId="5634AD26"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2,6,7/04</w:t>
            </w:r>
          </w:p>
        </w:tc>
        <w:tc>
          <w:tcPr>
            <w:tcW w:w="1194" w:type="dxa"/>
            <w:tcBorders>
              <w:top w:val="nil"/>
              <w:left w:val="single" w:sz="4" w:space="0" w:color="000000"/>
              <w:bottom w:val="single" w:sz="4" w:space="0" w:color="000000"/>
              <w:right w:val="single" w:sz="4" w:space="0" w:color="000000"/>
            </w:tcBorders>
            <w:vAlign w:val="center"/>
            <w:hideMark/>
          </w:tcPr>
          <w:p w14:paraId="3DE377F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14</w:t>
            </w:r>
          </w:p>
        </w:tc>
        <w:tc>
          <w:tcPr>
            <w:tcW w:w="963" w:type="dxa"/>
            <w:tcBorders>
              <w:top w:val="nil"/>
              <w:left w:val="single" w:sz="4" w:space="0" w:color="000000"/>
              <w:bottom w:val="single" w:sz="4" w:space="0" w:color="000000"/>
              <w:right w:val="single" w:sz="4" w:space="0" w:color="000000"/>
            </w:tcBorders>
            <w:vAlign w:val="center"/>
            <w:hideMark/>
          </w:tcPr>
          <w:p w14:paraId="5A7E7E3F"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78,6</w:t>
            </w:r>
          </w:p>
        </w:tc>
        <w:tc>
          <w:tcPr>
            <w:tcW w:w="1020" w:type="dxa"/>
            <w:tcBorders>
              <w:top w:val="nil"/>
              <w:left w:val="single" w:sz="4" w:space="0" w:color="000000"/>
              <w:bottom w:val="single" w:sz="4" w:space="0" w:color="000000"/>
              <w:right w:val="single" w:sz="4" w:space="0" w:color="000000"/>
            </w:tcBorders>
            <w:vAlign w:val="center"/>
            <w:hideMark/>
          </w:tcPr>
          <w:p w14:paraId="41BE1B37"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21,4</w:t>
            </w:r>
          </w:p>
        </w:tc>
        <w:tc>
          <w:tcPr>
            <w:tcW w:w="853" w:type="dxa"/>
            <w:tcBorders>
              <w:top w:val="nil"/>
              <w:left w:val="single" w:sz="4" w:space="0" w:color="000000"/>
              <w:bottom w:val="single" w:sz="4" w:space="0" w:color="000000"/>
              <w:right w:val="single" w:sz="4" w:space="0" w:color="000000"/>
            </w:tcBorders>
            <w:vAlign w:val="center"/>
            <w:hideMark/>
          </w:tcPr>
          <w:p w14:paraId="3526EF23"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3,5</w:t>
            </w:r>
          </w:p>
        </w:tc>
        <w:tc>
          <w:tcPr>
            <w:tcW w:w="1021" w:type="dxa"/>
            <w:tcBorders>
              <w:top w:val="nil"/>
              <w:left w:val="single" w:sz="4" w:space="0" w:color="000000"/>
              <w:bottom w:val="single" w:sz="4" w:space="0" w:color="000000"/>
              <w:right w:val="single" w:sz="4" w:space="0" w:color="000000"/>
            </w:tcBorders>
            <w:vAlign w:val="center"/>
            <w:hideMark/>
          </w:tcPr>
          <w:p w14:paraId="31B0E99B"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49</w:t>
            </w:r>
          </w:p>
        </w:tc>
        <w:tc>
          <w:tcPr>
            <w:tcW w:w="968" w:type="dxa"/>
            <w:tcBorders>
              <w:top w:val="nil"/>
              <w:left w:val="single" w:sz="4" w:space="0" w:color="000000"/>
              <w:bottom w:val="single" w:sz="4" w:space="0" w:color="000000"/>
              <w:right w:val="single" w:sz="4" w:space="0" w:color="000000"/>
            </w:tcBorders>
            <w:vAlign w:val="center"/>
            <w:hideMark/>
          </w:tcPr>
          <w:p w14:paraId="6AFEBB9E"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6,6</w:t>
            </w:r>
          </w:p>
        </w:tc>
      </w:tr>
      <w:tr w:rsidR="00BB4994" w:rsidRPr="00973028" w14:paraId="3D912CBB" w14:textId="77777777" w:rsidTr="004927C3">
        <w:tc>
          <w:tcPr>
            <w:tcW w:w="2316" w:type="dxa"/>
            <w:tcBorders>
              <w:top w:val="nil"/>
              <w:left w:val="single" w:sz="4" w:space="0" w:color="000000"/>
              <w:bottom w:val="single" w:sz="4" w:space="0" w:color="000000"/>
              <w:right w:val="single" w:sz="4" w:space="0" w:color="000000"/>
            </w:tcBorders>
            <w:vAlign w:val="center"/>
            <w:hideMark/>
          </w:tcPr>
          <w:p w14:paraId="7EF2A02C"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 xml:space="preserve">Congreso Covid </w:t>
            </w:r>
            <w:r w:rsidRPr="00973028">
              <w:rPr>
                <w:rFonts w:ascii="Arial" w:eastAsia="Open Sans" w:hAnsi="Arial" w:cs="Arial"/>
                <w:color w:val="000000"/>
                <w:kern w:val="2"/>
                <w:sz w:val="18"/>
                <w:szCs w:val="18"/>
                <w:lang w:eastAsia="zh-CN" w:bidi="hi-IN"/>
              </w:rPr>
              <w:lastRenderedPageBreak/>
              <w:t>Compliance</w:t>
            </w:r>
          </w:p>
        </w:tc>
        <w:tc>
          <w:tcPr>
            <w:tcW w:w="965" w:type="dxa"/>
            <w:tcBorders>
              <w:top w:val="nil"/>
              <w:left w:val="single" w:sz="4" w:space="0" w:color="000000"/>
              <w:bottom w:val="single" w:sz="4" w:space="0" w:color="000000"/>
              <w:right w:val="single" w:sz="4" w:space="0" w:color="000000"/>
            </w:tcBorders>
            <w:vAlign w:val="center"/>
            <w:hideMark/>
          </w:tcPr>
          <w:p w14:paraId="3CF7BFE8"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lastRenderedPageBreak/>
              <w:t>21/ 04</w:t>
            </w:r>
          </w:p>
        </w:tc>
        <w:tc>
          <w:tcPr>
            <w:tcW w:w="1194" w:type="dxa"/>
            <w:tcBorders>
              <w:top w:val="nil"/>
              <w:left w:val="single" w:sz="4" w:space="0" w:color="000000"/>
              <w:bottom w:val="single" w:sz="4" w:space="0" w:color="000000"/>
              <w:right w:val="single" w:sz="4" w:space="0" w:color="000000"/>
            </w:tcBorders>
            <w:vAlign w:val="center"/>
            <w:hideMark/>
          </w:tcPr>
          <w:p w14:paraId="0789EDF1"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w:t>
            </w:r>
          </w:p>
        </w:tc>
        <w:tc>
          <w:tcPr>
            <w:tcW w:w="963" w:type="dxa"/>
            <w:tcBorders>
              <w:top w:val="nil"/>
              <w:left w:val="single" w:sz="4" w:space="0" w:color="000000"/>
              <w:bottom w:val="single" w:sz="4" w:space="0" w:color="000000"/>
              <w:right w:val="single" w:sz="4" w:space="0" w:color="000000"/>
            </w:tcBorders>
            <w:vAlign w:val="center"/>
            <w:hideMark/>
          </w:tcPr>
          <w:p w14:paraId="5179F50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66,7</w:t>
            </w:r>
          </w:p>
        </w:tc>
        <w:tc>
          <w:tcPr>
            <w:tcW w:w="1020" w:type="dxa"/>
            <w:tcBorders>
              <w:top w:val="nil"/>
              <w:left w:val="single" w:sz="4" w:space="0" w:color="000000"/>
              <w:bottom w:val="single" w:sz="4" w:space="0" w:color="000000"/>
              <w:right w:val="single" w:sz="4" w:space="0" w:color="000000"/>
            </w:tcBorders>
            <w:vAlign w:val="center"/>
            <w:hideMark/>
          </w:tcPr>
          <w:p w14:paraId="4EBA6D34"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33,3</w:t>
            </w:r>
          </w:p>
        </w:tc>
        <w:tc>
          <w:tcPr>
            <w:tcW w:w="853" w:type="dxa"/>
            <w:tcBorders>
              <w:top w:val="nil"/>
              <w:left w:val="single" w:sz="4" w:space="0" w:color="000000"/>
              <w:bottom w:val="single" w:sz="4" w:space="0" w:color="000000"/>
              <w:right w:val="single" w:sz="4" w:space="0" w:color="000000"/>
            </w:tcBorders>
            <w:vAlign w:val="center"/>
            <w:hideMark/>
          </w:tcPr>
          <w:p w14:paraId="60FC454C"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7</w:t>
            </w:r>
          </w:p>
        </w:tc>
        <w:tc>
          <w:tcPr>
            <w:tcW w:w="1021" w:type="dxa"/>
            <w:tcBorders>
              <w:top w:val="nil"/>
              <w:left w:val="single" w:sz="4" w:space="0" w:color="000000"/>
              <w:bottom w:val="single" w:sz="4" w:space="0" w:color="000000"/>
              <w:right w:val="single" w:sz="4" w:space="0" w:color="000000"/>
            </w:tcBorders>
            <w:vAlign w:val="center"/>
            <w:hideMark/>
          </w:tcPr>
          <w:p w14:paraId="48FB538B"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21</w:t>
            </w:r>
          </w:p>
        </w:tc>
        <w:tc>
          <w:tcPr>
            <w:tcW w:w="968" w:type="dxa"/>
            <w:tcBorders>
              <w:top w:val="nil"/>
              <w:left w:val="single" w:sz="4" w:space="0" w:color="000000"/>
              <w:bottom w:val="single" w:sz="4" w:space="0" w:color="000000"/>
              <w:right w:val="single" w:sz="4" w:space="0" w:color="000000"/>
            </w:tcBorders>
            <w:vAlign w:val="center"/>
            <w:hideMark/>
          </w:tcPr>
          <w:p w14:paraId="6CC0DAA7"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7,7</w:t>
            </w:r>
          </w:p>
        </w:tc>
      </w:tr>
      <w:tr w:rsidR="00BB4994" w:rsidRPr="00973028" w14:paraId="1EE60259" w14:textId="77777777" w:rsidTr="004927C3">
        <w:tc>
          <w:tcPr>
            <w:tcW w:w="2316" w:type="dxa"/>
            <w:tcBorders>
              <w:top w:val="nil"/>
              <w:left w:val="single" w:sz="4" w:space="0" w:color="000000"/>
              <w:bottom w:val="single" w:sz="4" w:space="0" w:color="000000"/>
              <w:right w:val="single" w:sz="4" w:space="0" w:color="000000"/>
            </w:tcBorders>
            <w:vAlign w:val="center"/>
            <w:hideMark/>
          </w:tcPr>
          <w:p w14:paraId="056DE9B7"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G-ede: expediente y documento electrónico</w:t>
            </w:r>
          </w:p>
        </w:tc>
        <w:tc>
          <w:tcPr>
            <w:tcW w:w="965" w:type="dxa"/>
            <w:tcBorders>
              <w:top w:val="nil"/>
              <w:left w:val="single" w:sz="4" w:space="0" w:color="000000"/>
              <w:bottom w:val="single" w:sz="4" w:space="0" w:color="000000"/>
              <w:right w:val="single" w:sz="4" w:space="0" w:color="000000"/>
            </w:tcBorders>
            <w:vAlign w:val="center"/>
            <w:hideMark/>
          </w:tcPr>
          <w:p w14:paraId="64ABB48C"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07/ 05</w:t>
            </w:r>
          </w:p>
        </w:tc>
        <w:tc>
          <w:tcPr>
            <w:tcW w:w="1194" w:type="dxa"/>
            <w:tcBorders>
              <w:top w:val="nil"/>
              <w:left w:val="single" w:sz="4" w:space="0" w:color="000000"/>
              <w:bottom w:val="single" w:sz="4" w:space="0" w:color="000000"/>
              <w:right w:val="single" w:sz="4" w:space="0" w:color="000000"/>
            </w:tcBorders>
            <w:vAlign w:val="center"/>
            <w:hideMark/>
          </w:tcPr>
          <w:p w14:paraId="2A3A3900"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w:t>
            </w:r>
          </w:p>
        </w:tc>
        <w:tc>
          <w:tcPr>
            <w:tcW w:w="963" w:type="dxa"/>
            <w:tcBorders>
              <w:top w:val="nil"/>
              <w:left w:val="single" w:sz="4" w:space="0" w:color="000000"/>
              <w:bottom w:val="single" w:sz="4" w:space="0" w:color="000000"/>
              <w:right w:val="single" w:sz="4" w:space="0" w:color="000000"/>
            </w:tcBorders>
            <w:vAlign w:val="center"/>
            <w:hideMark/>
          </w:tcPr>
          <w:p w14:paraId="16A97C2F"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100</w:t>
            </w:r>
          </w:p>
        </w:tc>
        <w:tc>
          <w:tcPr>
            <w:tcW w:w="1020" w:type="dxa"/>
            <w:tcBorders>
              <w:top w:val="nil"/>
              <w:left w:val="single" w:sz="4" w:space="0" w:color="000000"/>
              <w:bottom w:val="single" w:sz="4" w:space="0" w:color="000000"/>
              <w:right w:val="single" w:sz="4" w:space="0" w:color="000000"/>
            </w:tcBorders>
            <w:vAlign w:val="center"/>
            <w:hideMark/>
          </w:tcPr>
          <w:p w14:paraId="7F0DDFF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0</w:t>
            </w:r>
          </w:p>
        </w:tc>
        <w:tc>
          <w:tcPr>
            <w:tcW w:w="853" w:type="dxa"/>
            <w:tcBorders>
              <w:top w:val="nil"/>
              <w:left w:val="single" w:sz="4" w:space="0" w:color="000000"/>
              <w:bottom w:val="single" w:sz="4" w:space="0" w:color="000000"/>
              <w:right w:val="single" w:sz="4" w:space="0" w:color="000000"/>
            </w:tcBorders>
            <w:vAlign w:val="center"/>
            <w:hideMark/>
          </w:tcPr>
          <w:p w14:paraId="52566FE8"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5</w:t>
            </w:r>
          </w:p>
        </w:tc>
        <w:tc>
          <w:tcPr>
            <w:tcW w:w="1021" w:type="dxa"/>
            <w:tcBorders>
              <w:top w:val="nil"/>
              <w:left w:val="single" w:sz="4" w:space="0" w:color="000000"/>
              <w:bottom w:val="single" w:sz="4" w:space="0" w:color="000000"/>
              <w:right w:val="single" w:sz="4" w:space="0" w:color="000000"/>
            </w:tcBorders>
            <w:vAlign w:val="center"/>
            <w:hideMark/>
          </w:tcPr>
          <w:p w14:paraId="590FFB4F"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15</w:t>
            </w:r>
          </w:p>
        </w:tc>
        <w:tc>
          <w:tcPr>
            <w:tcW w:w="968" w:type="dxa"/>
            <w:tcBorders>
              <w:top w:val="nil"/>
              <w:left w:val="single" w:sz="4" w:space="0" w:color="000000"/>
              <w:bottom w:val="single" w:sz="4" w:space="0" w:color="000000"/>
              <w:right w:val="single" w:sz="4" w:space="0" w:color="000000"/>
            </w:tcBorders>
            <w:vAlign w:val="center"/>
            <w:hideMark/>
          </w:tcPr>
          <w:p w14:paraId="5528F258"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4</w:t>
            </w:r>
          </w:p>
        </w:tc>
      </w:tr>
      <w:tr w:rsidR="00BB4994" w:rsidRPr="00973028" w14:paraId="60F6DD01" w14:textId="77777777" w:rsidTr="004927C3">
        <w:tc>
          <w:tcPr>
            <w:tcW w:w="2316" w:type="dxa"/>
            <w:tcBorders>
              <w:top w:val="nil"/>
              <w:left w:val="single" w:sz="4" w:space="0" w:color="000000"/>
              <w:bottom w:val="single" w:sz="4" w:space="0" w:color="000000"/>
              <w:right w:val="single" w:sz="4" w:space="0" w:color="000000"/>
            </w:tcBorders>
            <w:vAlign w:val="center"/>
            <w:hideMark/>
          </w:tcPr>
          <w:p w14:paraId="78F4C4C7"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Curso Ciberseguridad (CCN-CERT)</w:t>
            </w:r>
          </w:p>
        </w:tc>
        <w:tc>
          <w:tcPr>
            <w:tcW w:w="965" w:type="dxa"/>
            <w:tcBorders>
              <w:top w:val="nil"/>
              <w:left w:val="single" w:sz="4" w:space="0" w:color="000000"/>
              <w:bottom w:val="single" w:sz="4" w:space="0" w:color="000000"/>
              <w:right w:val="single" w:sz="4" w:space="0" w:color="000000"/>
            </w:tcBorders>
            <w:vAlign w:val="center"/>
            <w:hideMark/>
          </w:tcPr>
          <w:p w14:paraId="612E0C30"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26/03/</w:t>
            </w:r>
          </w:p>
        </w:tc>
        <w:tc>
          <w:tcPr>
            <w:tcW w:w="1194" w:type="dxa"/>
            <w:tcBorders>
              <w:top w:val="nil"/>
              <w:left w:val="single" w:sz="4" w:space="0" w:color="000000"/>
              <w:bottom w:val="single" w:sz="4" w:space="0" w:color="000000"/>
              <w:right w:val="single" w:sz="4" w:space="0" w:color="000000"/>
            </w:tcBorders>
            <w:vAlign w:val="center"/>
            <w:hideMark/>
          </w:tcPr>
          <w:p w14:paraId="3E967E0E"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En abierto</w:t>
            </w:r>
          </w:p>
        </w:tc>
        <w:tc>
          <w:tcPr>
            <w:tcW w:w="963" w:type="dxa"/>
            <w:tcBorders>
              <w:top w:val="nil"/>
              <w:left w:val="single" w:sz="4" w:space="0" w:color="000000"/>
              <w:bottom w:val="single" w:sz="4" w:space="0" w:color="000000"/>
              <w:right w:val="single" w:sz="4" w:space="0" w:color="000000"/>
            </w:tcBorders>
            <w:vAlign w:val="center"/>
          </w:tcPr>
          <w:p w14:paraId="2E6EB927"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p>
        </w:tc>
        <w:tc>
          <w:tcPr>
            <w:tcW w:w="1020" w:type="dxa"/>
            <w:tcBorders>
              <w:top w:val="nil"/>
              <w:left w:val="single" w:sz="4" w:space="0" w:color="000000"/>
              <w:bottom w:val="single" w:sz="4" w:space="0" w:color="000000"/>
              <w:right w:val="single" w:sz="4" w:space="0" w:color="000000"/>
            </w:tcBorders>
            <w:vAlign w:val="center"/>
          </w:tcPr>
          <w:p w14:paraId="68C1CD61"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p>
        </w:tc>
        <w:tc>
          <w:tcPr>
            <w:tcW w:w="853" w:type="dxa"/>
            <w:tcBorders>
              <w:top w:val="nil"/>
              <w:left w:val="single" w:sz="4" w:space="0" w:color="000000"/>
              <w:bottom w:val="single" w:sz="4" w:space="0" w:color="000000"/>
              <w:right w:val="single" w:sz="4" w:space="0" w:color="000000"/>
            </w:tcBorders>
            <w:vAlign w:val="center"/>
            <w:hideMark/>
          </w:tcPr>
          <w:p w14:paraId="6DF0F5A0"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10</w:t>
            </w:r>
          </w:p>
        </w:tc>
        <w:tc>
          <w:tcPr>
            <w:tcW w:w="1021" w:type="dxa"/>
            <w:tcBorders>
              <w:top w:val="nil"/>
              <w:left w:val="single" w:sz="4" w:space="0" w:color="000000"/>
              <w:bottom w:val="single" w:sz="4" w:space="0" w:color="000000"/>
              <w:right w:val="single" w:sz="4" w:space="0" w:color="000000"/>
            </w:tcBorders>
            <w:vAlign w:val="center"/>
            <w:hideMark/>
          </w:tcPr>
          <w:p w14:paraId="500BF0D6"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s/d</w:t>
            </w:r>
          </w:p>
        </w:tc>
        <w:tc>
          <w:tcPr>
            <w:tcW w:w="968" w:type="dxa"/>
            <w:tcBorders>
              <w:top w:val="nil"/>
              <w:left w:val="single" w:sz="4" w:space="0" w:color="000000"/>
              <w:bottom w:val="single" w:sz="4" w:space="0" w:color="000000"/>
              <w:right w:val="single" w:sz="4" w:space="0" w:color="000000"/>
            </w:tcBorders>
            <w:vAlign w:val="center"/>
          </w:tcPr>
          <w:p w14:paraId="7523295D"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p>
        </w:tc>
      </w:tr>
      <w:tr w:rsidR="00BB4994" w:rsidRPr="00973028" w14:paraId="727E2EDA" w14:textId="77777777" w:rsidTr="004927C3">
        <w:trPr>
          <w:trHeight w:val="346"/>
        </w:trPr>
        <w:tc>
          <w:tcPr>
            <w:tcW w:w="2316" w:type="dxa"/>
            <w:tcBorders>
              <w:top w:val="single" w:sz="4" w:space="0" w:color="000000"/>
              <w:left w:val="single" w:sz="4" w:space="0" w:color="000000"/>
              <w:bottom w:val="single" w:sz="4" w:space="0" w:color="000000"/>
              <w:right w:val="single" w:sz="4" w:space="0" w:color="000000"/>
            </w:tcBorders>
            <w:vAlign w:val="center"/>
            <w:hideMark/>
          </w:tcPr>
          <w:p w14:paraId="798951E4" w14:textId="77777777" w:rsidR="00BB4994" w:rsidRPr="00973028" w:rsidRDefault="00BB4994" w:rsidP="00BB4994">
            <w:pPr>
              <w:suppressLineNumbers/>
              <w:suppressAutoHyphens/>
              <w:autoSpaceDN w:val="0"/>
              <w:spacing w:after="0" w:line="240" w:lineRule="auto"/>
              <w:jc w:val="both"/>
              <w:rPr>
                <w:rFonts w:ascii="Arial" w:eastAsia="Calibri" w:hAnsi="Arial" w:cs="Arial"/>
                <w:sz w:val="18"/>
                <w:szCs w:val="18"/>
              </w:rPr>
            </w:pPr>
            <w:r w:rsidRPr="00973028">
              <w:rPr>
                <w:rFonts w:ascii="Arial" w:eastAsia="SimSun" w:hAnsi="Arial" w:cs="Arial"/>
                <w:sz w:val="18"/>
                <w:szCs w:val="18"/>
              </w:rPr>
              <w:t xml:space="preserve">  La prueba pericial    en el proceso penal</w:t>
            </w:r>
          </w:p>
        </w:tc>
        <w:tc>
          <w:tcPr>
            <w:tcW w:w="965" w:type="dxa"/>
            <w:tcBorders>
              <w:top w:val="single" w:sz="4" w:space="0" w:color="000000"/>
              <w:left w:val="single" w:sz="4" w:space="0" w:color="000000"/>
              <w:bottom w:val="single" w:sz="4" w:space="0" w:color="000000"/>
              <w:right w:val="single" w:sz="4" w:space="0" w:color="000000"/>
            </w:tcBorders>
            <w:vAlign w:val="center"/>
            <w:hideMark/>
          </w:tcPr>
          <w:p w14:paraId="24179290"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02/ 06</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375E662B"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26</w:t>
            </w:r>
          </w:p>
        </w:tc>
        <w:tc>
          <w:tcPr>
            <w:tcW w:w="963" w:type="dxa"/>
            <w:tcBorders>
              <w:top w:val="single" w:sz="4" w:space="0" w:color="000000"/>
              <w:left w:val="single" w:sz="4" w:space="0" w:color="000000"/>
              <w:bottom w:val="single" w:sz="4" w:space="0" w:color="000000"/>
              <w:right w:val="single" w:sz="4" w:space="0" w:color="000000"/>
            </w:tcBorders>
            <w:vAlign w:val="center"/>
            <w:hideMark/>
          </w:tcPr>
          <w:p w14:paraId="3B8260E1"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69,2</w:t>
            </w:r>
          </w:p>
        </w:tc>
        <w:tc>
          <w:tcPr>
            <w:tcW w:w="1020" w:type="dxa"/>
            <w:tcBorders>
              <w:top w:val="single" w:sz="4" w:space="0" w:color="000000"/>
              <w:left w:val="single" w:sz="4" w:space="0" w:color="000000"/>
              <w:bottom w:val="single" w:sz="4" w:space="0" w:color="000000"/>
              <w:right w:val="single" w:sz="4" w:space="0" w:color="000000"/>
            </w:tcBorders>
            <w:vAlign w:val="center"/>
            <w:hideMark/>
          </w:tcPr>
          <w:p w14:paraId="13CB68BD"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30,8</w:t>
            </w: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7D7DDBB2"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3,5</w:t>
            </w:r>
          </w:p>
        </w:tc>
        <w:tc>
          <w:tcPr>
            <w:tcW w:w="1021" w:type="dxa"/>
            <w:tcBorders>
              <w:top w:val="nil"/>
              <w:left w:val="single" w:sz="4" w:space="0" w:color="000000"/>
              <w:bottom w:val="single" w:sz="4" w:space="0" w:color="000000"/>
              <w:right w:val="single" w:sz="4" w:space="0" w:color="000000"/>
            </w:tcBorders>
            <w:vAlign w:val="center"/>
            <w:hideMark/>
          </w:tcPr>
          <w:p w14:paraId="60622EF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91</w:t>
            </w:r>
          </w:p>
        </w:tc>
        <w:tc>
          <w:tcPr>
            <w:tcW w:w="968" w:type="dxa"/>
            <w:tcBorders>
              <w:top w:val="single" w:sz="4" w:space="0" w:color="000000"/>
              <w:left w:val="single" w:sz="4" w:space="0" w:color="000000"/>
              <w:bottom w:val="single" w:sz="4" w:space="0" w:color="000000"/>
              <w:right w:val="single" w:sz="4" w:space="0" w:color="000000"/>
            </w:tcBorders>
            <w:vAlign w:val="center"/>
            <w:hideMark/>
          </w:tcPr>
          <w:p w14:paraId="31B11BA4"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9,4</w:t>
            </w:r>
          </w:p>
        </w:tc>
      </w:tr>
      <w:tr w:rsidR="00BB4994" w:rsidRPr="00973028" w14:paraId="34838827" w14:textId="77777777" w:rsidTr="004927C3">
        <w:tc>
          <w:tcPr>
            <w:tcW w:w="2316" w:type="dxa"/>
            <w:tcBorders>
              <w:top w:val="single" w:sz="4" w:space="0" w:color="000000"/>
              <w:left w:val="single" w:sz="4" w:space="0" w:color="000000"/>
              <w:bottom w:val="single" w:sz="4" w:space="0" w:color="000000"/>
              <w:right w:val="single" w:sz="4" w:space="0" w:color="000000"/>
            </w:tcBorders>
            <w:vAlign w:val="center"/>
            <w:hideMark/>
          </w:tcPr>
          <w:p w14:paraId="6DD85DF3" w14:textId="77777777" w:rsidR="00BB4994" w:rsidRPr="00973028" w:rsidRDefault="00BB4994" w:rsidP="00BB4994">
            <w:pPr>
              <w:suppressAutoHyphens/>
              <w:autoSpaceDN w:val="0"/>
              <w:spacing w:after="0" w:line="240" w:lineRule="auto"/>
              <w:jc w:val="both"/>
              <w:rPr>
                <w:rFonts w:ascii="Arial" w:eastAsia="Calibri" w:hAnsi="Arial" w:cs="Arial"/>
                <w:sz w:val="18"/>
                <w:szCs w:val="18"/>
              </w:rPr>
            </w:pPr>
            <w:r w:rsidRPr="00973028">
              <w:rPr>
                <w:rFonts w:ascii="Arial" w:eastAsia="SimSun" w:hAnsi="Arial" w:cs="Arial"/>
                <w:sz w:val="18"/>
                <w:szCs w:val="18"/>
              </w:rPr>
              <w:t>La investigación de causas complejas</w:t>
            </w:r>
          </w:p>
        </w:tc>
        <w:tc>
          <w:tcPr>
            <w:tcW w:w="965" w:type="dxa"/>
            <w:tcBorders>
              <w:top w:val="single" w:sz="4" w:space="0" w:color="000000"/>
              <w:left w:val="single" w:sz="4" w:space="0" w:color="000000"/>
              <w:bottom w:val="single" w:sz="4" w:space="0" w:color="000000"/>
              <w:right w:val="single" w:sz="4" w:space="0" w:color="000000"/>
            </w:tcBorders>
            <w:vAlign w:val="center"/>
            <w:hideMark/>
          </w:tcPr>
          <w:p w14:paraId="20991DC1"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04/ 06</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2D172CF0"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25</w:t>
            </w:r>
          </w:p>
        </w:tc>
        <w:tc>
          <w:tcPr>
            <w:tcW w:w="963" w:type="dxa"/>
            <w:tcBorders>
              <w:top w:val="single" w:sz="4" w:space="0" w:color="000000"/>
              <w:left w:val="single" w:sz="4" w:space="0" w:color="000000"/>
              <w:bottom w:val="single" w:sz="4" w:space="0" w:color="000000"/>
              <w:right w:val="single" w:sz="4" w:space="0" w:color="000000"/>
            </w:tcBorders>
            <w:vAlign w:val="center"/>
            <w:hideMark/>
          </w:tcPr>
          <w:p w14:paraId="6D23B306"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68</w:t>
            </w:r>
          </w:p>
        </w:tc>
        <w:tc>
          <w:tcPr>
            <w:tcW w:w="1020" w:type="dxa"/>
            <w:tcBorders>
              <w:top w:val="single" w:sz="4" w:space="0" w:color="000000"/>
              <w:left w:val="single" w:sz="4" w:space="0" w:color="000000"/>
              <w:bottom w:val="single" w:sz="4" w:space="0" w:color="000000"/>
              <w:right w:val="single" w:sz="4" w:space="0" w:color="000000"/>
            </w:tcBorders>
            <w:vAlign w:val="center"/>
            <w:hideMark/>
          </w:tcPr>
          <w:p w14:paraId="0D97E418"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32</w:t>
            </w: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17162A63"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2,5</w:t>
            </w:r>
          </w:p>
        </w:tc>
        <w:tc>
          <w:tcPr>
            <w:tcW w:w="1021" w:type="dxa"/>
            <w:tcBorders>
              <w:top w:val="nil"/>
              <w:left w:val="single" w:sz="4" w:space="0" w:color="000000"/>
              <w:bottom w:val="single" w:sz="4" w:space="0" w:color="000000"/>
              <w:right w:val="single" w:sz="4" w:space="0" w:color="000000"/>
            </w:tcBorders>
            <w:vAlign w:val="center"/>
            <w:hideMark/>
          </w:tcPr>
          <w:p w14:paraId="4864DE3F"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62,5</w:t>
            </w:r>
          </w:p>
        </w:tc>
        <w:tc>
          <w:tcPr>
            <w:tcW w:w="968" w:type="dxa"/>
            <w:tcBorders>
              <w:top w:val="single" w:sz="4" w:space="0" w:color="000000"/>
              <w:left w:val="single" w:sz="4" w:space="0" w:color="000000"/>
              <w:bottom w:val="single" w:sz="4" w:space="0" w:color="000000"/>
              <w:right w:val="single" w:sz="4" w:space="0" w:color="000000"/>
            </w:tcBorders>
            <w:vAlign w:val="center"/>
            <w:hideMark/>
          </w:tcPr>
          <w:p w14:paraId="60AEFF43"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9,5</w:t>
            </w:r>
          </w:p>
        </w:tc>
      </w:tr>
      <w:tr w:rsidR="00BB4994" w:rsidRPr="00973028" w14:paraId="2C3E0852" w14:textId="77777777" w:rsidTr="004927C3">
        <w:tc>
          <w:tcPr>
            <w:tcW w:w="2316" w:type="dxa"/>
            <w:tcBorders>
              <w:top w:val="single" w:sz="4" w:space="0" w:color="000000"/>
              <w:left w:val="single" w:sz="4" w:space="0" w:color="000000"/>
              <w:bottom w:val="single" w:sz="4" w:space="0" w:color="000000"/>
              <w:right w:val="single" w:sz="4" w:space="0" w:color="000000"/>
            </w:tcBorders>
            <w:vAlign w:val="center"/>
            <w:hideMark/>
          </w:tcPr>
          <w:p w14:paraId="350B1FB4"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NSimSun" w:hAnsi="Arial" w:cs="Arial"/>
                <w:color w:val="000000"/>
                <w:kern w:val="2"/>
                <w:sz w:val="18"/>
                <w:szCs w:val="18"/>
                <w:shd w:val="clear" w:color="auto" w:fill="FFFFFF"/>
                <w:lang w:eastAsia="zh-CN"/>
              </w:rPr>
              <w:t>Webinar Integridad para la prosperidad-OECD</w:t>
            </w:r>
          </w:p>
        </w:tc>
        <w:tc>
          <w:tcPr>
            <w:tcW w:w="965" w:type="dxa"/>
            <w:tcBorders>
              <w:top w:val="single" w:sz="4" w:space="0" w:color="000000"/>
              <w:left w:val="single" w:sz="4" w:space="0" w:color="000000"/>
              <w:bottom w:val="single" w:sz="4" w:space="0" w:color="000000"/>
              <w:right w:val="single" w:sz="4" w:space="0" w:color="000000"/>
            </w:tcBorders>
            <w:vAlign w:val="center"/>
            <w:hideMark/>
          </w:tcPr>
          <w:p w14:paraId="06CC0693"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07/ 07</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5C24E222"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w:t>
            </w:r>
          </w:p>
        </w:tc>
        <w:tc>
          <w:tcPr>
            <w:tcW w:w="963" w:type="dxa"/>
            <w:tcBorders>
              <w:top w:val="single" w:sz="4" w:space="0" w:color="000000"/>
              <w:left w:val="single" w:sz="4" w:space="0" w:color="000000"/>
              <w:bottom w:val="single" w:sz="4" w:space="0" w:color="000000"/>
              <w:right w:val="single" w:sz="4" w:space="0" w:color="000000"/>
            </w:tcBorders>
            <w:vAlign w:val="center"/>
            <w:hideMark/>
          </w:tcPr>
          <w:p w14:paraId="0E041D0E"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100</w:t>
            </w:r>
          </w:p>
        </w:tc>
        <w:tc>
          <w:tcPr>
            <w:tcW w:w="1020" w:type="dxa"/>
            <w:tcBorders>
              <w:top w:val="single" w:sz="4" w:space="0" w:color="000000"/>
              <w:left w:val="single" w:sz="4" w:space="0" w:color="000000"/>
              <w:bottom w:val="single" w:sz="4" w:space="0" w:color="000000"/>
              <w:right w:val="single" w:sz="4" w:space="0" w:color="000000"/>
            </w:tcBorders>
            <w:vAlign w:val="center"/>
            <w:hideMark/>
          </w:tcPr>
          <w:p w14:paraId="4EDB4860"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0</w:t>
            </w: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4D745DBF"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w:t>
            </w:r>
          </w:p>
        </w:tc>
        <w:tc>
          <w:tcPr>
            <w:tcW w:w="1021" w:type="dxa"/>
            <w:tcBorders>
              <w:top w:val="single" w:sz="4" w:space="0" w:color="000000"/>
              <w:left w:val="single" w:sz="4" w:space="0" w:color="000000"/>
              <w:bottom w:val="single" w:sz="4" w:space="0" w:color="000000"/>
              <w:right w:val="single" w:sz="4" w:space="0" w:color="000000"/>
            </w:tcBorders>
            <w:vAlign w:val="center"/>
            <w:hideMark/>
          </w:tcPr>
          <w:p w14:paraId="043D3E2F"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6</w:t>
            </w:r>
          </w:p>
        </w:tc>
        <w:tc>
          <w:tcPr>
            <w:tcW w:w="968" w:type="dxa"/>
            <w:tcBorders>
              <w:top w:val="single" w:sz="4" w:space="0" w:color="000000"/>
              <w:left w:val="single" w:sz="4" w:space="0" w:color="000000"/>
              <w:bottom w:val="single" w:sz="4" w:space="0" w:color="000000"/>
              <w:right w:val="single" w:sz="4" w:space="0" w:color="000000"/>
            </w:tcBorders>
            <w:vAlign w:val="center"/>
            <w:hideMark/>
          </w:tcPr>
          <w:p w14:paraId="3C8743B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9,5</w:t>
            </w:r>
          </w:p>
        </w:tc>
      </w:tr>
      <w:tr w:rsidR="00BB4994" w:rsidRPr="00973028" w14:paraId="2F5D041D" w14:textId="77777777" w:rsidTr="004927C3">
        <w:tc>
          <w:tcPr>
            <w:tcW w:w="2316" w:type="dxa"/>
            <w:tcBorders>
              <w:top w:val="nil"/>
              <w:left w:val="single" w:sz="4" w:space="0" w:color="000000"/>
              <w:bottom w:val="single" w:sz="4" w:space="0" w:color="000000"/>
              <w:right w:val="single" w:sz="4" w:space="0" w:color="000000"/>
            </w:tcBorders>
            <w:vAlign w:val="center"/>
            <w:hideMark/>
          </w:tcPr>
          <w:p w14:paraId="62D1EBC8"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Régimen jurídico de subvenciones, convenios de colaboración y contratos de</w:t>
            </w:r>
          </w:p>
          <w:p w14:paraId="2A4F4820"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rPr>
              <w:t>Patrocinio</w:t>
            </w:r>
          </w:p>
        </w:tc>
        <w:tc>
          <w:tcPr>
            <w:tcW w:w="965" w:type="dxa"/>
            <w:tcBorders>
              <w:top w:val="nil"/>
              <w:left w:val="single" w:sz="4" w:space="0" w:color="000000"/>
              <w:bottom w:val="single" w:sz="4" w:space="0" w:color="000000"/>
              <w:right w:val="single" w:sz="4" w:space="0" w:color="000000"/>
            </w:tcBorders>
            <w:vAlign w:val="center"/>
            <w:hideMark/>
          </w:tcPr>
          <w:p w14:paraId="3E8EBFC1"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13, 15, 20, 22, 27 y 29/10</w:t>
            </w:r>
          </w:p>
        </w:tc>
        <w:tc>
          <w:tcPr>
            <w:tcW w:w="1194" w:type="dxa"/>
            <w:tcBorders>
              <w:top w:val="nil"/>
              <w:left w:val="single" w:sz="4" w:space="0" w:color="000000"/>
              <w:bottom w:val="single" w:sz="4" w:space="0" w:color="000000"/>
              <w:right w:val="single" w:sz="4" w:space="0" w:color="000000"/>
            </w:tcBorders>
            <w:vAlign w:val="center"/>
            <w:hideMark/>
          </w:tcPr>
          <w:p w14:paraId="055F1793"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6</w:t>
            </w:r>
          </w:p>
        </w:tc>
        <w:tc>
          <w:tcPr>
            <w:tcW w:w="963" w:type="dxa"/>
            <w:tcBorders>
              <w:top w:val="nil"/>
              <w:left w:val="single" w:sz="4" w:space="0" w:color="000000"/>
              <w:bottom w:val="single" w:sz="4" w:space="0" w:color="000000"/>
              <w:right w:val="single" w:sz="4" w:space="0" w:color="000000"/>
            </w:tcBorders>
            <w:vAlign w:val="center"/>
            <w:hideMark/>
          </w:tcPr>
          <w:p w14:paraId="2C180851"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83,3</w:t>
            </w:r>
          </w:p>
        </w:tc>
        <w:tc>
          <w:tcPr>
            <w:tcW w:w="1020" w:type="dxa"/>
            <w:tcBorders>
              <w:top w:val="nil"/>
              <w:left w:val="single" w:sz="4" w:space="0" w:color="000000"/>
              <w:bottom w:val="single" w:sz="4" w:space="0" w:color="000000"/>
              <w:right w:val="single" w:sz="4" w:space="0" w:color="000000"/>
            </w:tcBorders>
            <w:vAlign w:val="center"/>
            <w:hideMark/>
          </w:tcPr>
          <w:p w14:paraId="3103E1D2"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16,7</w:t>
            </w:r>
          </w:p>
        </w:tc>
        <w:tc>
          <w:tcPr>
            <w:tcW w:w="853" w:type="dxa"/>
            <w:tcBorders>
              <w:top w:val="nil"/>
              <w:left w:val="single" w:sz="4" w:space="0" w:color="000000"/>
              <w:bottom w:val="single" w:sz="4" w:space="0" w:color="000000"/>
              <w:right w:val="single" w:sz="4" w:space="0" w:color="000000"/>
            </w:tcBorders>
            <w:vAlign w:val="center"/>
            <w:hideMark/>
          </w:tcPr>
          <w:p w14:paraId="7CFAF952"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15</w:t>
            </w:r>
          </w:p>
        </w:tc>
        <w:tc>
          <w:tcPr>
            <w:tcW w:w="1021" w:type="dxa"/>
            <w:tcBorders>
              <w:top w:val="nil"/>
              <w:left w:val="single" w:sz="4" w:space="0" w:color="000000"/>
              <w:bottom w:val="single" w:sz="4" w:space="0" w:color="000000"/>
              <w:right w:val="single" w:sz="4" w:space="0" w:color="000000"/>
            </w:tcBorders>
            <w:vAlign w:val="center"/>
            <w:hideMark/>
          </w:tcPr>
          <w:p w14:paraId="433BBC4B"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90</w:t>
            </w:r>
          </w:p>
        </w:tc>
        <w:tc>
          <w:tcPr>
            <w:tcW w:w="968" w:type="dxa"/>
            <w:tcBorders>
              <w:top w:val="nil"/>
              <w:left w:val="single" w:sz="4" w:space="0" w:color="000000"/>
              <w:bottom w:val="single" w:sz="4" w:space="0" w:color="000000"/>
              <w:right w:val="single" w:sz="4" w:space="0" w:color="000000"/>
            </w:tcBorders>
            <w:vAlign w:val="center"/>
            <w:hideMark/>
          </w:tcPr>
          <w:p w14:paraId="65B36CAD"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6</w:t>
            </w:r>
          </w:p>
        </w:tc>
      </w:tr>
      <w:tr w:rsidR="00BB4994" w:rsidRPr="00973028" w14:paraId="030151A6" w14:textId="77777777" w:rsidTr="004927C3">
        <w:tc>
          <w:tcPr>
            <w:tcW w:w="2316" w:type="dxa"/>
            <w:tcBorders>
              <w:top w:val="nil"/>
              <w:left w:val="single" w:sz="4" w:space="0" w:color="000000"/>
              <w:bottom w:val="single" w:sz="4" w:space="0" w:color="000000"/>
              <w:right w:val="single" w:sz="4" w:space="0" w:color="000000"/>
            </w:tcBorders>
            <w:vAlign w:val="center"/>
            <w:hideMark/>
          </w:tcPr>
          <w:p w14:paraId="1E738928"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1B1B1B"/>
                <w:kern w:val="2"/>
                <w:sz w:val="18"/>
                <w:szCs w:val="18"/>
                <w:lang w:eastAsia="zh-CN" w:bidi="hi-IN"/>
              </w:rPr>
              <w:t>Máster propio</w:t>
            </w:r>
            <w:r w:rsidRPr="00973028">
              <w:rPr>
                <w:rFonts w:ascii="Arial" w:eastAsia="Open Sans" w:hAnsi="Arial" w:cs="Arial"/>
                <w:color w:val="000000"/>
                <w:kern w:val="2"/>
                <w:sz w:val="18"/>
                <w:szCs w:val="18"/>
                <w:lang w:eastAsia="zh-CN" w:bidi="hi-IN"/>
              </w:rPr>
              <w:t xml:space="preserve"> en Contratación pública y compliance</w:t>
            </w:r>
          </w:p>
        </w:tc>
        <w:tc>
          <w:tcPr>
            <w:tcW w:w="965" w:type="dxa"/>
            <w:tcBorders>
              <w:top w:val="nil"/>
              <w:left w:val="single" w:sz="4" w:space="0" w:color="000000"/>
              <w:bottom w:val="single" w:sz="4" w:space="0" w:color="000000"/>
              <w:right w:val="single" w:sz="4" w:space="0" w:color="000000"/>
            </w:tcBorders>
            <w:vAlign w:val="center"/>
            <w:hideMark/>
          </w:tcPr>
          <w:p w14:paraId="516174FC"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10/2020 – 06/2021</w:t>
            </w:r>
          </w:p>
        </w:tc>
        <w:tc>
          <w:tcPr>
            <w:tcW w:w="1194" w:type="dxa"/>
            <w:tcBorders>
              <w:top w:val="nil"/>
              <w:left w:val="single" w:sz="4" w:space="0" w:color="000000"/>
              <w:bottom w:val="single" w:sz="4" w:space="0" w:color="000000"/>
              <w:right w:val="single" w:sz="4" w:space="0" w:color="000000"/>
            </w:tcBorders>
            <w:vAlign w:val="center"/>
            <w:hideMark/>
          </w:tcPr>
          <w:p w14:paraId="22D1BCE4"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w:t>
            </w:r>
          </w:p>
        </w:tc>
        <w:tc>
          <w:tcPr>
            <w:tcW w:w="963" w:type="dxa"/>
            <w:tcBorders>
              <w:top w:val="nil"/>
              <w:left w:val="single" w:sz="4" w:space="0" w:color="000000"/>
              <w:bottom w:val="single" w:sz="4" w:space="0" w:color="000000"/>
              <w:right w:val="single" w:sz="4" w:space="0" w:color="000000"/>
            </w:tcBorders>
            <w:vAlign w:val="center"/>
            <w:hideMark/>
          </w:tcPr>
          <w:p w14:paraId="63484C65"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50</w:t>
            </w:r>
          </w:p>
        </w:tc>
        <w:tc>
          <w:tcPr>
            <w:tcW w:w="1020" w:type="dxa"/>
            <w:tcBorders>
              <w:top w:val="nil"/>
              <w:left w:val="single" w:sz="4" w:space="0" w:color="000000"/>
              <w:bottom w:val="single" w:sz="4" w:space="0" w:color="000000"/>
              <w:right w:val="single" w:sz="4" w:space="0" w:color="000000"/>
            </w:tcBorders>
            <w:vAlign w:val="center"/>
            <w:hideMark/>
          </w:tcPr>
          <w:p w14:paraId="67A7A92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50</w:t>
            </w:r>
          </w:p>
        </w:tc>
        <w:tc>
          <w:tcPr>
            <w:tcW w:w="853" w:type="dxa"/>
            <w:tcBorders>
              <w:top w:val="nil"/>
              <w:left w:val="single" w:sz="4" w:space="0" w:color="000000"/>
              <w:bottom w:val="single" w:sz="4" w:space="0" w:color="000000"/>
              <w:right w:val="single" w:sz="4" w:space="0" w:color="000000"/>
            </w:tcBorders>
            <w:vAlign w:val="center"/>
            <w:hideMark/>
          </w:tcPr>
          <w:p w14:paraId="26118E5F"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81</w:t>
            </w:r>
          </w:p>
        </w:tc>
        <w:tc>
          <w:tcPr>
            <w:tcW w:w="1021" w:type="dxa"/>
            <w:tcBorders>
              <w:top w:val="nil"/>
              <w:left w:val="single" w:sz="4" w:space="0" w:color="000000"/>
              <w:bottom w:val="single" w:sz="4" w:space="0" w:color="000000"/>
              <w:right w:val="single" w:sz="4" w:space="0" w:color="000000"/>
            </w:tcBorders>
            <w:vAlign w:val="center"/>
            <w:hideMark/>
          </w:tcPr>
          <w:p w14:paraId="0A8F8B63"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162</w:t>
            </w:r>
          </w:p>
        </w:tc>
        <w:tc>
          <w:tcPr>
            <w:tcW w:w="968" w:type="dxa"/>
            <w:tcBorders>
              <w:top w:val="nil"/>
              <w:left w:val="single" w:sz="4" w:space="0" w:color="000000"/>
              <w:bottom w:val="single" w:sz="4" w:space="0" w:color="000000"/>
              <w:right w:val="single" w:sz="4" w:space="0" w:color="000000"/>
            </w:tcBorders>
            <w:shd w:val="clear" w:color="auto" w:fill="FFFFFF"/>
            <w:vAlign w:val="center"/>
            <w:hideMark/>
          </w:tcPr>
          <w:p w14:paraId="3FE30345"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Finaliza en 2021</w:t>
            </w:r>
          </w:p>
        </w:tc>
      </w:tr>
      <w:tr w:rsidR="00BB4994" w:rsidRPr="00973028" w14:paraId="450A932F" w14:textId="77777777" w:rsidTr="004927C3">
        <w:tc>
          <w:tcPr>
            <w:tcW w:w="2316" w:type="dxa"/>
            <w:tcBorders>
              <w:top w:val="nil"/>
              <w:left w:val="single" w:sz="4" w:space="0" w:color="000000"/>
              <w:bottom w:val="single" w:sz="4" w:space="0" w:color="000000"/>
              <w:right w:val="single" w:sz="4" w:space="0" w:color="000000"/>
            </w:tcBorders>
            <w:vAlign w:val="center"/>
            <w:hideMark/>
          </w:tcPr>
          <w:p w14:paraId="64A61024"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1B1B1B"/>
                <w:kern w:val="2"/>
                <w:sz w:val="18"/>
                <w:szCs w:val="18"/>
                <w:lang w:eastAsia="zh-CN" w:bidi="hi-IN"/>
              </w:rPr>
              <w:t>Diploma de especialización de Gestión</w:t>
            </w:r>
          </w:p>
          <w:p w14:paraId="51C60FD1"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1B1B1B"/>
                <w:kern w:val="2"/>
                <w:sz w:val="18"/>
                <w:szCs w:val="18"/>
                <w:lang w:eastAsia="zh-CN" w:bidi="hi-IN"/>
              </w:rPr>
              <w:t>y preservación de documentos electrónicos</w:t>
            </w:r>
          </w:p>
        </w:tc>
        <w:tc>
          <w:tcPr>
            <w:tcW w:w="965" w:type="dxa"/>
            <w:tcBorders>
              <w:top w:val="nil"/>
              <w:left w:val="single" w:sz="4" w:space="0" w:color="000000"/>
              <w:bottom w:val="single" w:sz="4" w:space="0" w:color="000000"/>
              <w:right w:val="single" w:sz="4" w:space="0" w:color="000000"/>
            </w:tcBorders>
            <w:vAlign w:val="center"/>
            <w:hideMark/>
          </w:tcPr>
          <w:p w14:paraId="3659B47F"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11/2020 – 05/2021</w:t>
            </w:r>
          </w:p>
        </w:tc>
        <w:tc>
          <w:tcPr>
            <w:tcW w:w="1194" w:type="dxa"/>
            <w:tcBorders>
              <w:top w:val="nil"/>
              <w:left w:val="single" w:sz="4" w:space="0" w:color="000000"/>
              <w:bottom w:val="single" w:sz="4" w:space="0" w:color="000000"/>
              <w:right w:val="single" w:sz="4" w:space="0" w:color="000000"/>
            </w:tcBorders>
            <w:vAlign w:val="center"/>
            <w:hideMark/>
          </w:tcPr>
          <w:p w14:paraId="2A6E315F"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w:t>
            </w:r>
          </w:p>
        </w:tc>
        <w:tc>
          <w:tcPr>
            <w:tcW w:w="963" w:type="dxa"/>
            <w:tcBorders>
              <w:top w:val="nil"/>
              <w:left w:val="single" w:sz="4" w:space="0" w:color="000000"/>
              <w:bottom w:val="single" w:sz="4" w:space="0" w:color="000000"/>
              <w:right w:val="single" w:sz="4" w:space="0" w:color="000000"/>
            </w:tcBorders>
            <w:vAlign w:val="center"/>
            <w:hideMark/>
          </w:tcPr>
          <w:p w14:paraId="6068DD0E"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100</w:t>
            </w:r>
          </w:p>
        </w:tc>
        <w:tc>
          <w:tcPr>
            <w:tcW w:w="1020" w:type="dxa"/>
            <w:tcBorders>
              <w:top w:val="nil"/>
              <w:left w:val="single" w:sz="4" w:space="0" w:color="000000"/>
              <w:bottom w:val="single" w:sz="4" w:space="0" w:color="000000"/>
              <w:right w:val="single" w:sz="4" w:space="0" w:color="000000"/>
            </w:tcBorders>
            <w:vAlign w:val="center"/>
            <w:hideMark/>
          </w:tcPr>
          <w:p w14:paraId="31F5503B"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0</w:t>
            </w:r>
          </w:p>
        </w:tc>
        <w:tc>
          <w:tcPr>
            <w:tcW w:w="853" w:type="dxa"/>
            <w:tcBorders>
              <w:top w:val="nil"/>
              <w:left w:val="single" w:sz="4" w:space="0" w:color="000000"/>
              <w:bottom w:val="single" w:sz="4" w:space="0" w:color="000000"/>
              <w:right w:val="single" w:sz="4" w:space="0" w:color="000000"/>
            </w:tcBorders>
            <w:vAlign w:val="center"/>
            <w:hideMark/>
          </w:tcPr>
          <w:p w14:paraId="2B13C1B9"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60</w:t>
            </w:r>
          </w:p>
        </w:tc>
        <w:tc>
          <w:tcPr>
            <w:tcW w:w="1021" w:type="dxa"/>
            <w:tcBorders>
              <w:top w:val="nil"/>
              <w:left w:val="single" w:sz="4" w:space="0" w:color="000000"/>
              <w:bottom w:val="single" w:sz="4" w:space="0" w:color="000000"/>
              <w:right w:val="single" w:sz="4" w:space="0" w:color="000000"/>
            </w:tcBorders>
            <w:vAlign w:val="center"/>
            <w:hideMark/>
          </w:tcPr>
          <w:p w14:paraId="2FFBAB54"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60</w:t>
            </w:r>
          </w:p>
        </w:tc>
        <w:tc>
          <w:tcPr>
            <w:tcW w:w="968" w:type="dxa"/>
            <w:tcBorders>
              <w:top w:val="nil"/>
              <w:left w:val="single" w:sz="4" w:space="0" w:color="000000"/>
              <w:bottom w:val="single" w:sz="4" w:space="0" w:color="000000"/>
              <w:right w:val="single" w:sz="4" w:space="0" w:color="000000"/>
            </w:tcBorders>
            <w:shd w:val="clear" w:color="auto" w:fill="FFFFFF"/>
            <w:vAlign w:val="center"/>
            <w:hideMark/>
          </w:tcPr>
          <w:p w14:paraId="64E8762D"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Finaliza en 2021</w:t>
            </w:r>
          </w:p>
        </w:tc>
      </w:tr>
      <w:tr w:rsidR="00BB4994" w:rsidRPr="00F24AAF" w14:paraId="168EDC40" w14:textId="77777777" w:rsidTr="00BB4994">
        <w:tc>
          <w:tcPr>
            <w:tcW w:w="9300" w:type="dxa"/>
            <w:gridSpan w:val="8"/>
            <w:tcBorders>
              <w:top w:val="single" w:sz="4" w:space="0" w:color="000000"/>
              <w:left w:val="single" w:sz="4" w:space="0" w:color="000000"/>
              <w:bottom w:val="single" w:sz="4" w:space="0" w:color="000000"/>
              <w:right w:val="single" w:sz="4" w:space="0" w:color="000000"/>
            </w:tcBorders>
            <w:shd w:val="clear" w:color="auto" w:fill="9D2235"/>
            <w:vAlign w:val="center"/>
            <w:hideMark/>
          </w:tcPr>
          <w:p w14:paraId="41BD4F0F" w14:textId="77777777" w:rsidR="00BB4994" w:rsidRPr="00F24AAF" w:rsidRDefault="00BB4994" w:rsidP="00BB4994">
            <w:pPr>
              <w:widowControl w:val="0"/>
              <w:suppressAutoHyphens/>
              <w:autoSpaceDN w:val="0"/>
              <w:spacing w:after="0" w:line="240" w:lineRule="auto"/>
              <w:jc w:val="both"/>
              <w:rPr>
                <w:rFonts w:ascii="Arial" w:eastAsia="Open Sans" w:hAnsi="Arial" w:cs="Arial"/>
                <w:b/>
                <w:bCs/>
                <w:color w:val="FFFFFF"/>
                <w:kern w:val="2"/>
                <w:sz w:val="20"/>
                <w:szCs w:val="20"/>
                <w:lang w:eastAsia="zh-CN" w:bidi="hi-IN"/>
              </w:rPr>
            </w:pPr>
            <w:r w:rsidRPr="00F24AAF">
              <w:rPr>
                <w:rFonts w:ascii="Arial" w:eastAsia="Open Sans" w:hAnsi="Arial" w:cs="Arial"/>
                <w:b/>
                <w:bCs/>
                <w:color w:val="FFFFFF"/>
                <w:kern w:val="2"/>
                <w:sz w:val="20"/>
                <w:szCs w:val="20"/>
                <w:lang w:eastAsia="zh-CN" w:bidi="hi-IN"/>
              </w:rPr>
              <w:t>FORMACION INTERNA DEL AMBITO INSTRUMENTAL (12)</w:t>
            </w:r>
          </w:p>
        </w:tc>
      </w:tr>
      <w:tr w:rsidR="00BB4994" w:rsidRPr="00973028" w14:paraId="7403C77B" w14:textId="77777777" w:rsidTr="004927C3">
        <w:tc>
          <w:tcPr>
            <w:tcW w:w="2316" w:type="dxa"/>
            <w:tcBorders>
              <w:top w:val="single" w:sz="4" w:space="0" w:color="000000"/>
              <w:left w:val="single" w:sz="4" w:space="0" w:color="000000"/>
              <w:bottom w:val="single" w:sz="4" w:space="0" w:color="000000"/>
              <w:right w:val="single" w:sz="4" w:space="0" w:color="000000"/>
            </w:tcBorders>
            <w:vAlign w:val="center"/>
            <w:hideMark/>
          </w:tcPr>
          <w:p w14:paraId="01A44903"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Actividad</w:t>
            </w:r>
          </w:p>
        </w:tc>
        <w:tc>
          <w:tcPr>
            <w:tcW w:w="965" w:type="dxa"/>
            <w:tcBorders>
              <w:top w:val="single" w:sz="4" w:space="0" w:color="000000"/>
              <w:left w:val="single" w:sz="4" w:space="0" w:color="000000"/>
              <w:bottom w:val="single" w:sz="4" w:space="0" w:color="000000"/>
              <w:right w:val="single" w:sz="4" w:space="0" w:color="000000"/>
            </w:tcBorders>
            <w:vAlign w:val="center"/>
            <w:hideMark/>
          </w:tcPr>
          <w:p w14:paraId="1691AFB1"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Fecha</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6E0DC43C"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Núm. asistentes</w:t>
            </w:r>
          </w:p>
        </w:tc>
        <w:tc>
          <w:tcPr>
            <w:tcW w:w="963" w:type="dxa"/>
            <w:tcBorders>
              <w:top w:val="single" w:sz="4" w:space="0" w:color="000000"/>
              <w:left w:val="single" w:sz="4" w:space="0" w:color="000000"/>
              <w:bottom w:val="single" w:sz="4" w:space="0" w:color="000000"/>
              <w:right w:val="single" w:sz="4" w:space="0" w:color="000000"/>
            </w:tcBorders>
            <w:vAlign w:val="center"/>
            <w:hideMark/>
          </w:tcPr>
          <w:p w14:paraId="212E1A36"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 Mujeres</w:t>
            </w:r>
          </w:p>
        </w:tc>
        <w:tc>
          <w:tcPr>
            <w:tcW w:w="1020" w:type="dxa"/>
            <w:tcBorders>
              <w:top w:val="single" w:sz="4" w:space="0" w:color="000000"/>
              <w:left w:val="single" w:sz="4" w:space="0" w:color="000000"/>
              <w:bottom w:val="single" w:sz="4" w:space="0" w:color="000000"/>
              <w:right w:val="single" w:sz="4" w:space="0" w:color="000000"/>
            </w:tcBorders>
            <w:vAlign w:val="center"/>
            <w:hideMark/>
          </w:tcPr>
          <w:p w14:paraId="00B054C6"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 Hombres</w:t>
            </w:r>
          </w:p>
        </w:tc>
        <w:tc>
          <w:tcPr>
            <w:tcW w:w="853" w:type="dxa"/>
            <w:tcBorders>
              <w:top w:val="single" w:sz="4" w:space="0" w:color="000000"/>
              <w:left w:val="single" w:sz="4" w:space="0" w:color="000000"/>
              <w:bottom w:val="single" w:sz="4" w:space="0" w:color="000000"/>
              <w:right w:val="single" w:sz="4" w:space="0" w:color="000000"/>
            </w:tcBorders>
            <w:vAlign w:val="center"/>
            <w:hideMark/>
          </w:tcPr>
          <w:p w14:paraId="07B0EA87"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Tiempo</w:t>
            </w:r>
          </w:p>
          <w:p w14:paraId="2921F22C"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(h)</w:t>
            </w:r>
          </w:p>
        </w:tc>
        <w:tc>
          <w:tcPr>
            <w:tcW w:w="1021" w:type="dxa"/>
            <w:tcBorders>
              <w:top w:val="nil"/>
              <w:left w:val="single" w:sz="4" w:space="0" w:color="000000"/>
              <w:bottom w:val="single" w:sz="4" w:space="0" w:color="000000"/>
              <w:right w:val="single" w:sz="4" w:space="0" w:color="000000"/>
            </w:tcBorders>
            <w:vAlign w:val="center"/>
            <w:hideMark/>
          </w:tcPr>
          <w:p w14:paraId="165438A6"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Asist. x h</w:t>
            </w:r>
          </w:p>
        </w:tc>
        <w:tc>
          <w:tcPr>
            <w:tcW w:w="968" w:type="dxa"/>
            <w:tcBorders>
              <w:top w:val="single" w:sz="4" w:space="0" w:color="000000"/>
              <w:left w:val="single" w:sz="4" w:space="0" w:color="000000"/>
              <w:bottom w:val="single" w:sz="4" w:space="0" w:color="000000"/>
              <w:right w:val="single" w:sz="4" w:space="0" w:color="000000"/>
            </w:tcBorders>
            <w:vAlign w:val="center"/>
            <w:hideMark/>
          </w:tcPr>
          <w:p w14:paraId="380DEC0B"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Val.</w:t>
            </w:r>
          </w:p>
          <w:p w14:paraId="092538E1" w14:textId="77777777" w:rsidR="00BB4994" w:rsidRPr="00973028" w:rsidRDefault="00BB4994" w:rsidP="00BB4994">
            <w:pPr>
              <w:widowControl w:val="0"/>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(0-10)</w:t>
            </w:r>
          </w:p>
        </w:tc>
      </w:tr>
      <w:tr w:rsidR="00BB4994" w:rsidRPr="00973028" w14:paraId="79DFA8D8" w14:textId="77777777" w:rsidTr="004927C3">
        <w:trPr>
          <w:trHeight w:val="772"/>
        </w:trPr>
        <w:tc>
          <w:tcPr>
            <w:tcW w:w="2316" w:type="dxa"/>
            <w:tcBorders>
              <w:top w:val="nil"/>
              <w:left w:val="single" w:sz="4" w:space="0" w:color="000000"/>
              <w:bottom w:val="single" w:sz="4" w:space="0" w:color="000000"/>
              <w:right w:val="single" w:sz="4" w:space="0" w:color="000000"/>
            </w:tcBorders>
            <w:vAlign w:val="center"/>
            <w:hideMark/>
          </w:tcPr>
          <w:p w14:paraId="5008BF48"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V Curso actualización normas 2020 en materia económico-financiera</w:t>
            </w:r>
          </w:p>
        </w:tc>
        <w:tc>
          <w:tcPr>
            <w:tcW w:w="965" w:type="dxa"/>
            <w:tcBorders>
              <w:top w:val="nil"/>
              <w:left w:val="single" w:sz="4" w:space="0" w:color="000000"/>
              <w:bottom w:val="single" w:sz="4" w:space="0" w:color="000000"/>
              <w:right w:val="single" w:sz="4" w:space="0" w:color="000000"/>
            </w:tcBorders>
            <w:vAlign w:val="center"/>
            <w:hideMark/>
          </w:tcPr>
          <w:p w14:paraId="7A9F01E6"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4/2 - 3/03</w:t>
            </w:r>
          </w:p>
        </w:tc>
        <w:tc>
          <w:tcPr>
            <w:tcW w:w="1194" w:type="dxa"/>
            <w:tcBorders>
              <w:top w:val="nil"/>
              <w:left w:val="single" w:sz="4" w:space="0" w:color="000000"/>
              <w:bottom w:val="single" w:sz="4" w:space="0" w:color="000000"/>
              <w:right w:val="single" w:sz="4" w:space="0" w:color="000000"/>
            </w:tcBorders>
            <w:vAlign w:val="center"/>
            <w:hideMark/>
          </w:tcPr>
          <w:p w14:paraId="4118BF1A"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3</w:t>
            </w:r>
          </w:p>
        </w:tc>
        <w:tc>
          <w:tcPr>
            <w:tcW w:w="963" w:type="dxa"/>
            <w:tcBorders>
              <w:top w:val="nil"/>
              <w:left w:val="single" w:sz="4" w:space="0" w:color="000000"/>
              <w:bottom w:val="single" w:sz="4" w:space="0" w:color="000000"/>
              <w:right w:val="single" w:sz="4" w:space="0" w:color="000000"/>
            </w:tcBorders>
            <w:vAlign w:val="center"/>
            <w:hideMark/>
          </w:tcPr>
          <w:p w14:paraId="6D682DAC"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100</w:t>
            </w:r>
          </w:p>
        </w:tc>
        <w:tc>
          <w:tcPr>
            <w:tcW w:w="1020" w:type="dxa"/>
            <w:tcBorders>
              <w:top w:val="nil"/>
              <w:left w:val="single" w:sz="4" w:space="0" w:color="000000"/>
              <w:bottom w:val="single" w:sz="4" w:space="0" w:color="000000"/>
              <w:right w:val="single" w:sz="4" w:space="0" w:color="000000"/>
            </w:tcBorders>
            <w:vAlign w:val="center"/>
          </w:tcPr>
          <w:p w14:paraId="50AD0888"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p>
        </w:tc>
        <w:tc>
          <w:tcPr>
            <w:tcW w:w="853" w:type="dxa"/>
            <w:tcBorders>
              <w:top w:val="nil"/>
              <w:left w:val="single" w:sz="4" w:space="0" w:color="000000"/>
              <w:bottom w:val="single" w:sz="4" w:space="0" w:color="000000"/>
              <w:right w:val="single" w:sz="4" w:space="0" w:color="000000"/>
            </w:tcBorders>
            <w:vAlign w:val="center"/>
            <w:hideMark/>
          </w:tcPr>
          <w:p w14:paraId="192D3CB9" w14:textId="77777777" w:rsidR="00BB4994" w:rsidRPr="00973028" w:rsidRDefault="00BB4994" w:rsidP="00BB4994">
            <w:pPr>
              <w:suppressAutoHyphens/>
              <w:autoSpaceDN w:val="0"/>
              <w:spacing w:after="0" w:line="240" w:lineRule="auto"/>
              <w:jc w:val="both"/>
              <w:rPr>
                <w:rFonts w:ascii="Arial" w:eastAsia="Calibri" w:hAnsi="Arial" w:cs="Arial"/>
                <w:sz w:val="18"/>
                <w:szCs w:val="18"/>
              </w:rPr>
            </w:pPr>
            <w:r w:rsidRPr="00973028">
              <w:rPr>
                <w:rFonts w:ascii="Arial" w:eastAsia="Open Sans" w:hAnsi="Arial" w:cs="Arial"/>
                <w:spacing w:val="-2"/>
                <w:sz w:val="18"/>
                <w:szCs w:val="18"/>
              </w:rPr>
              <w:t>22,5</w:t>
            </w:r>
          </w:p>
        </w:tc>
        <w:tc>
          <w:tcPr>
            <w:tcW w:w="1021" w:type="dxa"/>
            <w:tcBorders>
              <w:top w:val="nil"/>
              <w:left w:val="single" w:sz="4" w:space="0" w:color="000000"/>
              <w:bottom w:val="single" w:sz="4" w:space="0" w:color="000000"/>
              <w:right w:val="single" w:sz="4" w:space="0" w:color="000000"/>
            </w:tcBorders>
            <w:vAlign w:val="center"/>
            <w:hideMark/>
          </w:tcPr>
          <w:p w14:paraId="777F4D96"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67,5</w:t>
            </w:r>
          </w:p>
        </w:tc>
        <w:tc>
          <w:tcPr>
            <w:tcW w:w="968" w:type="dxa"/>
            <w:tcBorders>
              <w:top w:val="nil"/>
              <w:left w:val="single" w:sz="4" w:space="0" w:color="000000"/>
              <w:bottom w:val="single" w:sz="4" w:space="0" w:color="000000"/>
              <w:right w:val="single" w:sz="4" w:space="0" w:color="000000"/>
            </w:tcBorders>
            <w:vAlign w:val="center"/>
            <w:hideMark/>
          </w:tcPr>
          <w:p w14:paraId="69D05F29"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9</w:t>
            </w:r>
          </w:p>
        </w:tc>
      </w:tr>
      <w:tr w:rsidR="00BB4994" w:rsidRPr="00973028" w14:paraId="3F8B3DA3" w14:textId="77777777" w:rsidTr="004927C3">
        <w:trPr>
          <w:trHeight w:val="460"/>
        </w:trPr>
        <w:tc>
          <w:tcPr>
            <w:tcW w:w="2316" w:type="dxa"/>
            <w:tcBorders>
              <w:top w:val="nil"/>
              <w:left w:val="single" w:sz="4" w:space="0" w:color="000000"/>
              <w:bottom w:val="single" w:sz="4" w:space="0" w:color="000000"/>
              <w:right w:val="single" w:sz="4" w:space="0" w:color="000000"/>
            </w:tcBorders>
            <w:vAlign w:val="center"/>
            <w:hideMark/>
          </w:tcPr>
          <w:p w14:paraId="145D5777"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 xml:space="preserve">ABC del Exe-Learning Ed 20/04 </w:t>
            </w:r>
          </w:p>
        </w:tc>
        <w:tc>
          <w:tcPr>
            <w:tcW w:w="965" w:type="dxa"/>
            <w:tcBorders>
              <w:top w:val="nil"/>
              <w:left w:val="single" w:sz="4" w:space="0" w:color="000000"/>
              <w:bottom w:val="single" w:sz="4" w:space="0" w:color="000000"/>
              <w:right w:val="single" w:sz="4" w:space="0" w:color="000000"/>
            </w:tcBorders>
            <w:vAlign w:val="center"/>
            <w:hideMark/>
          </w:tcPr>
          <w:p w14:paraId="5BF12068"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1/7-28/08</w:t>
            </w:r>
          </w:p>
        </w:tc>
        <w:tc>
          <w:tcPr>
            <w:tcW w:w="1194" w:type="dxa"/>
            <w:tcBorders>
              <w:top w:val="nil"/>
              <w:left w:val="single" w:sz="4" w:space="0" w:color="000000"/>
              <w:bottom w:val="single" w:sz="4" w:space="0" w:color="000000"/>
              <w:right w:val="single" w:sz="4" w:space="0" w:color="000000"/>
            </w:tcBorders>
            <w:vAlign w:val="center"/>
            <w:hideMark/>
          </w:tcPr>
          <w:p w14:paraId="4C752E1E"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1</w:t>
            </w:r>
          </w:p>
        </w:tc>
        <w:tc>
          <w:tcPr>
            <w:tcW w:w="963" w:type="dxa"/>
            <w:tcBorders>
              <w:top w:val="nil"/>
              <w:left w:val="single" w:sz="4" w:space="0" w:color="000000"/>
              <w:bottom w:val="single" w:sz="4" w:space="0" w:color="000000"/>
              <w:right w:val="single" w:sz="4" w:space="0" w:color="000000"/>
            </w:tcBorders>
            <w:vAlign w:val="center"/>
            <w:hideMark/>
          </w:tcPr>
          <w:p w14:paraId="467703CC"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0</w:t>
            </w:r>
          </w:p>
        </w:tc>
        <w:tc>
          <w:tcPr>
            <w:tcW w:w="1020" w:type="dxa"/>
            <w:tcBorders>
              <w:top w:val="nil"/>
              <w:left w:val="single" w:sz="4" w:space="0" w:color="000000"/>
              <w:bottom w:val="single" w:sz="4" w:space="0" w:color="000000"/>
              <w:right w:val="single" w:sz="4" w:space="0" w:color="000000"/>
            </w:tcBorders>
            <w:vAlign w:val="center"/>
            <w:hideMark/>
          </w:tcPr>
          <w:p w14:paraId="5ED98D36"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100</w:t>
            </w:r>
          </w:p>
        </w:tc>
        <w:tc>
          <w:tcPr>
            <w:tcW w:w="853" w:type="dxa"/>
            <w:tcBorders>
              <w:top w:val="nil"/>
              <w:left w:val="single" w:sz="4" w:space="0" w:color="000000"/>
              <w:bottom w:val="single" w:sz="4" w:space="0" w:color="000000"/>
              <w:right w:val="single" w:sz="4" w:space="0" w:color="000000"/>
            </w:tcBorders>
            <w:vAlign w:val="center"/>
            <w:hideMark/>
          </w:tcPr>
          <w:p w14:paraId="5B0B443B"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20</w:t>
            </w:r>
          </w:p>
        </w:tc>
        <w:tc>
          <w:tcPr>
            <w:tcW w:w="1021" w:type="dxa"/>
            <w:tcBorders>
              <w:top w:val="nil"/>
              <w:left w:val="single" w:sz="4" w:space="0" w:color="000000"/>
              <w:bottom w:val="single" w:sz="4" w:space="0" w:color="000000"/>
              <w:right w:val="single" w:sz="4" w:space="0" w:color="000000"/>
            </w:tcBorders>
            <w:vAlign w:val="center"/>
            <w:hideMark/>
          </w:tcPr>
          <w:p w14:paraId="5A456FB0"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20</w:t>
            </w:r>
          </w:p>
        </w:tc>
        <w:tc>
          <w:tcPr>
            <w:tcW w:w="968" w:type="dxa"/>
            <w:tcBorders>
              <w:top w:val="nil"/>
              <w:left w:val="single" w:sz="4" w:space="0" w:color="000000"/>
              <w:bottom w:val="single" w:sz="4" w:space="0" w:color="000000"/>
              <w:right w:val="single" w:sz="4" w:space="0" w:color="000000"/>
            </w:tcBorders>
            <w:vAlign w:val="center"/>
            <w:hideMark/>
          </w:tcPr>
          <w:p w14:paraId="34DA8E20"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10</w:t>
            </w:r>
          </w:p>
        </w:tc>
      </w:tr>
      <w:tr w:rsidR="00BB4994" w:rsidRPr="00973028" w14:paraId="16AC2F92" w14:textId="77777777" w:rsidTr="004927C3">
        <w:trPr>
          <w:trHeight w:val="400"/>
        </w:trPr>
        <w:tc>
          <w:tcPr>
            <w:tcW w:w="2316" w:type="dxa"/>
            <w:tcBorders>
              <w:top w:val="nil"/>
              <w:left w:val="single" w:sz="4" w:space="0" w:color="000000"/>
              <w:bottom w:val="single" w:sz="4" w:space="0" w:color="000000"/>
              <w:right w:val="single" w:sz="4" w:space="0" w:color="000000"/>
            </w:tcBorders>
            <w:vAlign w:val="center"/>
            <w:hideMark/>
          </w:tcPr>
          <w:p w14:paraId="5BC87227"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 xml:space="preserve">Aula Moodle e-Formación Ed 20/04 </w:t>
            </w:r>
          </w:p>
        </w:tc>
        <w:tc>
          <w:tcPr>
            <w:tcW w:w="965" w:type="dxa"/>
            <w:tcBorders>
              <w:top w:val="nil"/>
              <w:left w:val="single" w:sz="4" w:space="0" w:color="000000"/>
              <w:bottom w:val="single" w:sz="4" w:space="0" w:color="000000"/>
              <w:right w:val="single" w:sz="4" w:space="0" w:color="000000"/>
            </w:tcBorders>
            <w:vAlign w:val="center"/>
            <w:hideMark/>
          </w:tcPr>
          <w:p w14:paraId="33D01723"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1-31/08</w:t>
            </w:r>
          </w:p>
        </w:tc>
        <w:tc>
          <w:tcPr>
            <w:tcW w:w="1194" w:type="dxa"/>
            <w:tcBorders>
              <w:top w:val="nil"/>
              <w:left w:val="single" w:sz="4" w:space="0" w:color="000000"/>
              <w:bottom w:val="single" w:sz="4" w:space="0" w:color="000000"/>
              <w:right w:val="single" w:sz="4" w:space="0" w:color="000000"/>
            </w:tcBorders>
            <w:vAlign w:val="center"/>
            <w:hideMark/>
          </w:tcPr>
          <w:p w14:paraId="511472CE"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1</w:t>
            </w:r>
          </w:p>
        </w:tc>
        <w:tc>
          <w:tcPr>
            <w:tcW w:w="963" w:type="dxa"/>
            <w:tcBorders>
              <w:top w:val="nil"/>
              <w:left w:val="single" w:sz="4" w:space="0" w:color="000000"/>
              <w:bottom w:val="single" w:sz="4" w:space="0" w:color="000000"/>
              <w:right w:val="single" w:sz="4" w:space="0" w:color="000000"/>
            </w:tcBorders>
            <w:vAlign w:val="center"/>
            <w:hideMark/>
          </w:tcPr>
          <w:p w14:paraId="1885218E"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100</w:t>
            </w:r>
          </w:p>
        </w:tc>
        <w:tc>
          <w:tcPr>
            <w:tcW w:w="1020" w:type="dxa"/>
            <w:tcBorders>
              <w:top w:val="nil"/>
              <w:left w:val="single" w:sz="4" w:space="0" w:color="000000"/>
              <w:bottom w:val="single" w:sz="4" w:space="0" w:color="000000"/>
              <w:right w:val="single" w:sz="4" w:space="0" w:color="000000"/>
            </w:tcBorders>
            <w:vAlign w:val="center"/>
            <w:hideMark/>
          </w:tcPr>
          <w:p w14:paraId="4664FA76"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0</w:t>
            </w:r>
          </w:p>
        </w:tc>
        <w:tc>
          <w:tcPr>
            <w:tcW w:w="853" w:type="dxa"/>
            <w:tcBorders>
              <w:top w:val="nil"/>
              <w:left w:val="single" w:sz="4" w:space="0" w:color="000000"/>
              <w:bottom w:val="single" w:sz="4" w:space="0" w:color="000000"/>
              <w:right w:val="single" w:sz="4" w:space="0" w:color="000000"/>
            </w:tcBorders>
            <w:vAlign w:val="center"/>
            <w:hideMark/>
          </w:tcPr>
          <w:p w14:paraId="2AE94B59"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10</w:t>
            </w:r>
          </w:p>
        </w:tc>
        <w:tc>
          <w:tcPr>
            <w:tcW w:w="1021" w:type="dxa"/>
            <w:tcBorders>
              <w:top w:val="nil"/>
              <w:left w:val="single" w:sz="4" w:space="0" w:color="000000"/>
              <w:bottom w:val="single" w:sz="4" w:space="0" w:color="000000"/>
              <w:right w:val="single" w:sz="4" w:space="0" w:color="000000"/>
            </w:tcBorders>
            <w:vAlign w:val="center"/>
            <w:hideMark/>
          </w:tcPr>
          <w:p w14:paraId="52FC5DF0"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10</w:t>
            </w:r>
          </w:p>
        </w:tc>
        <w:tc>
          <w:tcPr>
            <w:tcW w:w="968" w:type="dxa"/>
            <w:tcBorders>
              <w:top w:val="nil"/>
              <w:left w:val="single" w:sz="4" w:space="0" w:color="000000"/>
              <w:bottom w:val="single" w:sz="4" w:space="0" w:color="000000"/>
              <w:right w:val="single" w:sz="4" w:space="0" w:color="000000"/>
            </w:tcBorders>
            <w:vAlign w:val="center"/>
            <w:hideMark/>
          </w:tcPr>
          <w:p w14:paraId="36AC9A67"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8</w:t>
            </w:r>
          </w:p>
        </w:tc>
      </w:tr>
      <w:tr w:rsidR="00BB4994" w:rsidRPr="00973028" w14:paraId="58CBD9BD" w14:textId="77777777" w:rsidTr="004927C3">
        <w:trPr>
          <w:trHeight w:val="510"/>
        </w:trPr>
        <w:tc>
          <w:tcPr>
            <w:tcW w:w="2316" w:type="dxa"/>
            <w:tcBorders>
              <w:top w:val="nil"/>
              <w:left w:val="single" w:sz="4" w:space="0" w:color="000000"/>
              <w:bottom w:val="single" w:sz="4" w:space="0" w:color="000000"/>
              <w:right w:val="single" w:sz="4" w:space="0" w:color="000000"/>
            </w:tcBorders>
            <w:vAlign w:val="center"/>
            <w:hideMark/>
          </w:tcPr>
          <w:p w14:paraId="66A9B8D2"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Gestión del Aula Moodle e-Formación Ed. 20/01</w:t>
            </w:r>
          </w:p>
        </w:tc>
        <w:tc>
          <w:tcPr>
            <w:tcW w:w="965" w:type="dxa"/>
            <w:tcBorders>
              <w:top w:val="nil"/>
              <w:left w:val="single" w:sz="4" w:space="0" w:color="000000"/>
              <w:bottom w:val="single" w:sz="4" w:space="0" w:color="000000"/>
              <w:right w:val="single" w:sz="4" w:space="0" w:color="000000"/>
            </w:tcBorders>
            <w:vAlign w:val="center"/>
            <w:hideMark/>
          </w:tcPr>
          <w:p w14:paraId="182446C1"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13/01-18/12</w:t>
            </w:r>
          </w:p>
        </w:tc>
        <w:tc>
          <w:tcPr>
            <w:tcW w:w="1194" w:type="dxa"/>
            <w:tcBorders>
              <w:top w:val="nil"/>
              <w:left w:val="single" w:sz="4" w:space="0" w:color="000000"/>
              <w:bottom w:val="single" w:sz="4" w:space="0" w:color="000000"/>
              <w:right w:val="single" w:sz="4" w:space="0" w:color="000000"/>
            </w:tcBorders>
            <w:vAlign w:val="center"/>
            <w:hideMark/>
          </w:tcPr>
          <w:p w14:paraId="42BB1442"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3</w:t>
            </w:r>
          </w:p>
        </w:tc>
        <w:tc>
          <w:tcPr>
            <w:tcW w:w="963" w:type="dxa"/>
            <w:tcBorders>
              <w:top w:val="nil"/>
              <w:left w:val="single" w:sz="4" w:space="0" w:color="000000"/>
              <w:bottom w:val="single" w:sz="4" w:space="0" w:color="000000"/>
              <w:right w:val="single" w:sz="4" w:space="0" w:color="000000"/>
            </w:tcBorders>
            <w:vAlign w:val="center"/>
            <w:hideMark/>
          </w:tcPr>
          <w:p w14:paraId="1E050005"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66,7</w:t>
            </w:r>
          </w:p>
        </w:tc>
        <w:tc>
          <w:tcPr>
            <w:tcW w:w="1020" w:type="dxa"/>
            <w:tcBorders>
              <w:top w:val="nil"/>
              <w:left w:val="single" w:sz="4" w:space="0" w:color="000000"/>
              <w:bottom w:val="single" w:sz="4" w:space="0" w:color="000000"/>
              <w:right w:val="single" w:sz="4" w:space="0" w:color="000000"/>
            </w:tcBorders>
            <w:vAlign w:val="center"/>
            <w:hideMark/>
          </w:tcPr>
          <w:p w14:paraId="40DE83B4"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33,3</w:t>
            </w:r>
          </w:p>
        </w:tc>
        <w:tc>
          <w:tcPr>
            <w:tcW w:w="853" w:type="dxa"/>
            <w:tcBorders>
              <w:top w:val="nil"/>
              <w:left w:val="single" w:sz="4" w:space="0" w:color="000000"/>
              <w:bottom w:val="single" w:sz="4" w:space="0" w:color="000000"/>
              <w:right w:val="single" w:sz="4" w:space="0" w:color="000000"/>
            </w:tcBorders>
            <w:vAlign w:val="center"/>
            <w:hideMark/>
          </w:tcPr>
          <w:p w14:paraId="336F5999"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20</w:t>
            </w:r>
          </w:p>
        </w:tc>
        <w:tc>
          <w:tcPr>
            <w:tcW w:w="1021" w:type="dxa"/>
            <w:tcBorders>
              <w:top w:val="nil"/>
              <w:left w:val="single" w:sz="4" w:space="0" w:color="000000"/>
              <w:bottom w:val="single" w:sz="4" w:space="0" w:color="000000"/>
              <w:right w:val="single" w:sz="4" w:space="0" w:color="000000"/>
            </w:tcBorders>
            <w:vAlign w:val="center"/>
            <w:hideMark/>
          </w:tcPr>
          <w:p w14:paraId="51CD07D1"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60</w:t>
            </w:r>
          </w:p>
        </w:tc>
        <w:tc>
          <w:tcPr>
            <w:tcW w:w="968" w:type="dxa"/>
            <w:tcBorders>
              <w:top w:val="nil"/>
              <w:left w:val="single" w:sz="4" w:space="0" w:color="000000"/>
              <w:bottom w:val="single" w:sz="4" w:space="0" w:color="000000"/>
              <w:right w:val="single" w:sz="4" w:space="0" w:color="000000"/>
            </w:tcBorders>
            <w:vAlign w:val="center"/>
            <w:hideMark/>
          </w:tcPr>
          <w:p w14:paraId="41B1B079"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9,5</w:t>
            </w:r>
          </w:p>
        </w:tc>
      </w:tr>
      <w:tr w:rsidR="00BB4994" w:rsidRPr="00973028" w14:paraId="4D869245" w14:textId="77777777" w:rsidTr="004927C3">
        <w:trPr>
          <w:trHeight w:val="620"/>
        </w:trPr>
        <w:tc>
          <w:tcPr>
            <w:tcW w:w="2316" w:type="dxa"/>
            <w:tcBorders>
              <w:top w:val="nil"/>
              <w:left w:val="single" w:sz="4" w:space="0" w:color="000000"/>
              <w:bottom w:val="single" w:sz="4" w:space="0" w:color="000000"/>
              <w:right w:val="single" w:sz="4" w:space="0" w:color="000000"/>
            </w:tcBorders>
            <w:vAlign w:val="center"/>
            <w:hideMark/>
          </w:tcPr>
          <w:p w14:paraId="1F6D01F3"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Creación de contenidos y metodologías didácticas para eLearning</w:t>
            </w:r>
          </w:p>
        </w:tc>
        <w:tc>
          <w:tcPr>
            <w:tcW w:w="965" w:type="dxa"/>
            <w:tcBorders>
              <w:top w:val="nil"/>
              <w:left w:val="single" w:sz="4" w:space="0" w:color="000000"/>
              <w:bottom w:val="single" w:sz="4" w:space="0" w:color="000000"/>
              <w:right w:val="single" w:sz="4" w:space="0" w:color="000000"/>
            </w:tcBorders>
            <w:vAlign w:val="center"/>
            <w:hideMark/>
          </w:tcPr>
          <w:p w14:paraId="33F09C66"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22/09 -</w:t>
            </w:r>
          </w:p>
          <w:p w14:paraId="30ACB5B8"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13/11</w:t>
            </w:r>
          </w:p>
        </w:tc>
        <w:tc>
          <w:tcPr>
            <w:tcW w:w="1194" w:type="dxa"/>
            <w:tcBorders>
              <w:top w:val="nil"/>
              <w:left w:val="single" w:sz="4" w:space="0" w:color="000000"/>
              <w:bottom w:val="single" w:sz="4" w:space="0" w:color="000000"/>
              <w:right w:val="single" w:sz="4" w:space="0" w:color="000000"/>
            </w:tcBorders>
            <w:vAlign w:val="center"/>
            <w:hideMark/>
          </w:tcPr>
          <w:p w14:paraId="6CC42450"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3</w:t>
            </w:r>
          </w:p>
        </w:tc>
        <w:tc>
          <w:tcPr>
            <w:tcW w:w="963" w:type="dxa"/>
            <w:tcBorders>
              <w:top w:val="nil"/>
              <w:left w:val="single" w:sz="4" w:space="0" w:color="000000"/>
              <w:bottom w:val="single" w:sz="4" w:space="0" w:color="000000"/>
              <w:right w:val="single" w:sz="4" w:space="0" w:color="000000"/>
            </w:tcBorders>
            <w:vAlign w:val="center"/>
            <w:hideMark/>
          </w:tcPr>
          <w:p w14:paraId="3BB2146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66,7</w:t>
            </w:r>
          </w:p>
        </w:tc>
        <w:tc>
          <w:tcPr>
            <w:tcW w:w="1020" w:type="dxa"/>
            <w:tcBorders>
              <w:top w:val="nil"/>
              <w:left w:val="single" w:sz="4" w:space="0" w:color="000000"/>
              <w:bottom w:val="single" w:sz="4" w:space="0" w:color="000000"/>
              <w:right w:val="single" w:sz="4" w:space="0" w:color="000000"/>
            </w:tcBorders>
            <w:vAlign w:val="center"/>
            <w:hideMark/>
          </w:tcPr>
          <w:p w14:paraId="39C5EA05"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33,3</w:t>
            </w:r>
          </w:p>
        </w:tc>
        <w:tc>
          <w:tcPr>
            <w:tcW w:w="853" w:type="dxa"/>
            <w:tcBorders>
              <w:top w:val="nil"/>
              <w:left w:val="single" w:sz="4" w:space="0" w:color="000000"/>
              <w:bottom w:val="single" w:sz="4" w:space="0" w:color="000000"/>
              <w:right w:val="single" w:sz="4" w:space="0" w:color="000000"/>
            </w:tcBorders>
            <w:vAlign w:val="center"/>
            <w:hideMark/>
          </w:tcPr>
          <w:p w14:paraId="78AF8E8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50</w:t>
            </w:r>
          </w:p>
        </w:tc>
        <w:tc>
          <w:tcPr>
            <w:tcW w:w="1021" w:type="dxa"/>
            <w:tcBorders>
              <w:top w:val="nil"/>
              <w:left w:val="single" w:sz="4" w:space="0" w:color="000000"/>
              <w:bottom w:val="single" w:sz="4" w:space="0" w:color="000000"/>
              <w:right w:val="single" w:sz="4" w:space="0" w:color="000000"/>
            </w:tcBorders>
            <w:vAlign w:val="center"/>
            <w:hideMark/>
          </w:tcPr>
          <w:p w14:paraId="01FC4457"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150</w:t>
            </w:r>
          </w:p>
        </w:tc>
        <w:tc>
          <w:tcPr>
            <w:tcW w:w="968" w:type="dxa"/>
            <w:tcBorders>
              <w:top w:val="nil"/>
              <w:left w:val="single" w:sz="4" w:space="0" w:color="000000"/>
              <w:bottom w:val="single" w:sz="4" w:space="0" w:color="000000"/>
              <w:right w:val="single" w:sz="4" w:space="0" w:color="000000"/>
            </w:tcBorders>
            <w:vAlign w:val="center"/>
            <w:hideMark/>
          </w:tcPr>
          <w:p w14:paraId="45D668FD"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9,6</w:t>
            </w:r>
          </w:p>
        </w:tc>
      </w:tr>
      <w:tr w:rsidR="00BB4994" w:rsidRPr="00973028" w14:paraId="6424A2CB" w14:textId="77777777" w:rsidTr="004927C3">
        <w:trPr>
          <w:trHeight w:val="772"/>
        </w:trPr>
        <w:tc>
          <w:tcPr>
            <w:tcW w:w="2316" w:type="dxa"/>
            <w:tcBorders>
              <w:top w:val="nil"/>
              <w:left w:val="single" w:sz="4" w:space="0" w:color="000000"/>
              <w:bottom w:val="single" w:sz="4" w:space="0" w:color="000000"/>
              <w:right w:val="single" w:sz="4" w:space="0" w:color="000000"/>
            </w:tcBorders>
            <w:vAlign w:val="center"/>
            <w:hideMark/>
          </w:tcPr>
          <w:p w14:paraId="3EA6422D"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IX Congreso Nacional de Auditoria en el Sector Público.</w:t>
            </w:r>
          </w:p>
        </w:tc>
        <w:tc>
          <w:tcPr>
            <w:tcW w:w="965" w:type="dxa"/>
            <w:tcBorders>
              <w:top w:val="nil"/>
              <w:left w:val="single" w:sz="4" w:space="0" w:color="000000"/>
              <w:bottom w:val="single" w:sz="4" w:space="0" w:color="000000"/>
              <w:right w:val="single" w:sz="4" w:space="0" w:color="000000"/>
            </w:tcBorders>
            <w:vAlign w:val="center"/>
            <w:hideMark/>
          </w:tcPr>
          <w:p w14:paraId="0B457B69"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14 - 16 /10</w:t>
            </w:r>
          </w:p>
        </w:tc>
        <w:tc>
          <w:tcPr>
            <w:tcW w:w="1194" w:type="dxa"/>
            <w:tcBorders>
              <w:top w:val="nil"/>
              <w:left w:val="single" w:sz="4" w:space="0" w:color="000000"/>
              <w:bottom w:val="single" w:sz="4" w:space="0" w:color="000000"/>
              <w:right w:val="single" w:sz="4" w:space="0" w:color="000000"/>
            </w:tcBorders>
            <w:vAlign w:val="center"/>
            <w:hideMark/>
          </w:tcPr>
          <w:p w14:paraId="039C346E"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w:t>
            </w:r>
          </w:p>
        </w:tc>
        <w:tc>
          <w:tcPr>
            <w:tcW w:w="963" w:type="dxa"/>
            <w:tcBorders>
              <w:top w:val="nil"/>
              <w:left w:val="single" w:sz="4" w:space="0" w:color="000000"/>
              <w:bottom w:val="single" w:sz="4" w:space="0" w:color="000000"/>
              <w:right w:val="single" w:sz="4" w:space="0" w:color="000000"/>
            </w:tcBorders>
            <w:vAlign w:val="center"/>
            <w:hideMark/>
          </w:tcPr>
          <w:p w14:paraId="1A9405CD"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66,7</w:t>
            </w:r>
          </w:p>
        </w:tc>
        <w:tc>
          <w:tcPr>
            <w:tcW w:w="1020" w:type="dxa"/>
            <w:tcBorders>
              <w:top w:val="nil"/>
              <w:left w:val="single" w:sz="4" w:space="0" w:color="000000"/>
              <w:bottom w:val="single" w:sz="4" w:space="0" w:color="000000"/>
              <w:right w:val="single" w:sz="4" w:space="0" w:color="000000"/>
            </w:tcBorders>
            <w:vAlign w:val="center"/>
            <w:hideMark/>
          </w:tcPr>
          <w:p w14:paraId="3BAF58E6"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33,3</w:t>
            </w:r>
          </w:p>
        </w:tc>
        <w:tc>
          <w:tcPr>
            <w:tcW w:w="853" w:type="dxa"/>
            <w:tcBorders>
              <w:top w:val="nil"/>
              <w:left w:val="single" w:sz="4" w:space="0" w:color="000000"/>
              <w:bottom w:val="single" w:sz="4" w:space="0" w:color="000000"/>
              <w:right w:val="single" w:sz="4" w:space="0" w:color="000000"/>
            </w:tcBorders>
            <w:vAlign w:val="center"/>
            <w:hideMark/>
          </w:tcPr>
          <w:p w14:paraId="50F237B6"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11,5</w:t>
            </w:r>
          </w:p>
        </w:tc>
        <w:tc>
          <w:tcPr>
            <w:tcW w:w="1021" w:type="dxa"/>
            <w:tcBorders>
              <w:top w:val="nil"/>
              <w:left w:val="single" w:sz="4" w:space="0" w:color="000000"/>
              <w:bottom w:val="single" w:sz="4" w:space="0" w:color="000000"/>
              <w:right w:val="single" w:sz="4" w:space="0" w:color="000000"/>
            </w:tcBorders>
            <w:vAlign w:val="center"/>
            <w:hideMark/>
          </w:tcPr>
          <w:p w14:paraId="775017E2"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34,5</w:t>
            </w:r>
          </w:p>
        </w:tc>
        <w:tc>
          <w:tcPr>
            <w:tcW w:w="968" w:type="dxa"/>
            <w:tcBorders>
              <w:top w:val="nil"/>
              <w:left w:val="single" w:sz="4" w:space="0" w:color="000000"/>
              <w:bottom w:val="single" w:sz="4" w:space="0" w:color="000000"/>
              <w:right w:val="single" w:sz="4" w:space="0" w:color="000000"/>
            </w:tcBorders>
            <w:vAlign w:val="center"/>
            <w:hideMark/>
          </w:tcPr>
          <w:p w14:paraId="56B11FF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8,2</w:t>
            </w:r>
          </w:p>
        </w:tc>
      </w:tr>
      <w:tr w:rsidR="00BB4994" w:rsidRPr="00973028" w14:paraId="192CC1B3" w14:textId="77777777" w:rsidTr="004927C3">
        <w:trPr>
          <w:trHeight w:val="648"/>
        </w:trPr>
        <w:tc>
          <w:tcPr>
            <w:tcW w:w="2316" w:type="dxa"/>
            <w:tcBorders>
              <w:top w:val="nil"/>
              <w:left w:val="single" w:sz="4" w:space="0" w:color="000000"/>
              <w:bottom w:val="single" w:sz="4" w:space="0" w:color="000000"/>
              <w:right w:val="single" w:sz="4" w:space="0" w:color="000000"/>
            </w:tcBorders>
            <w:vAlign w:val="center"/>
            <w:hideMark/>
          </w:tcPr>
          <w:p w14:paraId="6C8631F1"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Elaboración de informes periciales y auditoria forense</w:t>
            </w:r>
          </w:p>
        </w:tc>
        <w:tc>
          <w:tcPr>
            <w:tcW w:w="965" w:type="dxa"/>
            <w:tcBorders>
              <w:top w:val="nil"/>
              <w:left w:val="single" w:sz="4" w:space="0" w:color="000000"/>
              <w:bottom w:val="single" w:sz="4" w:space="0" w:color="000000"/>
              <w:right w:val="single" w:sz="4" w:space="0" w:color="000000"/>
            </w:tcBorders>
            <w:vAlign w:val="center"/>
            <w:hideMark/>
          </w:tcPr>
          <w:p w14:paraId="7336CF7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20/ 10</w:t>
            </w:r>
          </w:p>
        </w:tc>
        <w:tc>
          <w:tcPr>
            <w:tcW w:w="1194" w:type="dxa"/>
            <w:tcBorders>
              <w:top w:val="nil"/>
              <w:left w:val="single" w:sz="4" w:space="0" w:color="000000"/>
              <w:bottom w:val="single" w:sz="4" w:space="0" w:color="000000"/>
              <w:right w:val="single" w:sz="4" w:space="0" w:color="000000"/>
            </w:tcBorders>
            <w:vAlign w:val="center"/>
            <w:hideMark/>
          </w:tcPr>
          <w:p w14:paraId="18C26EF0"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4</w:t>
            </w:r>
          </w:p>
        </w:tc>
        <w:tc>
          <w:tcPr>
            <w:tcW w:w="963" w:type="dxa"/>
            <w:tcBorders>
              <w:top w:val="nil"/>
              <w:left w:val="single" w:sz="4" w:space="0" w:color="000000"/>
              <w:bottom w:val="single" w:sz="4" w:space="0" w:color="000000"/>
              <w:right w:val="single" w:sz="4" w:space="0" w:color="000000"/>
            </w:tcBorders>
            <w:vAlign w:val="center"/>
            <w:hideMark/>
          </w:tcPr>
          <w:p w14:paraId="7626AB26"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50</w:t>
            </w:r>
          </w:p>
        </w:tc>
        <w:tc>
          <w:tcPr>
            <w:tcW w:w="1020" w:type="dxa"/>
            <w:tcBorders>
              <w:top w:val="nil"/>
              <w:left w:val="single" w:sz="4" w:space="0" w:color="000000"/>
              <w:bottom w:val="single" w:sz="4" w:space="0" w:color="000000"/>
              <w:right w:val="single" w:sz="4" w:space="0" w:color="000000"/>
            </w:tcBorders>
            <w:vAlign w:val="center"/>
            <w:hideMark/>
          </w:tcPr>
          <w:p w14:paraId="4480D953"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50</w:t>
            </w:r>
          </w:p>
        </w:tc>
        <w:tc>
          <w:tcPr>
            <w:tcW w:w="853" w:type="dxa"/>
            <w:tcBorders>
              <w:top w:val="nil"/>
              <w:left w:val="single" w:sz="4" w:space="0" w:color="000000"/>
              <w:bottom w:val="single" w:sz="4" w:space="0" w:color="000000"/>
              <w:right w:val="single" w:sz="4" w:space="0" w:color="000000"/>
            </w:tcBorders>
            <w:vAlign w:val="center"/>
            <w:hideMark/>
          </w:tcPr>
          <w:p w14:paraId="1E1E1D32"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3</w:t>
            </w:r>
          </w:p>
        </w:tc>
        <w:tc>
          <w:tcPr>
            <w:tcW w:w="1021" w:type="dxa"/>
            <w:tcBorders>
              <w:top w:val="nil"/>
              <w:left w:val="single" w:sz="4" w:space="0" w:color="000000"/>
              <w:bottom w:val="single" w:sz="4" w:space="0" w:color="000000"/>
              <w:right w:val="single" w:sz="4" w:space="0" w:color="000000"/>
            </w:tcBorders>
            <w:vAlign w:val="center"/>
            <w:hideMark/>
          </w:tcPr>
          <w:p w14:paraId="0452CB0E"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12</w:t>
            </w:r>
          </w:p>
        </w:tc>
        <w:tc>
          <w:tcPr>
            <w:tcW w:w="968" w:type="dxa"/>
            <w:tcBorders>
              <w:top w:val="nil"/>
              <w:left w:val="single" w:sz="4" w:space="0" w:color="000000"/>
              <w:bottom w:val="single" w:sz="4" w:space="0" w:color="000000"/>
              <w:right w:val="single" w:sz="4" w:space="0" w:color="000000"/>
            </w:tcBorders>
            <w:vAlign w:val="center"/>
            <w:hideMark/>
          </w:tcPr>
          <w:p w14:paraId="77447AED"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7,7</w:t>
            </w:r>
          </w:p>
        </w:tc>
      </w:tr>
      <w:tr w:rsidR="00BB4994" w:rsidRPr="00973028" w14:paraId="2733098A" w14:textId="77777777" w:rsidTr="004927C3">
        <w:trPr>
          <w:trHeight w:val="87"/>
        </w:trPr>
        <w:tc>
          <w:tcPr>
            <w:tcW w:w="2316" w:type="dxa"/>
            <w:tcBorders>
              <w:top w:val="nil"/>
              <w:left w:val="single" w:sz="4" w:space="0" w:color="000000"/>
              <w:bottom w:val="single" w:sz="4" w:space="0" w:color="000000"/>
              <w:right w:val="single" w:sz="4" w:space="0" w:color="000000"/>
            </w:tcBorders>
            <w:vAlign w:val="center"/>
            <w:hideMark/>
          </w:tcPr>
          <w:p w14:paraId="650F9D35"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Valenciano nivel C1</w:t>
            </w:r>
          </w:p>
        </w:tc>
        <w:tc>
          <w:tcPr>
            <w:tcW w:w="965" w:type="dxa"/>
            <w:tcBorders>
              <w:top w:val="nil"/>
              <w:left w:val="single" w:sz="4" w:space="0" w:color="000000"/>
              <w:bottom w:val="single" w:sz="4" w:space="0" w:color="000000"/>
              <w:right w:val="single" w:sz="4" w:space="0" w:color="000000"/>
            </w:tcBorders>
            <w:vAlign w:val="center"/>
            <w:hideMark/>
          </w:tcPr>
          <w:p w14:paraId="230EE867"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12/2019 -09/2020</w:t>
            </w:r>
          </w:p>
        </w:tc>
        <w:tc>
          <w:tcPr>
            <w:tcW w:w="1194" w:type="dxa"/>
            <w:tcBorders>
              <w:top w:val="nil"/>
              <w:left w:val="single" w:sz="4" w:space="0" w:color="000000"/>
              <w:bottom w:val="single" w:sz="4" w:space="0" w:color="000000"/>
              <w:right w:val="single" w:sz="4" w:space="0" w:color="000000"/>
            </w:tcBorders>
            <w:vAlign w:val="center"/>
            <w:hideMark/>
          </w:tcPr>
          <w:p w14:paraId="0DF66B59"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5</w:t>
            </w:r>
          </w:p>
        </w:tc>
        <w:tc>
          <w:tcPr>
            <w:tcW w:w="963" w:type="dxa"/>
            <w:tcBorders>
              <w:top w:val="nil"/>
              <w:left w:val="single" w:sz="4" w:space="0" w:color="000000"/>
              <w:bottom w:val="single" w:sz="4" w:space="0" w:color="000000"/>
              <w:right w:val="single" w:sz="4" w:space="0" w:color="000000"/>
            </w:tcBorders>
            <w:vAlign w:val="center"/>
            <w:hideMark/>
          </w:tcPr>
          <w:p w14:paraId="4180E416"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80</w:t>
            </w:r>
          </w:p>
        </w:tc>
        <w:tc>
          <w:tcPr>
            <w:tcW w:w="1020" w:type="dxa"/>
            <w:tcBorders>
              <w:top w:val="nil"/>
              <w:left w:val="single" w:sz="4" w:space="0" w:color="000000"/>
              <w:bottom w:val="single" w:sz="4" w:space="0" w:color="000000"/>
              <w:right w:val="single" w:sz="4" w:space="0" w:color="000000"/>
            </w:tcBorders>
            <w:vAlign w:val="center"/>
            <w:hideMark/>
          </w:tcPr>
          <w:p w14:paraId="08BB0706"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20</w:t>
            </w:r>
          </w:p>
        </w:tc>
        <w:tc>
          <w:tcPr>
            <w:tcW w:w="853" w:type="dxa"/>
            <w:tcBorders>
              <w:top w:val="nil"/>
              <w:left w:val="single" w:sz="4" w:space="0" w:color="000000"/>
              <w:bottom w:val="single" w:sz="4" w:space="0" w:color="000000"/>
              <w:right w:val="single" w:sz="4" w:space="0" w:color="000000"/>
            </w:tcBorders>
            <w:vAlign w:val="center"/>
            <w:hideMark/>
          </w:tcPr>
          <w:p w14:paraId="0A091B4B"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64</w:t>
            </w:r>
          </w:p>
        </w:tc>
        <w:tc>
          <w:tcPr>
            <w:tcW w:w="1021" w:type="dxa"/>
            <w:tcBorders>
              <w:top w:val="nil"/>
              <w:left w:val="single" w:sz="4" w:space="0" w:color="000000"/>
              <w:bottom w:val="single" w:sz="4" w:space="0" w:color="000000"/>
              <w:right w:val="single" w:sz="4" w:space="0" w:color="000000"/>
            </w:tcBorders>
            <w:vAlign w:val="center"/>
            <w:hideMark/>
          </w:tcPr>
          <w:p w14:paraId="1A68C2DF"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320</w:t>
            </w:r>
          </w:p>
        </w:tc>
        <w:tc>
          <w:tcPr>
            <w:tcW w:w="968" w:type="dxa"/>
            <w:tcBorders>
              <w:top w:val="nil"/>
              <w:left w:val="single" w:sz="4" w:space="0" w:color="000000"/>
              <w:bottom w:val="single" w:sz="4" w:space="0" w:color="000000"/>
              <w:right w:val="single" w:sz="4" w:space="0" w:color="000000"/>
            </w:tcBorders>
            <w:vAlign w:val="center"/>
            <w:hideMark/>
          </w:tcPr>
          <w:p w14:paraId="4008A873"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s/d</w:t>
            </w:r>
          </w:p>
        </w:tc>
      </w:tr>
      <w:tr w:rsidR="00BB4994" w:rsidRPr="00973028" w14:paraId="46F12B70" w14:textId="77777777" w:rsidTr="004927C3">
        <w:trPr>
          <w:trHeight w:val="304"/>
        </w:trPr>
        <w:tc>
          <w:tcPr>
            <w:tcW w:w="2316" w:type="dxa"/>
            <w:tcBorders>
              <w:top w:val="nil"/>
              <w:left w:val="single" w:sz="4" w:space="0" w:color="000000"/>
              <w:bottom w:val="single" w:sz="4" w:space="0" w:color="000000"/>
              <w:right w:val="single" w:sz="4" w:space="0" w:color="000000"/>
            </w:tcBorders>
            <w:vAlign w:val="center"/>
            <w:hideMark/>
          </w:tcPr>
          <w:p w14:paraId="6C01AABA"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Valenciano nivel C2</w:t>
            </w:r>
          </w:p>
        </w:tc>
        <w:tc>
          <w:tcPr>
            <w:tcW w:w="965" w:type="dxa"/>
            <w:tcBorders>
              <w:top w:val="nil"/>
              <w:left w:val="single" w:sz="4" w:space="0" w:color="000000"/>
              <w:bottom w:val="single" w:sz="4" w:space="0" w:color="000000"/>
              <w:right w:val="single" w:sz="4" w:space="0" w:color="000000"/>
            </w:tcBorders>
            <w:vAlign w:val="center"/>
            <w:hideMark/>
          </w:tcPr>
          <w:p w14:paraId="16FF993C"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12/2019 -09/2020</w:t>
            </w:r>
          </w:p>
        </w:tc>
        <w:tc>
          <w:tcPr>
            <w:tcW w:w="1194" w:type="dxa"/>
            <w:tcBorders>
              <w:top w:val="nil"/>
              <w:left w:val="single" w:sz="4" w:space="0" w:color="000000"/>
              <w:bottom w:val="single" w:sz="4" w:space="0" w:color="000000"/>
              <w:right w:val="single" w:sz="4" w:space="0" w:color="000000"/>
            </w:tcBorders>
            <w:vAlign w:val="center"/>
            <w:hideMark/>
          </w:tcPr>
          <w:p w14:paraId="66A6496B"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8</w:t>
            </w:r>
          </w:p>
        </w:tc>
        <w:tc>
          <w:tcPr>
            <w:tcW w:w="963" w:type="dxa"/>
            <w:tcBorders>
              <w:top w:val="nil"/>
              <w:left w:val="single" w:sz="4" w:space="0" w:color="000000"/>
              <w:bottom w:val="single" w:sz="4" w:space="0" w:color="000000"/>
              <w:right w:val="single" w:sz="4" w:space="0" w:color="000000"/>
            </w:tcBorders>
            <w:vAlign w:val="center"/>
            <w:hideMark/>
          </w:tcPr>
          <w:p w14:paraId="145B77AC"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75</w:t>
            </w:r>
          </w:p>
        </w:tc>
        <w:tc>
          <w:tcPr>
            <w:tcW w:w="1020" w:type="dxa"/>
            <w:tcBorders>
              <w:top w:val="nil"/>
              <w:left w:val="single" w:sz="4" w:space="0" w:color="000000"/>
              <w:bottom w:val="single" w:sz="4" w:space="0" w:color="000000"/>
              <w:right w:val="single" w:sz="4" w:space="0" w:color="000000"/>
            </w:tcBorders>
            <w:vAlign w:val="center"/>
            <w:hideMark/>
          </w:tcPr>
          <w:p w14:paraId="140AC73F"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25</w:t>
            </w:r>
          </w:p>
        </w:tc>
        <w:tc>
          <w:tcPr>
            <w:tcW w:w="853" w:type="dxa"/>
            <w:tcBorders>
              <w:top w:val="nil"/>
              <w:left w:val="single" w:sz="4" w:space="0" w:color="000000"/>
              <w:bottom w:val="single" w:sz="4" w:space="0" w:color="000000"/>
              <w:right w:val="single" w:sz="4" w:space="0" w:color="000000"/>
            </w:tcBorders>
            <w:vAlign w:val="center"/>
            <w:hideMark/>
          </w:tcPr>
          <w:p w14:paraId="7C8A737B"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70</w:t>
            </w:r>
          </w:p>
        </w:tc>
        <w:tc>
          <w:tcPr>
            <w:tcW w:w="1021" w:type="dxa"/>
            <w:tcBorders>
              <w:top w:val="nil"/>
              <w:left w:val="single" w:sz="4" w:space="0" w:color="000000"/>
              <w:bottom w:val="single" w:sz="4" w:space="0" w:color="000000"/>
              <w:right w:val="single" w:sz="4" w:space="0" w:color="000000"/>
            </w:tcBorders>
            <w:vAlign w:val="center"/>
            <w:hideMark/>
          </w:tcPr>
          <w:p w14:paraId="667D2D58"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560</w:t>
            </w:r>
          </w:p>
        </w:tc>
        <w:tc>
          <w:tcPr>
            <w:tcW w:w="968" w:type="dxa"/>
            <w:tcBorders>
              <w:top w:val="nil"/>
              <w:left w:val="single" w:sz="4" w:space="0" w:color="000000"/>
              <w:bottom w:val="single" w:sz="4" w:space="0" w:color="000000"/>
              <w:right w:val="single" w:sz="4" w:space="0" w:color="000000"/>
            </w:tcBorders>
            <w:vAlign w:val="center"/>
            <w:hideMark/>
          </w:tcPr>
          <w:p w14:paraId="6B4165F4"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b/>
                <w:bCs/>
                <w:color w:val="C9211E"/>
                <w:kern w:val="2"/>
                <w:sz w:val="18"/>
                <w:szCs w:val="18"/>
                <w:lang w:eastAsia="zh-CN" w:bidi="hi-IN"/>
              </w:rPr>
            </w:pPr>
            <w:r w:rsidRPr="00973028">
              <w:rPr>
                <w:rFonts w:ascii="Arial" w:eastAsia="Open Sans" w:hAnsi="Arial" w:cs="Arial"/>
                <w:kern w:val="2"/>
                <w:sz w:val="18"/>
                <w:szCs w:val="18"/>
                <w:lang w:eastAsia="zh-CN" w:bidi="hi-IN"/>
              </w:rPr>
              <w:t>s/d</w:t>
            </w:r>
          </w:p>
        </w:tc>
      </w:tr>
      <w:tr w:rsidR="00BB4994" w:rsidRPr="00973028" w14:paraId="7D93E8FE" w14:textId="77777777" w:rsidTr="004927C3">
        <w:trPr>
          <w:trHeight w:val="87"/>
        </w:trPr>
        <w:tc>
          <w:tcPr>
            <w:tcW w:w="2316" w:type="dxa"/>
            <w:tcBorders>
              <w:top w:val="nil"/>
              <w:left w:val="single" w:sz="4" w:space="0" w:color="000000"/>
              <w:bottom w:val="single" w:sz="4" w:space="0" w:color="000000"/>
              <w:right w:val="single" w:sz="4" w:space="0" w:color="000000"/>
            </w:tcBorders>
            <w:vAlign w:val="center"/>
            <w:hideMark/>
          </w:tcPr>
          <w:p w14:paraId="2D1C53CF"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Llenguatge Administratiu Valencià</w:t>
            </w:r>
          </w:p>
        </w:tc>
        <w:tc>
          <w:tcPr>
            <w:tcW w:w="965" w:type="dxa"/>
            <w:tcBorders>
              <w:top w:val="nil"/>
              <w:left w:val="single" w:sz="4" w:space="0" w:color="000000"/>
              <w:bottom w:val="single" w:sz="4" w:space="0" w:color="000000"/>
              <w:right w:val="single" w:sz="4" w:space="0" w:color="000000"/>
            </w:tcBorders>
            <w:vAlign w:val="center"/>
            <w:hideMark/>
          </w:tcPr>
          <w:p w14:paraId="32C80A29"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12/2019 -09/2020</w:t>
            </w:r>
          </w:p>
        </w:tc>
        <w:tc>
          <w:tcPr>
            <w:tcW w:w="1194" w:type="dxa"/>
            <w:tcBorders>
              <w:top w:val="nil"/>
              <w:left w:val="single" w:sz="4" w:space="0" w:color="000000"/>
              <w:bottom w:val="single" w:sz="4" w:space="0" w:color="000000"/>
              <w:right w:val="single" w:sz="4" w:space="0" w:color="000000"/>
            </w:tcBorders>
            <w:vAlign w:val="center"/>
            <w:hideMark/>
          </w:tcPr>
          <w:p w14:paraId="3F3A9831"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7</w:t>
            </w:r>
          </w:p>
        </w:tc>
        <w:tc>
          <w:tcPr>
            <w:tcW w:w="963" w:type="dxa"/>
            <w:tcBorders>
              <w:top w:val="nil"/>
              <w:left w:val="single" w:sz="4" w:space="0" w:color="000000"/>
              <w:bottom w:val="single" w:sz="4" w:space="0" w:color="000000"/>
              <w:right w:val="single" w:sz="4" w:space="0" w:color="000000"/>
            </w:tcBorders>
            <w:vAlign w:val="center"/>
            <w:hideMark/>
          </w:tcPr>
          <w:p w14:paraId="45ED6CB6"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100</w:t>
            </w:r>
          </w:p>
        </w:tc>
        <w:tc>
          <w:tcPr>
            <w:tcW w:w="1020" w:type="dxa"/>
            <w:tcBorders>
              <w:top w:val="nil"/>
              <w:left w:val="single" w:sz="4" w:space="0" w:color="000000"/>
              <w:bottom w:val="single" w:sz="4" w:space="0" w:color="000000"/>
              <w:right w:val="single" w:sz="4" w:space="0" w:color="000000"/>
            </w:tcBorders>
            <w:vAlign w:val="center"/>
            <w:hideMark/>
          </w:tcPr>
          <w:p w14:paraId="407064F3"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0</w:t>
            </w:r>
          </w:p>
        </w:tc>
        <w:tc>
          <w:tcPr>
            <w:tcW w:w="853" w:type="dxa"/>
            <w:tcBorders>
              <w:top w:val="nil"/>
              <w:left w:val="single" w:sz="4" w:space="0" w:color="000000"/>
              <w:bottom w:val="single" w:sz="4" w:space="0" w:color="000000"/>
              <w:right w:val="single" w:sz="4" w:space="0" w:color="000000"/>
            </w:tcBorders>
            <w:vAlign w:val="center"/>
            <w:hideMark/>
          </w:tcPr>
          <w:p w14:paraId="32DD8828"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66</w:t>
            </w:r>
          </w:p>
        </w:tc>
        <w:tc>
          <w:tcPr>
            <w:tcW w:w="1021" w:type="dxa"/>
            <w:tcBorders>
              <w:top w:val="nil"/>
              <w:left w:val="single" w:sz="4" w:space="0" w:color="000000"/>
              <w:bottom w:val="single" w:sz="4" w:space="0" w:color="000000"/>
              <w:right w:val="single" w:sz="4" w:space="0" w:color="000000"/>
            </w:tcBorders>
            <w:vAlign w:val="center"/>
            <w:hideMark/>
          </w:tcPr>
          <w:p w14:paraId="77BD441D"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462</w:t>
            </w:r>
          </w:p>
        </w:tc>
        <w:tc>
          <w:tcPr>
            <w:tcW w:w="968" w:type="dxa"/>
            <w:tcBorders>
              <w:top w:val="nil"/>
              <w:left w:val="single" w:sz="4" w:space="0" w:color="000000"/>
              <w:bottom w:val="single" w:sz="4" w:space="0" w:color="000000"/>
              <w:right w:val="single" w:sz="4" w:space="0" w:color="000000"/>
            </w:tcBorders>
            <w:vAlign w:val="center"/>
            <w:hideMark/>
          </w:tcPr>
          <w:p w14:paraId="32EB07B8"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b/>
                <w:bCs/>
                <w:color w:val="C9211E"/>
                <w:kern w:val="2"/>
                <w:sz w:val="18"/>
                <w:szCs w:val="18"/>
                <w:lang w:eastAsia="zh-CN" w:bidi="hi-IN"/>
              </w:rPr>
            </w:pPr>
            <w:r w:rsidRPr="00973028">
              <w:rPr>
                <w:rFonts w:ascii="Arial" w:eastAsia="Open Sans" w:hAnsi="Arial" w:cs="Arial"/>
                <w:kern w:val="2"/>
                <w:sz w:val="18"/>
                <w:szCs w:val="18"/>
                <w:lang w:eastAsia="zh-CN" w:bidi="hi-IN"/>
              </w:rPr>
              <w:t>s/d</w:t>
            </w:r>
          </w:p>
        </w:tc>
      </w:tr>
      <w:tr w:rsidR="00BB4994" w:rsidRPr="00973028" w14:paraId="6BD67F9A" w14:textId="77777777" w:rsidTr="004927C3">
        <w:trPr>
          <w:trHeight w:val="87"/>
        </w:trPr>
        <w:tc>
          <w:tcPr>
            <w:tcW w:w="2316" w:type="dxa"/>
            <w:tcBorders>
              <w:top w:val="nil"/>
              <w:left w:val="single" w:sz="4" w:space="0" w:color="000000"/>
              <w:bottom w:val="single" w:sz="4" w:space="0" w:color="000000"/>
              <w:right w:val="single" w:sz="4" w:space="0" w:color="000000"/>
            </w:tcBorders>
            <w:vAlign w:val="center"/>
            <w:hideMark/>
          </w:tcPr>
          <w:p w14:paraId="2E5E5F98"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Uso de la base de datos jurídica Aranzadi Insignis</w:t>
            </w:r>
          </w:p>
        </w:tc>
        <w:tc>
          <w:tcPr>
            <w:tcW w:w="965" w:type="dxa"/>
            <w:tcBorders>
              <w:top w:val="nil"/>
              <w:left w:val="single" w:sz="4" w:space="0" w:color="000000"/>
              <w:bottom w:val="single" w:sz="4" w:space="0" w:color="000000"/>
              <w:right w:val="single" w:sz="4" w:space="0" w:color="000000"/>
            </w:tcBorders>
            <w:vAlign w:val="center"/>
            <w:hideMark/>
          </w:tcPr>
          <w:p w14:paraId="758625D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30 /12</w:t>
            </w:r>
          </w:p>
        </w:tc>
        <w:tc>
          <w:tcPr>
            <w:tcW w:w="1194" w:type="dxa"/>
            <w:tcBorders>
              <w:top w:val="nil"/>
              <w:left w:val="single" w:sz="4" w:space="0" w:color="000000"/>
              <w:bottom w:val="single" w:sz="4" w:space="0" w:color="000000"/>
              <w:right w:val="single" w:sz="4" w:space="0" w:color="000000"/>
            </w:tcBorders>
            <w:vAlign w:val="center"/>
            <w:hideMark/>
          </w:tcPr>
          <w:p w14:paraId="36672205"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26</w:t>
            </w:r>
          </w:p>
        </w:tc>
        <w:tc>
          <w:tcPr>
            <w:tcW w:w="963" w:type="dxa"/>
            <w:tcBorders>
              <w:top w:val="nil"/>
              <w:left w:val="single" w:sz="4" w:space="0" w:color="000000"/>
              <w:bottom w:val="single" w:sz="4" w:space="0" w:color="000000"/>
              <w:right w:val="single" w:sz="4" w:space="0" w:color="000000"/>
            </w:tcBorders>
            <w:vAlign w:val="center"/>
            <w:hideMark/>
          </w:tcPr>
          <w:p w14:paraId="2D90DD2E"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69,2</w:t>
            </w:r>
          </w:p>
        </w:tc>
        <w:tc>
          <w:tcPr>
            <w:tcW w:w="1020" w:type="dxa"/>
            <w:tcBorders>
              <w:top w:val="nil"/>
              <w:left w:val="single" w:sz="4" w:space="0" w:color="000000"/>
              <w:bottom w:val="single" w:sz="4" w:space="0" w:color="000000"/>
              <w:right w:val="single" w:sz="4" w:space="0" w:color="000000"/>
            </w:tcBorders>
            <w:vAlign w:val="center"/>
            <w:hideMark/>
          </w:tcPr>
          <w:p w14:paraId="2981EC81"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30,8</w:t>
            </w:r>
          </w:p>
        </w:tc>
        <w:tc>
          <w:tcPr>
            <w:tcW w:w="853" w:type="dxa"/>
            <w:tcBorders>
              <w:top w:val="nil"/>
              <w:left w:val="single" w:sz="4" w:space="0" w:color="000000"/>
              <w:bottom w:val="single" w:sz="4" w:space="0" w:color="000000"/>
              <w:right w:val="single" w:sz="4" w:space="0" w:color="000000"/>
            </w:tcBorders>
            <w:vAlign w:val="center"/>
            <w:hideMark/>
          </w:tcPr>
          <w:p w14:paraId="785ACC94"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w:t>
            </w:r>
          </w:p>
        </w:tc>
        <w:tc>
          <w:tcPr>
            <w:tcW w:w="1021" w:type="dxa"/>
            <w:tcBorders>
              <w:top w:val="nil"/>
              <w:left w:val="single" w:sz="4" w:space="0" w:color="000000"/>
              <w:bottom w:val="single" w:sz="4" w:space="0" w:color="000000"/>
              <w:right w:val="single" w:sz="4" w:space="0" w:color="000000"/>
            </w:tcBorders>
            <w:vAlign w:val="center"/>
            <w:hideMark/>
          </w:tcPr>
          <w:p w14:paraId="4E67410D"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52</w:t>
            </w:r>
          </w:p>
        </w:tc>
        <w:tc>
          <w:tcPr>
            <w:tcW w:w="968" w:type="dxa"/>
            <w:tcBorders>
              <w:top w:val="nil"/>
              <w:left w:val="single" w:sz="4" w:space="0" w:color="000000"/>
              <w:bottom w:val="single" w:sz="4" w:space="0" w:color="000000"/>
              <w:right w:val="single" w:sz="4" w:space="0" w:color="000000"/>
            </w:tcBorders>
            <w:vAlign w:val="center"/>
            <w:hideMark/>
          </w:tcPr>
          <w:p w14:paraId="6A377027"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s/d</w:t>
            </w:r>
          </w:p>
        </w:tc>
      </w:tr>
      <w:tr w:rsidR="00BB4994" w:rsidRPr="00973028" w14:paraId="570DF641" w14:textId="77777777" w:rsidTr="004927C3">
        <w:trPr>
          <w:trHeight w:val="87"/>
        </w:trPr>
        <w:tc>
          <w:tcPr>
            <w:tcW w:w="2316" w:type="dxa"/>
            <w:tcBorders>
              <w:top w:val="nil"/>
              <w:left w:val="single" w:sz="4" w:space="0" w:color="000000"/>
              <w:bottom w:val="single" w:sz="4" w:space="0" w:color="000000"/>
              <w:right w:val="single" w:sz="4" w:space="0" w:color="000000"/>
            </w:tcBorders>
            <w:vAlign w:val="center"/>
            <w:hideMark/>
          </w:tcPr>
          <w:p w14:paraId="1EEA2551"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Peritos en Compliance</w:t>
            </w:r>
          </w:p>
        </w:tc>
        <w:tc>
          <w:tcPr>
            <w:tcW w:w="965" w:type="dxa"/>
            <w:tcBorders>
              <w:top w:val="nil"/>
              <w:left w:val="single" w:sz="4" w:space="0" w:color="000000"/>
              <w:bottom w:val="single" w:sz="4" w:space="0" w:color="000000"/>
              <w:right w:val="single" w:sz="4" w:space="0" w:color="000000"/>
            </w:tcBorders>
            <w:vAlign w:val="center"/>
            <w:hideMark/>
          </w:tcPr>
          <w:p w14:paraId="17A65D55"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11/2020 - 02/2021</w:t>
            </w:r>
          </w:p>
        </w:tc>
        <w:tc>
          <w:tcPr>
            <w:tcW w:w="1194" w:type="dxa"/>
            <w:tcBorders>
              <w:top w:val="nil"/>
              <w:left w:val="single" w:sz="4" w:space="0" w:color="000000"/>
              <w:bottom w:val="single" w:sz="4" w:space="0" w:color="000000"/>
              <w:right w:val="single" w:sz="4" w:space="0" w:color="000000"/>
            </w:tcBorders>
            <w:vAlign w:val="center"/>
            <w:hideMark/>
          </w:tcPr>
          <w:p w14:paraId="6457559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15</w:t>
            </w:r>
          </w:p>
        </w:tc>
        <w:tc>
          <w:tcPr>
            <w:tcW w:w="963" w:type="dxa"/>
            <w:tcBorders>
              <w:top w:val="nil"/>
              <w:left w:val="single" w:sz="4" w:space="0" w:color="000000"/>
              <w:bottom w:val="single" w:sz="4" w:space="0" w:color="000000"/>
              <w:right w:val="single" w:sz="4" w:space="0" w:color="000000"/>
            </w:tcBorders>
            <w:vAlign w:val="center"/>
            <w:hideMark/>
          </w:tcPr>
          <w:p w14:paraId="057BD8F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86,7</w:t>
            </w:r>
          </w:p>
        </w:tc>
        <w:tc>
          <w:tcPr>
            <w:tcW w:w="1020" w:type="dxa"/>
            <w:tcBorders>
              <w:top w:val="nil"/>
              <w:left w:val="single" w:sz="4" w:space="0" w:color="000000"/>
              <w:bottom w:val="single" w:sz="4" w:space="0" w:color="000000"/>
              <w:right w:val="single" w:sz="4" w:space="0" w:color="000000"/>
            </w:tcBorders>
            <w:vAlign w:val="center"/>
            <w:hideMark/>
          </w:tcPr>
          <w:p w14:paraId="7B3FB51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2,3</w:t>
            </w:r>
          </w:p>
        </w:tc>
        <w:tc>
          <w:tcPr>
            <w:tcW w:w="853" w:type="dxa"/>
            <w:tcBorders>
              <w:top w:val="nil"/>
              <w:left w:val="single" w:sz="4" w:space="0" w:color="000000"/>
              <w:bottom w:val="single" w:sz="4" w:space="0" w:color="000000"/>
              <w:right w:val="single" w:sz="4" w:space="0" w:color="000000"/>
            </w:tcBorders>
            <w:vAlign w:val="center"/>
            <w:hideMark/>
          </w:tcPr>
          <w:p w14:paraId="56138ED2"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32</w:t>
            </w:r>
          </w:p>
        </w:tc>
        <w:tc>
          <w:tcPr>
            <w:tcW w:w="1021" w:type="dxa"/>
            <w:tcBorders>
              <w:top w:val="nil"/>
              <w:left w:val="single" w:sz="4" w:space="0" w:color="000000"/>
              <w:bottom w:val="single" w:sz="4" w:space="0" w:color="000000"/>
              <w:right w:val="single" w:sz="4" w:space="0" w:color="000000"/>
            </w:tcBorders>
            <w:vAlign w:val="center"/>
            <w:hideMark/>
          </w:tcPr>
          <w:p w14:paraId="475AE92D"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480</w:t>
            </w:r>
          </w:p>
        </w:tc>
        <w:tc>
          <w:tcPr>
            <w:tcW w:w="968" w:type="dxa"/>
            <w:tcBorders>
              <w:top w:val="nil"/>
              <w:left w:val="single" w:sz="4" w:space="0" w:color="000000"/>
              <w:bottom w:val="single" w:sz="4" w:space="0" w:color="000000"/>
              <w:right w:val="single" w:sz="4" w:space="0" w:color="000000"/>
            </w:tcBorders>
            <w:vAlign w:val="center"/>
            <w:hideMark/>
          </w:tcPr>
          <w:p w14:paraId="05B049D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Finaliza en 2021</w:t>
            </w:r>
          </w:p>
        </w:tc>
      </w:tr>
      <w:tr w:rsidR="00BB4994" w:rsidRPr="00973028" w14:paraId="29FE4865" w14:textId="77777777" w:rsidTr="008145AC">
        <w:trPr>
          <w:trHeight w:val="87"/>
        </w:trPr>
        <w:tc>
          <w:tcPr>
            <w:tcW w:w="3281" w:type="dxa"/>
            <w:gridSpan w:val="2"/>
            <w:tcBorders>
              <w:top w:val="single" w:sz="4" w:space="0" w:color="000000"/>
              <w:left w:val="nil"/>
              <w:bottom w:val="nil"/>
              <w:right w:val="single" w:sz="4" w:space="0" w:color="000000"/>
            </w:tcBorders>
            <w:vAlign w:val="center"/>
            <w:hideMark/>
          </w:tcPr>
          <w:p w14:paraId="4DACEF15" w14:textId="77777777" w:rsidR="00BB4994" w:rsidRPr="00973028" w:rsidRDefault="00BB4994" w:rsidP="00BB4994">
            <w:pPr>
              <w:widowControl w:val="0"/>
              <w:suppressAutoHyphens/>
              <w:autoSpaceDN w:val="0"/>
              <w:spacing w:after="0" w:line="240" w:lineRule="auto"/>
              <w:jc w:val="both"/>
              <w:rPr>
                <w:rFonts w:ascii="Arial" w:eastAsia="Open Sans" w:hAnsi="Arial" w:cs="Arial"/>
                <w:kern w:val="2"/>
                <w:sz w:val="18"/>
                <w:szCs w:val="18"/>
                <w:lang w:eastAsia="zh-CN" w:bidi="hi-IN"/>
              </w:rPr>
            </w:pPr>
            <w:r w:rsidRPr="00973028">
              <w:rPr>
                <w:rFonts w:ascii="Arial" w:eastAsia="Open Sans" w:hAnsi="Arial" w:cs="Arial"/>
                <w:b/>
                <w:bCs/>
                <w:kern w:val="2"/>
                <w:sz w:val="18"/>
                <w:szCs w:val="18"/>
                <w:lang w:eastAsia="zh-CN" w:bidi="hi-IN"/>
              </w:rPr>
              <w:t xml:space="preserve">Total : </w:t>
            </w:r>
          </w:p>
        </w:tc>
        <w:tc>
          <w:tcPr>
            <w:tcW w:w="1194" w:type="dxa"/>
            <w:tcBorders>
              <w:top w:val="nil"/>
              <w:left w:val="nil"/>
              <w:bottom w:val="single" w:sz="8" w:space="0" w:color="000000"/>
              <w:right w:val="single" w:sz="8" w:space="0" w:color="000000"/>
            </w:tcBorders>
            <w:shd w:val="clear" w:color="auto" w:fill="D9D9D9" w:themeFill="background1" w:themeFillShade="D9"/>
            <w:vAlign w:val="center"/>
            <w:hideMark/>
          </w:tcPr>
          <w:p w14:paraId="7E5CDFCD"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226 asistencias</w:t>
            </w:r>
          </w:p>
        </w:tc>
        <w:tc>
          <w:tcPr>
            <w:tcW w:w="963" w:type="dxa"/>
            <w:tcBorders>
              <w:top w:val="nil"/>
              <w:left w:val="nil"/>
              <w:bottom w:val="single" w:sz="8" w:space="0" w:color="000000"/>
              <w:right w:val="single" w:sz="8" w:space="0" w:color="000000"/>
            </w:tcBorders>
            <w:shd w:val="clear" w:color="auto" w:fill="D9D9D9" w:themeFill="background1" w:themeFillShade="D9"/>
            <w:vAlign w:val="center"/>
            <w:hideMark/>
          </w:tcPr>
          <w:p w14:paraId="4C02C03F" w14:textId="77777777" w:rsidR="00BB4994" w:rsidRPr="00973028" w:rsidRDefault="00BB4994" w:rsidP="00BB4994">
            <w:pPr>
              <w:suppressAutoHyphens/>
              <w:autoSpaceDN w:val="0"/>
              <w:spacing w:after="0" w:line="240" w:lineRule="auto"/>
              <w:jc w:val="both"/>
              <w:rPr>
                <w:rFonts w:ascii="Arial" w:eastAsia="Calibri" w:hAnsi="Arial" w:cs="Arial"/>
                <w:b/>
                <w:bCs/>
                <w:sz w:val="18"/>
                <w:szCs w:val="18"/>
              </w:rPr>
            </w:pPr>
            <w:r w:rsidRPr="00973028">
              <w:rPr>
                <w:rFonts w:ascii="Arial" w:eastAsia="Calibri" w:hAnsi="Arial" w:cs="Arial"/>
                <w:b/>
                <w:bCs/>
                <w:color w:val="000000"/>
                <w:sz w:val="18"/>
                <w:szCs w:val="18"/>
              </w:rPr>
              <w:t>76,1% mujeres</w:t>
            </w:r>
          </w:p>
        </w:tc>
        <w:tc>
          <w:tcPr>
            <w:tcW w:w="1020" w:type="dxa"/>
            <w:tcBorders>
              <w:top w:val="nil"/>
              <w:left w:val="nil"/>
              <w:bottom w:val="single" w:sz="8" w:space="0" w:color="000000"/>
              <w:right w:val="single" w:sz="8" w:space="0" w:color="000000"/>
            </w:tcBorders>
            <w:shd w:val="clear" w:color="auto" w:fill="D9D9D9" w:themeFill="background1" w:themeFillShade="D9"/>
            <w:vAlign w:val="center"/>
            <w:hideMark/>
          </w:tcPr>
          <w:p w14:paraId="209605A2" w14:textId="77777777" w:rsidR="00BB4994" w:rsidRPr="00973028" w:rsidRDefault="00BB4994" w:rsidP="00BB4994">
            <w:pPr>
              <w:suppressAutoHyphens/>
              <w:autoSpaceDN w:val="0"/>
              <w:spacing w:after="0" w:line="240" w:lineRule="auto"/>
              <w:jc w:val="both"/>
              <w:rPr>
                <w:rFonts w:ascii="Arial" w:eastAsia="Calibri" w:hAnsi="Arial" w:cs="Arial"/>
                <w:b/>
                <w:bCs/>
                <w:sz w:val="18"/>
                <w:szCs w:val="18"/>
              </w:rPr>
            </w:pPr>
            <w:r w:rsidRPr="00973028">
              <w:rPr>
                <w:rFonts w:ascii="Arial" w:eastAsia="Calibri" w:hAnsi="Arial" w:cs="Arial"/>
                <w:b/>
                <w:bCs/>
                <w:color w:val="000000"/>
                <w:sz w:val="18"/>
                <w:szCs w:val="18"/>
              </w:rPr>
              <w:t>23,9 % hombres</w:t>
            </w:r>
          </w:p>
        </w:tc>
        <w:tc>
          <w:tcPr>
            <w:tcW w:w="853" w:type="dxa"/>
            <w:tcBorders>
              <w:top w:val="nil"/>
              <w:left w:val="nil"/>
              <w:bottom w:val="single" w:sz="8" w:space="0" w:color="000000"/>
              <w:right w:val="single" w:sz="8" w:space="0" w:color="000000"/>
            </w:tcBorders>
            <w:shd w:val="clear" w:color="auto" w:fill="D9D9D9" w:themeFill="background1" w:themeFillShade="D9"/>
            <w:vAlign w:val="center"/>
            <w:hideMark/>
          </w:tcPr>
          <w:p w14:paraId="3662DC0A" w14:textId="77777777" w:rsidR="00BB4994" w:rsidRPr="00973028" w:rsidRDefault="00BB4994" w:rsidP="00BB4994">
            <w:pPr>
              <w:suppressAutoHyphens/>
              <w:autoSpaceDN w:val="0"/>
              <w:spacing w:after="0" w:line="240" w:lineRule="auto"/>
              <w:jc w:val="both"/>
              <w:rPr>
                <w:rFonts w:ascii="Arial" w:eastAsia="Calibri" w:hAnsi="Arial" w:cs="Arial"/>
                <w:b/>
                <w:bCs/>
                <w:color w:val="000000"/>
                <w:sz w:val="18"/>
                <w:szCs w:val="18"/>
              </w:rPr>
            </w:pPr>
            <w:r w:rsidRPr="00973028">
              <w:rPr>
                <w:rFonts w:ascii="Arial" w:eastAsia="Calibri" w:hAnsi="Arial" w:cs="Arial"/>
                <w:b/>
                <w:bCs/>
                <w:color w:val="000000"/>
                <w:sz w:val="18"/>
                <w:szCs w:val="18"/>
              </w:rPr>
              <w:t>847,5</w:t>
            </w:r>
          </w:p>
          <w:p w14:paraId="09A02A5A"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color w:val="000000"/>
                <w:kern w:val="2"/>
                <w:sz w:val="18"/>
                <w:szCs w:val="18"/>
                <w:lang w:eastAsia="zh-CN" w:bidi="hi-IN"/>
              </w:rPr>
              <w:t>horas cursos</w:t>
            </w:r>
          </w:p>
        </w:tc>
        <w:tc>
          <w:tcPr>
            <w:tcW w:w="1021" w:type="dxa"/>
            <w:tcBorders>
              <w:top w:val="nil"/>
              <w:left w:val="nil"/>
              <w:bottom w:val="single" w:sz="8" w:space="0" w:color="000000"/>
              <w:right w:val="single" w:sz="8" w:space="0" w:color="000000"/>
            </w:tcBorders>
            <w:shd w:val="clear" w:color="auto" w:fill="D9D9D9" w:themeFill="background1" w:themeFillShade="D9"/>
            <w:vAlign w:val="center"/>
            <w:hideMark/>
          </w:tcPr>
          <w:p w14:paraId="60857371" w14:textId="77777777" w:rsidR="00BB4994" w:rsidRPr="00973028" w:rsidRDefault="00BB4994" w:rsidP="00BB4994">
            <w:pPr>
              <w:suppressAutoHyphens/>
              <w:autoSpaceDN w:val="0"/>
              <w:spacing w:after="0" w:line="240" w:lineRule="auto"/>
              <w:jc w:val="both"/>
              <w:rPr>
                <w:rFonts w:ascii="Arial" w:eastAsia="Calibri" w:hAnsi="Arial" w:cs="Arial"/>
                <w:b/>
                <w:bCs/>
                <w:color w:val="000000"/>
                <w:sz w:val="18"/>
                <w:szCs w:val="18"/>
              </w:rPr>
            </w:pPr>
            <w:r w:rsidRPr="00973028">
              <w:rPr>
                <w:rFonts w:ascii="Arial" w:eastAsia="Calibri" w:hAnsi="Arial" w:cs="Arial"/>
                <w:b/>
                <w:bCs/>
                <w:color w:val="000000"/>
                <w:sz w:val="18"/>
                <w:szCs w:val="18"/>
              </w:rPr>
              <w:t>3866,5</w:t>
            </w:r>
          </w:p>
          <w:p w14:paraId="7AAAB174"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b/>
                <w:bCs/>
                <w:kern w:val="2"/>
                <w:sz w:val="18"/>
                <w:szCs w:val="18"/>
                <w:lang w:eastAsia="zh-CN" w:bidi="hi-IN"/>
              </w:rPr>
            </w:pPr>
            <w:r w:rsidRPr="00973028">
              <w:rPr>
                <w:rFonts w:ascii="Arial" w:eastAsia="Open Sans" w:hAnsi="Arial" w:cs="Arial"/>
                <w:b/>
                <w:bCs/>
                <w:color w:val="000000"/>
                <w:kern w:val="2"/>
                <w:sz w:val="18"/>
                <w:szCs w:val="18"/>
                <w:lang w:eastAsia="zh-CN" w:bidi="hi-IN"/>
              </w:rPr>
              <w:t xml:space="preserve"> horas totales </w:t>
            </w:r>
          </w:p>
        </w:tc>
        <w:tc>
          <w:tcPr>
            <w:tcW w:w="968" w:type="dxa"/>
            <w:tcBorders>
              <w:top w:val="nil"/>
              <w:left w:val="nil"/>
              <w:bottom w:val="single" w:sz="8" w:space="0" w:color="000000"/>
              <w:right w:val="single" w:sz="8" w:space="0" w:color="000000"/>
            </w:tcBorders>
            <w:shd w:val="clear" w:color="auto" w:fill="D9D9D9" w:themeFill="background1" w:themeFillShade="D9"/>
            <w:hideMark/>
          </w:tcPr>
          <w:p w14:paraId="0166B591" w14:textId="77777777" w:rsidR="00BB4994" w:rsidRPr="00973028" w:rsidRDefault="00BB4994" w:rsidP="00BB4994">
            <w:pPr>
              <w:suppressAutoHyphens/>
              <w:autoSpaceDN w:val="0"/>
              <w:spacing w:after="0" w:line="240" w:lineRule="auto"/>
              <w:jc w:val="both"/>
              <w:rPr>
                <w:rFonts w:ascii="Arial" w:eastAsia="Calibri" w:hAnsi="Arial" w:cs="Arial"/>
              </w:rPr>
            </w:pPr>
            <w:r w:rsidRPr="00973028">
              <w:rPr>
                <w:rFonts w:ascii="Arial" w:eastAsia="Calibri" w:hAnsi="Arial" w:cs="Arial"/>
                <w:b/>
                <w:bCs/>
                <w:color w:val="000000"/>
                <w:sz w:val="18"/>
                <w:szCs w:val="18"/>
              </w:rPr>
              <w:t>8,2</w:t>
            </w:r>
          </w:p>
          <w:p w14:paraId="5C502A0E"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b/>
                <w:bCs/>
                <w:color w:val="000000"/>
                <w:kern w:val="2"/>
                <w:sz w:val="18"/>
                <w:szCs w:val="18"/>
                <w:lang w:eastAsia="zh-CN" w:bidi="hi-IN"/>
              </w:rPr>
            </w:pPr>
            <w:r w:rsidRPr="00973028">
              <w:rPr>
                <w:rFonts w:ascii="Arial" w:eastAsia="Open Sans" w:hAnsi="Arial" w:cs="Arial"/>
                <w:b/>
                <w:bCs/>
                <w:color w:val="000000"/>
                <w:kern w:val="2"/>
                <w:sz w:val="18"/>
                <w:szCs w:val="18"/>
                <w:lang w:eastAsia="zh-CN" w:bidi="hi-IN"/>
              </w:rPr>
              <w:t xml:space="preserve">Nota </w:t>
            </w:r>
          </w:p>
          <w:p w14:paraId="0A6A45A4" w14:textId="77777777" w:rsidR="00BB4994" w:rsidRPr="00973028" w:rsidRDefault="00BB4994" w:rsidP="00BB4994">
            <w:pPr>
              <w:widowControl w:val="0"/>
              <w:suppressLineNumbers/>
              <w:suppressAutoHyphens/>
              <w:autoSpaceDN w:val="0"/>
              <w:spacing w:after="0" w:line="240" w:lineRule="auto"/>
              <w:jc w:val="both"/>
              <w:rPr>
                <w:rFonts w:ascii="Arial" w:eastAsia="Open Sans" w:hAnsi="Arial" w:cs="Arial"/>
                <w:b/>
                <w:bCs/>
                <w:color w:val="000000"/>
                <w:kern w:val="2"/>
                <w:sz w:val="18"/>
                <w:szCs w:val="18"/>
                <w:lang w:eastAsia="zh-CN" w:bidi="hi-IN"/>
              </w:rPr>
            </w:pPr>
            <w:r w:rsidRPr="00973028">
              <w:rPr>
                <w:rFonts w:ascii="Arial" w:eastAsia="Open Sans" w:hAnsi="Arial" w:cs="Arial"/>
                <w:b/>
                <w:bCs/>
                <w:color w:val="000000"/>
                <w:kern w:val="2"/>
                <w:sz w:val="18"/>
                <w:szCs w:val="18"/>
                <w:lang w:eastAsia="zh-CN" w:bidi="hi-IN"/>
              </w:rPr>
              <w:t xml:space="preserve">media </w:t>
            </w:r>
          </w:p>
        </w:tc>
      </w:tr>
    </w:tbl>
    <w:p w14:paraId="1B2C1DCA"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t>s/d: sin datos</w:t>
      </w:r>
    </w:p>
    <w:p w14:paraId="067F92B9" w14:textId="24555DD9" w:rsidR="00BB4994" w:rsidRPr="00973028" w:rsidRDefault="00BB4994" w:rsidP="00672ABA">
      <w:pPr>
        <w:pStyle w:val="Prrafodelista"/>
        <w:keepNext/>
        <w:numPr>
          <w:ilvl w:val="2"/>
          <w:numId w:val="22"/>
        </w:numPr>
        <w:spacing w:before="360" w:after="240" w:line="276" w:lineRule="auto"/>
        <w:ind w:left="1134" w:hanging="1134"/>
        <w:contextualSpacing w:val="0"/>
        <w:jc w:val="both"/>
        <w:outlineLvl w:val="2"/>
        <w:rPr>
          <w:rFonts w:ascii="Arial" w:eastAsia="Times New Roman" w:hAnsi="Arial" w:cs="Arial"/>
          <w:b/>
          <w:color w:val="9D2235"/>
          <w:sz w:val="28"/>
          <w:szCs w:val="28"/>
        </w:rPr>
      </w:pPr>
      <w:bookmarkStart w:id="30" w:name="_Toc67646229"/>
      <w:r w:rsidRPr="00973028">
        <w:rPr>
          <w:rFonts w:ascii="Arial" w:eastAsia="Times New Roman" w:hAnsi="Arial" w:cs="Arial"/>
          <w:b/>
          <w:color w:val="9D2235"/>
          <w:sz w:val="28"/>
          <w:szCs w:val="28"/>
        </w:rPr>
        <w:lastRenderedPageBreak/>
        <w:t>F</w:t>
      </w:r>
      <w:r w:rsidR="006668D6" w:rsidRPr="00973028">
        <w:rPr>
          <w:rFonts w:ascii="Arial" w:eastAsia="Times New Roman" w:hAnsi="Arial" w:cs="Arial"/>
          <w:b/>
          <w:color w:val="9D2235"/>
          <w:sz w:val="28"/>
          <w:szCs w:val="28"/>
        </w:rPr>
        <w:t>ormación externa</w:t>
      </w:r>
      <w:bookmarkEnd w:id="30"/>
    </w:p>
    <w:p w14:paraId="672C697E"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De acuerdo con las líneas de trabajo del Plan de Formación de la Agencia 2019-2020, la formación externa y los programas de sensibilización formativa se han desarrollado en función de sus distintos destinatarios.</w:t>
      </w:r>
    </w:p>
    <w:p w14:paraId="2DD80002" w14:textId="37E32F71"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En este sentido, cabe distinguir las actividades para empleados públicos, las dirigidas a la ciudadanía y las actividades formativas realizadas en colaboración con universidades. A su vez, señalamos los nuevos proyectos con los que se han puesto las bases para desarrollar iniciativas formativas en educación preuniversitaria y con la ciudadanía en general.</w:t>
      </w:r>
    </w:p>
    <w:p w14:paraId="52852285"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color w:val="000000"/>
          <w:sz w:val="21"/>
        </w:rPr>
        <w:t>A continuación, se exponen los aspectos más relevantes de cada línea de trabajo.</w:t>
      </w:r>
    </w:p>
    <w:p w14:paraId="588A2154" w14:textId="53519AF6" w:rsidR="00BB4994" w:rsidRPr="00973028" w:rsidRDefault="00BB4994" w:rsidP="00672ABA">
      <w:pPr>
        <w:pStyle w:val="Prrafodelista"/>
        <w:keepNext/>
        <w:numPr>
          <w:ilvl w:val="3"/>
          <w:numId w:val="22"/>
        </w:numPr>
        <w:spacing w:before="360" w:after="240" w:line="276" w:lineRule="auto"/>
        <w:ind w:left="1134" w:hanging="1134"/>
        <w:contextualSpacing w:val="0"/>
        <w:jc w:val="both"/>
        <w:outlineLvl w:val="3"/>
        <w:rPr>
          <w:rFonts w:ascii="Arial" w:eastAsia="Times New Roman" w:hAnsi="Arial" w:cs="Arial"/>
          <w:b/>
          <w:color w:val="9D2235"/>
          <w:sz w:val="24"/>
          <w:szCs w:val="24"/>
        </w:rPr>
      </w:pPr>
      <w:r w:rsidRPr="00973028">
        <w:rPr>
          <w:rFonts w:ascii="Arial" w:eastAsia="Times New Roman" w:hAnsi="Arial" w:cs="Arial"/>
          <w:b/>
          <w:color w:val="9D2235"/>
          <w:sz w:val="24"/>
          <w:szCs w:val="24"/>
        </w:rPr>
        <w:t xml:space="preserve">Función Pública </w:t>
      </w:r>
    </w:p>
    <w:p w14:paraId="462D8BA0" w14:textId="25967216" w:rsidR="00BB4994" w:rsidRPr="00973028" w:rsidRDefault="00BB4994" w:rsidP="0065794C">
      <w:pPr>
        <w:widowControl w:val="0"/>
        <w:suppressAutoHyphens/>
        <w:autoSpaceDN w:val="0"/>
        <w:spacing w:after="240" w:line="276" w:lineRule="auto"/>
        <w:jc w:val="both"/>
        <w:rPr>
          <w:rFonts w:ascii="Arial" w:eastAsia="Times New Roman" w:hAnsi="Arial" w:cs="Arial"/>
          <w:sz w:val="21"/>
          <w:lang w:eastAsia="zh-CN" w:bidi="hi-IN"/>
        </w:rPr>
      </w:pPr>
      <w:r w:rsidRPr="00973028">
        <w:rPr>
          <w:rFonts w:ascii="Arial" w:eastAsia="Times New Roman" w:hAnsi="Arial" w:cs="Arial"/>
          <w:sz w:val="21"/>
          <w:lang w:eastAsia="zh-CN" w:bidi="hi-IN"/>
        </w:rPr>
        <w:t xml:space="preserve">17,19, 24, 26 de noviembre. </w:t>
      </w:r>
      <w:r w:rsidRPr="00973028">
        <w:rPr>
          <w:rFonts w:ascii="Arial" w:eastAsia="Times New Roman" w:hAnsi="Arial" w:cs="Arial"/>
          <w:b/>
          <w:bCs/>
          <w:sz w:val="21"/>
          <w:lang w:eastAsia="zh-CN" w:bidi="hi-IN"/>
        </w:rPr>
        <w:t>Curso del IVAP Integridad y prevención en la contratación pública en la Comuni</w:t>
      </w:r>
      <w:r w:rsidR="00C24397">
        <w:rPr>
          <w:rFonts w:ascii="Arial" w:eastAsia="Times New Roman" w:hAnsi="Arial" w:cs="Arial"/>
          <w:b/>
          <w:bCs/>
          <w:sz w:val="21"/>
          <w:lang w:eastAsia="zh-CN" w:bidi="hi-IN"/>
        </w:rPr>
        <w:t>t</w:t>
      </w:r>
      <w:r w:rsidRPr="00973028">
        <w:rPr>
          <w:rFonts w:ascii="Arial" w:eastAsia="Times New Roman" w:hAnsi="Arial" w:cs="Arial"/>
          <w:b/>
          <w:bCs/>
          <w:sz w:val="21"/>
          <w:lang w:eastAsia="zh-CN" w:bidi="hi-IN"/>
        </w:rPr>
        <w:t>a</w:t>
      </w:r>
      <w:r w:rsidR="00C24397">
        <w:rPr>
          <w:rFonts w:ascii="Arial" w:eastAsia="Times New Roman" w:hAnsi="Arial" w:cs="Arial"/>
          <w:b/>
          <w:bCs/>
          <w:sz w:val="21"/>
          <w:lang w:eastAsia="zh-CN" w:bidi="hi-IN"/>
        </w:rPr>
        <w:t>t</w:t>
      </w:r>
      <w:r w:rsidRPr="00973028">
        <w:rPr>
          <w:rFonts w:ascii="Arial" w:eastAsia="Times New Roman" w:hAnsi="Arial" w:cs="Arial"/>
          <w:b/>
          <w:bCs/>
          <w:sz w:val="21"/>
          <w:lang w:eastAsia="zh-CN" w:bidi="hi-IN"/>
        </w:rPr>
        <w:t xml:space="preserve"> Valenciana.</w:t>
      </w:r>
      <w:r w:rsidRPr="00973028">
        <w:rPr>
          <w:rFonts w:ascii="Arial" w:eastAsia="Times New Roman" w:hAnsi="Arial" w:cs="Arial"/>
          <w:sz w:val="21"/>
          <w:lang w:eastAsia="zh-CN" w:bidi="hi-IN"/>
        </w:rPr>
        <w:t xml:space="preserve"> </w:t>
      </w:r>
      <w:r w:rsidRPr="00973028">
        <w:rPr>
          <w:rFonts w:ascii="Arial" w:eastAsia="Times New Roman" w:hAnsi="Arial" w:cs="Arial"/>
          <w:b/>
          <w:sz w:val="21"/>
          <w:lang w:eastAsia="zh-CN" w:bidi="hi-IN"/>
        </w:rPr>
        <w:t>3ª edición</w:t>
      </w:r>
      <w:r w:rsidRPr="00973028">
        <w:rPr>
          <w:rFonts w:ascii="Arial" w:eastAsia="Times New Roman" w:hAnsi="Arial" w:cs="Arial"/>
          <w:sz w:val="21"/>
          <w:lang w:eastAsia="zh-CN" w:bidi="hi-IN"/>
        </w:rPr>
        <w:t>. Organizado por la Agencia, en colaboración con el Instituto Valenciano de la Administración Pública. Es un curso de formación especializada en prevención e integridad para reducir los riesgos de corrupción en la contratación pública, dirigido a los funcionarios de la Generalitat Valenciana de los grupos A1, A2, C1, C2 con funciones en el ámbito de la contratación pública, en la gestión administrativa y en la gestión y dirección de proyectos en diferentes áreas de gestión, e impartido por personal experto de la Agencia, con la colaboración de un catedrático de Derecho Penal. La participación fue de 22 personas, de las cuales 18 eran mujeres y 4 hombres. La valoración global del curso fue de 9,18/10. Duración de 20 horas.</w:t>
      </w:r>
    </w:p>
    <w:p w14:paraId="5C52597B" w14:textId="5985BF78" w:rsidR="00BB4994" w:rsidRPr="00973028" w:rsidRDefault="00BB4994" w:rsidP="00672ABA">
      <w:pPr>
        <w:pStyle w:val="Prrafodelista"/>
        <w:keepNext/>
        <w:numPr>
          <w:ilvl w:val="3"/>
          <w:numId w:val="22"/>
        </w:numPr>
        <w:spacing w:before="360" w:after="240" w:line="276" w:lineRule="auto"/>
        <w:ind w:left="1134" w:hanging="1134"/>
        <w:contextualSpacing w:val="0"/>
        <w:jc w:val="both"/>
        <w:outlineLvl w:val="3"/>
        <w:rPr>
          <w:rFonts w:ascii="Arial" w:eastAsia="Times New Roman" w:hAnsi="Arial" w:cs="Arial"/>
          <w:b/>
          <w:color w:val="9D2235"/>
          <w:sz w:val="24"/>
          <w:szCs w:val="24"/>
        </w:rPr>
      </w:pPr>
      <w:r w:rsidRPr="00973028">
        <w:rPr>
          <w:rFonts w:ascii="Arial" w:eastAsia="Times New Roman" w:hAnsi="Arial" w:cs="Arial"/>
          <w:b/>
          <w:color w:val="9D2235"/>
          <w:sz w:val="24"/>
          <w:szCs w:val="24"/>
        </w:rPr>
        <w:t>Actividades para la ciudadanía</w:t>
      </w:r>
    </w:p>
    <w:p w14:paraId="5E3FB426" w14:textId="5F10E3DD" w:rsidR="00BB4994" w:rsidRDefault="00BB4994" w:rsidP="00BB4994">
      <w:pPr>
        <w:suppressAutoHyphens/>
        <w:autoSpaceDN w:val="0"/>
        <w:spacing w:after="0" w:line="276" w:lineRule="auto"/>
        <w:jc w:val="both"/>
        <w:rPr>
          <w:rFonts w:ascii="Arial" w:eastAsia="Calibri" w:hAnsi="Arial" w:cs="Arial"/>
          <w:sz w:val="21"/>
          <w:szCs w:val="21"/>
        </w:rPr>
      </w:pPr>
      <w:r w:rsidRPr="00973028">
        <w:rPr>
          <w:rFonts w:ascii="Arial" w:eastAsia="Calibri" w:hAnsi="Arial" w:cs="Arial"/>
          <w:sz w:val="21"/>
          <w:szCs w:val="21"/>
        </w:rPr>
        <w:t>En este ámbito de actuación de formación y sensibilización colectiva del conjunto de la población, las actividades se han orientado hacia la Universidad, tanto para incardinar acciones formativas dentro de la actividad académica reglada de grado y de postgrado, como en las acciones de divulgación de conocimiento de las universidades en la sociedad.</w:t>
      </w:r>
    </w:p>
    <w:p w14:paraId="26028DD9" w14:textId="77777777" w:rsidR="00A432A4" w:rsidRPr="00973028" w:rsidRDefault="00A432A4" w:rsidP="00BB4994">
      <w:pPr>
        <w:suppressAutoHyphens/>
        <w:autoSpaceDN w:val="0"/>
        <w:spacing w:after="0" w:line="276" w:lineRule="auto"/>
        <w:jc w:val="both"/>
        <w:rPr>
          <w:rFonts w:ascii="Arial" w:eastAsia="Calibri" w:hAnsi="Arial" w:cs="Arial"/>
          <w:sz w:val="21"/>
          <w:szCs w:val="21"/>
        </w:rPr>
      </w:pPr>
    </w:p>
    <w:p w14:paraId="4CEF084B" w14:textId="4ADDD66D" w:rsidR="00BB4994" w:rsidRPr="00973028" w:rsidRDefault="00A432A4" w:rsidP="00A432A4">
      <w:pPr>
        <w:keepNext/>
        <w:keepLines/>
        <w:widowControl w:val="0"/>
        <w:suppressAutoHyphens/>
        <w:autoSpaceDN w:val="0"/>
        <w:spacing w:before="40" w:after="120" w:line="276" w:lineRule="auto"/>
        <w:jc w:val="both"/>
        <w:outlineLvl w:val="3"/>
        <w:rPr>
          <w:rFonts w:ascii="Arial" w:eastAsia="Open Sans" w:hAnsi="Arial" w:cs="Arial"/>
          <w:b/>
          <w:i/>
          <w:iCs/>
          <w:sz w:val="21"/>
          <w:lang w:eastAsia="zh-CN" w:bidi="hi-IN"/>
        </w:rPr>
      </w:pPr>
      <w:r>
        <w:rPr>
          <w:rFonts w:ascii="Arial" w:eastAsia="Open Sans" w:hAnsi="Arial" w:cs="Arial"/>
          <w:b/>
          <w:i/>
          <w:iCs/>
          <w:sz w:val="21"/>
          <w:lang w:eastAsia="zh-CN" w:bidi="hi-IN"/>
        </w:rPr>
        <w:t xml:space="preserve">A. </w:t>
      </w:r>
      <w:r w:rsidR="00BB4994" w:rsidRPr="00973028">
        <w:rPr>
          <w:rFonts w:ascii="Arial" w:eastAsia="Open Sans" w:hAnsi="Arial" w:cs="Arial"/>
          <w:b/>
          <w:i/>
          <w:iCs/>
          <w:sz w:val="21"/>
          <w:lang w:eastAsia="zh-CN" w:bidi="hi-IN"/>
        </w:rPr>
        <w:t>Actividades formativas dentro de grados y postgrados universitarios</w:t>
      </w:r>
    </w:p>
    <w:p w14:paraId="091E1412" w14:textId="77777777" w:rsidR="00BB4994" w:rsidRPr="00973028" w:rsidRDefault="00BB4994" w:rsidP="00167686">
      <w:pPr>
        <w:keepNext/>
        <w:keepLines/>
        <w:widowControl w:val="0"/>
        <w:suppressAutoHyphens/>
        <w:autoSpaceDN w:val="0"/>
        <w:spacing w:before="40" w:after="120" w:line="276" w:lineRule="auto"/>
        <w:jc w:val="both"/>
        <w:outlineLvl w:val="3"/>
        <w:rPr>
          <w:rFonts w:ascii="Arial" w:eastAsia="Open Sans" w:hAnsi="Arial" w:cs="Arial"/>
          <w:b/>
          <w:bCs/>
          <w:i/>
          <w:iCs/>
          <w:sz w:val="21"/>
          <w:lang w:eastAsia="zh-CN" w:bidi="hi-IN"/>
        </w:rPr>
      </w:pPr>
      <w:r w:rsidRPr="00973028">
        <w:rPr>
          <w:rFonts w:ascii="Arial" w:eastAsia="Open Sans" w:hAnsi="Arial" w:cs="Arial"/>
          <w:b/>
          <w:bCs/>
          <w:i/>
          <w:iCs/>
          <w:sz w:val="21"/>
          <w:lang w:eastAsia="zh-CN" w:bidi="hi-IN"/>
        </w:rPr>
        <w:t>A.1. Docufórums en grados universitarios</w:t>
      </w:r>
    </w:p>
    <w:p w14:paraId="61F49C73" w14:textId="4934E08D"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t>En la Memoria del 2019 explicábamos el proceso de elaboración y de difusión del documental “Corrupción. Organismo nocivo”, como herramienta pedagógica, para acompañar las actividades formativas y de sensibilización en el ámbito educativo, de las entidades sociales y del conjunto de la ciudadanía.</w:t>
      </w:r>
    </w:p>
    <w:p w14:paraId="0022E48A" w14:textId="26DAB77C"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t>A lo largo de este ejercicio hemos continuado las actividades en las universidades con el citado documental. La dinámica de docufórum consiste en la visualización del documental y, con posterioridad, los alumnos plantean preguntas y se genera un debate público en el que participan los profesores coordinadores de la actividad, los ponentes especializados que hayan podido asistir y los técnicos y responsables de la Agencia que participan en la misma.</w:t>
      </w:r>
    </w:p>
    <w:p w14:paraId="55A61FCE"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lastRenderedPageBreak/>
        <w:t>Cada docufórum se ha adaptado a las características de la asignatura, al formato del debate y de visualización del documental y a la necesidad de realizar esta actividad, en la mayoría de los casos, mediante videoconferencia y no de forma presencial a causa de la pandemia.</w:t>
      </w:r>
    </w:p>
    <w:p w14:paraId="611EF8FA" w14:textId="7483EF78" w:rsidR="00BB4994" w:rsidRPr="00973028" w:rsidRDefault="00BB4994" w:rsidP="00BB4994">
      <w:pPr>
        <w:widowControl w:val="0"/>
        <w:suppressAutoHyphens/>
        <w:autoSpaceDN w:val="0"/>
        <w:spacing w:after="240" w:line="276" w:lineRule="auto"/>
        <w:jc w:val="both"/>
        <w:rPr>
          <w:rFonts w:ascii="Arial" w:eastAsia="Calibri" w:hAnsi="Arial" w:cs="Arial"/>
          <w:b/>
          <w:color w:val="9D2235" w:themeColor="accent1"/>
          <w:sz w:val="21"/>
          <w:lang w:eastAsia="zh-CN" w:bidi="hi-IN"/>
        </w:rPr>
      </w:pPr>
      <w:r w:rsidRPr="00973028">
        <w:rPr>
          <w:rFonts w:ascii="Arial" w:eastAsia="Calibri" w:hAnsi="Arial" w:cs="Arial"/>
          <w:b/>
          <w:color w:val="9D2235" w:themeColor="accent1"/>
          <w:sz w:val="21"/>
          <w:lang w:eastAsia="zh-CN" w:bidi="hi-IN"/>
        </w:rPr>
        <w:t>Universi</w:t>
      </w:r>
      <w:r w:rsidR="00012862">
        <w:rPr>
          <w:rFonts w:ascii="Arial" w:eastAsia="Calibri" w:hAnsi="Arial" w:cs="Arial"/>
          <w:b/>
          <w:color w:val="9D2235" w:themeColor="accent1"/>
          <w:sz w:val="21"/>
          <w:lang w:eastAsia="zh-CN" w:bidi="hi-IN"/>
        </w:rPr>
        <w:t>t</w:t>
      </w:r>
      <w:r w:rsidRPr="00973028">
        <w:rPr>
          <w:rFonts w:ascii="Arial" w:eastAsia="Calibri" w:hAnsi="Arial" w:cs="Arial"/>
          <w:b/>
          <w:color w:val="9D2235" w:themeColor="accent1"/>
          <w:sz w:val="21"/>
          <w:lang w:eastAsia="zh-CN" w:bidi="hi-IN"/>
        </w:rPr>
        <w:t>a</w:t>
      </w:r>
      <w:r w:rsidR="00012862">
        <w:rPr>
          <w:rFonts w:ascii="Arial" w:eastAsia="Calibri" w:hAnsi="Arial" w:cs="Arial"/>
          <w:b/>
          <w:color w:val="9D2235" w:themeColor="accent1"/>
          <w:sz w:val="21"/>
          <w:lang w:eastAsia="zh-CN" w:bidi="hi-IN"/>
        </w:rPr>
        <w:t>t</w:t>
      </w:r>
      <w:r w:rsidRPr="00973028">
        <w:rPr>
          <w:rFonts w:ascii="Arial" w:eastAsia="Calibri" w:hAnsi="Arial" w:cs="Arial"/>
          <w:b/>
          <w:color w:val="9D2235" w:themeColor="accent1"/>
          <w:sz w:val="21"/>
          <w:lang w:eastAsia="zh-CN" w:bidi="hi-IN"/>
        </w:rPr>
        <w:t xml:space="preserve"> Polit</w:t>
      </w:r>
      <w:r w:rsidR="00012862">
        <w:rPr>
          <w:rFonts w:ascii="Arial" w:eastAsia="Calibri" w:hAnsi="Arial" w:cs="Arial"/>
          <w:b/>
          <w:color w:val="9D2235" w:themeColor="accent1"/>
          <w:sz w:val="21"/>
          <w:lang w:eastAsia="zh-CN" w:bidi="hi-IN"/>
        </w:rPr>
        <w:t>è</w:t>
      </w:r>
      <w:r w:rsidRPr="00973028">
        <w:rPr>
          <w:rFonts w:ascii="Arial" w:eastAsia="Calibri" w:hAnsi="Arial" w:cs="Arial"/>
          <w:b/>
          <w:color w:val="9D2235" w:themeColor="accent1"/>
          <w:sz w:val="21"/>
          <w:lang w:eastAsia="zh-CN" w:bidi="hi-IN"/>
        </w:rPr>
        <w:t>cnica de Val</w:t>
      </w:r>
      <w:r w:rsidR="00012862">
        <w:rPr>
          <w:rFonts w:ascii="Arial" w:eastAsia="Calibri" w:hAnsi="Arial" w:cs="Arial"/>
          <w:b/>
          <w:color w:val="9D2235" w:themeColor="accent1"/>
          <w:sz w:val="21"/>
          <w:lang w:eastAsia="zh-CN" w:bidi="hi-IN"/>
        </w:rPr>
        <w:t>è</w:t>
      </w:r>
      <w:r w:rsidRPr="00973028">
        <w:rPr>
          <w:rFonts w:ascii="Arial" w:eastAsia="Calibri" w:hAnsi="Arial" w:cs="Arial"/>
          <w:b/>
          <w:color w:val="9D2235" w:themeColor="accent1"/>
          <w:sz w:val="21"/>
          <w:lang w:eastAsia="zh-CN" w:bidi="hi-IN"/>
        </w:rPr>
        <w:t>ncia</w:t>
      </w:r>
    </w:p>
    <w:p w14:paraId="7C42808F" w14:textId="77777777" w:rsidR="00BB4994" w:rsidRPr="00973028" w:rsidRDefault="00BB4994" w:rsidP="00BB4994">
      <w:pPr>
        <w:widowControl w:val="0"/>
        <w:suppressAutoHyphens/>
        <w:autoSpaceDN w:val="0"/>
        <w:spacing w:after="240" w:line="276" w:lineRule="auto"/>
        <w:jc w:val="both"/>
        <w:rPr>
          <w:rFonts w:ascii="Arial" w:eastAsia="Calibri" w:hAnsi="Arial" w:cs="Arial"/>
          <w:b/>
          <w:sz w:val="21"/>
          <w:u w:val="single"/>
          <w:lang w:eastAsia="zh-CN" w:bidi="hi-IN"/>
        </w:rPr>
      </w:pPr>
      <w:r w:rsidRPr="00973028">
        <w:rPr>
          <w:rFonts w:ascii="Arial" w:eastAsia="Calibri" w:hAnsi="Arial" w:cs="Arial"/>
          <w:b/>
          <w:sz w:val="21"/>
          <w:u w:val="single"/>
          <w:lang w:eastAsia="zh-CN" w:bidi="hi-IN"/>
        </w:rPr>
        <w:t>Grado de Ingeniería Biomédica</w:t>
      </w:r>
    </w:p>
    <w:p w14:paraId="1E4AE3D0"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t xml:space="preserve">El 19 de febrero, se llevó a cabo la visualización del documental y posteriormente hubo un debate en la asignatura Bioética y Deontología del 3.º curso de Ingeniería Biomédica. La sesión se realizó de manera presencial, fue coordinada el profesor titular de Ética Profesional y Ética de la Empresa, José Félix Lozano Aguilar. </w:t>
      </w:r>
    </w:p>
    <w:p w14:paraId="3A1271C3" w14:textId="77777777" w:rsidR="00BB4994" w:rsidRPr="00973028" w:rsidRDefault="00BB4994" w:rsidP="00BB4994">
      <w:pPr>
        <w:widowControl w:val="0"/>
        <w:suppressAutoHyphens/>
        <w:autoSpaceDN w:val="0"/>
        <w:spacing w:after="240" w:line="276" w:lineRule="auto"/>
        <w:jc w:val="both"/>
        <w:rPr>
          <w:rFonts w:ascii="Arial" w:eastAsia="Calibri" w:hAnsi="Arial" w:cs="Arial"/>
          <w:b/>
          <w:sz w:val="21"/>
          <w:u w:val="single"/>
          <w:lang w:eastAsia="zh-CN" w:bidi="hi-IN"/>
        </w:rPr>
      </w:pPr>
      <w:r w:rsidRPr="00973028">
        <w:rPr>
          <w:rFonts w:ascii="Arial" w:eastAsia="Calibri" w:hAnsi="Arial" w:cs="Arial"/>
          <w:b/>
          <w:sz w:val="21"/>
          <w:u w:val="single"/>
          <w:lang w:eastAsia="zh-CN" w:bidi="hi-IN"/>
        </w:rPr>
        <w:t xml:space="preserve">Grado de Gestión y Administración Pública </w:t>
      </w:r>
    </w:p>
    <w:p w14:paraId="70A31F74"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szCs w:val="24"/>
          <w:lang w:eastAsia="zh-CN" w:bidi="hi-IN"/>
        </w:rPr>
      </w:pPr>
      <w:r w:rsidRPr="00973028">
        <w:rPr>
          <w:rFonts w:ascii="Arial" w:eastAsia="Calibri" w:hAnsi="Arial" w:cs="Arial"/>
          <w:sz w:val="21"/>
          <w:lang w:eastAsia="zh-CN" w:bidi="hi-IN"/>
        </w:rPr>
        <w:t xml:space="preserve">El 14 de octubre se llevó a cabo un docufórum en formato telepresencial, a propuesta de la profesora titular Antonia Ferrer Sapena del Departamento de Comunicación Audiovisual, Documentación e Historia del Arte de la Escuela Superior de Ingeniería Informática. </w:t>
      </w:r>
    </w:p>
    <w:p w14:paraId="3CFA8845" w14:textId="77777777" w:rsidR="00BB4994" w:rsidRPr="00973028" w:rsidRDefault="00BB4994" w:rsidP="00BB4994">
      <w:pPr>
        <w:widowControl w:val="0"/>
        <w:suppressAutoHyphens/>
        <w:autoSpaceDN w:val="0"/>
        <w:spacing w:after="240" w:line="276" w:lineRule="auto"/>
        <w:jc w:val="both"/>
        <w:rPr>
          <w:rFonts w:ascii="Arial" w:eastAsia="Calibri" w:hAnsi="Arial" w:cs="Arial"/>
          <w:b/>
          <w:color w:val="9D2235" w:themeColor="accent1"/>
          <w:sz w:val="21"/>
          <w:lang w:eastAsia="zh-CN" w:bidi="hi-IN"/>
        </w:rPr>
      </w:pPr>
      <w:r w:rsidRPr="00973028">
        <w:rPr>
          <w:rFonts w:ascii="Arial" w:eastAsia="Calibri" w:hAnsi="Arial" w:cs="Arial"/>
          <w:b/>
          <w:color w:val="9D2235" w:themeColor="accent1"/>
          <w:sz w:val="21"/>
          <w:lang w:eastAsia="zh-CN" w:bidi="hi-IN"/>
        </w:rPr>
        <w:t>Universitat de València</w:t>
      </w:r>
    </w:p>
    <w:p w14:paraId="724AA4E4" w14:textId="77777777" w:rsidR="00BB4994" w:rsidRPr="00973028" w:rsidRDefault="00BB4994" w:rsidP="00BB4994">
      <w:pPr>
        <w:widowControl w:val="0"/>
        <w:suppressAutoHyphens/>
        <w:autoSpaceDN w:val="0"/>
        <w:spacing w:after="240" w:line="276" w:lineRule="auto"/>
        <w:jc w:val="both"/>
        <w:rPr>
          <w:rFonts w:ascii="Arial" w:eastAsia="Calibri" w:hAnsi="Arial" w:cs="Arial"/>
          <w:b/>
          <w:sz w:val="21"/>
          <w:u w:val="single"/>
          <w:lang w:eastAsia="zh-CN" w:bidi="hi-IN"/>
        </w:rPr>
      </w:pPr>
      <w:r w:rsidRPr="00973028">
        <w:rPr>
          <w:rFonts w:ascii="Arial" w:eastAsia="Calibri" w:hAnsi="Arial" w:cs="Arial"/>
          <w:b/>
          <w:sz w:val="21"/>
          <w:u w:val="single"/>
          <w:lang w:eastAsia="zh-CN" w:bidi="hi-IN"/>
        </w:rPr>
        <w:t>Grado de Derecho</w:t>
      </w:r>
    </w:p>
    <w:p w14:paraId="34A4B943"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t xml:space="preserve">El 28 de febrero, en la Sala de Grados de la Facultad de Derecho. Los alumnos asistentes pertenecían las asignaturas de Derecho Penal y Filosofía del Derecho. La actividad fue coordinada en la Facultad de Derecho por las catedráticas Ángeles Jareño (Derecho Penal), Ángeles Solanes (Filosofía del Derecho) y Encarnación Fernández (Filosofía del Derecho) y el catedrático Ernesto Vidal (Filosofía del Derecho). La sesión fue presencial. </w:t>
      </w:r>
    </w:p>
    <w:p w14:paraId="2E6411B0" w14:textId="77777777" w:rsidR="00BB4994" w:rsidRPr="00973028" w:rsidRDefault="00BB4994" w:rsidP="00BB4994">
      <w:pPr>
        <w:widowControl w:val="0"/>
        <w:suppressAutoHyphens/>
        <w:autoSpaceDN w:val="0"/>
        <w:spacing w:after="240" w:line="276" w:lineRule="auto"/>
        <w:jc w:val="both"/>
        <w:rPr>
          <w:rFonts w:ascii="Arial" w:eastAsia="Calibri" w:hAnsi="Arial" w:cs="Arial"/>
          <w:b/>
          <w:sz w:val="21"/>
          <w:u w:val="single"/>
          <w:lang w:eastAsia="zh-CN" w:bidi="hi-IN"/>
        </w:rPr>
      </w:pPr>
      <w:r w:rsidRPr="00973028">
        <w:rPr>
          <w:rFonts w:ascii="Arial" w:eastAsia="Calibri" w:hAnsi="Arial" w:cs="Arial"/>
          <w:b/>
          <w:sz w:val="21"/>
          <w:u w:val="single"/>
          <w:lang w:eastAsia="zh-CN" w:bidi="hi-IN"/>
        </w:rPr>
        <w:t>Grado de Ciencia Política, Doble Grado de Ciencia Política y Sociología, y Doble Grado de Sociología y Derecho</w:t>
      </w:r>
    </w:p>
    <w:p w14:paraId="50075851"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t>El 20 de noviembre se celebró el debate sobre el fraude y la corrupción con alumnos del segundo y tercer curso del grado de Ciencia Política, del doble grado de Ciencia Política y Sociología y del doble grado de Sociología y Derecho. La actividad fue por videoconferencia y consistió en un debate público protagonizado por el director de la Agencia, Joan Llinares i Gómez, y el catedrático de Geografía Humana de la UV, Joan Romero, coordinado por Oscar Barberà Areste, profesor contratado doctor de Ciencia Política.</w:t>
      </w:r>
    </w:p>
    <w:p w14:paraId="44D3EAED" w14:textId="77777777" w:rsidR="00BB4994" w:rsidRPr="00973028" w:rsidRDefault="00BB4994" w:rsidP="00BB4994">
      <w:pPr>
        <w:widowControl w:val="0"/>
        <w:suppressAutoHyphens/>
        <w:autoSpaceDN w:val="0"/>
        <w:spacing w:after="240" w:line="276" w:lineRule="auto"/>
        <w:jc w:val="both"/>
        <w:rPr>
          <w:rFonts w:ascii="Arial" w:eastAsia="Calibri" w:hAnsi="Arial" w:cs="Arial"/>
          <w:b/>
          <w:color w:val="9D2235" w:themeColor="accent1"/>
          <w:sz w:val="21"/>
          <w:lang w:eastAsia="zh-CN" w:bidi="hi-IN"/>
        </w:rPr>
      </w:pPr>
      <w:r w:rsidRPr="00973028">
        <w:rPr>
          <w:rFonts w:ascii="Arial" w:eastAsia="Calibri" w:hAnsi="Arial" w:cs="Arial"/>
          <w:b/>
          <w:color w:val="9D2235" w:themeColor="accent1"/>
          <w:sz w:val="21"/>
          <w:lang w:eastAsia="zh-CN" w:bidi="hi-IN"/>
        </w:rPr>
        <w:t>Universidad Miguel Hernández de Elche (UMH)</w:t>
      </w:r>
    </w:p>
    <w:p w14:paraId="10E8553A" w14:textId="77777777" w:rsidR="00BB4994" w:rsidRPr="00973028" w:rsidRDefault="00BB4994" w:rsidP="00BB4994">
      <w:pPr>
        <w:widowControl w:val="0"/>
        <w:suppressAutoHyphens/>
        <w:autoSpaceDN w:val="0"/>
        <w:spacing w:after="240" w:line="276" w:lineRule="auto"/>
        <w:jc w:val="both"/>
        <w:rPr>
          <w:rFonts w:ascii="Arial" w:eastAsia="Calibri" w:hAnsi="Arial" w:cs="Arial"/>
          <w:b/>
          <w:sz w:val="21"/>
          <w:u w:val="single"/>
          <w:lang w:eastAsia="zh-CN" w:bidi="hi-IN"/>
        </w:rPr>
      </w:pPr>
      <w:r w:rsidRPr="00973028">
        <w:rPr>
          <w:rFonts w:ascii="Arial" w:eastAsia="Calibri" w:hAnsi="Arial" w:cs="Arial"/>
          <w:b/>
          <w:sz w:val="21"/>
          <w:u w:val="single"/>
          <w:lang w:eastAsia="zh-CN" w:bidi="hi-IN"/>
        </w:rPr>
        <w:t xml:space="preserve">Grado de Periodismo </w:t>
      </w:r>
    </w:p>
    <w:p w14:paraId="3C1A3E5A"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szCs w:val="24"/>
          <w:lang w:eastAsia="zh-CN" w:bidi="hi-IN"/>
        </w:rPr>
      </w:pPr>
      <w:r w:rsidRPr="00973028">
        <w:rPr>
          <w:rFonts w:ascii="Arial" w:eastAsia="Calibri" w:hAnsi="Arial" w:cs="Arial"/>
          <w:sz w:val="21"/>
          <w:lang w:eastAsia="zh-CN" w:bidi="hi-IN"/>
        </w:rPr>
        <w:t>El 5 de noviembre se celebró un docufórum con alumnos del segundo curso del Grado en Periodismo de la asignatura de Instituciones Jurídico-políticas. El formato fue telepresencial por videoconferencia. La coordinación académica correspondió a Victoria Rodríguez Blanco, profesora colaboradora del Área de Ciencia Política y de la Administración del Departamento de Ciencias Sociales y Humanas, responsable de la asignatura.</w:t>
      </w:r>
    </w:p>
    <w:p w14:paraId="55D6E9F2"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lastRenderedPageBreak/>
        <w:t>La siguiente tabla describe el número y perfil de los asistentes, las horas de formación y la valoración de cada actividad.</w:t>
      </w:r>
    </w:p>
    <w:p w14:paraId="30D9CE4B" w14:textId="44864D8C" w:rsidR="00BB4994" w:rsidRPr="00973028" w:rsidRDefault="00BB4994" w:rsidP="00BB4994">
      <w:pPr>
        <w:keepNext/>
        <w:suppressLineNumbers/>
        <w:suppressAutoHyphens/>
        <w:autoSpaceDN w:val="0"/>
        <w:spacing w:before="120" w:after="120" w:line="252" w:lineRule="auto"/>
        <w:rPr>
          <w:rFonts w:ascii="Arial" w:eastAsia="Calibri" w:hAnsi="Arial" w:cs="Arial"/>
          <w:b/>
          <w:iCs/>
          <w:sz w:val="24"/>
          <w:szCs w:val="24"/>
        </w:rPr>
      </w:pPr>
    </w:p>
    <w:p w14:paraId="7EC0AA54" w14:textId="434010DE" w:rsidR="004927C3" w:rsidRPr="00973028" w:rsidRDefault="004927C3" w:rsidP="004927C3">
      <w:pPr>
        <w:pStyle w:val="Descripcin"/>
        <w:keepNext/>
        <w:rPr>
          <w:rFonts w:ascii="Arial" w:hAnsi="Arial" w:cs="Arial"/>
          <w:smallCaps w:val="0"/>
          <w:color w:val="000000" w:themeColor="text1"/>
          <w:sz w:val="18"/>
          <w:szCs w:val="18"/>
        </w:rPr>
      </w:pPr>
      <w:bookmarkStart w:id="31" w:name="_Toc67646340"/>
      <w:r w:rsidRPr="00973028">
        <w:rPr>
          <w:rFonts w:ascii="Arial" w:hAnsi="Arial" w:cs="Arial"/>
          <w:smallCaps w:val="0"/>
          <w:color w:val="9D2235" w:themeColor="accent1"/>
          <w:sz w:val="18"/>
          <w:szCs w:val="18"/>
        </w:rPr>
        <w:t xml:space="preserve">Tabla </w:t>
      </w:r>
      <w:r w:rsidRPr="00973028">
        <w:rPr>
          <w:rFonts w:ascii="Arial" w:hAnsi="Arial" w:cs="Arial"/>
          <w:smallCaps w:val="0"/>
          <w:color w:val="9D2235" w:themeColor="accent1"/>
          <w:sz w:val="18"/>
          <w:szCs w:val="18"/>
        </w:rPr>
        <w:fldChar w:fldCharType="begin"/>
      </w:r>
      <w:r w:rsidRPr="00973028">
        <w:rPr>
          <w:rFonts w:ascii="Arial" w:hAnsi="Arial" w:cs="Arial"/>
          <w:smallCaps w:val="0"/>
          <w:color w:val="9D2235" w:themeColor="accent1"/>
          <w:sz w:val="18"/>
          <w:szCs w:val="18"/>
        </w:rPr>
        <w:instrText xml:space="preserve"> SEQ Tabla \* ARABIC </w:instrText>
      </w:r>
      <w:r w:rsidRPr="00973028">
        <w:rPr>
          <w:rFonts w:ascii="Arial" w:hAnsi="Arial" w:cs="Arial"/>
          <w:smallCaps w:val="0"/>
          <w:color w:val="9D2235" w:themeColor="accent1"/>
          <w:sz w:val="18"/>
          <w:szCs w:val="18"/>
        </w:rPr>
        <w:fldChar w:fldCharType="separate"/>
      </w:r>
      <w:r w:rsidR="00ED7F0D">
        <w:rPr>
          <w:rFonts w:ascii="Arial" w:hAnsi="Arial" w:cs="Arial"/>
          <w:smallCaps w:val="0"/>
          <w:noProof/>
          <w:color w:val="9D2235" w:themeColor="accent1"/>
          <w:sz w:val="18"/>
          <w:szCs w:val="18"/>
        </w:rPr>
        <w:t>3</w:t>
      </w:r>
      <w:r w:rsidRPr="00973028">
        <w:rPr>
          <w:rFonts w:ascii="Arial" w:hAnsi="Arial" w:cs="Arial"/>
          <w:smallCaps w:val="0"/>
          <w:color w:val="9D2235" w:themeColor="accent1"/>
          <w:sz w:val="18"/>
          <w:szCs w:val="18"/>
        </w:rPr>
        <w:fldChar w:fldCharType="end"/>
      </w:r>
      <w:r w:rsidR="00876C89">
        <w:rPr>
          <w:rFonts w:ascii="Arial" w:hAnsi="Arial" w:cs="Arial"/>
          <w:smallCaps w:val="0"/>
          <w:color w:val="9D2235" w:themeColor="accent1"/>
          <w:sz w:val="18"/>
          <w:szCs w:val="18"/>
        </w:rPr>
        <w:t>.</w:t>
      </w:r>
      <w:r w:rsidRPr="00973028">
        <w:rPr>
          <w:rFonts w:ascii="Arial" w:hAnsi="Arial" w:cs="Arial"/>
          <w:smallCaps w:val="0"/>
          <w:color w:val="9D2235" w:themeColor="accent1"/>
          <w:sz w:val="18"/>
          <w:szCs w:val="18"/>
        </w:rPr>
        <w:t xml:space="preserve"> </w:t>
      </w:r>
      <w:r w:rsidRPr="00973028">
        <w:rPr>
          <w:rFonts w:ascii="Arial" w:hAnsi="Arial" w:cs="Arial"/>
          <w:smallCaps w:val="0"/>
          <w:color w:val="000000" w:themeColor="text1"/>
          <w:sz w:val="18"/>
          <w:szCs w:val="18"/>
        </w:rPr>
        <w:t>Resumen actividades docufórum en universidades valencianas</w:t>
      </w:r>
      <w:bookmarkEnd w:id="31"/>
    </w:p>
    <w:tbl>
      <w:tblPr>
        <w:tblW w:w="9379" w:type="dxa"/>
        <w:tblInd w:w="-5" w:type="dxa"/>
        <w:tblLook w:val="04A0" w:firstRow="1" w:lastRow="0" w:firstColumn="1" w:lastColumn="0" w:noHBand="0" w:noVBand="1"/>
      </w:tblPr>
      <w:tblGrid>
        <w:gridCol w:w="1418"/>
        <w:gridCol w:w="1468"/>
        <w:gridCol w:w="706"/>
        <w:gridCol w:w="2092"/>
        <w:gridCol w:w="707"/>
        <w:gridCol w:w="1129"/>
        <w:gridCol w:w="1137"/>
        <w:gridCol w:w="698"/>
        <w:gridCol w:w="24"/>
      </w:tblGrid>
      <w:tr w:rsidR="0065794C" w:rsidRPr="00973028" w14:paraId="5EF1A692" w14:textId="77777777" w:rsidTr="0065794C">
        <w:tc>
          <w:tcPr>
            <w:tcW w:w="9379" w:type="dxa"/>
            <w:gridSpan w:val="9"/>
            <w:tcBorders>
              <w:top w:val="single" w:sz="4" w:space="0" w:color="000000"/>
              <w:left w:val="single" w:sz="4" w:space="0" w:color="000000"/>
              <w:bottom w:val="single" w:sz="4" w:space="0" w:color="000000"/>
              <w:right w:val="single" w:sz="4" w:space="0" w:color="000000"/>
            </w:tcBorders>
            <w:shd w:val="clear" w:color="auto" w:fill="9D2235" w:themeFill="accent1"/>
            <w:vAlign w:val="center"/>
            <w:hideMark/>
          </w:tcPr>
          <w:p w14:paraId="2ECBE3DF" w14:textId="77777777" w:rsidR="00BB4994" w:rsidRPr="00973028" w:rsidRDefault="00BB4994" w:rsidP="00BB4994">
            <w:pPr>
              <w:widowControl w:val="0"/>
              <w:suppressAutoHyphens/>
              <w:autoSpaceDN w:val="0"/>
              <w:spacing w:after="0" w:line="240" w:lineRule="auto"/>
              <w:jc w:val="center"/>
              <w:rPr>
                <w:rFonts w:ascii="Arial" w:eastAsia="Open Sans" w:hAnsi="Arial" w:cs="Arial"/>
                <w:b/>
                <w:bCs/>
                <w:color w:val="FFFFFF" w:themeColor="background1"/>
                <w:kern w:val="2"/>
                <w:sz w:val="18"/>
                <w:szCs w:val="18"/>
                <w:lang w:eastAsia="zh-CN" w:bidi="hi-IN"/>
              </w:rPr>
            </w:pPr>
            <w:r w:rsidRPr="00973028">
              <w:rPr>
                <w:rFonts w:ascii="Arial" w:eastAsia="Open Sans" w:hAnsi="Arial" w:cs="Arial"/>
                <w:b/>
                <w:bCs/>
                <w:color w:val="FFFFFF" w:themeColor="background1"/>
                <w:kern w:val="2"/>
                <w:sz w:val="18"/>
                <w:szCs w:val="18"/>
                <w:lang w:eastAsia="zh-CN" w:bidi="hi-IN"/>
              </w:rPr>
              <w:t xml:space="preserve"> UNIVERSITAT POLITÈCNICA DE VALÈNCIA</w:t>
            </w:r>
          </w:p>
        </w:tc>
      </w:tr>
      <w:tr w:rsidR="00BB4994" w:rsidRPr="00973028" w14:paraId="341D377E" w14:textId="77777777" w:rsidTr="004927C3">
        <w:trPr>
          <w:gridAfter w:val="1"/>
          <w:wAfter w:w="25" w:type="dxa"/>
        </w:trPr>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901098" w14:textId="77777777" w:rsidR="00BB4994" w:rsidRPr="00973028" w:rsidRDefault="00BB4994" w:rsidP="00BB4994">
            <w:pPr>
              <w:widowControl w:val="0"/>
              <w:suppressAutoHyphens/>
              <w:autoSpaceDN w:val="0"/>
              <w:spacing w:after="0" w:line="240" w:lineRule="auto"/>
              <w:jc w:val="center"/>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Grado</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D98416" w14:textId="77777777" w:rsidR="00BB4994" w:rsidRPr="00973028" w:rsidRDefault="00BB4994" w:rsidP="00BB4994">
            <w:pPr>
              <w:widowControl w:val="0"/>
              <w:suppressAutoHyphens/>
              <w:autoSpaceDN w:val="0"/>
              <w:spacing w:after="0" w:line="240" w:lineRule="auto"/>
              <w:jc w:val="center"/>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Departamento</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AD3D58" w14:textId="77777777" w:rsidR="00BB4994" w:rsidRPr="00973028" w:rsidRDefault="00BB4994" w:rsidP="00BB4994">
            <w:pPr>
              <w:widowControl w:val="0"/>
              <w:suppressAutoHyphens/>
              <w:autoSpaceDN w:val="0"/>
              <w:spacing w:after="0" w:line="240" w:lineRule="auto"/>
              <w:jc w:val="center"/>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Dia</w:t>
            </w:r>
          </w:p>
        </w:tc>
        <w:tc>
          <w:tcPr>
            <w:tcW w:w="21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1754D3" w14:textId="77777777" w:rsidR="00BB4994" w:rsidRPr="00973028" w:rsidRDefault="00BB4994" w:rsidP="00BB4994">
            <w:pPr>
              <w:widowControl w:val="0"/>
              <w:suppressAutoHyphens/>
              <w:autoSpaceDN w:val="0"/>
              <w:spacing w:after="0" w:line="240" w:lineRule="auto"/>
              <w:jc w:val="center"/>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Perfil alumnos</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1E063B" w14:textId="77777777" w:rsidR="00BB4994" w:rsidRPr="00973028" w:rsidRDefault="00BB4994" w:rsidP="00BB4994">
            <w:pPr>
              <w:widowControl w:val="0"/>
              <w:suppressAutoHyphens/>
              <w:autoSpaceDN w:val="0"/>
              <w:spacing w:after="0" w:line="240" w:lineRule="auto"/>
              <w:jc w:val="center"/>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Núm.</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E1EEA3" w14:textId="77777777" w:rsidR="00BB4994" w:rsidRPr="00973028" w:rsidRDefault="00BB4994" w:rsidP="00BB4994">
            <w:pPr>
              <w:widowControl w:val="0"/>
              <w:suppressAutoHyphens/>
              <w:autoSpaceDN w:val="0"/>
              <w:spacing w:after="0" w:line="240" w:lineRule="auto"/>
              <w:jc w:val="center"/>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%mujeres</w:t>
            </w:r>
          </w:p>
        </w:tc>
        <w:tc>
          <w:tcPr>
            <w:tcW w:w="1137"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468C9797" w14:textId="77777777" w:rsidR="00BB4994" w:rsidRPr="00973028" w:rsidRDefault="00BB4994" w:rsidP="00BB4994">
            <w:pPr>
              <w:widowControl w:val="0"/>
              <w:suppressAutoHyphens/>
              <w:autoSpaceDN w:val="0"/>
              <w:spacing w:after="0" w:line="240" w:lineRule="auto"/>
              <w:jc w:val="center"/>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%hombres</w:t>
            </w:r>
          </w:p>
        </w:tc>
        <w:tc>
          <w:tcPr>
            <w:tcW w:w="7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0546C" w14:textId="77777777" w:rsidR="00BB4994" w:rsidRPr="00973028" w:rsidRDefault="00BB4994" w:rsidP="00BB4994">
            <w:pPr>
              <w:widowControl w:val="0"/>
              <w:suppressAutoHyphens/>
              <w:autoSpaceDN w:val="0"/>
              <w:spacing w:after="0" w:line="240" w:lineRule="auto"/>
              <w:jc w:val="center"/>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Val.</w:t>
            </w:r>
          </w:p>
          <w:p w14:paraId="13D3818A" w14:textId="77777777" w:rsidR="00BB4994" w:rsidRPr="00973028" w:rsidRDefault="00BB4994" w:rsidP="00BB4994">
            <w:pPr>
              <w:widowControl w:val="0"/>
              <w:suppressAutoHyphens/>
              <w:autoSpaceDN w:val="0"/>
              <w:spacing w:after="0" w:line="240" w:lineRule="auto"/>
              <w:jc w:val="center"/>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(0-10)</w:t>
            </w:r>
          </w:p>
        </w:tc>
      </w:tr>
      <w:tr w:rsidR="00BB4994" w:rsidRPr="00973028" w14:paraId="246F0604" w14:textId="77777777" w:rsidTr="004927C3">
        <w:trPr>
          <w:gridAfter w:val="1"/>
          <w:wAfter w:w="25" w:type="dxa"/>
        </w:trPr>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6A4A1"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Ingeniería Biomédica</w:t>
            </w:r>
          </w:p>
          <w:p w14:paraId="2E4695BF"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B9162"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Proyectos de Ingeniería</w:t>
            </w:r>
          </w:p>
          <w:p w14:paraId="3C354401"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7EA750"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19/2</w:t>
            </w:r>
          </w:p>
        </w:tc>
        <w:tc>
          <w:tcPr>
            <w:tcW w:w="21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E596CF"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Bioética y deontología</w:t>
            </w:r>
          </w:p>
          <w:p w14:paraId="15D74883"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Tercer Curso de Ingeniería Biomédica</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057DBD"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49</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5A5B0"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54,3 %</w:t>
            </w:r>
          </w:p>
          <w:p w14:paraId="23A20550"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p>
        </w:tc>
        <w:tc>
          <w:tcPr>
            <w:tcW w:w="1137"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9B2A6A1"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w:t>
            </w:r>
          </w:p>
          <w:p w14:paraId="75AF3CC9"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41,3%</w:t>
            </w:r>
          </w:p>
          <w:p w14:paraId="5EBBE41A"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p>
        </w:tc>
        <w:tc>
          <w:tcPr>
            <w:tcW w:w="7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AA7AA" w14:textId="77777777" w:rsidR="00BB4994" w:rsidRPr="00973028" w:rsidRDefault="00BB4994" w:rsidP="00BB4994">
            <w:pPr>
              <w:widowControl w:val="0"/>
              <w:suppressAutoHyphens/>
              <w:autoSpaceDN w:val="0"/>
              <w:spacing w:after="0" w:line="240" w:lineRule="auto"/>
              <w:jc w:val="center"/>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8,3</w:t>
            </w:r>
          </w:p>
        </w:tc>
      </w:tr>
      <w:tr w:rsidR="00BB4994" w:rsidRPr="00973028" w14:paraId="48026A75" w14:textId="77777777" w:rsidTr="004927C3">
        <w:trPr>
          <w:gridAfter w:val="1"/>
          <w:wAfter w:w="25" w:type="dxa"/>
        </w:trPr>
        <w:tc>
          <w:tcPr>
            <w:tcW w:w="1418" w:type="dxa"/>
            <w:tcBorders>
              <w:top w:val="nil"/>
              <w:left w:val="single" w:sz="4" w:space="0" w:color="000000"/>
              <w:bottom w:val="single" w:sz="4" w:space="0" w:color="000000"/>
              <w:right w:val="single" w:sz="4" w:space="0" w:color="000000"/>
            </w:tcBorders>
            <w:shd w:val="clear" w:color="auto" w:fill="FFFFFF"/>
            <w:vAlign w:val="center"/>
            <w:hideMark/>
          </w:tcPr>
          <w:p w14:paraId="52469873"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Gestión Administración Pública</w:t>
            </w:r>
          </w:p>
          <w:p w14:paraId="79535B2D"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ADE</w:t>
            </w:r>
          </w:p>
        </w:tc>
        <w:tc>
          <w:tcPr>
            <w:tcW w:w="1427" w:type="dxa"/>
            <w:tcBorders>
              <w:top w:val="nil"/>
              <w:left w:val="single" w:sz="4" w:space="0" w:color="000000"/>
              <w:bottom w:val="single" w:sz="4" w:space="0" w:color="000000"/>
              <w:right w:val="single" w:sz="4" w:space="0" w:color="000000"/>
            </w:tcBorders>
            <w:shd w:val="clear" w:color="auto" w:fill="FFFFFF"/>
            <w:vAlign w:val="center"/>
            <w:hideMark/>
          </w:tcPr>
          <w:p w14:paraId="0DDDC0AA" w14:textId="34D94D09"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Comunicación Audiovisual, Docum</w:t>
            </w:r>
            <w:r w:rsidR="00253ED4" w:rsidRPr="00973028">
              <w:rPr>
                <w:rFonts w:ascii="Arial" w:eastAsia="Open Sans" w:hAnsi="Arial" w:cs="Arial"/>
                <w:kern w:val="2"/>
                <w:sz w:val="18"/>
                <w:szCs w:val="18"/>
                <w:lang w:eastAsia="zh-CN" w:bidi="hi-IN"/>
              </w:rPr>
              <w:t>entación</w:t>
            </w:r>
            <w:r w:rsidRPr="00973028">
              <w:rPr>
                <w:rFonts w:ascii="Arial" w:eastAsia="Open Sans" w:hAnsi="Arial" w:cs="Arial"/>
                <w:kern w:val="2"/>
                <w:sz w:val="18"/>
                <w:szCs w:val="18"/>
                <w:lang w:eastAsia="zh-CN" w:bidi="hi-IN"/>
              </w:rPr>
              <w:t xml:space="preserve"> e Historia del Arte</w:t>
            </w:r>
          </w:p>
        </w:tc>
        <w:tc>
          <w:tcPr>
            <w:tcW w:w="708" w:type="dxa"/>
            <w:tcBorders>
              <w:top w:val="nil"/>
              <w:left w:val="single" w:sz="4" w:space="0" w:color="000000"/>
              <w:bottom w:val="single" w:sz="4" w:space="0" w:color="000000"/>
              <w:right w:val="single" w:sz="4" w:space="0" w:color="000000"/>
            </w:tcBorders>
            <w:shd w:val="clear" w:color="auto" w:fill="FFFFFF"/>
            <w:vAlign w:val="center"/>
          </w:tcPr>
          <w:p w14:paraId="0F350237"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14/10</w:t>
            </w:r>
          </w:p>
          <w:p w14:paraId="7FA2C441"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p>
        </w:tc>
        <w:tc>
          <w:tcPr>
            <w:tcW w:w="2118" w:type="dxa"/>
            <w:tcBorders>
              <w:top w:val="nil"/>
              <w:left w:val="single" w:sz="4" w:space="0" w:color="000000"/>
              <w:bottom w:val="single" w:sz="4" w:space="0" w:color="000000"/>
              <w:right w:val="single" w:sz="4" w:space="0" w:color="000000"/>
            </w:tcBorders>
            <w:shd w:val="clear" w:color="auto" w:fill="FFFFFF"/>
            <w:vAlign w:val="center"/>
            <w:hideMark/>
          </w:tcPr>
          <w:p w14:paraId="224FEE5F"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Información y Documentación Administrativa</w:t>
            </w:r>
          </w:p>
          <w:p w14:paraId="6F78769E"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ADE</w:t>
            </w:r>
          </w:p>
        </w:tc>
        <w:tc>
          <w:tcPr>
            <w:tcW w:w="709" w:type="dxa"/>
            <w:tcBorders>
              <w:top w:val="nil"/>
              <w:left w:val="single" w:sz="4" w:space="0" w:color="000000"/>
              <w:bottom w:val="single" w:sz="4" w:space="0" w:color="000000"/>
              <w:right w:val="single" w:sz="4" w:space="0" w:color="000000"/>
            </w:tcBorders>
            <w:shd w:val="clear" w:color="auto" w:fill="FFFFFF"/>
            <w:vAlign w:val="center"/>
            <w:hideMark/>
          </w:tcPr>
          <w:p w14:paraId="7B6B8FDE"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43</w:t>
            </w:r>
          </w:p>
        </w:tc>
        <w:tc>
          <w:tcPr>
            <w:tcW w:w="1132" w:type="dxa"/>
            <w:tcBorders>
              <w:top w:val="nil"/>
              <w:left w:val="single" w:sz="4" w:space="0" w:color="000000"/>
              <w:bottom w:val="single" w:sz="4" w:space="0" w:color="000000"/>
              <w:right w:val="single" w:sz="4" w:space="0" w:color="000000"/>
            </w:tcBorders>
            <w:shd w:val="clear" w:color="auto" w:fill="FFFFFF"/>
            <w:vAlign w:val="center"/>
          </w:tcPr>
          <w:p w14:paraId="687B3D3E"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48,5%</w:t>
            </w:r>
          </w:p>
          <w:p w14:paraId="5AE96EA1"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p>
        </w:tc>
        <w:tc>
          <w:tcPr>
            <w:tcW w:w="1137" w:type="dxa"/>
            <w:tcBorders>
              <w:top w:val="nil"/>
              <w:left w:val="single" w:sz="4" w:space="0" w:color="000000"/>
              <w:bottom w:val="single" w:sz="4" w:space="0" w:color="000000"/>
              <w:right w:val="single" w:sz="4" w:space="0" w:color="auto"/>
            </w:tcBorders>
            <w:shd w:val="clear" w:color="auto" w:fill="FFFFFF"/>
            <w:vAlign w:val="center"/>
          </w:tcPr>
          <w:p w14:paraId="48460109"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51,1%</w:t>
            </w:r>
          </w:p>
          <w:p w14:paraId="40A29B59"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p>
        </w:tc>
        <w:tc>
          <w:tcPr>
            <w:tcW w:w="7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2E8072" w14:textId="77777777" w:rsidR="00BB4994" w:rsidRPr="00973028" w:rsidRDefault="00BB4994" w:rsidP="00BB4994">
            <w:pPr>
              <w:widowControl w:val="0"/>
              <w:suppressAutoHyphens/>
              <w:autoSpaceDN w:val="0"/>
              <w:spacing w:after="0" w:line="240" w:lineRule="auto"/>
              <w:jc w:val="center"/>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8,4</w:t>
            </w:r>
          </w:p>
        </w:tc>
      </w:tr>
      <w:tr w:rsidR="0065794C" w:rsidRPr="00973028" w14:paraId="60C56AE8" w14:textId="77777777" w:rsidTr="0065794C">
        <w:tc>
          <w:tcPr>
            <w:tcW w:w="9379" w:type="dxa"/>
            <w:gridSpan w:val="9"/>
            <w:tcBorders>
              <w:top w:val="single" w:sz="4" w:space="0" w:color="auto"/>
              <w:left w:val="single" w:sz="4" w:space="0" w:color="auto"/>
              <w:bottom w:val="single" w:sz="4" w:space="0" w:color="auto"/>
              <w:right w:val="single" w:sz="4" w:space="0" w:color="auto"/>
            </w:tcBorders>
            <w:shd w:val="clear" w:color="auto" w:fill="9D2235" w:themeFill="accent1"/>
            <w:vAlign w:val="center"/>
            <w:hideMark/>
          </w:tcPr>
          <w:p w14:paraId="1FBAEA90" w14:textId="29C75037" w:rsidR="00BB4994" w:rsidRPr="00973028" w:rsidRDefault="00BB4994" w:rsidP="00BB4994">
            <w:pPr>
              <w:widowControl w:val="0"/>
              <w:suppressAutoHyphens/>
              <w:autoSpaceDN w:val="0"/>
              <w:spacing w:after="0" w:line="240" w:lineRule="auto"/>
              <w:jc w:val="center"/>
              <w:rPr>
                <w:rFonts w:ascii="Arial" w:eastAsia="Open Sans" w:hAnsi="Arial" w:cs="Arial"/>
                <w:b/>
                <w:bCs/>
                <w:color w:val="FFFFFF" w:themeColor="background1"/>
                <w:kern w:val="2"/>
                <w:sz w:val="18"/>
                <w:szCs w:val="18"/>
                <w:lang w:eastAsia="zh-CN" w:bidi="hi-IN"/>
              </w:rPr>
            </w:pPr>
            <w:r w:rsidRPr="00973028">
              <w:rPr>
                <w:rFonts w:ascii="Arial" w:eastAsia="Open Sans" w:hAnsi="Arial" w:cs="Arial"/>
                <w:b/>
                <w:bCs/>
                <w:color w:val="FFFFFF" w:themeColor="background1"/>
                <w:kern w:val="2"/>
                <w:sz w:val="18"/>
                <w:szCs w:val="18"/>
                <w:lang w:eastAsia="zh-CN" w:bidi="hi-IN"/>
              </w:rPr>
              <w:t>UNIVERSI</w:t>
            </w:r>
            <w:r w:rsidR="00012862">
              <w:rPr>
                <w:rFonts w:ascii="Arial" w:eastAsia="Open Sans" w:hAnsi="Arial" w:cs="Arial"/>
                <w:b/>
                <w:bCs/>
                <w:color w:val="FFFFFF" w:themeColor="background1"/>
                <w:kern w:val="2"/>
                <w:sz w:val="18"/>
                <w:szCs w:val="18"/>
                <w:lang w:eastAsia="zh-CN" w:bidi="hi-IN"/>
              </w:rPr>
              <w:t>T</w:t>
            </w:r>
            <w:r w:rsidRPr="00973028">
              <w:rPr>
                <w:rFonts w:ascii="Arial" w:eastAsia="Open Sans" w:hAnsi="Arial" w:cs="Arial"/>
                <w:b/>
                <w:bCs/>
                <w:color w:val="FFFFFF" w:themeColor="background1"/>
                <w:kern w:val="2"/>
                <w:sz w:val="18"/>
                <w:szCs w:val="18"/>
                <w:lang w:eastAsia="zh-CN" w:bidi="hi-IN"/>
              </w:rPr>
              <w:t>A</w:t>
            </w:r>
            <w:r w:rsidR="00012862">
              <w:rPr>
                <w:rFonts w:ascii="Arial" w:eastAsia="Open Sans" w:hAnsi="Arial" w:cs="Arial"/>
                <w:b/>
                <w:bCs/>
                <w:color w:val="FFFFFF" w:themeColor="background1"/>
                <w:kern w:val="2"/>
                <w:sz w:val="18"/>
                <w:szCs w:val="18"/>
                <w:lang w:eastAsia="zh-CN" w:bidi="hi-IN"/>
              </w:rPr>
              <w:t>T</w:t>
            </w:r>
            <w:r w:rsidRPr="00973028">
              <w:rPr>
                <w:rFonts w:ascii="Arial" w:eastAsia="Open Sans" w:hAnsi="Arial" w:cs="Arial"/>
                <w:b/>
                <w:bCs/>
                <w:color w:val="FFFFFF" w:themeColor="background1"/>
                <w:kern w:val="2"/>
                <w:sz w:val="18"/>
                <w:szCs w:val="18"/>
                <w:lang w:eastAsia="zh-CN" w:bidi="hi-IN"/>
              </w:rPr>
              <w:t xml:space="preserve"> DE VAL</w:t>
            </w:r>
            <w:r w:rsidR="00D13AB4">
              <w:rPr>
                <w:rFonts w:ascii="Arial" w:eastAsia="Open Sans" w:hAnsi="Arial" w:cs="Arial"/>
                <w:b/>
                <w:bCs/>
                <w:color w:val="FFFFFF" w:themeColor="background1"/>
                <w:kern w:val="2"/>
                <w:sz w:val="18"/>
                <w:szCs w:val="18"/>
                <w:lang w:eastAsia="zh-CN" w:bidi="hi-IN"/>
              </w:rPr>
              <w:t>È</w:t>
            </w:r>
            <w:r w:rsidRPr="00973028">
              <w:rPr>
                <w:rFonts w:ascii="Arial" w:eastAsia="Open Sans" w:hAnsi="Arial" w:cs="Arial"/>
                <w:b/>
                <w:bCs/>
                <w:color w:val="FFFFFF" w:themeColor="background1"/>
                <w:kern w:val="2"/>
                <w:sz w:val="18"/>
                <w:szCs w:val="18"/>
                <w:lang w:eastAsia="zh-CN" w:bidi="hi-IN"/>
              </w:rPr>
              <w:t>NCIA</w:t>
            </w:r>
          </w:p>
        </w:tc>
      </w:tr>
      <w:tr w:rsidR="00BB4994" w:rsidRPr="00973028" w14:paraId="1ABDCEF8" w14:textId="77777777" w:rsidTr="004927C3">
        <w:trPr>
          <w:gridAfter w:val="1"/>
          <w:wAfter w:w="25" w:type="dxa"/>
        </w:trPr>
        <w:tc>
          <w:tcPr>
            <w:tcW w:w="1418" w:type="dxa"/>
            <w:tcBorders>
              <w:top w:val="single" w:sz="4" w:space="0" w:color="000000"/>
              <w:left w:val="single" w:sz="4" w:space="0" w:color="000000"/>
              <w:bottom w:val="single" w:sz="4" w:space="0" w:color="000000"/>
              <w:right w:val="single" w:sz="4" w:space="0" w:color="000000"/>
            </w:tcBorders>
            <w:vAlign w:val="center"/>
          </w:tcPr>
          <w:p w14:paraId="10A322E5"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Grado en Derecho</w:t>
            </w:r>
          </w:p>
          <w:p w14:paraId="5D7E7226"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p>
        </w:tc>
        <w:tc>
          <w:tcPr>
            <w:tcW w:w="1427" w:type="dxa"/>
            <w:tcBorders>
              <w:top w:val="single" w:sz="4" w:space="0" w:color="000000"/>
              <w:left w:val="single" w:sz="4" w:space="0" w:color="000000"/>
              <w:bottom w:val="single" w:sz="4" w:space="0" w:color="000000"/>
              <w:right w:val="single" w:sz="4" w:space="0" w:color="000000"/>
            </w:tcBorders>
            <w:vAlign w:val="center"/>
          </w:tcPr>
          <w:p w14:paraId="56EDF62B"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Derecho Penal</w:t>
            </w:r>
          </w:p>
          <w:p w14:paraId="0209ABB6"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480D21A9"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28/2</w:t>
            </w:r>
          </w:p>
        </w:tc>
        <w:tc>
          <w:tcPr>
            <w:tcW w:w="2118" w:type="dxa"/>
            <w:tcBorders>
              <w:top w:val="single" w:sz="4" w:space="0" w:color="000000"/>
              <w:left w:val="single" w:sz="4" w:space="0" w:color="000000"/>
              <w:bottom w:val="single" w:sz="4" w:space="0" w:color="000000"/>
              <w:right w:val="single" w:sz="4" w:space="0" w:color="000000"/>
            </w:tcBorders>
            <w:vAlign w:val="center"/>
            <w:hideMark/>
          </w:tcPr>
          <w:p w14:paraId="3AD1213F"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Derecho Penal,</w:t>
            </w:r>
          </w:p>
          <w:p w14:paraId="03F537FF"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Filosofía del Derecho</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171D766"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59</w:t>
            </w:r>
          </w:p>
        </w:tc>
        <w:tc>
          <w:tcPr>
            <w:tcW w:w="1132" w:type="dxa"/>
            <w:tcBorders>
              <w:top w:val="single" w:sz="4" w:space="0" w:color="000000"/>
              <w:left w:val="single" w:sz="4" w:space="0" w:color="000000"/>
              <w:bottom w:val="single" w:sz="4" w:space="0" w:color="000000"/>
              <w:right w:val="single" w:sz="4" w:space="0" w:color="000000"/>
            </w:tcBorders>
            <w:vAlign w:val="center"/>
          </w:tcPr>
          <w:p w14:paraId="376152E0"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w:t>
            </w:r>
          </w:p>
          <w:p w14:paraId="2BB527BA"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72,8%</w:t>
            </w:r>
          </w:p>
          <w:p w14:paraId="5FC1E7EE"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p>
        </w:tc>
        <w:tc>
          <w:tcPr>
            <w:tcW w:w="1137" w:type="dxa"/>
            <w:tcBorders>
              <w:top w:val="single" w:sz="4" w:space="0" w:color="000000"/>
              <w:left w:val="single" w:sz="4" w:space="0" w:color="000000"/>
              <w:bottom w:val="single" w:sz="4" w:space="0" w:color="000000"/>
              <w:right w:val="single" w:sz="4" w:space="0" w:color="auto"/>
            </w:tcBorders>
            <w:vAlign w:val="center"/>
          </w:tcPr>
          <w:p w14:paraId="2CEB7BBD"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p>
          <w:p w14:paraId="60F6D92D"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23,7 %</w:t>
            </w:r>
          </w:p>
          <w:p w14:paraId="78F6732E"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p>
        </w:tc>
        <w:tc>
          <w:tcPr>
            <w:tcW w:w="705" w:type="dxa"/>
            <w:tcBorders>
              <w:top w:val="single" w:sz="4" w:space="0" w:color="auto"/>
              <w:left w:val="single" w:sz="4" w:space="0" w:color="auto"/>
              <w:bottom w:val="single" w:sz="4" w:space="0" w:color="auto"/>
              <w:right w:val="single" w:sz="4" w:space="0" w:color="auto"/>
            </w:tcBorders>
            <w:vAlign w:val="center"/>
            <w:hideMark/>
          </w:tcPr>
          <w:p w14:paraId="21AD91C4" w14:textId="77777777" w:rsidR="00BB4994" w:rsidRPr="00973028" w:rsidRDefault="00BB4994" w:rsidP="00BB4994">
            <w:pPr>
              <w:widowControl w:val="0"/>
              <w:suppressAutoHyphens/>
              <w:autoSpaceDN w:val="0"/>
              <w:spacing w:after="0" w:line="240" w:lineRule="auto"/>
              <w:jc w:val="center"/>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7,8</w:t>
            </w:r>
          </w:p>
        </w:tc>
      </w:tr>
      <w:tr w:rsidR="00BB4994" w:rsidRPr="00973028" w14:paraId="63099423" w14:textId="77777777" w:rsidTr="004927C3">
        <w:trPr>
          <w:gridAfter w:val="1"/>
          <w:wAfter w:w="25" w:type="dxa"/>
          <w:trHeight w:val="2070"/>
        </w:trPr>
        <w:tc>
          <w:tcPr>
            <w:tcW w:w="1418" w:type="dxa"/>
            <w:tcBorders>
              <w:top w:val="nil"/>
              <w:left w:val="single" w:sz="4" w:space="0" w:color="000000"/>
              <w:bottom w:val="single" w:sz="4" w:space="0" w:color="000000"/>
              <w:right w:val="single" w:sz="4" w:space="0" w:color="000000"/>
            </w:tcBorders>
            <w:vAlign w:val="center"/>
            <w:hideMark/>
          </w:tcPr>
          <w:p w14:paraId="7EB9AD7F"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Grado en Ciencia Política,</w:t>
            </w:r>
          </w:p>
          <w:p w14:paraId="3441E430"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doble grado de Ciencia Política y Sociología, doble grado de Sociología y Derecho</w:t>
            </w:r>
          </w:p>
        </w:tc>
        <w:tc>
          <w:tcPr>
            <w:tcW w:w="1427" w:type="dxa"/>
            <w:tcBorders>
              <w:top w:val="nil"/>
              <w:left w:val="single" w:sz="4" w:space="0" w:color="000000"/>
              <w:bottom w:val="single" w:sz="4" w:space="0" w:color="000000"/>
              <w:right w:val="single" w:sz="4" w:space="0" w:color="000000"/>
            </w:tcBorders>
            <w:vAlign w:val="center"/>
            <w:hideMark/>
          </w:tcPr>
          <w:p w14:paraId="5EDBD370"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Derecho Constitucional, Ciencia Política y Administración</w:t>
            </w:r>
          </w:p>
        </w:tc>
        <w:tc>
          <w:tcPr>
            <w:tcW w:w="708" w:type="dxa"/>
            <w:tcBorders>
              <w:top w:val="nil"/>
              <w:left w:val="single" w:sz="4" w:space="0" w:color="000000"/>
              <w:bottom w:val="single" w:sz="4" w:space="0" w:color="000000"/>
              <w:right w:val="single" w:sz="4" w:space="0" w:color="000000"/>
            </w:tcBorders>
            <w:vAlign w:val="center"/>
            <w:hideMark/>
          </w:tcPr>
          <w:p w14:paraId="324B4CE6"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20/11</w:t>
            </w:r>
          </w:p>
        </w:tc>
        <w:tc>
          <w:tcPr>
            <w:tcW w:w="2118" w:type="dxa"/>
            <w:tcBorders>
              <w:top w:val="nil"/>
              <w:left w:val="single" w:sz="4" w:space="0" w:color="000000"/>
              <w:bottom w:val="single" w:sz="4" w:space="0" w:color="000000"/>
              <w:right w:val="single" w:sz="4" w:space="0" w:color="000000"/>
            </w:tcBorders>
            <w:vAlign w:val="center"/>
            <w:hideMark/>
          </w:tcPr>
          <w:p w14:paraId="0DD1EBE6"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Estudiantes de Derecho Administrativo</w:t>
            </w:r>
          </w:p>
          <w:p w14:paraId="49538FF3"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Ciencias Política y Administración</w:t>
            </w:r>
          </w:p>
        </w:tc>
        <w:tc>
          <w:tcPr>
            <w:tcW w:w="709" w:type="dxa"/>
            <w:tcBorders>
              <w:top w:val="nil"/>
              <w:left w:val="single" w:sz="4" w:space="0" w:color="000000"/>
              <w:bottom w:val="single" w:sz="4" w:space="0" w:color="000000"/>
              <w:right w:val="single" w:sz="4" w:space="0" w:color="000000"/>
            </w:tcBorders>
            <w:vAlign w:val="center"/>
            <w:hideMark/>
          </w:tcPr>
          <w:p w14:paraId="25C63C5D"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195</w:t>
            </w:r>
          </w:p>
        </w:tc>
        <w:tc>
          <w:tcPr>
            <w:tcW w:w="1132" w:type="dxa"/>
            <w:tcBorders>
              <w:top w:val="nil"/>
              <w:left w:val="single" w:sz="4" w:space="0" w:color="000000"/>
              <w:bottom w:val="nil"/>
              <w:right w:val="single" w:sz="4" w:space="0" w:color="000000"/>
            </w:tcBorders>
            <w:vAlign w:val="center"/>
          </w:tcPr>
          <w:p w14:paraId="41068285" w14:textId="77777777" w:rsidR="00BB4994" w:rsidRPr="00973028" w:rsidRDefault="00BB4994" w:rsidP="00BB4994">
            <w:pPr>
              <w:widowControl w:val="0"/>
              <w:suppressAutoHyphens/>
              <w:autoSpaceDN w:val="0"/>
              <w:spacing w:after="0" w:line="240" w:lineRule="auto"/>
              <w:jc w:val="center"/>
              <w:rPr>
                <w:rFonts w:ascii="Arial" w:eastAsia="Open Sans" w:hAnsi="Arial" w:cs="Arial"/>
                <w:color w:val="000000"/>
                <w:kern w:val="2"/>
                <w:sz w:val="18"/>
                <w:szCs w:val="18"/>
                <w:lang w:eastAsia="zh-CN" w:bidi="hi-IN"/>
              </w:rPr>
            </w:pPr>
          </w:p>
          <w:p w14:paraId="31C9EDC7" w14:textId="77777777" w:rsidR="00BB4994" w:rsidRPr="00973028" w:rsidRDefault="00BB4994" w:rsidP="00BB4994">
            <w:pPr>
              <w:widowControl w:val="0"/>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61,4%</w:t>
            </w:r>
          </w:p>
          <w:p w14:paraId="2AB3AD62" w14:textId="77777777" w:rsidR="00BB4994" w:rsidRPr="00973028" w:rsidRDefault="00BB4994" w:rsidP="00BB4994">
            <w:pPr>
              <w:widowControl w:val="0"/>
              <w:suppressAutoHyphens/>
              <w:autoSpaceDN w:val="0"/>
              <w:spacing w:after="0" w:line="240" w:lineRule="auto"/>
              <w:jc w:val="center"/>
              <w:rPr>
                <w:rFonts w:ascii="Arial" w:eastAsia="Open Sans" w:hAnsi="Arial" w:cs="Arial"/>
                <w:color w:val="C9211E"/>
                <w:kern w:val="2"/>
                <w:sz w:val="18"/>
                <w:szCs w:val="18"/>
                <w:lang w:eastAsia="zh-CN" w:bidi="hi-IN"/>
              </w:rPr>
            </w:pPr>
          </w:p>
        </w:tc>
        <w:tc>
          <w:tcPr>
            <w:tcW w:w="1137" w:type="dxa"/>
            <w:tcBorders>
              <w:top w:val="nil"/>
              <w:left w:val="single" w:sz="4" w:space="0" w:color="000000"/>
              <w:bottom w:val="nil"/>
              <w:right w:val="single" w:sz="4" w:space="0" w:color="auto"/>
            </w:tcBorders>
            <w:vAlign w:val="center"/>
          </w:tcPr>
          <w:p w14:paraId="4A0F4405" w14:textId="77777777" w:rsidR="00BB4994" w:rsidRPr="00973028" w:rsidRDefault="00BB4994" w:rsidP="00BB4994">
            <w:pPr>
              <w:widowControl w:val="0"/>
              <w:suppressAutoHyphens/>
              <w:autoSpaceDN w:val="0"/>
              <w:spacing w:after="0" w:line="240" w:lineRule="auto"/>
              <w:jc w:val="center"/>
              <w:rPr>
                <w:rFonts w:ascii="Arial" w:eastAsia="Open Sans" w:hAnsi="Arial" w:cs="Arial"/>
                <w:color w:val="000000"/>
                <w:kern w:val="2"/>
                <w:sz w:val="18"/>
                <w:szCs w:val="18"/>
                <w:lang w:eastAsia="zh-CN" w:bidi="hi-IN"/>
              </w:rPr>
            </w:pPr>
          </w:p>
          <w:p w14:paraId="46B14F3B" w14:textId="77777777" w:rsidR="00BB4994" w:rsidRPr="00973028" w:rsidRDefault="00BB4994" w:rsidP="00BB4994">
            <w:pPr>
              <w:widowControl w:val="0"/>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35,7%</w:t>
            </w:r>
          </w:p>
          <w:p w14:paraId="1B3954FD" w14:textId="77777777" w:rsidR="00BB4994" w:rsidRPr="00973028" w:rsidRDefault="00BB4994" w:rsidP="00BB4994">
            <w:pPr>
              <w:widowControl w:val="0"/>
              <w:suppressAutoHyphens/>
              <w:autoSpaceDN w:val="0"/>
              <w:spacing w:after="0" w:line="240" w:lineRule="auto"/>
              <w:jc w:val="center"/>
              <w:rPr>
                <w:rFonts w:ascii="Arial" w:eastAsia="Open Sans" w:hAnsi="Arial" w:cs="Arial"/>
                <w:color w:val="C9211E"/>
                <w:kern w:val="2"/>
                <w:sz w:val="18"/>
                <w:szCs w:val="18"/>
                <w:lang w:eastAsia="zh-CN" w:bidi="hi-IN"/>
              </w:rPr>
            </w:pPr>
          </w:p>
        </w:tc>
        <w:tc>
          <w:tcPr>
            <w:tcW w:w="705" w:type="dxa"/>
            <w:tcBorders>
              <w:top w:val="single" w:sz="4" w:space="0" w:color="auto"/>
              <w:left w:val="single" w:sz="4" w:space="0" w:color="auto"/>
              <w:bottom w:val="nil"/>
              <w:right w:val="single" w:sz="4" w:space="0" w:color="auto"/>
            </w:tcBorders>
            <w:vAlign w:val="center"/>
            <w:hideMark/>
          </w:tcPr>
          <w:p w14:paraId="017E3D7D" w14:textId="77777777" w:rsidR="00BB4994" w:rsidRPr="00973028" w:rsidRDefault="00BB4994" w:rsidP="00BB4994">
            <w:pPr>
              <w:widowControl w:val="0"/>
              <w:suppressAutoHyphens/>
              <w:autoSpaceDN w:val="0"/>
              <w:spacing w:after="0" w:line="240" w:lineRule="auto"/>
              <w:jc w:val="center"/>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8</w:t>
            </w:r>
          </w:p>
        </w:tc>
      </w:tr>
      <w:tr w:rsidR="0065794C" w:rsidRPr="00973028" w14:paraId="651BC209" w14:textId="77777777" w:rsidTr="0065794C">
        <w:tc>
          <w:tcPr>
            <w:tcW w:w="9379" w:type="dxa"/>
            <w:gridSpan w:val="9"/>
            <w:tcBorders>
              <w:top w:val="single" w:sz="4" w:space="0" w:color="auto"/>
              <w:left w:val="single" w:sz="4" w:space="0" w:color="auto"/>
              <w:bottom w:val="single" w:sz="4" w:space="0" w:color="auto"/>
              <w:right w:val="single" w:sz="4" w:space="0" w:color="auto"/>
            </w:tcBorders>
            <w:shd w:val="clear" w:color="auto" w:fill="9D2235" w:themeFill="accent1"/>
            <w:vAlign w:val="center"/>
            <w:hideMark/>
          </w:tcPr>
          <w:p w14:paraId="0184F79C" w14:textId="3FA55315" w:rsidR="00BB4994" w:rsidRPr="00973028" w:rsidRDefault="00BB4994" w:rsidP="00BB4994">
            <w:pPr>
              <w:widowControl w:val="0"/>
              <w:suppressAutoHyphens/>
              <w:autoSpaceDN w:val="0"/>
              <w:spacing w:after="0" w:line="240" w:lineRule="auto"/>
              <w:jc w:val="center"/>
              <w:rPr>
                <w:rFonts w:ascii="Arial" w:eastAsia="Open Sans" w:hAnsi="Arial" w:cs="Arial"/>
                <w:b/>
                <w:bCs/>
                <w:color w:val="FFFFFF" w:themeColor="background1"/>
                <w:kern w:val="2"/>
                <w:sz w:val="18"/>
                <w:szCs w:val="18"/>
                <w:lang w:eastAsia="zh-CN" w:bidi="hi-IN"/>
              </w:rPr>
            </w:pPr>
            <w:r w:rsidRPr="00973028">
              <w:rPr>
                <w:rFonts w:ascii="Arial" w:eastAsia="Open Sans" w:hAnsi="Arial" w:cs="Arial"/>
                <w:b/>
                <w:bCs/>
                <w:color w:val="FFFFFF" w:themeColor="background1"/>
                <w:kern w:val="2"/>
                <w:sz w:val="18"/>
                <w:szCs w:val="18"/>
                <w:lang w:eastAsia="zh-CN" w:bidi="hi-IN"/>
              </w:rPr>
              <w:t>UNIVERSIDAD MIGUEL HERN</w:t>
            </w:r>
            <w:r w:rsidR="0065794C" w:rsidRPr="00973028">
              <w:rPr>
                <w:rFonts w:ascii="Arial" w:eastAsia="Open Sans" w:hAnsi="Arial" w:cs="Arial"/>
                <w:b/>
                <w:bCs/>
                <w:color w:val="FFFFFF" w:themeColor="background1"/>
                <w:kern w:val="2"/>
                <w:sz w:val="18"/>
                <w:szCs w:val="18"/>
                <w:lang w:eastAsia="zh-CN" w:bidi="hi-IN"/>
              </w:rPr>
              <w:t>Á</w:t>
            </w:r>
            <w:r w:rsidRPr="00973028">
              <w:rPr>
                <w:rFonts w:ascii="Arial" w:eastAsia="Open Sans" w:hAnsi="Arial" w:cs="Arial"/>
                <w:b/>
                <w:bCs/>
                <w:color w:val="FFFFFF" w:themeColor="background1"/>
                <w:kern w:val="2"/>
                <w:sz w:val="18"/>
                <w:szCs w:val="18"/>
                <w:lang w:eastAsia="zh-CN" w:bidi="hi-IN"/>
              </w:rPr>
              <w:t>NDEZ</w:t>
            </w:r>
          </w:p>
        </w:tc>
      </w:tr>
      <w:tr w:rsidR="00BB4994" w:rsidRPr="00973028" w14:paraId="08BC28A0" w14:textId="77777777" w:rsidTr="004927C3">
        <w:trPr>
          <w:gridAfter w:val="1"/>
          <w:wAfter w:w="25" w:type="dxa"/>
        </w:trPr>
        <w:tc>
          <w:tcPr>
            <w:tcW w:w="1418" w:type="dxa"/>
            <w:tcBorders>
              <w:top w:val="single" w:sz="4" w:space="0" w:color="000000"/>
              <w:left w:val="single" w:sz="4" w:space="0" w:color="000000"/>
              <w:bottom w:val="single" w:sz="4" w:space="0" w:color="000000"/>
              <w:right w:val="single" w:sz="4" w:space="0" w:color="000000"/>
            </w:tcBorders>
            <w:vAlign w:val="center"/>
          </w:tcPr>
          <w:p w14:paraId="74EFAD1B"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Periodismo</w:t>
            </w:r>
          </w:p>
          <w:p w14:paraId="29D0E84F"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4E6CF025"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Ciencias Sociales y Humanas</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4445A64A"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5/11</w:t>
            </w:r>
          </w:p>
        </w:tc>
        <w:tc>
          <w:tcPr>
            <w:tcW w:w="2118" w:type="dxa"/>
            <w:tcBorders>
              <w:top w:val="single" w:sz="4" w:space="0" w:color="000000"/>
              <w:left w:val="single" w:sz="4" w:space="0" w:color="000000"/>
              <w:bottom w:val="single" w:sz="4" w:space="0" w:color="000000"/>
              <w:right w:val="single" w:sz="4" w:space="0" w:color="000000"/>
            </w:tcBorders>
            <w:vAlign w:val="center"/>
            <w:hideMark/>
          </w:tcPr>
          <w:p w14:paraId="3F093F79"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Segundo curso Asignatura Instituciones</w:t>
            </w:r>
            <w:r w:rsidRPr="00973028">
              <w:rPr>
                <w:rFonts w:ascii="Arial" w:eastAsia="Open Sans" w:hAnsi="Arial" w:cs="Arial"/>
                <w:color w:val="1B1B1B"/>
                <w:kern w:val="2"/>
                <w:sz w:val="18"/>
                <w:szCs w:val="18"/>
                <w:lang w:eastAsia="zh-CN" w:bidi="hi-IN"/>
              </w:rPr>
              <w:t xml:space="preserve"> </w:t>
            </w:r>
            <w:r w:rsidRPr="00973028">
              <w:rPr>
                <w:rFonts w:ascii="Arial" w:eastAsia="Open Sans" w:hAnsi="Arial" w:cs="Arial"/>
                <w:kern w:val="2"/>
                <w:sz w:val="18"/>
                <w:szCs w:val="18"/>
                <w:lang w:eastAsia="zh-CN" w:bidi="hi-IN"/>
              </w:rPr>
              <w:t>Jurídico-políticas</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0D4CF95"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45</w:t>
            </w:r>
          </w:p>
          <w:p w14:paraId="5F2C8408"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 xml:space="preserve"> +10</w:t>
            </w:r>
          </w:p>
        </w:tc>
        <w:tc>
          <w:tcPr>
            <w:tcW w:w="1132" w:type="dxa"/>
            <w:tcBorders>
              <w:top w:val="single" w:sz="4" w:space="0" w:color="000000"/>
              <w:left w:val="single" w:sz="4" w:space="0" w:color="000000"/>
              <w:bottom w:val="single" w:sz="4" w:space="0" w:color="000000"/>
              <w:right w:val="single" w:sz="4" w:space="0" w:color="000000"/>
            </w:tcBorders>
            <w:vAlign w:val="center"/>
          </w:tcPr>
          <w:p w14:paraId="49D21F3E" w14:textId="77777777" w:rsidR="00BB4994" w:rsidRPr="00973028" w:rsidRDefault="00BB4994" w:rsidP="00BB4994">
            <w:pPr>
              <w:widowControl w:val="0"/>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 xml:space="preserve"> 53,3%</w:t>
            </w:r>
          </w:p>
          <w:p w14:paraId="1D055C6D" w14:textId="77777777" w:rsidR="00BB4994" w:rsidRPr="00973028" w:rsidRDefault="00BB4994" w:rsidP="00BB4994">
            <w:pPr>
              <w:widowControl w:val="0"/>
              <w:suppressAutoHyphens/>
              <w:autoSpaceDN w:val="0"/>
              <w:spacing w:after="0" w:line="240" w:lineRule="auto"/>
              <w:jc w:val="center"/>
              <w:rPr>
                <w:rFonts w:ascii="Arial" w:eastAsia="Open Sans" w:hAnsi="Arial" w:cs="Arial"/>
                <w:color w:val="C9211E"/>
                <w:kern w:val="2"/>
                <w:sz w:val="18"/>
                <w:szCs w:val="18"/>
                <w:lang w:eastAsia="zh-CN" w:bidi="hi-IN"/>
              </w:rPr>
            </w:pPr>
          </w:p>
        </w:tc>
        <w:tc>
          <w:tcPr>
            <w:tcW w:w="1137" w:type="dxa"/>
            <w:tcBorders>
              <w:top w:val="single" w:sz="4" w:space="0" w:color="000000"/>
              <w:left w:val="single" w:sz="4" w:space="0" w:color="000000"/>
              <w:bottom w:val="single" w:sz="4" w:space="0" w:color="000000"/>
              <w:right w:val="single" w:sz="4" w:space="0" w:color="auto"/>
            </w:tcBorders>
            <w:vAlign w:val="center"/>
          </w:tcPr>
          <w:p w14:paraId="71B77F56" w14:textId="77777777" w:rsidR="00BB4994" w:rsidRPr="00973028" w:rsidRDefault="00BB4994" w:rsidP="00BB4994">
            <w:pPr>
              <w:widowControl w:val="0"/>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 xml:space="preserve"> 46,6 %</w:t>
            </w:r>
          </w:p>
          <w:p w14:paraId="279CF9DC" w14:textId="77777777" w:rsidR="00BB4994" w:rsidRPr="00973028" w:rsidRDefault="00BB4994" w:rsidP="00BB4994">
            <w:pPr>
              <w:widowControl w:val="0"/>
              <w:suppressAutoHyphens/>
              <w:autoSpaceDN w:val="0"/>
              <w:spacing w:after="0" w:line="240" w:lineRule="auto"/>
              <w:jc w:val="center"/>
              <w:rPr>
                <w:rFonts w:ascii="Arial" w:eastAsia="Open Sans" w:hAnsi="Arial" w:cs="Arial"/>
                <w:color w:val="C9211E"/>
                <w:kern w:val="2"/>
                <w:sz w:val="18"/>
                <w:szCs w:val="18"/>
                <w:lang w:eastAsia="zh-CN" w:bidi="hi-IN"/>
              </w:rPr>
            </w:pPr>
          </w:p>
        </w:tc>
        <w:tc>
          <w:tcPr>
            <w:tcW w:w="705" w:type="dxa"/>
            <w:tcBorders>
              <w:top w:val="single" w:sz="4" w:space="0" w:color="auto"/>
              <w:left w:val="single" w:sz="4" w:space="0" w:color="auto"/>
              <w:bottom w:val="single" w:sz="4" w:space="0" w:color="auto"/>
              <w:right w:val="single" w:sz="4" w:space="0" w:color="auto"/>
            </w:tcBorders>
            <w:vAlign w:val="center"/>
            <w:hideMark/>
          </w:tcPr>
          <w:p w14:paraId="4C2A2AE3" w14:textId="77777777" w:rsidR="00BB4994" w:rsidRPr="00973028" w:rsidRDefault="00BB4994" w:rsidP="00BB4994">
            <w:pPr>
              <w:widowControl w:val="0"/>
              <w:suppressAutoHyphens/>
              <w:autoSpaceDN w:val="0"/>
              <w:spacing w:after="0" w:line="240" w:lineRule="auto"/>
              <w:jc w:val="center"/>
              <w:rPr>
                <w:rFonts w:ascii="Arial" w:eastAsia="Open Sans" w:hAnsi="Arial" w:cs="Arial"/>
                <w:b/>
                <w:color w:val="000000"/>
                <w:kern w:val="2"/>
                <w:sz w:val="18"/>
                <w:szCs w:val="18"/>
                <w:lang w:eastAsia="zh-CN" w:bidi="hi-IN"/>
              </w:rPr>
            </w:pPr>
            <w:r w:rsidRPr="00973028">
              <w:rPr>
                <w:rFonts w:ascii="Arial" w:eastAsia="Open Sans" w:hAnsi="Arial" w:cs="Arial"/>
                <w:b/>
                <w:color w:val="000000"/>
                <w:kern w:val="2"/>
                <w:sz w:val="18"/>
                <w:szCs w:val="18"/>
                <w:lang w:eastAsia="zh-CN" w:bidi="hi-IN"/>
              </w:rPr>
              <w:t>7.9</w:t>
            </w:r>
          </w:p>
        </w:tc>
      </w:tr>
      <w:tr w:rsidR="00BB4994" w:rsidRPr="00973028" w14:paraId="2EF6E102" w14:textId="77777777" w:rsidTr="008145AC">
        <w:trPr>
          <w:gridAfter w:val="1"/>
          <w:wAfter w:w="25" w:type="dxa"/>
          <w:trHeight w:val="69"/>
        </w:trPr>
        <w:tc>
          <w:tcPr>
            <w:tcW w:w="2845" w:type="dxa"/>
            <w:gridSpan w:val="2"/>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356F33A7" w14:textId="77777777" w:rsidR="00BB4994" w:rsidRPr="00973028" w:rsidRDefault="00BB4994" w:rsidP="00BB4994">
            <w:pPr>
              <w:widowControl w:val="0"/>
              <w:suppressAutoHyphens/>
              <w:autoSpaceDN w:val="0"/>
              <w:spacing w:after="0" w:line="240" w:lineRule="auto"/>
              <w:jc w:val="right"/>
              <w:rPr>
                <w:rFonts w:ascii="Arial" w:eastAsia="Open Sans" w:hAnsi="Arial" w:cs="Arial"/>
                <w:b/>
                <w:color w:val="000000"/>
                <w:kern w:val="2"/>
                <w:sz w:val="18"/>
                <w:szCs w:val="18"/>
                <w:lang w:eastAsia="zh-CN" w:bidi="hi-IN"/>
              </w:rPr>
            </w:pPr>
            <w:r w:rsidRPr="00973028">
              <w:rPr>
                <w:rFonts w:ascii="Arial" w:eastAsia="Open Sans" w:hAnsi="Arial" w:cs="Arial"/>
                <w:b/>
                <w:color w:val="000000"/>
                <w:kern w:val="2"/>
                <w:sz w:val="18"/>
                <w:szCs w:val="18"/>
                <w:lang w:eastAsia="zh-CN" w:bidi="hi-IN"/>
              </w:rPr>
              <w:t>Total</w:t>
            </w:r>
          </w:p>
        </w:tc>
        <w:tc>
          <w:tcPr>
            <w:tcW w:w="282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61D69FC" w14:textId="77777777" w:rsidR="00BB4994" w:rsidRPr="00973028" w:rsidRDefault="00BB4994" w:rsidP="00BB4994">
            <w:pPr>
              <w:widowControl w:val="0"/>
              <w:suppressAutoHyphens/>
              <w:autoSpaceDN w:val="0"/>
              <w:spacing w:after="0" w:line="240" w:lineRule="auto"/>
              <w:jc w:val="right"/>
              <w:rPr>
                <w:rFonts w:ascii="Arial" w:eastAsia="Open Sans" w:hAnsi="Arial" w:cs="Arial"/>
                <w:b/>
                <w:color w:val="000000"/>
                <w:kern w:val="2"/>
                <w:sz w:val="18"/>
                <w:szCs w:val="18"/>
                <w:lang w:eastAsia="zh-CN" w:bidi="hi-IN"/>
              </w:rPr>
            </w:pPr>
            <w:r w:rsidRPr="00973028">
              <w:rPr>
                <w:rFonts w:ascii="Arial" w:eastAsia="Open Sans" w:hAnsi="Arial" w:cs="Arial"/>
                <w:b/>
                <w:color w:val="000000"/>
                <w:kern w:val="2"/>
                <w:sz w:val="18"/>
                <w:szCs w:val="18"/>
                <w:lang w:eastAsia="zh-CN" w:bidi="hi-IN"/>
              </w:rPr>
              <w:t>5 actividades</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17793A2" w14:textId="77777777" w:rsidR="00BB4994" w:rsidRPr="00973028" w:rsidRDefault="00BB4994" w:rsidP="00BB4994">
            <w:pPr>
              <w:widowControl w:val="0"/>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b/>
                <w:color w:val="000000"/>
                <w:kern w:val="2"/>
                <w:sz w:val="18"/>
                <w:szCs w:val="18"/>
                <w:lang w:eastAsia="zh-CN" w:bidi="hi-IN"/>
              </w:rPr>
              <w:t>401 alumnos</w:t>
            </w:r>
          </w:p>
        </w:tc>
        <w:tc>
          <w:tcPr>
            <w:tcW w:w="1137"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3677256" w14:textId="77777777" w:rsidR="00BB4994" w:rsidRPr="00973028" w:rsidRDefault="00BB4994" w:rsidP="00BB4994">
            <w:pPr>
              <w:widowControl w:val="0"/>
              <w:suppressAutoHyphens/>
              <w:autoSpaceDN w:val="0"/>
              <w:spacing w:after="0" w:line="240" w:lineRule="auto"/>
              <w:jc w:val="center"/>
              <w:rPr>
                <w:rFonts w:ascii="Arial" w:eastAsia="Open Sans" w:hAnsi="Arial" w:cs="Arial"/>
                <w:b/>
                <w:color w:val="C9211E"/>
                <w:kern w:val="2"/>
                <w:sz w:val="18"/>
                <w:szCs w:val="18"/>
                <w:lang w:eastAsia="zh-CN" w:bidi="hi-IN"/>
              </w:rPr>
            </w:pPr>
          </w:p>
        </w:tc>
        <w:tc>
          <w:tcPr>
            <w:tcW w:w="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9A27D5" w14:textId="77777777" w:rsidR="00BB4994" w:rsidRPr="00973028" w:rsidRDefault="00BB4994" w:rsidP="00BB4994">
            <w:pPr>
              <w:widowControl w:val="0"/>
              <w:suppressAutoHyphens/>
              <w:autoSpaceDN w:val="0"/>
              <w:spacing w:after="0" w:line="240" w:lineRule="auto"/>
              <w:jc w:val="center"/>
              <w:rPr>
                <w:rFonts w:ascii="Arial" w:eastAsia="Open Sans" w:hAnsi="Arial" w:cs="Arial"/>
                <w:b/>
                <w:color w:val="C9211E"/>
                <w:kern w:val="2"/>
                <w:sz w:val="18"/>
                <w:szCs w:val="18"/>
                <w:lang w:eastAsia="zh-CN" w:bidi="hi-IN"/>
              </w:rPr>
            </w:pPr>
          </w:p>
        </w:tc>
      </w:tr>
    </w:tbl>
    <w:p w14:paraId="5022E045" w14:textId="77777777" w:rsidR="00BB4994" w:rsidRPr="00973028" w:rsidRDefault="00BB4994" w:rsidP="00BB4994">
      <w:pPr>
        <w:widowControl w:val="0"/>
        <w:suppressAutoHyphens/>
        <w:autoSpaceDN w:val="0"/>
        <w:spacing w:after="0" w:line="276" w:lineRule="auto"/>
        <w:jc w:val="both"/>
        <w:rPr>
          <w:rFonts w:ascii="Arial" w:eastAsia="Open Sans" w:hAnsi="Arial" w:cs="Arial"/>
          <w:kern w:val="2"/>
          <w:sz w:val="21"/>
          <w:szCs w:val="21"/>
          <w:lang w:eastAsia="zh-CN" w:bidi="hi-IN"/>
        </w:rPr>
      </w:pPr>
    </w:p>
    <w:p w14:paraId="65028909" w14:textId="77777777" w:rsidR="00BB4994" w:rsidRPr="00973028" w:rsidRDefault="00BB4994" w:rsidP="00BB4994">
      <w:pPr>
        <w:keepNext/>
        <w:keepLines/>
        <w:widowControl w:val="0"/>
        <w:suppressAutoHyphens/>
        <w:autoSpaceDN w:val="0"/>
        <w:spacing w:before="40" w:after="120" w:line="276" w:lineRule="auto"/>
        <w:jc w:val="both"/>
        <w:outlineLvl w:val="3"/>
        <w:rPr>
          <w:rFonts w:ascii="Arial" w:eastAsia="Open Sans" w:hAnsi="Arial" w:cs="Arial"/>
          <w:b/>
          <w:i/>
          <w:iCs/>
          <w:sz w:val="21"/>
          <w:lang w:eastAsia="zh-CN" w:bidi="hi-IN"/>
        </w:rPr>
      </w:pPr>
      <w:r w:rsidRPr="00973028">
        <w:rPr>
          <w:rFonts w:ascii="Arial" w:eastAsia="Open Sans" w:hAnsi="Arial" w:cs="Arial"/>
          <w:b/>
          <w:i/>
          <w:iCs/>
          <w:sz w:val="21"/>
          <w:lang w:eastAsia="zh-CN" w:bidi="hi-IN"/>
        </w:rPr>
        <w:t>A.2. Actividades formativas de la Agencia en postgrados universitarios</w:t>
      </w:r>
    </w:p>
    <w:p w14:paraId="2D501389" w14:textId="77777777" w:rsidR="00BB4994" w:rsidRPr="00973028" w:rsidRDefault="00BB4994" w:rsidP="00BB4994">
      <w:pPr>
        <w:widowControl w:val="0"/>
        <w:suppressAutoHyphens/>
        <w:autoSpaceDN w:val="0"/>
        <w:spacing w:after="240" w:line="276" w:lineRule="auto"/>
        <w:jc w:val="both"/>
        <w:rPr>
          <w:rFonts w:ascii="Arial" w:eastAsia="Calibri" w:hAnsi="Arial" w:cs="Arial"/>
          <w:b/>
          <w:sz w:val="21"/>
          <w:lang w:eastAsia="zh-CN" w:bidi="hi-IN"/>
        </w:rPr>
      </w:pPr>
      <w:r w:rsidRPr="00973028">
        <w:rPr>
          <w:rFonts w:ascii="Arial" w:eastAsia="Calibri" w:hAnsi="Arial" w:cs="Arial"/>
          <w:b/>
          <w:sz w:val="21"/>
          <w:lang w:eastAsia="zh-CN" w:bidi="hi-IN"/>
        </w:rPr>
        <w:t xml:space="preserve">Máster Propio en Contratación Pública y </w:t>
      </w:r>
      <w:r w:rsidRPr="00973028">
        <w:rPr>
          <w:rFonts w:ascii="Arial" w:eastAsia="Calibri" w:hAnsi="Arial" w:cs="Arial"/>
          <w:b/>
          <w:i/>
          <w:iCs/>
          <w:sz w:val="21"/>
          <w:lang w:eastAsia="zh-CN" w:bidi="hi-IN"/>
        </w:rPr>
        <w:t>Compliance</w:t>
      </w:r>
      <w:r w:rsidRPr="00973028">
        <w:rPr>
          <w:rFonts w:ascii="Arial" w:eastAsia="Calibri" w:hAnsi="Arial" w:cs="Arial"/>
          <w:b/>
          <w:sz w:val="21"/>
          <w:lang w:eastAsia="zh-CN" w:bidi="hi-IN"/>
        </w:rPr>
        <w:t xml:space="preserve"> y Certificado Universitario en Compliance de la Universitat de València</w:t>
      </w:r>
    </w:p>
    <w:p w14:paraId="740A2C82"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t xml:space="preserve">El día 4 de marzo de 2020 el director de la Agencia, Joan Llinares i Gómez, participó presencialmente en la docencia del máster Propio en Contratación Pública y </w:t>
      </w:r>
      <w:r w:rsidRPr="00973028">
        <w:rPr>
          <w:rFonts w:ascii="Arial" w:eastAsia="Calibri" w:hAnsi="Arial" w:cs="Arial"/>
          <w:i/>
          <w:iCs/>
          <w:sz w:val="21"/>
          <w:lang w:eastAsia="zh-CN" w:bidi="hi-IN"/>
        </w:rPr>
        <w:t>Compliance</w:t>
      </w:r>
      <w:r w:rsidRPr="00973028">
        <w:rPr>
          <w:rFonts w:ascii="Arial" w:eastAsia="Calibri" w:hAnsi="Arial" w:cs="Arial"/>
          <w:sz w:val="21"/>
          <w:lang w:eastAsia="zh-CN" w:bidi="hi-IN"/>
        </w:rPr>
        <w:t xml:space="preserve"> de la Universitat de València explicando las funciones y la finalidad de la AVAF, en una actividad pública, presencial y abierta. Del mismo modo, el 22 de junio, la directora de Prevención, Formación y Documentación de la Agencia, Sílvia Vèrnia Trillo, presentó la ponencia con el título </w:t>
      </w:r>
      <w:r w:rsidRPr="00973028">
        <w:rPr>
          <w:rFonts w:ascii="Arial" w:eastAsia="Calibri" w:hAnsi="Arial" w:cs="Arial"/>
          <w:i/>
          <w:iCs/>
          <w:sz w:val="21"/>
          <w:lang w:eastAsia="zh-CN" w:bidi="hi-IN"/>
        </w:rPr>
        <w:t>Compliance específico para el sector público: marco de integridad, la tarea de las agencias antifraude</w:t>
      </w:r>
      <w:r w:rsidRPr="00973028">
        <w:rPr>
          <w:rFonts w:ascii="Arial" w:eastAsia="Calibri" w:hAnsi="Arial" w:cs="Arial"/>
          <w:sz w:val="21"/>
          <w:lang w:eastAsia="zh-CN" w:bidi="hi-IN"/>
        </w:rPr>
        <w:t xml:space="preserve"> en la sesión específica de formación mediante videoconferencia que se celebró dentro del máster. El número de asistentes en cada sesión fue de 9 personas.</w:t>
      </w:r>
    </w:p>
    <w:p w14:paraId="455A6AD7" w14:textId="77777777" w:rsidR="00BB4994" w:rsidRPr="00973028" w:rsidRDefault="00BB4994" w:rsidP="00BB4994">
      <w:pPr>
        <w:keepNext/>
        <w:keepLines/>
        <w:widowControl w:val="0"/>
        <w:suppressAutoHyphens/>
        <w:autoSpaceDN w:val="0"/>
        <w:spacing w:before="40" w:after="120" w:line="276" w:lineRule="auto"/>
        <w:jc w:val="both"/>
        <w:outlineLvl w:val="3"/>
        <w:rPr>
          <w:rFonts w:ascii="Arial" w:eastAsia="Open Sans" w:hAnsi="Arial" w:cs="Arial"/>
          <w:b/>
          <w:i/>
          <w:iCs/>
          <w:sz w:val="21"/>
          <w:lang w:eastAsia="zh-CN" w:bidi="hi-IN"/>
        </w:rPr>
      </w:pPr>
      <w:r w:rsidRPr="00973028">
        <w:rPr>
          <w:rFonts w:ascii="Arial" w:eastAsia="Open Sans" w:hAnsi="Arial" w:cs="Arial"/>
          <w:b/>
          <w:i/>
          <w:iCs/>
          <w:sz w:val="21"/>
          <w:lang w:eastAsia="zh-CN" w:bidi="hi-IN"/>
        </w:rPr>
        <w:t xml:space="preserve">B. Unisocietat </w:t>
      </w:r>
    </w:p>
    <w:p w14:paraId="38C19E6F" w14:textId="210ADA70" w:rsidR="00BB4994" w:rsidRPr="00973028" w:rsidRDefault="00BB4994" w:rsidP="00BB4994">
      <w:pPr>
        <w:widowControl w:val="0"/>
        <w:suppressAutoHyphens/>
        <w:autoSpaceDN w:val="0"/>
        <w:spacing w:after="240" w:line="276" w:lineRule="auto"/>
        <w:jc w:val="both"/>
        <w:rPr>
          <w:rFonts w:ascii="Arial" w:eastAsia="Calibri" w:hAnsi="Arial" w:cs="Arial"/>
          <w:sz w:val="21"/>
          <w:lang w:eastAsia="es-ES"/>
        </w:rPr>
      </w:pPr>
      <w:r w:rsidRPr="00973028">
        <w:rPr>
          <w:rFonts w:ascii="Arial" w:eastAsia="Calibri" w:hAnsi="Arial" w:cs="Arial"/>
          <w:sz w:val="21"/>
          <w:lang w:eastAsia="es-ES"/>
        </w:rPr>
        <w:t xml:space="preserve">En la Memoria del 2019, anunciábamos la gestación de esta actividad con el Vicerrectorado de Proyección Territorial y Sociedad de la Universitat de València, que finalmente se ha desarrollado en parte este año, en el marco del convenio de colaboración formalizado con </w:t>
      </w:r>
      <w:r w:rsidRPr="00973028">
        <w:rPr>
          <w:rFonts w:ascii="Arial" w:eastAsia="Calibri" w:hAnsi="Arial" w:cs="Arial"/>
          <w:sz w:val="21"/>
          <w:lang w:eastAsia="es-ES"/>
        </w:rPr>
        <w:lastRenderedPageBreak/>
        <w:t>esta Universidad el 29 de junio de 2020, para desarrollar el proyecto “Actividades formativas para el buen gobierno y la ciudadanía en el territorio valenciano”.</w:t>
      </w:r>
    </w:p>
    <w:p w14:paraId="76E7EA7A" w14:textId="572E1678" w:rsidR="00BB4994" w:rsidRPr="00973028" w:rsidRDefault="00BB4994" w:rsidP="00BB4994">
      <w:pPr>
        <w:widowControl w:val="0"/>
        <w:suppressAutoHyphens/>
        <w:autoSpaceDN w:val="0"/>
        <w:spacing w:after="240" w:line="276" w:lineRule="auto"/>
        <w:jc w:val="both"/>
        <w:rPr>
          <w:rFonts w:ascii="Arial" w:eastAsia="Calibri" w:hAnsi="Arial" w:cs="Arial"/>
          <w:sz w:val="21"/>
          <w:lang w:eastAsia="es-ES"/>
        </w:rPr>
      </w:pPr>
      <w:r w:rsidRPr="00973028">
        <w:rPr>
          <w:rFonts w:ascii="Arial" w:eastAsia="Calibri" w:hAnsi="Arial" w:cs="Arial"/>
          <w:sz w:val="21"/>
          <w:lang w:eastAsia="es-ES"/>
        </w:rPr>
        <w:t>En este sentido, de octubre a diciembre de 2020, la Agencia ha colaborado en el programa formativo Unisocietat de la Universitat de Val</w:t>
      </w:r>
      <w:r w:rsidR="00982B72">
        <w:rPr>
          <w:rFonts w:ascii="Arial" w:eastAsia="Calibri" w:hAnsi="Arial" w:cs="Arial"/>
          <w:sz w:val="21"/>
          <w:lang w:eastAsia="es-ES"/>
        </w:rPr>
        <w:t>è</w:t>
      </w:r>
      <w:r w:rsidRPr="00973028">
        <w:rPr>
          <w:rFonts w:ascii="Arial" w:eastAsia="Calibri" w:hAnsi="Arial" w:cs="Arial"/>
          <w:sz w:val="21"/>
          <w:lang w:eastAsia="es-ES"/>
        </w:rPr>
        <w:t>ncia, con dimensión territorial en el ámbito local, para dar a conocer la AVAF y desarrollar una formación en buen gobierno, con la colaboración de expertos docentes universitarios en materias como el buen gobierno y la ciudadanía, la integridad pública, los conflictos de interés, la transparencia y el acceso a la información pública, la ética y la inversión pública, entre otras. Adicionalmente, también se persigue generar un espacio de debate y reflexión sobre estas cuestiones.</w:t>
      </w:r>
    </w:p>
    <w:p w14:paraId="3A1B4893"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es-ES"/>
        </w:rPr>
      </w:pPr>
      <w:r w:rsidRPr="00973028">
        <w:rPr>
          <w:rFonts w:ascii="Arial" w:eastAsia="Calibri" w:hAnsi="Arial" w:cs="Arial"/>
          <w:sz w:val="21"/>
          <w:lang w:eastAsia="es-ES"/>
        </w:rPr>
        <w:t xml:space="preserve">En concreto, la AVAF ha participado y promovido las siguientes actividades del programa Unisocietat, desarrolladas en 12 municipios de la provincia de Valencia: </w:t>
      </w:r>
    </w:p>
    <w:p w14:paraId="43BC0BCA" w14:textId="26796337" w:rsidR="00BB4994" w:rsidRPr="00973028" w:rsidRDefault="00BB4994" w:rsidP="00BB4994">
      <w:pPr>
        <w:keepNext/>
        <w:suppressLineNumbers/>
        <w:suppressAutoHyphens/>
        <w:autoSpaceDN w:val="0"/>
        <w:spacing w:before="120" w:after="120" w:line="252" w:lineRule="auto"/>
        <w:rPr>
          <w:rFonts w:ascii="Arial" w:eastAsia="Calibri" w:hAnsi="Arial" w:cs="Arial"/>
          <w:b/>
          <w:iCs/>
          <w:sz w:val="24"/>
          <w:szCs w:val="24"/>
        </w:rPr>
      </w:pPr>
    </w:p>
    <w:p w14:paraId="744C4140" w14:textId="6A8F451A" w:rsidR="004927C3" w:rsidRPr="00973028" w:rsidRDefault="004927C3" w:rsidP="004927C3">
      <w:pPr>
        <w:pStyle w:val="Descripcin"/>
        <w:keepNext/>
        <w:rPr>
          <w:rFonts w:ascii="Arial" w:hAnsi="Arial" w:cs="Arial"/>
          <w:smallCaps w:val="0"/>
          <w:color w:val="auto"/>
          <w:sz w:val="18"/>
          <w:szCs w:val="18"/>
        </w:rPr>
      </w:pPr>
      <w:bookmarkStart w:id="32" w:name="_Toc67646341"/>
      <w:r w:rsidRPr="00973028">
        <w:rPr>
          <w:rFonts w:ascii="Arial" w:hAnsi="Arial" w:cs="Arial"/>
          <w:smallCaps w:val="0"/>
          <w:color w:val="9D2235" w:themeColor="accent1"/>
          <w:sz w:val="18"/>
          <w:szCs w:val="18"/>
        </w:rPr>
        <w:t xml:space="preserve">Tabla </w:t>
      </w:r>
      <w:r w:rsidRPr="00973028">
        <w:rPr>
          <w:rFonts w:ascii="Arial" w:hAnsi="Arial" w:cs="Arial"/>
          <w:smallCaps w:val="0"/>
          <w:color w:val="9D2235" w:themeColor="accent1"/>
          <w:sz w:val="18"/>
          <w:szCs w:val="18"/>
        </w:rPr>
        <w:fldChar w:fldCharType="begin"/>
      </w:r>
      <w:r w:rsidRPr="00973028">
        <w:rPr>
          <w:rFonts w:ascii="Arial" w:hAnsi="Arial" w:cs="Arial"/>
          <w:smallCaps w:val="0"/>
          <w:color w:val="9D2235" w:themeColor="accent1"/>
          <w:sz w:val="18"/>
          <w:szCs w:val="18"/>
        </w:rPr>
        <w:instrText xml:space="preserve"> SEQ Tabla \* ARABIC </w:instrText>
      </w:r>
      <w:r w:rsidRPr="00973028">
        <w:rPr>
          <w:rFonts w:ascii="Arial" w:hAnsi="Arial" w:cs="Arial"/>
          <w:smallCaps w:val="0"/>
          <w:color w:val="9D2235" w:themeColor="accent1"/>
          <w:sz w:val="18"/>
          <w:szCs w:val="18"/>
        </w:rPr>
        <w:fldChar w:fldCharType="separate"/>
      </w:r>
      <w:r w:rsidR="00ED7F0D">
        <w:rPr>
          <w:rFonts w:ascii="Arial" w:hAnsi="Arial" w:cs="Arial"/>
          <w:smallCaps w:val="0"/>
          <w:noProof/>
          <w:color w:val="9D2235" w:themeColor="accent1"/>
          <w:sz w:val="18"/>
          <w:szCs w:val="18"/>
        </w:rPr>
        <w:t>4</w:t>
      </w:r>
      <w:r w:rsidRPr="00973028">
        <w:rPr>
          <w:rFonts w:ascii="Arial" w:hAnsi="Arial" w:cs="Arial"/>
          <w:smallCaps w:val="0"/>
          <w:color w:val="9D2235" w:themeColor="accent1"/>
          <w:sz w:val="18"/>
          <w:szCs w:val="18"/>
        </w:rPr>
        <w:fldChar w:fldCharType="end"/>
      </w:r>
      <w:r w:rsidR="00876C89">
        <w:rPr>
          <w:rFonts w:ascii="Arial" w:hAnsi="Arial" w:cs="Arial"/>
          <w:smallCaps w:val="0"/>
          <w:color w:val="9D2235" w:themeColor="accent1"/>
          <w:sz w:val="18"/>
          <w:szCs w:val="18"/>
        </w:rPr>
        <w:t>.</w:t>
      </w:r>
      <w:r w:rsidRPr="00973028">
        <w:rPr>
          <w:rFonts w:ascii="Arial" w:hAnsi="Arial" w:cs="Arial"/>
          <w:smallCaps w:val="0"/>
          <w:color w:val="9D2235" w:themeColor="accent1"/>
          <w:sz w:val="18"/>
          <w:szCs w:val="18"/>
        </w:rPr>
        <w:t xml:space="preserve"> </w:t>
      </w:r>
      <w:r w:rsidRPr="00973028">
        <w:rPr>
          <w:rFonts w:ascii="Arial" w:hAnsi="Arial" w:cs="Arial"/>
          <w:smallCaps w:val="0"/>
          <w:color w:val="auto"/>
          <w:sz w:val="18"/>
          <w:szCs w:val="18"/>
        </w:rPr>
        <w:t>Conferencias para la ciudadanía en el programa Unisocietat</w:t>
      </w:r>
      <w:bookmarkEnd w:id="32"/>
    </w:p>
    <w:tbl>
      <w:tblPr>
        <w:tblW w:w="85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329"/>
        <w:gridCol w:w="905"/>
        <w:gridCol w:w="2728"/>
        <w:gridCol w:w="1321"/>
        <w:gridCol w:w="1074"/>
        <w:gridCol w:w="1201"/>
      </w:tblGrid>
      <w:tr w:rsidR="0065794C" w:rsidRPr="00973028" w14:paraId="23FD698B" w14:textId="77777777" w:rsidTr="000F4B9E">
        <w:trPr>
          <w:tblHeader/>
        </w:trPr>
        <w:tc>
          <w:tcPr>
            <w:tcW w:w="1329" w:type="dxa"/>
            <w:shd w:val="clear" w:color="auto" w:fill="9D2235" w:themeFill="accent1"/>
            <w:vAlign w:val="center"/>
            <w:hideMark/>
          </w:tcPr>
          <w:p w14:paraId="201D1CCD"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eastAsia="zh-CN" w:bidi="hi-IN"/>
              </w:rPr>
            </w:pPr>
            <w:r w:rsidRPr="00973028">
              <w:rPr>
                <w:rFonts w:ascii="Arial" w:eastAsia="Open Sans" w:hAnsi="Arial" w:cs="Arial"/>
                <w:b/>
                <w:color w:val="FFFFFF" w:themeColor="background1"/>
                <w:kern w:val="2"/>
                <w:sz w:val="18"/>
                <w:szCs w:val="18"/>
                <w:lang w:eastAsia="zh-CN" w:bidi="hi-IN"/>
              </w:rPr>
              <w:t>Localidad</w:t>
            </w:r>
          </w:p>
        </w:tc>
        <w:tc>
          <w:tcPr>
            <w:tcW w:w="905" w:type="dxa"/>
            <w:shd w:val="clear" w:color="auto" w:fill="9D2235" w:themeFill="accent1"/>
            <w:vAlign w:val="center"/>
            <w:hideMark/>
          </w:tcPr>
          <w:p w14:paraId="17E6A4D7"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eastAsia="zh-CN" w:bidi="hi-IN"/>
              </w:rPr>
            </w:pPr>
            <w:r w:rsidRPr="00973028">
              <w:rPr>
                <w:rFonts w:ascii="Arial" w:eastAsia="Open Sans" w:hAnsi="Arial" w:cs="Arial"/>
                <w:b/>
                <w:color w:val="FFFFFF" w:themeColor="background1"/>
                <w:kern w:val="2"/>
                <w:sz w:val="18"/>
                <w:szCs w:val="18"/>
                <w:lang w:eastAsia="zh-CN" w:bidi="hi-IN"/>
              </w:rPr>
              <w:t>Fecha</w:t>
            </w:r>
          </w:p>
        </w:tc>
        <w:tc>
          <w:tcPr>
            <w:tcW w:w="2728" w:type="dxa"/>
            <w:shd w:val="clear" w:color="auto" w:fill="9D2235" w:themeFill="accent1"/>
            <w:vAlign w:val="center"/>
            <w:hideMark/>
          </w:tcPr>
          <w:p w14:paraId="064E80B5"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eastAsia="zh-CN" w:bidi="hi-IN"/>
              </w:rPr>
            </w:pPr>
            <w:r w:rsidRPr="00973028">
              <w:rPr>
                <w:rFonts w:ascii="Arial" w:eastAsia="Open Sans" w:hAnsi="Arial" w:cs="Arial"/>
                <w:b/>
                <w:color w:val="FFFFFF" w:themeColor="background1"/>
                <w:kern w:val="2"/>
                <w:sz w:val="18"/>
                <w:szCs w:val="18"/>
                <w:lang w:eastAsia="zh-CN" w:bidi="hi-IN"/>
              </w:rPr>
              <w:t>Ponencia i autor</w:t>
            </w:r>
          </w:p>
        </w:tc>
        <w:tc>
          <w:tcPr>
            <w:tcW w:w="1321" w:type="dxa"/>
            <w:shd w:val="clear" w:color="auto" w:fill="9D2235" w:themeFill="accent1"/>
            <w:vAlign w:val="center"/>
            <w:hideMark/>
          </w:tcPr>
          <w:p w14:paraId="0CAC66DD"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eastAsia="zh-CN" w:bidi="hi-IN"/>
              </w:rPr>
            </w:pPr>
            <w:r w:rsidRPr="00973028">
              <w:rPr>
                <w:rFonts w:ascii="Arial" w:eastAsia="Open Sans" w:hAnsi="Arial" w:cs="Arial"/>
                <w:b/>
                <w:color w:val="FFFFFF" w:themeColor="background1"/>
                <w:kern w:val="2"/>
                <w:sz w:val="18"/>
                <w:szCs w:val="18"/>
                <w:lang w:eastAsia="zh-CN" w:bidi="hi-IN"/>
              </w:rPr>
              <w:t>Departamento</w:t>
            </w:r>
          </w:p>
        </w:tc>
        <w:tc>
          <w:tcPr>
            <w:tcW w:w="1074" w:type="dxa"/>
            <w:shd w:val="clear" w:color="auto" w:fill="9D2235" w:themeFill="accent1"/>
            <w:vAlign w:val="center"/>
            <w:hideMark/>
          </w:tcPr>
          <w:p w14:paraId="4CF2EE39"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eastAsia="zh-CN" w:bidi="hi-IN"/>
              </w:rPr>
            </w:pPr>
            <w:r w:rsidRPr="00973028">
              <w:rPr>
                <w:rFonts w:ascii="Arial" w:eastAsia="Open Sans" w:hAnsi="Arial" w:cs="Arial"/>
                <w:b/>
                <w:color w:val="FFFFFF" w:themeColor="background1"/>
                <w:kern w:val="2"/>
                <w:sz w:val="18"/>
                <w:szCs w:val="18"/>
                <w:lang w:eastAsia="zh-CN" w:bidi="hi-IN"/>
              </w:rPr>
              <w:t>Duración</w:t>
            </w:r>
          </w:p>
        </w:tc>
        <w:tc>
          <w:tcPr>
            <w:tcW w:w="1201" w:type="dxa"/>
            <w:shd w:val="clear" w:color="auto" w:fill="9D2235" w:themeFill="accent1"/>
            <w:vAlign w:val="center"/>
            <w:hideMark/>
          </w:tcPr>
          <w:p w14:paraId="1EA9D48E"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eastAsia="zh-CN" w:bidi="hi-IN"/>
              </w:rPr>
            </w:pPr>
            <w:r w:rsidRPr="00973028">
              <w:rPr>
                <w:rFonts w:ascii="Arial" w:eastAsia="Open Sans" w:hAnsi="Arial" w:cs="Arial"/>
                <w:b/>
                <w:color w:val="FFFFFF" w:themeColor="background1"/>
                <w:kern w:val="2"/>
                <w:sz w:val="18"/>
                <w:szCs w:val="18"/>
                <w:lang w:eastAsia="zh-CN" w:bidi="hi-IN"/>
              </w:rPr>
              <w:t>Asistentes</w:t>
            </w:r>
          </w:p>
          <w:p w14:paraId="744C08E0"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eastAsia="zh-CN" w:bidi="hi-IN"/>
              </w:rPr>
            </w:pPr>
            <w:r w:rsidRPr="00973028">
              <w:rPr>
                <w:rFonts w:ascii="Arial" w:eastAsia="Open Sans" w:hAnsi="Arial" w:cs="Arial"/>
                <w:b/>
                <w:color w:val="FFFFFF" w:themeColor="background1"/>
                <w:kern w:val="2"/>
                <w:sz w:val="18"/>
                <w:szCs w:val="18"/>
                <w:lang w:eastAsia="zh-CN" w:bidi="hi-IN"/>
              </w:rPr>
              <w:t>presenciales</w:t>
            </w:r>
          </w:p>
        </w:tc>
      </w:tr>
      <w:tr w:rsidR="00BB4994" w:rsidRPr="00973028" w14:paraId="403A0528" w14:textId="77777777" w:rsidTr="006668D6">
        <w:tc>
          <w:tcPr>
            <w:tcW w:w="1329" w:type="dxa"/>
            <w:hideMark/>
          </w:tcPr>
          <w:p w14:paraId="4BC6D030"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000000"/>
                <w:kern w:val="2"/>
                <w:sz w:val="18"/>
                <w:szCs w:val="18"/>
                <w:lang w:eastAsia="zh-CN" w:bidi="hi-IN"/>
              </w:rPr>
            </w:pPr>
            <w:r w:rsidRPr="00973028">
              <w:rPr>
                <w:rFonts w:ascii="Arial" w:eastAsia="Open Sans" w:hAnsi="Arial" w:cs="Arial"/>
                <w:b/>
                <w:color w:val="000000"/>
                <w:kern w:val="2"/>
                <w:sz w:val="18"/>
                <w:szCs w:val="18"/>
                <w:lang w:eastAsia="zh-CN" w:bidi="hi-IN"/>
              </w:rPr>
              <w:t>Unisocietat Massamagrell</w:t>
            </w:r>
          </w:p>
        </w:tc>
        <w:tc>
          <w:tcPr>
            <w:tcW w:w="905" w:type="dxa"/>
            <w:hideMark/>
          </w:tcPr>
          <w:p w14:paraId="252DA159"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22/10/20</w:t>
            </w:r>
          </w:p>
        </w:tc>
        <w:tc>
          <w:tcPr>
            <w:tcW w:w="2728" w:type="dxa"/>
            <w:hideMark/>
          </w:tcPr>
          <w:p w14:paraId="629399FD" w14:textId="77777777" w:rsidR="00BB4994" w:rsidRPr="00973028" w:rsidRDefault="00BB4994" w:rsidP="00BB4994">
            <w:pPr>
              <w:widowControl w:val="0"/>
              <w:suppressAutoHyphens/>
              <w:autoSpaceDN w:val="0"/>
              <w:spacing w:after="0" w:line="240" w:lineRule="auto"/>
              <w:ind w:left="113" w:right="340"/>
              <w:jc w:val="center"/>
              <w:rPr>
                <w:rFonts w:ascii="Arial" w:eastAsia="Open Sans" w:hAnsi="Arial" w:cs="Arial"/>
                <w:b/>
                <w:bCs/>
                <w:color w:val="000000"/>
                <w:kern w:val="2"/>
                <w:sz w:val="18"/>
                <w:szCs w:val="18"/>
                <w:lang w:eastAsia="zh-CN" w:bidi="hi-IN"/>
              </w:rPr>
            </w:pPr>
            <w:r w:rsidRPr="00973028">
              <w:rPr>
                <w:rFonts w:ascii="Arial" w:eastAsia="Open Sans" w:hAnsi="Arial" w:cs="Arial"/>
                <w:kern w:val="2"/>
                <w:sz w:val="18"/>
                <w:szCs w:val="18"/>
                <w:lang w:eastAsia="zh-CN"/>
              </w:rPr>
              <w:t>¿</w:t>
            </w:r>
            <w:r w:rsidRPr="00973028">
              <w:rPr>
                <w:rFonts w:ascii="Arial" w:eastAsia="Open Sans" w:hAnsi="Arial" w:cs="Arial"/>
                <w:bCs/>
                <w:kern w:val="2"/>
                <w:sz w:val="18"/>
                <w:szCs w:val="18"/>
                <w:lang w:eastAsia="zh-CN"/>
              </w:rPr>
              <w:t>Votaremos un día a través de internet, o el gobierno abierto es otra cosa?; Joaquín Martín Cubas</w:t>
            </w:r>
          </w:p>
        </w:tc>
        <w:tc>
          <w:tcPr>
            <w:tcW w:w="1321" w:type="dxa"/>
            <w:hideMark/>
          </w:tcPr>
          <w:p w14:paraId="538763C3"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 xml:space="preserve">Derecho Constitucional, y Ciencia Política y de la Administración </w:t>
            </w:r>
          </w:p>
        </w:tc>
        <w:tc>
          <w:tcPr>
            <w:tcW w:w="1074" w:type="dxa"/>
            <w:hideMark/>
          </w:tcPr>
          <w:p w14:paraId="0C0B1C6A"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2 horas</w:t>
            </w:r>
          </w:p>
        </w:tc>
        <w:tc>
          <w:tcPr>
            <w:tcW w:w="1201" w:type="dxa"/>
            <w:hideMark/>
          </w:tcPr>
          <w:p w14:paraId="214DC98E"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16</w:t>
            </w:r>
          </w:p>
        </w:tc>
      </w:tr>
      <w:tr w:rsidR="00BB4994" w:rsidRPr="00973028" w14:paraId="0CE10D7E" w14:textId="77777777" w:rsidTr="006668D6">
        <w:tc>
          <w:tcPr>
            <w:tcW w:w="1329" w:type="dxa"/>
            <w:hideMark/>
          </w:tcPr>
          <w:p w14:paraId="0CE4AEB2"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000000"/>
                <w:kern w:val="2"/>
                <w:sz w:val="18"/>
                <w:szCs w:val="18"/>
                <w:lang w:eastAsia="zh-CN" w:bidi="hi-IN"/>
              </w:rPr>
            </w:pPr>
            <w:r w:rsidRPr="00973028">
              <w:rPr>
                <w:rFonts w:ascii="Arial" w:eastAsia="Open Sans" w:hAnsi="Arial" w:cs="Arial"/>
                <w:b/>
                <w:color w:val="000000"/>
                <w:kern w:val="2"/>
                <w:sz w:val="18"/>
                <w:szCs w:val="18"/>
                <w:lang w:eastAsia="zh-CN" w:bidi="hi-IN"/>
              </w:rPr>
              <w:t>Unisocietat Bétera</w:t>
            </w:r>
          </w:p>
        </w:tc>
        <w:tc>
          <w:tcPr>
            <w:tcW w:w="905" w:type="dxa"/>
            <w:hideMark/>
          </w:tcPr>
          <w:p w14:paraId="3C0E8A01"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25/11/20</w:t>
            </w:r>
          </w:p>
        </w:tc>
        <w:tc>
          <w:tcPr>
            <w:tcW w:w="2728" w:type="dxa"/>
            <w:hideMark/>
          </w:tcPr>
          <w:p w14:paraId="14D109B4" w14:textId="77777777" w:rsidR="00BB4994" w:rsidRPr="00973028" w:rsidRDefault="00BB4994" w:rsidP="00BB4994">
            <w:pPr>
              <w:widowControl w:val="0"/>
              <w:suppressAutoHyphens/>
              <w:autoSpaceDN w:val="0"/>
              <w:spacing w:after="0" w:line="240" w:lineRule="auto"/>
              <w:ind w:left="170" w:right="340"/>
              <w:jc w:val="center"/>
              <w:rPr>
                <w:rFonts w:ascii="Arial" w:eastAsia="Open Sans" w:hAnsi="Arial" w:cs="Arial"/>
                <w:color w:val="000000"/>
                <w:kern w:val="2"/>
                <w:sz w:val="18"/>
                <w:szCs w:val="18"/>
                <w:lang w:eastAsia="zh-CN" w:bidi="hi-IN"/>
              </w:rPr>
            </w:pPr>
            <w:r w:rsidRPr="00973028">
              <w:rPr>
                <w:rFonts w:ascii="Arial" w:eastAsia="Open Sans" w:hAnsi="Arial" w:cs="Arial"/>
                <w:kern w:val="2"/>
                <w:sz w:val="18"/>
                <w:szCs w:val="18"/>
                <w:lang w:eastAsia="zh-CN"/>
              </w:rPr>
              <w:t>¿Funciona realmente esto de la transparencia?, o es solo una moda?; Lorenzo Cotino Hueso</w:t>
            </w:r>
          </w:p>
        </w:tc>
        <w:tc>
          <w:tcPr>
            <w:tcW w:w="1321" w:type="dxa"/>
            <w:hideMark/>
          </w:tcPr>
          <w:p w14:paraId="326E00DA"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 xml:space="preserve">Derecho Constitucional, y Ciencia Política y de la Administración </w:t>
            </w:r>
          </w:p>
        </w:tc>
        <w:tc>
          <w:tcPr>
            <w:tcW w:w="1074" w:type="dxa"/>
            <w:hideMark/>
          </w:tcPr>
          <w:p w14:paraId="41238975"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2 horas</w:t>
            </w:r>
          </w:p>
        </w:tc>
        <w:tc>
          <w:tcPr>
            <w:tcW w:w="1201" w:type="dxa"/>
            <w:hideMark/>
          </w:tcPr>
          <w:p w14:paraId="0B5D1451"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30</w:t>
            </w:r>
          </w:p>
        </w:tc>
      </w:tr>
      <w:tr w:rsidR="00BB4994" w:rsidRPr="00973028" w14:paraId="563EC21E" w14:textId="77777777" w:rsidTr="006668D6">
        <w:tc>
          <w:tcPr>
            <w:tcW w:w="1329" w:type="dxa"/>
            <w:hideMark/>
          </w:tcPr>
          <w:p w14:paraId="30CF58BE"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000000"/>
                <w:kern w:val="2"/>
                <w:sz w:val="18"/>
                <w:szCs w:val="18"/>
                <w:lang w:eastAsia="zh-CN" w:bidi="hi-IN"/>
              </w:rPr>
            </w:pPr>
            <w:r w:rsidRPr="00973028">
              <w:rPr>
                <w:rFonts w:ascii="Arial" w:eastAsia="Open Sans" w:hAnsi="Arial" w:cs="Arial"/>
                <w:b/>
                <w:color w:val="000000"/>
                <w:kern w:val="2"/>
                <w:sz w:val="18"/>
                <w:szCs w:val="18"/>
                <w:lang w:eastAsia="zh-CN" w:bidi="hi-IN"/>
              </w:rPr>
              <w:t>Unisocietat Cullera</w:t>
            </w:r>
          </w:p>
        </w:tc>
        <w:tc>
          <w:tcPr>
            <w:tcW w:w="905" w:type="dxa"/>
            <w:hideMark/>
          </w:tcPr>
          <w:p w14:paraId="1D8C2CD2"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10/11/20</w:t>
            </w:r>
          </w:p>
        </w:tc>
        <w:tc>
          <w:tcPr>
            <w:tcW w:w="2728" w:type="dxa"/>
            <w:hideMark/>
          </w:tcPr>
          <w:p w14:paraId="25A025D2" w14:textId="2D262332" w:rsidR="00BB4994" w:rsidRPr="00973028" w:rsidRDefault="00BB4994" w:rsidP="00BB4994">
            <w:pPr>
              <w:widowControl w:val="0"/>
              <w:suppressAutoHyphens/>
              <w:autoSpaceDN w:val="0"/>
              <w:spacing w:after="0" w:line="240" w:lineRule="auto"/>
              <w:ind w:left="170" w:right="340"/>
              <w:jc w:val="center"/>
              <w:rPr>
                <w:rFonts w:ascii="Arial" w:eastAsia="Open Sans" w:hAnsi="Arial" w:cs="Arial"/>
                <w:color w:val="000000"/>
                <w:kern w:val="2"/>
                <w:sz w:val="18"/>
                <w:szCs w:val="18"/>
                <w:lang w:eastAsia="zh-CN" w:bidi="hi-IN"/>
              </w:rPr>
            </w:pPr>
            <w:r w:rsidRPr="00973028">
              <w:rPr>
                <w:rFonts w:ascii="Arial" w:eastAsia="Open Sans" w:hAnsi="Arial" w:cs="Arial"/>
                <w:kern w:val="2"/>
                <w:sz w:val="18"/>
                <w:szCs w:val="18"/>
                <w:lang w:eastAsia="zh-CN"/>
              </w:rPr>
              <w:t>¿Estamos a sol</w:t>
            </w:r>
            <w:r w:rsidR="009F27B0" w:rsidRPr="00973028">
              <w:rPr>
                <w:rFonts w:ascii="Arial" w:eastAsia="Open Sans" w:hAnsi="Arial" w:cs="Arial"/>
                <w:kern w:val="2"/>
                <w:sz w:val="18"/>
                <w:szCs w:val="18"/>
                <w:lang w:eastAsia="zh-CN"/>
              </w:rPr>
              <w:t>a</w:t>
            </w:r>
            <w:r w:rsidRPr="00973028">
              <w:rPr>
                <w:rFonts w:ascii="Arial" w:eastAsia="Open Sans" w:hAnsi="Arial" w:cs="Arial"/>
                <w:kern w:val="2"/>
                <w:sz w:val="18"/>
                <w:szCs w:val="18"/>
                <w:lang w:eastAsia="zh-CN"/>
              </w:rPr>
              <w:t xml:space="preserve">s e indefensos ante las </w:t>
            </w:r>
            <w:r w:rsidRPr="00973028">
              <w:rPr>
                <w:rFonts w:ascii="Arial" w:eastAsia="Open Sans" w:hAnsi="Arial" w:cs="Arial"/>
                <w:i/>
                <w:iCs/>
                <w:kern w:val="2"/>
                <w:sz w:val="18"/>
                <w:szCs w:val="18"/>
                <w:lang w:eastAsia="zh-CN"/>
              </w:rPr>
              <w:t>fake news</w:t>
            </w:r>
            <w:r w:rsidRPr="00973028">
              <w:rPr>
                <w:rFonts w:ascii="Arial" w:eastAsia="Open Sans" w:hAnsi="Arial" w:cs="Arial"/>
                <w:kern w:val="2"/>
                <w:sz w:val="18"/>
                <w:szCs w:val="18"/>
                <w:lang w:eastAsia="zh-CN"/>
              </w:rPr>
              <w:t xml:space="preserve"> y la manipulación informativa?; Rosario Serra Cristóbal</w:t>
            </w:r>
          </w:p>
        </w:tc>
        <w:tc>
          <w:tcPr>
            <w:tcW w:w="1321" w:type="dxa"/>
            <w:hideMark/>
          </w:tcPr>
          <w:p w14:paraId="0BD79F3E"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 xml:space="preserve">Derecho Constitucional, y Ciencia Política y de la Administración </w:t>
            </w:r>
          </w:p>
        </w:tc>
        <w:tc>
          <w:tcPr>
            <w:tcW w:w="1074" w:type="dxa"/>
            <w:hideMark/>
          </w:tcPr>
          <w:p w14:paraId="6A04B89B"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2 horas</w:t>
            </w:r>
          </w:p>
        </w:tc>
        <w:tc>
          <w:tcPr>
            <w:tcW w:w="1201" w:type="dxa"/>
            <w:hideMark/>
          </w:tcPr>
          <w:p w14:paraId="522AFD28"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27</w:t>
            </w:r>
          </w:p>
        </w:tc>
      </w:tr>
      <w:tr w:rsidR="00BB4994" w:rsidRPr="00973028" w14:paraId="235194BB" w14:textId="77777777" w:rsidTr="006668D6">
        <w:tc>
          <w:tcPr>
            <w:tcW w:w="1329" w:type="dxa"/>
            <w:hideMark/>
          </w:tcPr>
          <w:p w14:paraId="40A9E9E4"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000000"/>
                <w:kern w:val="2"/>
                <w:sz w:val="18"/>
                <w:szCs w:val="18"/>
                <w:lang w:eastAsia="zh-CN" w:bidi="hi-IN"/>
              </w:rPr>
            </w:pPr>
            <w:r w:rsidRPr="00973028">
              <w:rPr>
                <w:rFonts w:ascii="Arial" w:eastAsia="Open Sans" w:hAnsi="Arial" w:cs="Arial"/>
                <w:b/>
                <w:color w:val="000000"/>
                <w:kern w:val="2"/>
                <w:sz w:val="18"/>
                <w:szCs w:val="18"/>
                <w:lang w:eastAsia="zh-CN" w:bidi="hi-IN"/>
              </w:rPr>
              <w:t>Unisocietat L’Eliana</w:t>
            </w:r>
          </w:p>
        </w:tc>
        <w:tc>
          <w:tcPr>
            <w:tcW w:w="905" w:type="dxa"/>
            <w:hideMark/>
          </w:tcPr>
          <w:p w14:paraId="517EA65F"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17/11/20</w:t>
            </w:r>
          </w:p>
        </w:tc>
        <w:tc>
          <w:tcPr>
            <w:tcW w:w="2728" w:type="dxa"/>
            <w:hideMark/>
          </w:tcPr>
          <w:p w14:paraId="02C15C7D" w14:textId="77777777" w:rsidR="00BB4994" w:rsidRPr="00973028" w:rsidRDefault="00BB4994" w:rsidP="00BB4994">
            <w:pPr>
              <w:widowControl w:val="0"/>
              <w:suppressAutoHyphens/>
              <w:autoSpaceDN w:val="0"/>
              <w:spacing w:after="0" w:line="240" w:lineRule="auto"/>
              <w:ind w:left="113" w:right="340"/>
              <w:jc w:val="center"/>
              <w:rPr>
                <w:rFonts w:ascii="Arial" w:eastAsia="Open Sans" w:hAnsi="Arial" w:cs="Arial"/>
                <w:kern w:val="2"/>
                <w:sz w:val="18"/>
                <w:szCs w:val="18"/>
                <w:lang w:eastAsia="zh-CN" w:bidi="hi-IN"/>
              </w:rPr>
            </w:pPr>
            <w:r w:rsidRPr="00973028">
              <w:rPr>
                <w:rFonts w:ascii="Arial" w:eastAsia="Open Sans" w:hAnsi="Arial" w:cs="Arial"/>
                <w:color w:val="1B1B1B"/>
                <w:kern w:val="2"/>
                <w:sz w:val="18"/>
                <w:szCs w:val="18"/>
                <w:lang w:eastAsia="zh-CN"/>
              </w:rPr>
              <w:t>Como medir la calidad de la democracia: El caso español; Pablo Oñate,</w:t>
            </w:r>
          </w:p>
        </w:tc>
        <w:tc>
          <w:tcPr>
            <w:tcW w:w="1321" w:type="dxa"/>
            <w:hideMark/>
          </w:tcPr>
          <w:p w14:paraId="4F05CFF2"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 xml:space="preserve">Derecho Constitucional, y Ciencia Política y de la Administración </w:t>
            </w:r>
          </w:p>
        </w:tc>
        <w:tc>
          <w:tcPr>
            <w:tcW w:w="1074" w:type="dxa"/>
            <w:hideMark/>
          </w:tcPr>
          <w:p w14:paraId="2D075B06"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2 horas</w:t>
            </w:r>
          </w:p>
        </w:tc>
        <w:tc>
          <w:tcPr>
            <w:tcW w:w="1201" w:type="dxa"/>
            <w:hideMark/>
          </w:tcPr>
          <w:p w14:paraId="0E3BB313"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12</w:t>
            </w:r>
          </w:p>
        </w:tc>
      </w:tr>
      <w:tr w:rsidR="00BB4994" w:rsidRPr="00973028" w14:paraId="702BB425" w14:textId="77777777" w:rsidTr="006668D6">
        <w:tc>
          <w:tcPr>
            <w:tcW w:w="1329" w:type="dxa"/>
            <w:hideMark/>
          </w:tcPr>
          <w:p w14:paraId="0BC37F96"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000000"/>
                <w:kern w:val="2"/>
                <w:sz w:val="18"/>
                <w:szCs w:val="18"/>
                <w:lang w:eastAsia="zh-CN" w:bidi="hi-IN"/>
              </w:rPr>
            </w:pPr>
            <w:r w:rsidRPr="00973028">
              <w:rPr>
                <w:rFonts w:ascii="Arial" w:eastAsia="Open Sans" w:hAnsi="Arial" w:cs="Arial"/>
                <w:b/>
                <w:color w:val="000000"/>
                <w:kern w:val="2"/>
                <w:sz w:val="18"/>
                <w:szCs w:val="18"/>
                <w:lang w:eastAsia="zh-CN" w:bidi="hi-IN"/>
              </w:rPr>
              <w:t>Unisocietat Paterna</w:t>
            </w:r>
          </w:p>
        </w:tc>
        <w:tc>
          <w:tcPr>
            <w:tcW w:w="905" w:type="dxa"/>
            <w:hideMark/>
          </w:tcPr>
          <w:p w14:paraId="66025310"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03/12/20</w:t>
            </w:r>
          </w:p>
        </w:tc>
        <w:tc>
          <w:tcPr>
            <w:tcW w:w="2728" w:type="dxa"/>
            <w:hideMark/>
          </w:tcPr>
          <w:p w14:paraId="02398826" w14:textId="77777777" w:rsidR="00BB4994" w:rsidRPr="00973028" w:rsidRDefault="00BB4994" w:rsidP="00BB4994">
            <w:pPr>
              <w:widowControl w:val="0"/>
              <w:suppressAutoHyphens/>
              <w:autoSpaceDN w:val="0"/>
              <w:spacing w:after="0" w:line="240" w:lineRule="auto"/>
              <w:ind w:left="113" w:right="340"/>
              <w:jc w:val="center"/>
              <w:rPr>
                <w:rFonts w:ascii="Arial" w:eastAsia="Open Sans" w:hAnsi="Arial" w:cs="Arial"/>
                <w:color w:val="000000"/>
                <w:kern w:val="2"/>
                <w:sz w:val="18"/>
                <w:szCs w:val="18"/>
                <w:lang w:eastAsia="zh-CN" w:bidi="hi-IN"/>
              </w:rPr>
            </w:pPr>
            <w:r w:rsidRPr="00973028">
              <w:rPr>
                <w:rFonts w:ascii="Arial" w:eastAsia="Open Sans" w:hAnsi="Arial" w:cs="Arial"/>
                <w:kern w:val="2"/>
                <w:sz w:val="18"/>
                <w:szCs w:val="18"/>
                <w:lang w:eastAsia="zh-CN"/>
              </w:rPr>
              <w:t xml:space="preserve">¿Estamos a solas e indefensos ante las </w:t>
            </w:r>
            <w:r w:rsidRPr="00973028">
              <w:rPr>
                <w:rFonts w:ascii="Arial" w:eastAsia="Open Sans" w:hAnsi="Arial" w:cs="Arial"/>
                <w:i/>
                <w:iCs/>
                <w:kern w:val="2"/>
                <w:sz w:val="18"/>
                <w:szCs w:val="18"/>
                <w:lang w:eastAsia="zh-CN"/>
              </w:rPr>
              <w:t xml:space="preserve">fake news </w:t>
            </w:r>
            <w:r w:rsidRPr="00973028">
              <w:rPr>
                <w:rFonts w:ascii="Arial" w:eastAsia="Open Sans" w:hAnsi="Arial" w:cs="Arial"/>
                <w:kern w:val="2"/>
                <w:sz w:val="18"/>
                <w:szCs w:val="18"/>
                <w:lang w:eastAsia="zh-CN"/>
              </w:rPr>
              <w:t>y la manipulación informativa?; Rosario Serra</w:t>
            </w:r>
          </w:p>
        </w:tc>
        <w:tc>
          <w:tcPr>
            <w:tcW w:w="1321" w:type="dxa"/>
            <w:hideMark/>
          </w:tcPr>
          <w:p w14:paraId="7428CC87"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 xml:space="preserve">Derecho Constitucional, y Ciencia Política y de la Administración </w:t>
            </w:r>
          </w:p>
        </w:tc>
        <w:tc>
          <w:tcPr>
            <w:tcW w:w="1074" w:type="dxa"/>
            <w:hideMark/>
          </w:tcPr>
          <w:p w14:paraId="5C3B561F"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2 horas</w:t>
            </w:r>
          </w:p>
        </w:tc>
        <w:tc>
          <w:tcPr>
            <w:tcW w:w="1201" w:type="dxa"/>
            <w:hideMark/>
          </w:tcPr>
          <w:p w14:paraId="6B63D693"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20</w:t>
            </w:r>
          </w:p>
        </w:tc>
      </w:tr>
      <w:tr w:rsidR="00BB4994" w:rsidRPr="00973028" w14:paraId="1D4D9841" w14:textId="77777777" w:rsidTr="006668D6">
        <w:tc>
          <w:tcPr>
            <w:tcW w:w="1329" w:type="dxa"/>
            <w:hideMark/>
          </w:tcPr>
          <w:p w14:paraId="57AADB43"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000000"/>
                <w:kern w:val="2"/>
                <w:sz w:val="18"/>
                <w:szCs w:val="18"/>
                <w:lang w:eastAsia="zh-CN" w:bidi="hi-IN"/>
              </w:rPr>
            </w:pPr>
            <w:r w:rsidRPr="00973028">
              <w:rPr>
                <w:rFonts w:ascii="Arial" w:eastAsia="Open Sans" w:hAnsi="Arial" w:cs="Arial"/>
                <w:b/>
                <w:color w:val="000000"/>
                <w:kern w:val="2"/>
                <w:sz w:val="18"/>
                <w:szCs w:val="18"/>
                <w:lang w:eastAsia="zh-CN" w:bidi="hi-IN"/>
              </w:rPr>
              <w:t>Unisocietat Alzira</w:t>
            </w:r>
          </w:p>
        </w:tc>
        <w:tc>
          <w:tcPr>
            <w:tcW w:w="905" w:type="dxa"/>
            <w:hideMark/>
          </w:tcPr>
          <w:p w14:paraId="50AA81DD"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24/11/20</w:t>
            </w:r>
          </w:p>
        </w:tc>
        <w:tc>
          <w:tcPr>
            <w:tcW w:w="2728" w:type="dxa"/>
            <w:hideMark/>
          </w:tcPr>
          <w:p w14:paraId="3844E409" w14:textId="77777777" w:rsidR="00BB4994" w:rsidRPr="00973028" w:rsidRDefault="00BB4994" w:rsidP="00BB4994">
            <w:pPr>
              <w:widowControl w:val="0"/>
              <w:suppressAutoHyphens/>
              <w:autoSpaceDN w:val="0"/>
              <w:spacing w:after="0" w:line="240" w:lineRule="auto"/>
              <w:ind w:left="113" w:right="340"/>
              <w:jc w:val="center"/>
              <w:rPr>
                <w:rFonts w:ascii="Arial" w:eastAsia="Open Sans" w:hAnsi="Arial" w:cs="Arial"/>
                <w:color w:val="000000"/>
                <w:kern w:val="2"/>
                <w:sz w:val="18"/>
                <w:szCs w:val="18"/>
                <w:lang w:eastAsia="zh-CN" w:bidi="hi-IN"/>
              </w:rPr>
            </w:pPr>
            <w:r w:rsidRPr="00973028">
              <w:rPr>
                <w:rFonts w:ascii="Arial" w:eastAsia="Open Sans" w:hAnsi="Arial" w:cs="Arial"/>
                <w:kern w:val="2"/>
                <w:sz w:val="18"/>
                <w:szCs w:val="18"/>
                <w:lang w:eastAsia="zh-CN"/>
              </w:rPr>
              <w:t xml:space="preserve"> ¿Es la justicia igual para todos? Prevención y castigo de la corrupción; José Luis González Cussac</w:t>
            </w:r>
          </w:p>
        </w:tc>
        <w:tc>
          <w:tcPr>
            <w:tcW w:w="1321" w:type="dxa"/>
            <w:hideMark/>
          </w:tcPr>
          <w:p w14:paraId="45ED0490"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Derecho Penal</w:t>
            </w:r>
          </w:p>
        </w:tc>
        <w:tc>
          <w:tcPr>
            <w:tcW w:w="1074" w:type="dxa"/>
            <w:hideMark/>
          </w:tcPr>
          <w:p w14:paraId="30D4D33E"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2 horas</w:t>
            </w:r>
          </w:p>
        </w:tc>
        <w:tc>
          <w:tcPr>
            <w:tcW w:w="1201" w:type="dxa"/>
            <w:hideMark/>
          </w:tcPr>
          <w:p w14:paraId="6FB8BD93"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25</w:t>
            </w:r>
          </w:p>
        </w:tc>
      </w:tr>
      <w:tr w:rsidR="00BB4994" w:rsidRPr="00973028" w14:paraId="09DEC7A1" w14:textId="77777777" w:rsidTr="006668D6">
        <w:tc>
          <w:tcPr>
            <w:tcW w:w="1329" w:type="dxa"/>
            <w:hideMark/>
          </w:tcPr>
          <w:p w14:paraId="44D6C629"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000000"/>
                <w:kern w:val="2"/>
                <w:sz w:val="18"/>
                <w:szCs w:val="18"/>
                <w:lang w:eastAsia="zh-CN" w:bidi="hi-IN"/>
              </w:rPr>
            </w:pPr>
            <w:r w:rsidRPr="00973028">
              <w:rPr>
                <w:rFonts w:ascii="Arial" w:eastAsia="Open Sans" w:hAnsi="Arial" w:cs="Arial"/>
                <w:b/>
                <w:color w:val="000000"/>
                <w:kern w:val="2"/>
                <w:sz w:val="18"/>
                <w:szCs w:val="18"/>
                <w:lang w:eastAsia="zh-CN" w:bidi="hi-IN"/>
              </w:rPr>
              <w:t>Unisocietat Quart de Poblet</w:t>
            </w:r>
          </w:p>
        </w:tc>
        <w:tc>
          <w:tcPr>
            <w:tcW w:w="905" w:type="dxa"/>
            <w:hideMark/>
          </w:tcPr>
          <w:p w14:paraId="7E7CF6D8"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02/12/20</w:t>
            </w:r>
          </w:p>
        </w:tc>
        <w:tc>
          <w:tcPr>
            <w:tcW w:w="2728" w:type="dxa"/>
            <w:hideMark/>
          </w:tcPr>
          <w:p w14:paraId="1B16C883"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kern w:val="2"/>
                <w:sz w:val="18"/>
                <w:szCs w:val="18"/>
                <w:lang w:eastAsia="zh-CN" w:bidi="hi-IN"/>
              </w:rPr>
              <w:t>Presentación de la AVAF; Anselm Bodoque Arribas</w:t>
            </w:r>
          </w:p>
        </w:tc>
        <w:tc>
          <w:tcPr>
            <w:tcW w:w="1321" w:type="dxa"/>
            <w:hideMark/>
          </w:tcPr>
          <w:p w14:paraId="54170FCC"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AVAF</w:t>
            </w:r>
          </w:p>
        </w:tc>
        <w:tc>
          <w:tcPr>
            <w:tcW w:w="1074" w:type="dxa"/>
            <w:hideMark/>
          </w:tcPr>
          <w:p w14:paraId="13C5E685"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color w:val="000000"/>
                <w:kern w:val="2"/>
                <w:sz w:val="18"/>
                <w:szCs w:val="18"/>
                <w:lang w:eastAsia="zh-CN" w:bidi="hi-IN"/>
              </w:rPr>
              <w:t>1 hora y media</w:t>
            </w:r>
          </w:p>
        </w:tc>
        <w:tc>
          <w:tcPr>
            <w:tcW w:w="1201" w:type="dxa"/>
            <w:hideMark/>
          </w:tcPr>
          <w:p w14:paraId="2A2934E4"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19</w:t>
            </w:r>
          </w:p>
        </w:tc>
      </w:tr>
      <w:tr w:rsidR="00BB4994" w:rsidRPr="00973028" w14:paraId="5D852558" w14:textId="77777777" w:rsidTr="006668D6">
        <w:tc>
          <w:tcPr>
            <w:tcW w:w="1329" w:type="dxa"/>
            <w:hideMark/>
          </w:tcPr>
          <w:p w14:paraId="429D12D3"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000000"/>
                <w:kern w:val="2"/>
                <w:sz w:val="18"/>
                <w:szCs w:val="18"/>
                <w:lang w:eastAsia="zh-CN" w:bidi="hi-IN"/>
              </w:rPr>
            </w:pPr>
            <w:r w:rsidRPr="00973028">
              <w:rPr>
                <w:rFonts w:ascii="Arial" w:eastAsia="Open Sans" w:hAnsi="Arial" w:cs="Arial"/>
                <w:b/>
                <w:color w:val="000000"/>
                <w:kern w:val="2"/>
                <w:sz w:val="18"/>
                <w:szCs w:val="18"/>
                <w:lang w:eastAsia="zh-CN" w:bidi="hi-IN"/>
              </w:rPr>
              <w:t xml:space="preserve">Unisocietat </w:t>
            </w:r>
            <w:r w:rsidRPr="00973028">
              <w:rPr>
                <w:rFonts w:ascii="Arial" w:eastAsia="Open Sans" w:hAnsi="Arial" w:cs="Arial"/>
                <w:b/>
                <w:color w:val="000000"/>
                <w:kern w:val="2"/>
                <w:sz w:val="18"/>
                <w:szCs w:val="18"/>
                <w:lang w:eastAsia="zh-CN" w:bidi="hi-IN"/>
              </w:rPr>
              <w:lastRenderedPageBreak/>
              <w:t>Requena</w:t>
            </w:r>
          </w:p>
        </w:tc>
        <w:tc>
          <w:tcPr>
            <w:tcW w:w="905" w:type="dxa"/>
            <w:hideMark/>
          </w:tcPr>
          <w:p w14:paraId="1EE8105B"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lastRenderedPageBreak/>
              <w:t>17/12/20</w:t>
            </w:r>
          </w:p>
        </w:tc>
        <w:tc>
          <w:tcPr>
            <w:tcW w:w="2728" w:type="dxa"/>
            <w:hideMark/>
          </w:tcPr>
          <w:p w14:paraId="47C83585" w14:textId="77777777" w:rsidR="00BB4994" w:rsidRPr="00973028" w:rsidRDefault="00BB4994" w:rsidP="00BB4994">
            <w:pPr>
              <w:widowControl w:val="0"/>
              <w:suppressAutoHyphens/>
              <w:autoSpaceDN w:val="0"/>
              <w:spacing w:after="0" w:line="240" w:lineRule="auto"/>
              <w:ind w:left="170" w:right="340"/>
              <w:jc w:val="center"/>
              <w:rPr>
                <w:rFonts w:ascii="Arial" w:eastAsia="Open Sans" w:hAnsi="Arial" w:cs="Arial"/>
                <w:color w:val="000000"/>
                <w:kern w:val="2"/>
                <w:sz w:val="18"/>
                <w:szCs w:val="18"/>
                <w:lang w:eastAsia="zh-CN" w:bidi="hi-IN"/>
              </w:rPr>
            </w:pPr>
            <w:r w:rsidRPr="00973028">
              <w:rPr>
                <w:rFonts w:ascii="Arial" w:eastAsia="Open Sans" w:hAnsi="Arial" w:cs="Arial"/>
                <w:kern w:val="2"/>
                <w:sz w:val="18"/>
                <w:szCs w:val="18"/>
                <w:lang w:eastAsia="zh-CN"/>
              </w:rPr>
              <w:t xml:space="preserve">¿Votaremos un día a </w:t>
            </w:r>
            <w:r w:rsidRPr="00973028">
              <w:rPr>
                <w:rFonts w:ascii="Arial" w:eastAsia="Open Sans" w:hAnsi="Arial" w:cs="Arial"/>
                <w:kern w:val="2"/>
                <w:sz w:val="18"/>
                <w:szCs w:val="18"/>
                <w:lang w:eastAsia="zh-CN"/>
              </w:rPr>
              <w:lastRenderedPageBreak/>
              <w:t>través de internet, o el gobierno abierto es otra cosa?; Joaquín Martín Cubas</w:t>
            </w:r>
          </w:p>
        </w:tc>
        <w:tc>
          <w:tcPr>
            <w:tcW w:w="1321" w:type="dxa"/>
            <w:hideMark/>
          </w:tcPr>
          <w:p w14:paraId="66BA0D93"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lastRenderedPageBreak/>
              <w:t xml:space="preserve">Derecho </w:t>
            </w:r>
            <w:r w:rsidRPr="00973028">
              <w:rPr>
                <w:rFonts w:ascii="Arial" w:eastAsia="Open Sans" w:hAnsi="Arial" w:cs="Arial"/>
                <w:color w:val="000000"/>
                <w:kern w:val="2"/>
                <w:sz w:val="18"/>
                <w:szCs w:val="18"/>
                <w:lang w:eastAsia="zh-CN" w:bidi="hi-IN"/>
              </w:rPr>
              <w:lastRenderedPageBreak/>
              <w:t xml:space="preserve">Constitucional, y Ciencia Política y de la Administración </w:t>
            </w:r>
          </w:p>
        </w:tc>
        <w:tc>
          <w:tcPr>
            <w:tcW w:w="1074" w:type="dxa"/>
            <w:hideMark/>
          </w:tcPr>
          <w:p w14:paraId="0AA7AD94"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lastRenderedPageBreak/>
              <w:t>2 horas</w:t>
            </w:r>
          </w:p>
        </w:tc>
        <w:tc>
          <w:tcPr>
            <w:tcW w:w="1201" w:type="dxa"/>
            <w:hideMark/>
          </w:tcPr>
          <w:p w14:paraId="5DBAACD4"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15</w:t>
            </w:r>
          </w:p>
        </w:tc>
      </w:tr>
      <w:tr w:rsidR="00BB4994" w:rsidRPr="00973028" w14:paraId="263D4759" w14:textId="77777777" w:rsidTr="006668D6">
        <w:tc>
          <w:tcPr>
            <w:tcW w:w="1329" w:type="dxa"/>
            <w:hideMark/>
          </w:tcPr>
          <w:p w14:paraId="57F68320"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000000"/>
                <w:kern w:val="2"/>
                <w:sz w:val="18"/>
                <w:szCs w:val="18"/>
                <w:lang w:eastAsia="zh-CN" w:bidi="hi-IN"/>
              </w:rPr>
            </w:pPr>
            <w:r w:rsidRPr="00973028">
              <w:rPr>
                <w:rFonts w:ascii="Arial" w:eastAsia="Open Sans" w:hAnsi="Arial" w:cs="Arial"/>
                <w:b/>
                <w:color w:val="000000"/>
                <w:kern w:val="2"/>
                <w:sz w:val="18"/>
                <w:szCs w:val="18"/>
                <w:lang w:eastAsia="zh-CN" w:bidi="hi-IN"/>
              </w:rPr>
              <w:t>Unisocietat Ontinyent</w:t>
            </w:r>
          </w:p>
        </w:tc>
        <w:tc>
          <w:tcPr>
            <w:tcW w:w="905" w:type="dxa"/>
            <w:hideMark/>
          </w:tcPr>
          <w:p w14:paraId="27113A85"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17/12/20</w:t>
            </w:r>
          </w:p>
        </w:tc>
        <w:tc>
          <w:tcPr>
            <w:tcW w:w="2728" w:type="dxa"/>
            <w:hideMark/>
          </w:tcPr>
          <w:p w14:paraId="5AFEB643" w14:textId="77777777" w:rsidR="00BB4994" w:rsidRPr="00973028" w:rsidRDefault="00BB4994" w:rsidP="00BB4994">
            <w:pPr>
              <w:widowControl w:val="0"/>
              <w:suppressAutoHyphens/>
              <w:autoSpaceDN w:val="0"/>
              <w:spacing w:after="0" w:line="240" w:lineRule="auto"/>
              <w:ind w:left="170" w:right="340"/>
              <w:jc w:val="center"/>
              <w:rPr>
                <w:rFonts w:ascii="Arial" w:eastAsia="Open Sans" w:hAnsi="Arial" w:cs="Arial"/>
                <w:color w:val="000000"/>
                <w:kern w:val="2"/>
                <w:sz w:val="18"/>
                <w:szCs w:val="18"/>
                <w:lang w:eastAsia="zh-CN" w:bidi="hi-IN"/>
              </w:rPr>
            </w:pPr>
            <w:r w:rsidRPr="00973028">
              <w:rPr>
                <w:rFonts w:ascii="Arial" w:eastAsia="Open Sans" w:hAnsi="Arial" w:cs="Arial"/>
                <w:kern w:val="2"/>
                <w:sz w:val="18"/>
                <w:szCs w:val="18"/>
                <w:lang w:eastAsia="zh-CN"/>
              </w:rPr>
              <w:t>Enseñar y aprender el ejercicio de la ciudadanía; María José Añón Roig</w:t>
            </w:r>
          </w:p>
        </w:tc>
        <w:tc>
          <w:tcPr>
            <w:tcW w:w="1321" w:type="dxa"/>
            <w:hideMark/>
          </w:tcPr>
          <w:p w14:paraId="78A32026"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Filosofía del Derecho y Política</w:t>
            </w:r>
          </w:p>
        </w:tc>
        <w:tc>
          <w:tcPr>
            <w:tcW w:w="1074" w:type="dxa"/>
            <w:hideMark/>
          </w:tcPr>
          <w:p w14:paraId="25153CA8"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2 horas</w:t>
            </w:r>
          </w:p>
        </w:tc>
        <w:tc>
          <w:tcPr>
            <w:tcW w:w="1201" w:type="dxa"/>
            <w:hideMark/>
          </w:tcPr>
          <w:p w14:paraId="3AC4AD68"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color w:val="000000"/>
                <w:kern w:val="2"/>
                <w:sz w:val="18"/>
                <w:szCs w:val="18"/>
                <w:lang w:eastAsia="zh-CN" w:bidi="hi-IN"/>
              </w:rPr>
            </w:pPr>
            <w:r w:rsidRPr="00973028">
              <w:rPr>
                <w:rFonts w:ascii="Arial" w:eastAsia="Open Sans" w:hAnsi="Arial" w:cs="Arial"/>
                <w:color w:val="000000"/>
                <w:kern w:val="2"/>
                <w:sz w:val="18"/>
                <w:szCs w:val="18"/>
                <w:lang w:eastAsia="zh-CN" w:bidi="hi-IN"/>
              </w:rPr>
              <w:t>35</w:t>
            </w:r>
          </w:p>
        </w:tc>
      </w:tr>
      <w:tr w:rsidR="00BB4994" w:rsidRPr="00973028" w14:paraId="30D5B7C2" w14:textId="77777777" w:rsidTr="008145AC">
        <w:tc>
          <w:tcPr>
            <w:tcW w:w="2234" w:type="dxa"/>
            <w:gridSpan w:val="2"/>
            <w:shd w:val="clear" w:color="auto" w:fill="D9D9D9" w:themeFill="background1" w:themeFillShade="D9"/>
            <w:hideMark/>
          </w:tcPr>
          <w:p w14:paraId="17E6EFA3"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Total</w:t>
            </w:r>
          </w:p>
        </w:tc>
        <w:tc>
          <w:tcPr>
            <w:tcW w:w="2728" w:type="dxa"/>
            <w:shd w:val="clear" w:color="auto" w:fill="D9D9D9" w:themeFill="background1" w:themeFillShade="D9"/>
          </w:tcPr>
          <w:p w14:paraId="1183EC93"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bCs/>
                <w:kern w:val="2"/>
                <w:sz w:val="18"/>
                <w:szCs w:val="18"/>
                <w:lang w:eastAsia="zh-CN" w:bidi="hi-IN"/>
              </w:rPr>
            </w:pPr>
          </w:p>
        </w:tc>
        <w:tc>
          <w:tcPr>
            <w:tcW w:w="1321" w:type="dxa"/>
            <w:shd w:val="clear" w:color="auto" w:fill="D9D9D9" w:themeFill="background1" w:themeFillShade="D9"/>
          </w:tcPr>
          <w:p w14:paraId="0D178B43"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bCs/>
                <w:kern w:val="2"/>
                <w:sz w:val="18"/>
                <w:szCs w:val="18"/>
                <w:lang w:eastAsia="zh-CN" w:bidi="hi-IN"/>
              </w:rPr>
            </w:pPr>
          </w:p>
        </w:tc>
        <w:tc>
          <w:tcPr>
            <w:tcW w:w="1074" w:type="dxa"/>
            <w:shd w:val="clear" w:color="auto" w:fill="D9D9D9" w:themeFill="background1" w:themeFillShade="D9"/>
            <w:hideMark/>
          </w:tcPr>
          <w:p w14:paraId="5B46443B"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17 horas y media</w:t>
            </w:r>
          </w:p>
        </w:tc>
        <w:tc>
          <w:tcPr>
            <w:tcW w:w="1201" w:type="dxa"/>
            <w:shd w:val="clear" w:color="auto" w:fill="D9D9D9" w:themeFill="background1" w:themeFillShade="D9"/>
            <w:hideMark/>
          </w:tcPr>
          <w:p w14:paraId="31B482CC"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199</w:t>
            </w:r>
          </w:p>
          <w:p w14:paraId="750A8D25"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b/>
                <w:bCs/>
                <w:kern w:val="2"/>
                <w:sz w:val="18"/>
                <w:szCs w:val="18"/>
                <w:lang w:eastAsia="zh-CN" w:bidi="hi-IN"/>
              </w:rPr>
              <w:t>asistentes</w:t>
            </w:r>
          </w:p>
        </w:tc>
      </w:tr>
    </w:tbl>
    <w:p w14:paraId="11F755EF" w14:textId="77777777" w:rsidR="00BB4994" w:rsidRPr="00973028" w:rsidRDefault="00BB4994" w:rsidP="00BB4994">
      <w:pPr>
        <w:widowControl w:val="0"/>
        <w:suppressAutoHyphens/>
        <w:autoSpaceDN w:val="0"/>
        <w:spacing w:after="0" w:line="276" w:lineRule="auto"/>
        <w:ind w:right="283"/>
        <w:jc w:val="both"/>
        <w:rPr>
          <w:rFonts w:ascii="Arial" w:eastAsia="Open Sans" w:hAnsi="Arial" w:cs="Arial"/>
          <w:kern w:val="2"/>
          <w:sz w:val="21"/>
          <w:szCs w:val="24"/>
          <w:lang w:eastAsia="zh-CN" w:bidi="hi-IN"/>
        </w:rPr>
      </w:pPr>
    </w:p>
    <w:p w14:paraId="58A87E1A" w14:textId="77777777" w:rsidR="00BB4994" w:rsidRPr="00973028" w:rsidRDefault="00BB4994" w:rsidP="00BB4994">
      <w:pPr>
        <w:keepNext/>
        <w:keepLines/>
        <w:widowControl w:val="0"/>
        <w:suppressAutoHyphens/>
        <w:autoSpaceDN w:val="0"/>
        <w:spacing w:before="40" w:after="120" w:line="276" w:lineRule="auto"/>
        <w:jc w:val="both"/>
        <w:outlineLvl w:val="3"/>
        <w:rPr>
          <w:rFonts w:ascii="Arial" w:eastAsia="Open Sans" w:hAnsi="Arial" w:cs="Arial"/>
          <w:b/>
          <w:i/>
          <w:iCs/>
          <w:sz w:val="21"/>
          <w:lang w:eastAsia="zh-CN" w:bidi="hi-IN"/>
        </w:rPr>
      </w:pPr>
      <w:r w:rsidRPr="00973028">
        <w:rPr>
          <w:rFonts w:ascii="Arial" w:eastAsia="Open Sans" w:hAnsi="Arial" w:cs="Arial"/>
          <w:b/>
          <w:i/>
          <w:iCs/>
          <w:sz w:val="21"/>
          <w:lang w:eastAsia="zh-CN" w:bidi="hi-IN"/>
        </w:rPr>
        <w:t>C. Universitats Estacionals</w:t>
      </w:r>
    </w:p>
    <w:p w14:paraId="52FA81D6" w14:textId="198A1C6B" w:rsidR="00BB4994" w:rsidRPr="00973028" w:rsidRDefault="00BB4994" w:rsidP="00BB4994">
      <w:pPr>
        <w:widowControl w:val="0"/>
        <w:suppressAutoHyphens/>
        <w:autoSpaceDN w:val="0"/>
        <w:spacing w:after="240" w:line="276" w:lineRule="auto"/>
        <w:jc w:val="both"/>
        <w:rPr>
          <w:rFonts w:ascii="Arial" w:eastAsia="Calibri" w:hAnsi="Arial" w:cs="Arial"/>
          <w:sz w:val="21"/>
          <w:lang w:eastAsia="es-ES" w:bidi="hi-IN"/>
        </w:rPr>
      </w:pPr>
      <w:r w:rsidRPr="00973028">
        <w:rPr>
          <w:rFonts w:ascii="Arial" w:eastAsia="Calibri" w:hAnsi="Arial" w:cs="Arial"/>
          <w:sz w:val="21"/>
          <w:lang w:eastAsia="es-ES" w:bidi="hi-IN"/>
        </w:rPr>
        <w:t xml:space="preserve">En el marco del proyecto Actividades formativas para el buen gobierno y la ciudadanía en el territorio valenciano, la AVAF también ha participado en el Programa de Universitats Estacionals de la </w:t>
      </w:r>
      <w:r w:rsidR="00012862">
        <w:rPr>
          <w:rFonts w:ascii="Arial" w:eastAsia="Calibri" w:hAnsi="Arial" w:cs="Arial"/>
          <w:sz w:val="21"/>
          <w:lang w:eastAsia="es-ES" w:bidi="hi-IN"/>
        </w:rPr>
        <w:t>Universitat de València</w:t>
      </w:r>
      <w:r w:rsidRPr="00973028">
        <w:rPr>
          <w:rFonts w:ascii="Arial" w:eastAsia="Calibri" w:hAnsi="Arial" w:cs="Arial"/>
          <w:sz w:val="21"/>
          <w:lang w:eastAsia="es-ES" w:bidi="hi-IN"/>
        </w:rPr>
        <w:t>.</w:t>
      </w:r>
    </w:p>
    <w:p w14:paraId="6F53D923" w14:textId="6FF9B15A" w:rsidR="00BB4994" w:rsidRPr="00973028" w:rsidRDefault="00BB4994" w:rsidP="00BB4994">
      <w:pPr>
        <w:widowControl w:val="0"/>
        <w:suppressAutoHyphens/>
        <w:autoSpaceDN w:val="0"/>
        <w:spacing w:after="240" w:line="276" w:lineRule="auto"/>
        <w:jc w:val="both"/>
        <w:rPr>
          <w:rFonts w:ascii="Arial" w:eastAsia="Calibri" w:hAnsi="Arial" w:cs="Arial"/>
          <w:sz w:val="21"/>
          <w:lang w:eastAsia="es-ES" w:bidi="hi-IN"/>
        </w:rPr>
      </w:pPr>
      <w:r w:rsidRPr="00973028">
        <w:rPr>
          <w:rFonts w:ascii="Arial" w:eastAsia="Calibri" w:hAnsi="Arial" w:cs="Arial"/>
          <w:sz w:val="21"/>
          <w:lang w:eastAsia="es-ES" w:bidi="hi-IN"/>
        </w:rPr>
        <w:t>Este programa busca acercar la universidad pública al público en general y lo hace proyectando el potencial de la comunidad investigadora sobre su espacio geográfico más próximo, fomentando la presencia e implicación de la Universitat de Val</w:t>
      </w:r>
      <w:r w:rsidR="00982B72">
        <w:rPr>
          <w:rFonts w:ascii="Arial" w:eastAsia="Calibri" w:hAnsi="Arial" w:cs="Arial"/>
          <w:sz w:val="21"/>
          <w:lang w:eastAsia="es-ES" w:bidi="hi-IN"/>
        </w:rPr>
        <w:t>è</w:t>
      </w:r>
      <w:r w:rsidRPr="00973028">
        <w:rPr>
          <w:rFonts w:ascii="Arial" w:eastAsia="Calibri" w:hAnsi="Arial" w:cs="Arial"/>
          <w:sz w:val="21"/>
          <w:lang w:eastAsia="es-ES" w:bidi="hi-IN"/>
        </w:rPr>
        <w:t>ncia en las comarcas valencianas y transfiriendo formación, investigación y conocimiento más allá de las aulas universitarias de manera abierta y gratuita para la ciudadanía.</w:t>
      </w:r>
    </w:p>
    <w:p w14:paraId="7EBE1137"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es-ES" w:bidi="hi-IN"/>
        </w:rPr>
      </w:pPr>
      <w:r w:rsidRPr="00973028">
        <w:rPr>
          <w:rFonts w:ascii="Arial" w:eastAsia="Calibri" w:hAnsi="Arial" w:cs="Arial"/>
          <w:sz w:val="21"/>
          <w:lang w:eastAsia="es-ES" w:bidi="hi-IN"/>
        </w:rPr>
        <w:t xml:space="preserve">La Agencia se ha incorporado a este programa, como institución colaboradora, promoviendo actividades de docentes universitarios, sobre sensibilización social y formación en materia de transparencia, buen gobierno, calidad democrática, lucha contra el fraude y la corrupción y aquellas reflexiones que fortalezcan la ética democrática y la responsabilidad pública. </w:t>
      </w:r>
    </w:p>
    <w:p w14:paraId="1F37AB45" w14:textId="61A22FDD" w:rsidR="00BB4994" w:rsidRPr="000F4B9E" w:rsidRDefault="00BB4994" w:rsidP="000F4B9E">
      <w:pPr>
        <w:widowControl w:val="0"/>
        <w:suppressAutoHyphens/>
        <w:autoSpaceDN w:val="0"/>
        <w:spacing w:after="240" w:line="276" w:lineRule="auto"/>
        <w:jc w:val="both"/>
        <w:rPr>
          <w:rFonts w:ascii="Arial" w:eastAsia="Calibri" w:hAnsi="Arial" w:cs="Arial"/>
          <w:sz w:val="21"/>
          <w:lang w:eastAsia="es-ES" w:bidi="hi-IN"/>
        </w:rPr>
      </w:pPr>
      <w:r w:rsidRPr="00973028">
        <w:rPr>
          <w:rFonts w:ascii="Arial" w:eastAsia="Calibri" w:hAnsi="Arial" w:cs="Arial"/>
          <w:sz w:val="21"/>
          <w:lang w:eastAsia="es-ES" w:bidi="hi-IN"/>
        </w:rPr>
        <w:t>Durante los meses de octubre, noviembre y diciembre, las universidades estacionales en las que ha participado la AVAF han sido las siguientes:</w:t>
      </w:r>
    </w:p>
    <w:p w14:paraId="7363E5E6" w14:textId="5E13A6D4" w:rsidR="004927C3" w:rsidRPr="00973028" w:rsidRDefault="004927C3" w:rsidP="004927C3">
      <w:pPr>
        <w:pStyle w:val="Descripcin"/>
        <w:keepNext/>
        <w:jc w:val="both"/>
        <w:rPr>
          <w:rFonts w:ascii="Arial" w:hAnsi="Arial" w:cs="Arial"/>
          <w:smallCaps w:val="0"/>
          <w:sz w:val="18"/>
          <w:szCs w:val="18"/>
        </w:rPr>
      </w:pPr>
      <w:bookmarkStart w:id="33" w:name="_Toc67646342"/>
      <w:r w:rsidRPr="00973028">
        <w:rPr>
          <w:rFonts w:ascii="Arial" w:hAnsi="Arial" w:cs="Arial"/>
          <w:smallCaps w:val="0"/>
          <w:color w:val="9D2235" w:themeColor="accent1"/>
          <w:sz w:val="18"/>
          <w:szCs w:val="18"/>
        </w:rPr>
        <w:t xml:space="preserve">Tabla </w:t>
      </w:r>
      <w:r w:rsidRPr="00973028">
        <w:rPr>
          <w:rFonts w:ascii="Arial" w:hAnsi="Arial" w:cs="Arial"/>
          <w:smallCaps w:val="0"/>
          <w:color w:val="9D2235" w:themeColor="accent1"/>
          <w:sz w:val="18"/>
          <w:szCs w:val="18"/>
        </w:rPr>
        <w:fldChar w:fldCharType="begin"/>
      </w:r>
      <w:r w:rsidRPr="00973028">
        <w:rPr>
          <w:rFonts w:ascii="Arial" w:hAnsi="Arial" w:cs="Arial"/>
          <w:smallCaps w:val="0"/>
          <w:color w:val="9D2235" w:themeColor="accent1"/>
          <w:sz w:val="18"/>
          <w:szCs w:val="18"/>
        </w:rPr>
        <w:instrText xml:space="preserve"> SEQ Tabla \* ARABIC </w:instrText>
      </w:r>
      <w:r w:rsidRPr="00973028">
        <w:rPr>
          <w:rFonts w:ascii="Arial" w:hAnsi="Arial" w:cs="Arial"/>
          <w:smallCaps w:val="0"/>
          <w:color w:val="9D2235" w:themeColor="accent1"/>
          <w:sz w:val="18"/>
          <w:szCs w:val="18"/>
        </w:rPr>
        <w:fldChar w:fldCharType="separate"/>
      </w:r>
      <w:r w:rsidR="00ED7F0D">
        <w:rPr>
          <w:rFonts w:ascii="Arial" w:hAnsi="Arial" w:cs="Arial"/>
          <w:smallCaps w:val="0"/>
          <w:noProof/>
          <w:color w:val="9D2235" w:themeColor="accent1"/>
          <w:sz w:val="18"/>
          <w:szCs w:val="18"/>
        </w:rPr>
        <w:t>5</w:t>
      </w:r>
      <w:r w:rsidRPr="00973028">
        <w:rPr>
          <w:rFonts w:ascii="Arial" w:hAnsi="Arial" w:cs="Arial"/>
          <w:smallCaps w:val="0"/>
          <w:color w:val="9D2235" w:themeColor="accent1"/>
          <w:sz w:val="18"/>
          <w:szCs w:val="18"/>
        </w:rPr>
        <w:fldChar w:fldCharType="end"/>
      </w:r>
      <w:r w:rsidR="00876C89">
        <w:rPr>
          <w:rFonts w:ascii="Arial" w:hAnsi="Arial" w:cs="Arial"/>
          <w:smallCaps w:val="0"/>
          <w:color w:val="9D2235" w:themeColor="accent1"/>
          <w:sz w:val="18"/>
          <w:szCs w:val="18"/>
        </w:rPr>
        <w:t>.</w:t>
      </w:r>
      <w:r w:rsidRPr="00973028">
        <w:rPr>
          <w:rFonts w:ascii="Arial" w:hAnsi="Arial" w:cs="Arial"/>
          <w:smallCaps w:val="0"/>
          <w:color w:val="9D2235" w:themeColor="accent1"/>
          <w:sz w:val="18"/>
          <w:szCs w:val="18"/>
        </w:rPr>
        <w:t xml:space="preserve"> </w:t>
      </w:r>
      <w:r w:rsidRPr="00973028">
        <w:rPr>
          <w:rFonts w:ascii="Arial" w:hAnsi="Arial" w:cs="Arial"/>
          <w:smallCaps w:val="0"/>
          <w:sz w:val="18"/>
          <w:szCs w:val="18"/>
        </w:rPr>
        <w:t>Resumen de las conferencias para la ciudadanía impartidas en el programa Universitats Estacionals de la U</w:t>
      </w:r>
      <w:r w:rsidR="00FB2571" w:rsidRPr="00973028">
        <w:rPr>
          <w:rFonts w:ascii="Arial" w:hAnsi="Arial" w:cs="Arial"/>
          <w:smallCaps w:val="0"/>
          <w:sz w:val="18"/>
          <w:szCs w:val="18"/>
        </w:rPr>
        <w:t xml:space="preserve">niversitat de </w:t>
      </w:r>
      <w:r w:rsidRPr="00973028">
        <w:rPr>
          <w:rFonts w:ascii="Arial" w:hAnsi="Arial" w:cs="Arial"/>
          <w:smallCaps w:val="0"/>
          <w:sz w:val="18"/>
          <w:szCs w:val="18"/>
        </w:rPr>
        <w:t>V</w:t>
      </w:r>
      <w:r w:rsidR="00FB2571" w:rsidRPr="00973028">
        <w:rPr>
          <w:rFonts w:ascii="Arial" w:hAnsi="Arial" w:cs="Arial"/>
          <w:smallCaps w:val="0"/>
          <w:sz w:val="18"/>
          <w:szCs w:val="18"/>
        </w:rPr>
        <w:t>alència</w:t>
      </w:r>
      <w:bookmarkEnd w:id="33"/>
    </w:p>
    <w:tbl>
      <w:tblPr>
        <w:tblW w:w="9214" w:type="dxa"/>
        <w:tblInd w:w="-5" w:type="dxa"/>
        <w:tblCellMar>
          <w:top w:w="55" w:type="dxa"/>
          <w:left w:w="55" w:type="dxa"/>
          <w:bottom w:w="55" w:type="dxa"/>
          <w:right w:w="55" w:type="dxa"/>
        </w:tblCellMar>
        <w:tblLook w:val="04A0" w:firstRow="1" w:lastRow="0" w:firstColumn="1" w:lastColumn="0" w:noHBand="0" w:noVBand="1"/>
      </w:tblPr>
      <w:tblGrid>
        <w:gridCol w:w="1326"/>
        <w:gridCol w:w="841"/>
        <w:gridCol w:w="3072"/>
        <w:gridCol w:w="1841"/>
        <w:gridCol w:w="997"/>
        <w:gridCol w:w="1137"/>
      </w:tblGrid>
      <w:tr w:rsidR="0065794C" w:rsidRPr="00973028" w14:paraId="427C2B60" w14:textId="77777777" w:rsidTr="000F4B9E">
        <w:trPr>
          <w:tblHeader/>
        </w:trPr>
        <w:tc>
          <w:tcPr>
            <w:tcW w:w="1326" w:type="dxa"/>
            <w:tcBorders>
              <w:top w:val="single" w:sz="4" w:space="0" w:color="000000"/>
              <w:left w:val="single" w:sz="4" w:space="0" w:color="000000"/>
              <w:bottom w:val="single" w:sz="4" w:space="0" w:color="000000"/>
              <w:right w:val="nil"/>
            </w:tcBorders>
            <w:shd w:val="clear" w:color="auto" w:fill="9D2235" w:themeFill="accent1"/>
            <w:vAlign w:val="center"/>
            <w:hideMark/>
          </w:tcPr>
          <w:p w14:paraId="35B239A7"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eastAsia="zh-CN" w:bidi="hi-IN"/>
              </w:rPr>
            </w:pPr>
            <w:r w:rsidRPr="00973028">
              <w:rPr>
                <w:rFonts w:ascii="Arial" w:eastAsia="Open Sans" w:hAnsi="Arial" w:cs="Arial"/>
                <w:b/>
                <w:color w:val="FFFFFF" w:themeColor="background1"/>
                <w:kern w:val="2"/>
                <w:sz w:val="18"/>
                <w:szCs w:val="18"/>
                <w:lang w:eastAsia="zh-CN" w:bidi="hi-IN"/>
              </w:rPr>
              <w:t>Localidad</w:t>
            </w:r>
          </w:p>
        </w:tc>
        <w:tc>
          <w:tcPr>
            <w:tcW w:w="841" w:type="dxa"/>
            <w:tcBorders>
              <w:top w:val="single" w:sz="4" w:space="0" w:color="000000"/>
              <w:left w:val="single" w:sz="4" w:space="0" w:color="000000"/>
              <w:bottom w:val="single" w:sz="4" w:space="0" w:color="000000"/>
              <w:right w:val="nil"/>
            </w:tcBorders>
            <w:shd w:val="clear" w:color="auto" w:fill="9D2235" w:themeFill="accent1"/>
            <w:vAlign w:val="center"/>
            <w:hideMark/>
          </w:tcPr>
          <w:p w14:paraId="115A8F5E"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eastAsia="zh-CN" w:bidi="hi-IN"/>
              </w:rPr>
            </w:pPr>
            <w:r w:rsidRPr="00973028">
              <w:rPr>
                <w:rFonts w:ascii="Arial" w:eastAsia="Open Sans" w:hAnsi="Arial" w:cs="Arial"/>
                <w:b/>
                <w:color w:val="FFFFFF" w:themeColor="background1"/>
                <w:kern w:val="2"/>
                <w:sz w:val="18"/>
                <w:szCs w:val="18"/>
                <w:lang w:eastAsia="zh-CN" w:bidi="hi-IN"/>
              </w:rPr>
              <w:t>Fecha</w:t>
            </w:r>
          </w:p>
        </w:tc>
        <w:tc>
          <w:tcPr>
            <w:tcW w:w="3072" w:type="dxa"/>
            <w:tcBorders>
              <w:top w:val="single" w:sz="4" w:space="0" w:color="000000"/>
              <w:left w:val="single" w:sz="4" w:space="0" w:color="000000"/>
              <w:bottom w:val="single" w:sz="4" w:space="0" w:color="000000"/>
              <w:right w:val="nil"/>
            </w:tcBorders>
            <w:shd w:val="clear" w:color="auto" w:fill="9D2235" w:themeFill="accent1"/>
            <w:vAlign w:val="center"/>
            <w:hideMark/>
          </w:tcPr>
          <w:p w14:paraId="5A3AB880"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eastAsia="zh-CN" w:bidi="hi-IN"/>
              </w:rPr>
            </w:pPr>
            <w:r w:rsidRPr="00973028">
              <w:rPr>
                <w:rFonts w:ascii="Arial" w:eastAsia="Open Sans" w:hAnsi="Arial" w:cs="Arial"/>
                <w:b/>
                <w:color w:val="FFFFFF" w:themeColor="background1"/>
                <w:kern w:val="2"/>
                <w:sz w:val="18"/>
                <w:szCs w:val="18"/>
                <w:lang w:eastAsia="zh-CN" w:bidi="hi-IN"/>
              </w:rPr>
              <w:t>Ponencia i autor</w:t>
            </w:r>
          </w:p>
        </w:tc>
        <w:tc>
          <w:tcPr>
            <w:tcW w:w="1841" w:type="dxa"/>
            <w:tcBorders>
              <w:top w:val="single" w:sz="4" w:space="0" w:color="000000"/>
              <w:left w:val="single" w:sz="4" w:space="0" w:color="000000"/>
              <w:bottom w:val="single" w:sz="4" w:space="0" w:color="000000"/>
              <w:right w:val="single" w:sz="4" w:space="0" w:color="000000"/>
            </w:tcBorders>
            <w:shd w:val="clear" w:color="auto" w:fill="9D2235" w:themeFill="accent1"/>
            <w:vAlign w:val="center"/>
            <w:hideMark/>
          </w:tcPr>
          <w:p w14:paraId="19C4FEEA"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eastAsia="zh-CN" w:bidi="hi-IN"/>
              </w:rPr>
            </w:pPr>
            <w:r w:rsidRPr="00973028">
              <w:rPr>
                <w:rFonts w:ascii="Arial" w:eastAsia="Open Sans" w:hAnsi="Arial" w:cs="Arial"/>
                <w:b/>
                <w:color w:val="FFFFFF" w:themeColor="background1"/>
                <w:kern w:val="2"/>
                <w:sz w:val="18"/>
                <w:szCs w:val="18"/>
                <w:lang w:eastAsia="zh-CN" w:bidi="hi-IN"/>
              </w:rPr>
              <w:t>Departamento</w:t>
            </w:r>
          </w:p>
        </w:tc>
        <w:tc>
          <w:tcPr>
            <w:tcW w:w="997" w:type="dxa"/>
            <w:tcBorders>
              <w:top w:val="single" w:sz="4" w:space="0" w:color="000000"/>
              <w:left w:val="single" w:sz="4" w:space="0" w:color="000000"/>
              <w:bottom w:val="single" w:sz="4" w:space="0" w:color="000000"/>
              <w:right w:val="nil"/>
            </w:tcBorders>
            <w:shd w:val="clear" w:color="auto" w:fill="9D2235" w:themeFill="accent1"/>
            <w:vAlign w:val="center"/>
            <w:hideMark/>
          </w:tcPr>
          <w:p w14:paraId="35740683"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eastAsia="zh-CN" w:bidi="hi-IN"/>
              </w:rPr>
            </w:pPr>
            <w:r w:rsidRPr="00973028">
              <w:rPr>
                <w:rFonts w:ascii="Arial" w:eastAsia="Open Sans" w:hAnsi="Arial" w:cs="Arial"/>
                <w:b/>
                <w:color w:val="FFFFFF" w:themeColor="background1"/>
                <w:kern w:val="2"/>
                <w:sz w:val="18"/>
                <w:szCs w:val="18"/>
                <w:lang w:eastAsia="zh-CN" w:bidi="hi-IN"/>
              </w:rPr>
              <w:t>Duración</w:t>
            </w:r>
          </w:p>
        </w:tc>
        <w:tc>
          <w:tcPr>
            <w:tcW w:w="1137" w:type="dxa"/>
            <w:tcBorders>
              <w:top w:val="single" w:sz="4" w:space="0" w:color="000000"/>
              <w:left w:val="single" w:sz="4" w:space="0" w:color="000000"/>
              <w:bottom w:val="single" w:sz="4" w:space="0" w:color="000000"/>
              <w:right w:val="single" w:sz="4" w:space="0" w:color="auto"/>
            </w:tcBorders>
            <w:shd w:val="clear" w:color="auto" w:fill="9D2235" w:themeFill="accent1"/>
            <w:vAlign w:val="center"/>
            <w:hideMark/>
          </w:tcPr>
          <w:p w14:paraId="3F2AAF93"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eastAsia="zh-CN" w:bidi="hi-IN"/>
              </w:rPr>
            </w:pPr>
            <w:r w:rsidRPr="00973028">
              <w:rPr>
                <w:rFonts w:ascii="Arial" w:eastAsia="Open Sans" w:hAnsi="Arial" w:cs="Arial"/>
                <w:b/>
                <w:color w:val="FFFFFF" w:themeColor="background1"/>
                <w:kern w:val="2"/>
                <w:sz w:val="18"/>
                <w:szCs w:val="18"/>
                <w:lang w:eastAsia="zh-CN" w:bidi="hi-IN"/>
              </w:rPr>
              <w:t>Asistentes</w:t>
            </w:r>
          </w:p>
          <w:p w14:paraId="639E6807"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eastAsia="zh-CN" w:bidi="hi-IN"/>
              </w:rPr>
            </w:pPr>
            <w:r w:rsidRPr="00973028">
              <w:rPr>
                <w:rFonts w:ascii="Arial" w:eastAsia="Open Sans" w:hAnsi="Arial" w:cs="Arial"/>
                <w:b/>
                <w:color w:val="FFFFFF" w:themeColor="background1"/>
                <w:kern w:val="2"/>
                <w:sz w:val="18"/>
                <w:szCs w:val="18"/>
                <w:lang w:eastAsia="zh-CN" w:bidi="hi-IN"/>
              </w:rPr>
              <w:t>presencial</w:t>
            </w:r>
          </w:p>
          <w:p w14:paraId="4F09B546"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eastAsia="zh-CN" w:bidi="hi-IN"/>
              </w:rPr>
            </w:pPr>
            <w:r w:rsidRPr="00973028">
              <w:rPr>
                <w:rFonts w:ascii="Arial" w:eastAsia="Open Sans" w:hAnsi="Arial" w:cs="Arial"/>
                <w:b/>
                <w:color w:val="FFFFFF" w:themeColor="background1"/>
                <w:kern w:val="2"/>
                <w:sz w:val="18"/>
                <w:szCs w:val="18"/>
                <w:lang w:eastAsia="zh-CN" w:bidi="hi-IN"/>
              </w:rPr>
              <w:t>+online</w:t>
            </w:r>
          </w:p>
        </w:tc>
      </w:tr>
      <w:tr w:rsidR="00BB4994" w:rsidRPr="00973028" w14:paraId="110505AA" w14:textId="77777777" w:rsidTr="00BB4994">
        <w:tc>
          <w:tcPr>
            <w:tcW w:w="1326" w:type="dxa"/>
            <w:vMerge w:val="restart"/>
            <w:tcBorders>
              <w:top w:val="nil"/>
              <w:left w:val="single" w:sz="4" w:space="0" w:color="000000"/>
              <w:bottom w:val="single" w:sz="4" w:space="0" w:color="000000"/>
              <w:right w:val="nil"/>
            </w:tcBorders>
            <w:hideMark/>
          </w:tcPr>
          <w:p w14:paraId="3098DFC3"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Universitat Estacional Alaquàs</w:t>
            </w:r>
          </w:p>
        </w:tc>
        <w:tc>
          <w:tcPr>
            <w:tcW w:w="841" w:type="dxa"/>
            <w:vMerge w:val="restart"/>
            <w:tcBorders>
              <w:top w:val="nil"/>
              <w:left w:val="single" w:sz="4" w:space="0" w:color="000000"/>
              <w:bottom w:val="single" w:sz="4" w:space="0" w:color="000000"/>
              <w:right w:val="nil"/>
            </w:tcBorders>
            <w:hideMark/>
          </w:tcPr>
          <w:p w14:paraId="73CD062A"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15/10/20</w:t>
            </w:r>
          </w:p>
        </w:tc>
        <w:tc>
          <w:tcPr>
            <w:tcW w:w="3072" w:type="dxa"/>
            <w:vMerge w:val="restart"/>
            <w:tcBorders>
              <w:top w:val="nil"/>
              <w:left w:val="single" w:sz="4" w:space="0" w:color="000000"/>
              <w:bottom w:val="single" w:sz="4" w:space="0" w:color="000000"/>
              <w:right w:val="nil"/>
            </w:tcBorders>
            <w:hideMark/>
          </w:tcPr>
          <w:p w14:paraId="1B7280A8" w14:textId="77777777" w:rsidR="00BB4994" w:rsidRPr="00973028" w:rsidRDefault="00BB4994" w:rsidP="00BB4994">
            <w:pPr>
              <w:widowControl w:val="0"/>
              <w:suppressAutoHyphens/>
              <w:autoSpaceDN w:val="0"/>
              <w:spacing w:after="0" w:line="240" w:lineRule="auto"/>
              <w:ind w:left="113" w:right="340"/>
              <w:jc w:val="center"/>
              <w:rPr>
                <w:rFonts w:ascii="Arial" w:eastAsia="Open Sans" w:hAnsi="Arial" w:cs="Arial"/>
                <w:bCs/>
                <w:kern w:val="2"/>
                <w:sz w:val="18"/>
                <w:szCs w:val="18"/>
                <w:lang w:eastAsia="zh-CN" w:bidi="hi-IN"/>
              </w:rPr>
            </w:pPr>
            <w:r w:rsidRPr="00973028">
              <w:rPr>
                <w:rFonts w:ascii="Arial" w:eastAsia="Open Sans" w:hAnsi="Arial" w:cs="Arial"/>
                <w:bCs/>
                <w:kern w:val="2"/>
                <w:sz w:val="18"/>
                <w:szCs w:val="18"/>
                <w:lang w:eastAsia="zh-CN"/>
              </w:rPr>
              <w:t>Buen gobierno, la participación ingrediente base; Carmen Montalbá Ocaña</w:t>
            </w:r>
          </w:p>
        </w:tc>
        <w:tc>
          <w:tcPr>
            <w:tcW w:w="1841" w:type="dxa"/>
            <w:vMerge w:val="restart"/>
            <w:tcBorders>
              <w:top w:val="nil"/>
              <w:left w:val="single" w:sz="4" w:space="0" w:color="000000"/>
              <w:bottom w:val="single" w:sz="4" w:space="0" w:color="000000"/>
              <w:right w:val="single" w:sz="4" w:space="0" w:color="000000"/>
            </w:tcBorders>
            <w:hideMark/>
          </w:tcPr>
          <w:p w14:paraId="12BE6934"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Trabajo Social y Servicios Sociales</w:t>
            </w:r>
          </w:p>
        </w:tc>
        <w:tc>
          <w:tcPr>
            <w:tcW w:w="997" w:type="dxa"/>
            <w:vMerge w:val="restart"/>
            <w:tcBorders>
              <w:top w:val="nil"/>
              <w:left w:val="single" w:sz="4" w:space="0" w:color="000000"/>
              <w:bottom w:val="single" w:sz="4" w:space="0" w:color="000000"/>
              <w:right w:val="nil"/>
            </w:tcBorders>
            <w:hideMark/>
          </w:tcPr>
          <w:p w14:paraId="2DD69DE6"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2,5 horas</w:t>
            </w:r>
          </w:p>
        </w:tc>
        <w:tc>
          <w:tcPr>
            <w:tcW w:w="1137" w:type="dxa"/>
            <w:tcBorders>
              <w:top w:val="nil"/>
              <w:left w:val="single" w:sz="4" w:space="0" w:color="000000"/>
              <w:bottom w:val="single" w:sz="4" w:space="0" w:color="000000"/>
              <w:right w:val="single" w:sz="4" w:space="0" w:color="auto"/>
            </w:tcBorders>
            <w:hideMark/>
          </w:tcPr>
          <w:p w14:paraId="1D744843"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9</w:t>
            </w:r>
          </w:p>
        </w:tc>
      </w:tr>
      <w:tr w:rsidR="00BB4994" w:rsidRPr="00973028" w14:paraId="4414EB12" w14:textId="77777777" w:rsidTr="00BB4994">
        <w:trPr>
          <w:trHeight w:val="481"/>
        </w:trPr>
        <w:tc>
          <w:tcPr>
            <w:tcW w:w="0" w:type="auto"/>
            <w:vMerge/>
            <w:tcBorders>
              <w:top w:val="nil"/>
              <w:left w:val="single" w:sz="4" w:space="0" w:color="000000"/>
              <w:bottom w:val="single" w:sz="4" w:space="0" w:color="000000"/>
              <w:right w:val="nil"/>
            </w:tcBorders>
            <w:vAlign w:val="center"/>
            <w:hideMark/>
          </w:tcPr>
          <w:p w14:paraId="08B6FDA3" w14:textId="77777777" w:rsidR="00BB4994" w:rsidRPr="00973028" w:rsidRDefault="00BB4994" w:rsidP="00BB4994">
            <w:pPr>
              <w:widowControl w:val="0"/>
              <w:autoSpaceDN w:val="0"/>
              <w:spacing w:after="0" w:line="240" w:lineRule="auto"/>
              <w:rPr>
                <w:rFonts w:ascii="Arial" w:eastAsia="Open Sans" w:hAnsi="Arial" w:cs="Arial"/>
                <w:bCs/>
                <w:color w:val="000000"/>
                <w:kern w:val="2"/>
                <w:sz w:val="18"/>
                <w:szCs w:val="18"/>
                <w:lang w:eastAsia="zh-CN" w:bidi="hi-IN"/>
              </w:rPr>
            </w:pPr>
          </w:p>
        </w:tc>
        <w:tc>
          <w:tcPr>
            <w:tcW w:w="0" w:type="auto"/>
            <w:vMerge/>
            <w:tcBorders>
              <w:top w:val="nil"/>
              <w:left w:val="single" w:sz="4" w:space="0" w:color="000000"/>
              <w:bottom w:val="single" w:sz="4" w:space="0" w:color="000000"/>
              <w:right w:val="nil"/>
            </w:tcBorders>
            <w:vAlign w:val="center"/>
            <w:hideMark/>
          </w:tcPr>
          <w:p w14:paraId="6F2D1680" w14:textId="77777777" w:rsidR="00BB4994" w:rsidRPr="00973028" w:rsidRDefault="00BB4994" w:rsidP="00BB4994">
            <w:pPr>
              <w:widowControl w:val="0"/>
              <w:autoSpaceDN w:val="0"/>
              <w:spacing w:after="0" w:line="240" w:lineRule="auto"/>
              <w:rPr>
                <w:rFonts w:ascii="Arial" w:eastAsia="Open Sans" w:hAnsi="Arial" w:cs="Arial"/>
                <w:bCs/>
                <w:color w:val="000000"/>
                <w:kern w:val="2"/>
                <w:sz w:val="18"/>
                <w:szCs w:val="18"/>
                <w:lang w:eastAsia="zh-CN" w:bidi="hi-IN"/>
              </w:rPr>
            </w:pPr>
          </w:p>
        </w:tc>
        <w:tc>
          <w:tcPr>
            <w:tcW w:w="0" w:type="auto"/>
            <w:vMerge/>
            <w:tcBorders>
              <w:top w:val="nil"/>
              <w:left w:val="single" w:sz="4" w:space="0" w:color="000000"/>
              <w:bottom w:val="single" w:sz="4" w:space="0" w:color="000000"/>
              <w:right w:val="nil"/>
            </w:tcBorders>
            <w:vAlign w:val="center"/>
            <w:hideMark/>
          </w:tcPr>
          <w:p w14:paraId="2FC526DC" w14:textId="77777777" w:rsidR="00BB4994" w:rsidRPr="00973028" w:rsidRDefault="00BB4994" w:rsidP="00BB4994">
            <w:pPr>
              <w:widowControl w:val="0"/>
              <w:autoSpaceDN w:val="0"/>
              <w:spacing w:after="0" w:line="240" w:lineRule="auto"/>
              <w:rPr>
                <w:rFonts w:ascii="Arial" w:eastAsia="Open Sans" w:hAnsi="Arial" w:cs="Arial"/>
                <w:bCs/>
                <w:kern w:val="2"/>
                <w:sz w:val="18"/>
                <w:szCs w:val="18"/>
                <w:lang w:eastAsia="zh-CN" w:bidi="hi-IN"/>
              </w:rPr>
            </w:pPr>
          </w:p>
        </w:tc>
        <w:tc>
          <w:tcPr>
            <w:tcW w:w="0" w:type="auto"/>
            <w:vMerge/>
            <w:tcBorders>
              <w:top w:val="nil"/>
              <w:left w:val="single" w:sz="4" w:space="0" w:color="000000"/>
              <w:bottom w:val="single" w:sz="4" w:space="0" w:color="000000"/>
              <w:right w:val="single" w:sz="4" w:space="0" w:color="000000"/>
            </w:tcBorders>
            <w:vAlign w:val="center"/>
            <w:hideMark/>
          </w:tcPr>
          <w:p w14:paraId="3970913A" w14:textId="77777777" w:rsidR="00BB4994" w:rsidRPr="00973028" w:rsidRDefault="00BB4994" w:rsidP="00BB4994">
            <w:pPr>
              <w:widowControl w:val="0"/>
              <w:autoSpaceDN w:val="0"/>
              <w:spacing w:after="0" w:line="240" w:lineRule="auto"/>
              <w:rPr>
                <w:rFonts w:ascii="Arial" w:eastAsia="Open Sans" w:hAnsi="Arial" w:cs="Arial"/>
                <w:bCs/>
                <w:color w:val="000000"/>
                <w:kern w:val="2"/>
                <w:sz w:val="18"/>
                <w:szCs w:val="18"/>
                <w:lang w:eastAsia="zh-CN" w:bidi="hi-IN"/>
              </w:rPr>
            </w:pPr>
          </w:p>
        </w:tc>
        <w:tc>
          <w:tcPr>
            <w:tcW w:w="0" w:type="auto"/>
            <w:vMerge/>
            <w:tcBorders>
              <w:top w:val="nil"/>
              <w:left w:val="single" w:sz="4" w:space="0" w:color="000000"/>
              <w:bottom w:val="single" w:sz="4" w:space="0" w:color="000000"/>
              <w:right w:val="nil"/>
            </w:tcBorders>
            <w:vAlign w:val="center"/>
            <w:hideMark/>
          </w:tcPr>
          <w:p w14:paraId="2E80269A" w14:textId="77777777" w:rsidR="00BB4994" w:rsidRPr="00973028" w:rsidRDefault="00BB4994" w:rsidP="00BB4994">
            <w:pPr>
              <w:widowControl w:val="0"/>
              <w:autoSpaceDN w:val="0"/>
              <w:spacing w:after="0" w:line="240" w:lineRule="auto"/>
              <w:rPr>
                <w:rFonts w:ascii="Arial" w:eastAsia="Open Sans" w:hAnsi="Arial" w:cs="Arial"/>
                <w:bCs/>
                <w:color w:val="000000"/>
                <w:kern w:val="2"/>
                <w:sz w:val="18"/>
                <w:szCs w:val="18"/>
                <w:lang w:eastAsia="zh-CN" w:bidi="hi-IN"/>
              </w:rPr>
            </w:pPr>
          </w:p>
        </w:tc>
        <w:tc>
          <w:tcPr>
            <w:tcW w:w="1137" w:type="dxa"/>
            <w:tcBorders>
              <w:top w:val="nil"/>
              <w:left w:val="single" w:sz="4" w:space="0" w:color="000000"/>
              <w:bottom w:val="single" w:sz="4" w:space="0" w:color="000000"/>
              <w:right w:val="single" w:sz="4" w:space="0" w:color="auto"/>
            </w:tcBorders>
            <w:hideMark/>
          </w:tcPr>
          <w:p w14:paraId="0555B532"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18</w:t>
            </w:r>
          </w:p>
        </w:tc>
      </w:tr>
      <w:tr w:rsidR="00BB4994" w:rsidRPr="00973028" w14:paraId="62A5C7D4" w14:textId="77777777" w:rsidTr="00BB4994">
        <w:trPr>
          <w:trHeight w:val="537"/>
        </w:trPr>
        <w:tc>
          <w:tcPr>
            <w:tcW w:w="1326" w:type="dxa"/>
            <w:vMerge w:val="restart"/>
            <w:tcBorders>
              <w:top w:val="nil"/>
              <w:left w:val="single" w:sz="4" w:space="0" w:color="000000"/>
              <w:bottom w:val="single" w:sz="4" w:space="0" w:color="000000"/>
              <w:right w:val="nil"/>
            </w:tcBorders>
            <w:hideMark/>
          </w:tcPr>
          <w:p w14:paraId="718AFC4F"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Universitat Estacional Sagunt</w:t>
            </w:r>
          </w:p>
        </w:tc>
        <w:tc>
          <w:tcPr>
            <w:tcW w:w="841" w:type="dxa"/>
            <w:vMerge w:val="restart"/>
            <w:tcBorders>
              <w:top w:val="nil"/>
              <w:left w:val="single" w:sz="4" w:space="0" w:color="000000"/>
              <w:bottom w:val="single" w:sz="4" w:space="0" w:color="000000"/>
              <w:right w:val="nil"/>
            </w:tcBorders>
            <w:hideMark/>
          </w:tcPr>
          <w:p w14:paraId="7BFE5CAE"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12/11/20</w:t>
            </w:r>
          </w:p>
        </w:tc>
        <w:tc>
          <w:tcPr>
            <w:tcW w:w="3072" w:type="dxa"/>
            <w:vMerge w:val="restart"/>
            <w:tcBorders>
              <w:top w:val="nil"/>
              <w:left w:val="single" w:sz="4" w:space="0" w:color="000000"/>
              <w:bottom w:val="single" w:sz="4" w:space="0" w:color="000000"/>
              <w:right w:val="nil"/>
            </w:tcBorders>
            <w:hideMark/>
          </w:tcPr>
          <w:p w14:paraId="68367452" w14:textId="77777777" w:rsidR="00BB4994" w:rsidRPr="00973028" w:rsidRDefault="00BB4994" w:rsidP="00BB4994">
            <w:pPr>
              <w:widowControl w:val="0"/>
              <w:suppressAutoHyphens/>
              <w:autoSpaceDN w:val="0"/>
              <w:spacing w:after="0" w:line="240" w:lineRule="auto"/>
              <w:ind w:left="113" w:right="340"/>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1B1B1B"/>
                <w:kern w:val="2"/>
                <w:sz w:val="18"/>
                <w:szCs w:val="18"/>
                <w:lang w:eastAsia="zh-CN"/>
              </w:rPr>
              <w:t>Control y prevención del conflicto de interés en el ámbito de la gestión pública; Andrés Boix Palop</w:t>
            </w:r>
          </w:p>
        </w:tc>
        <w:tc>
          <w:tcPr>
            <w:tcW w:w="1841" w:type="dxa"/>
            <w:vMerge w:val="restart"/>
            <w:tcBorders>
              <w:top w:val="nil"/>
              <w:left w:val="single" w:sz="4" w:space="0" w:color="000000"/>
              <w:bottom w:val="single" w:sz="4" w:space="0" w:color="000000"/>
              <w:right w:val="single" w:sz="4" w:space="0" w:color="000000"/>
            </w:tcBorders>
            <w:hideMark/>
          </w:tcPr>
          <w:p w14:paraId="0C196A66"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Derecho Administrativo</w:t>
            </w:r>
          </w:p>
        </w:tc>
        <w:tc>
          <w:tcPr>
            <w:tcW w:w="997" w:type="dxa"/>
            <w:vMerge w:val="restart"/>
            <w:tcBorders>
              <w:top w:val="nil"/>
              <w:left w:val="single" w:sz="4" w:space="0" w:color="000000"/>
              <w:bottom w:val="single" w:sz="4" w:space="0" w:color="000000"/>
              <w:right w:val="nil"/>
            </w:tcBorders>
            <w:hideMark/>
          </w:tcPr>
          <w:p w14:paraId="46138127"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3 horas</w:t>
            </w:r>
          </w:p>
        </w:tc>
        <w:tc>
          <w:tcPr>
            <w:tcW w:w="1137" w:type="dxa"/>
            <w:tcBorders>
              <w:top w:val="nil"/>
              <w:left w:val="single" w:sz="4" w:space="0" w:color="000000"/>
              <w:bottom w:val="single" w:sz="4" w:space="0" w:color="000000"/>
              <w:right w:val="single" w:sz="4" w:space="0" w:color="auto"/>
            </w:tcBorders>
            <w:hideMark/>
          </w:tcPr>
          <w:p w14:paraId="754E948C"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17</w:t>
            </w:r>
          </w:p>
        </w:tc>
      </w:tr>
      <w:tr w:rsidR="00BB4994" w:rsidRPr="00973028" w14:paraId="6F3B8BD0" w14:textId="77777777" w:rsidTr="00BB4994">
        <w:trPr>
          <w:trHeight w:val="536"/>
        </w:trPr>
        <w:tc>
          <w:tcPr>
            <w:tcW w:w="0" w:type="auto"/>
            <w:vMerge/>
            <w:tcBorders>
              <w:top w:val="nil"/>
              <w:left w:val="single" w:sz="4" w:space="0" w:color="000000"/>
              <w:bottom w:val="single" w:sz="4" w:space="0" w:color="000000"/>
              <w:right w:val="nil"/>
            </w:tcBorders>
            <w:vAlign w:val="center"/>
            <w:hideMark/>
          </w:tcPr>
          <w:p w14:paraId="0CEFEB5B" w14:textId="77777777" w:rsidR="00BB4994" w:rsidRPr="00973028" w:rsidRDefault="00BB4994" w:rsidP="00BB4994">
            <w:pPr>
              <w:widowControl w:val="0"/>
              <w:autoSpaceDN w:val="0"/>
              <w:spacing w:after="0" w:line="240" w:lineRule="auto"/>
              <w:rPr>
                <w:rFonts w:ascii="Arial" w:eastAsia="Open Sans" w:hAnsi="Arial" w:cs="Arial"/>
                <w:bCs/>
                <w:color w:val="000000"/>
                <w:kern w:val="2"/>
                <w:sz w:val="18"/>
                <w:szCs w:val="18"/>
                <w:lang w:eastAsia="zh-CN" w:bidi="hi-IN"/>
              </w:rPr>
            </w:pPr>
          </w:p>
        </w:tc>
        <w:tc>
          <w:tcPr>
            <w:tcW w:w="0" w:type="auto"/>
            <w:vMerge/>
            <w:tcBorders>
              <w:top w:val="nil"/>
              <w:left w:val="single" w:sz="4" w:space="0" w:color="000000"/>
              <w:bottom w:val="single" w:sz="4" w:space="0" w:color="000000"/>
              <w:right w:val="nil"/>
            </w:tcBorders>
            <w:vAlign w:val="center"/>
            <w:hideMark/>
          </w:tcPr>
          <w:p w14:paraId="6B24C5A4" w14:textId="77777777" w:rsidR="00BB4994" w:rsidRPr="00973028" w:rsidRDefault="00BB4994" w:rsidP="00BB4994">
            <w:pPr>
              <w:widowControl w:val="0"/>
              <w:autoSpaceDN w:val="0"/>
              <w:spacing w:after="0" w:line="240" w:lineRule="auto"/>
              <w:rPr>
                <w:rFonts w:ascii="Arial" w:eastAsia="Open Sans" w:hAnsi="Arial" w:cs="Arial"/>
                <w:bCs/>
                <w:color w:val="000000"/>
                <w:kern w:val="2"/>
                <w:sz w:val="18"/>
                <w:szCs w:val="18"/>
                <w:lang w:eastAsia="zh-CN" w:bidi="hi-IN"/>
              </w:rPr>
            </w:pPr>
          </w:p>
        </w:tc>
        <w:tc>
          <w:tcPr>
            <w:tcW w:w="0" w:type="auto"/>
            <w:vMerge/>
            <w:tcBorders>
              <w:top w:val="nil"/>
              <w:left w:val="single" w:sz="4" w:space="0" w:color="000000"/>
              <w:bottom w:val="single" w:sz="4" w:space="0" w:color="000000"/>
              <w:right w:val="nil"/>
            </w:tcBorders>
            <w:vAlign w:val="center"/>
            <w:hideMark/>
          </w:tcPr>
          <w:p w14:paraId="7CBF1EA2" w14:textId="77777777" w:rsidR="00BB4994" w:rsidRPr="00973028" w:rsidRDefault="00BB4994" w:rsidP="00BB4994">
            <w:pPr>
              <w:widowControl w:val="0"/>
              <w:autoSpaceDN w:val="0"/>
              <w:spacing w:after="0" w:line="240" w:lineRule="auto"/>
              <w:rPr>
                <w:rFonts w:ascii="Arial" w:eastAsia="Open Sans" w:hAnsi="Arial" w:cs="Arial"/>
                <w:bCs/>
                <w:color w:val="000000"/>
                <w:kern w:val="2"/>
                <w:sz w:val="18"/>
                <w:szCs w:val="18"/>
                <w:lang w:eastAsia="zh-CN" w:bidi="hi-IN"/>
              </w:rPr>
            </w:pPr>
          </w:p>
        </w:tc>
        <w:tc>
          <w:tcPr>
            <w:tcW w:w="0" w:type="auto"/>
            <w:vMerge/>
            <w:tcBorders>
              <w:top w:val="nil"/>
              <w:left w:val="single" w:sz="4" w:space="0" w:color="000000"/>
              <w:bottom w:val="single" w:sz="4" w:space="0" w:color="000000"/>
              <w:right w:val="single" w:sz="4" w:space="0" w:color="000000"/>
            </w:tcBorders>
            <w:vAlign w:val="center"/>
            <w:hideMark/>
          </w:tcPr>
          <w:p w14:paraId="4B072902" w14:textId="77777777" w:rsidR="00BB4994" w:rsidRPr="00973028" w:rsidRDefault="00BB4994" w:rsidP="00BB4994">
            <w:pPr>
              <w:widowControl w:val="0"/>
              <w:autoSpaceDN w:val="0"/>
              <w:spacing w:after="0" w:line="240" w:lineRule="auto"/>
              <w:rPr>
                <w:rFonts w:ascii="Arial" w:eastAsia="Open Sans" w:hAnsi="Arial" w:cs="Arial"/>
                <w:bCs/>
                <w:color w:val="000000"/>
                <w:kern w:val="2"/>
                <w:sz w:val="18"/>
                <w:szCs w:val="18"/>
                <w:lang w:eastAsia="zh-CN" w:bidi="hi-IN"/>
              </w:rPr>
            </w:pPr>
          </w:p>
        </w:tc>
        <w:tc>
          <w:tcPr>
            <w:tcW w:w="0" w:type="auto"/>
            <w:vMerge/>
            <w:tcBorders>
              <w:top w:val="nil"/>
              <w:left w:val="single" w:sz="4" w:space="0" w:color="000000"/>
              <w:bottom w:val="single" w:sz="4" w:space="0" w:color="000000"/>
              <w:right w:val="nil"/>
            </w:tcBorders>
            <w:vAlign w:val="center"/>
            <w:hideMark/>
          </w:tcPr>
          <w:p w14:paraId="6CBD0AD0" w14:textId="77777777" w:rsidR="00BB4994" w:rsidRPr="00973028" w:rsidRDefault="00BB4994" w:rsidP="00BB4994">
            <w:pPr>
              <w:widowControl w:val="0"/>
              <w:autoSpaceDN w:val="0"/>
              <w:spacing w:after="0" w:line="240" w:lineRule="auto"/>
              <w:rPr>
                <w:rFonts w:ascii="Arial" w:eastAsia="Open Sans" w:hAnsi="Arial" w:cs="Arial"/>
                <w:bCs/>
                <w:color w:val="000000"/>
                <w:kern w:val="2"/>
                <w:sz w:val="18"/>
                <w:szCs w:val="18"/>
                <w:lang w:eastAsia="zh-CN" w:bidi="hi-IN"/>
              </w:rPr>
            </w:pPr>
          </w:p>
        </w:tc>
        <w:tc>
          <w:tcPr>
            <w:tcW w:w="1137" w:type="dxa"/>
            <w:tcBorders>
              <w:top w:val="nil"/>
              <w:left w:val="single" w:sz="4" w:space="0" w:color="000000"/>
              <w:bottom w:val="single" w:sz="4" w:space="0" w:color="000000"/>
              <w:right w:val="single" w:sz="4" w:space="0" w:color="auto"/>
            </w:tcBorders>
            <w:hideMark/>
          </w:tcPr>
          <w:p w14:paraId="2B54CCA4"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29</w:t>
            </w:r>
          </w:p>
        </w:tc>
      </w:tr>
      <w:tr w:rsidR="00BB4994" w:rsidRPr="00973028" w14:paraId="247C9B8A" w14:textId="77777777" w:rsidTr="00BB4994">
        <w:tc>
          <w:tcPr>
            <w:tcW w:w="1326" w:type="dxa"/>
            <w:tcBorders>
              <w:top w:val="nil"/>
              <w:left w:val="single" w:sz="4" w:space="0" w:color="000000"/>
              <w:bottom w:val="single" w:sz="4" w:space="0" w:color="000000"/>
              <w:right w:val="nil"/>
            </w:tcBorders>
            <w:hideMark/>
          </w:tcPr>
          <w:p w14:paraId="5A6F9B67"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Universitat Estacional Xàtiva</w:t>
            </w:r>
          </w:p>
        </w:tc>
        <w:tc>
          <w:tcPr>
            <w:tcW w:w="841" w:type="dxa"/>
            <w:tcBorders>
              <w:top w:val="nil"/>
              <w:left w:val="single" w:sz="4" w:space="0" w:color="000000"/>
              <w:bottom w:val="single" w:sz="4" w:space="0" w:color="000000"/>
              <w:right w:val="nil"/>
            </w:tcBorders>
            <w:hideMark/>
          </w:tcPr>
          <w:p w14:paraId="06A9AD8A"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24/11/20</w:t>
            </w:r>
          </w:p>
        </w:tc>
        <w:tc>
          <w:tcPr>
            <w:tcW w:w="3072" w:type="dxa"/>
            <w:tcBorders>
              <w:top w:val="nil"/>
              <w:left w:val="single" w:sz="4" w:space="0" w:color="000000"/>
              <w:bottom w:val="single" w:sz="4" w:space="0" w:color="000000"/>
              <w:right w:val="nil"/>
            </w:tcBorders>
            <w:hideMark/>
          </w:tcPr>
          <w:p w14:paraId="367348EC" w14:textId="77777777" w:rsidR="00BB4994" w:rsidRPr="00973028" w:rsidRDefault="00BB4994" w:rsidP="00BB4994">
            <w:pPr>
              <w:widowControl w:val="0"/>
              <w:suppressAutoHyphens/>
              <w:autoSpaceDN w:val="0"/>
              <w:spacing w:after="0" w:line="240" w:lineRule="auto"/>
              <w:ind w:left="113" w:right="340"/>
              <w:jc w:val="center"/>
              <w:rPr>
                <w:rFonts w:ascii="Arial" w:eastAsia="Open Sans" w:hAnsi="Arial" w:cs="Arial"/>
                <w:bCs/>
                <w:color w:val="000000"/>
                <w:kern w:val="2"/>
                <w:sz w:val="18"/>
                <w:szCs w:val="18"/>
                <w:lang w:eastAsia="zh-CN" w:bidi="hi-IN"/>
              </w:rPr>
            </w:pPr>
            <w:r w:rsidRPr="00973028">
              <w:rPr>
                <w:rFonts w:ascii="Arial" w:eastAsia="Open Sans" w:hAnsi="Arial" w:cs="Arial"/>
                <w:bCs/>
                <w:kern w:val="2"/>
                <w:sz w:val="18"/>
                <w:szCs w:val="18"/>
                <w:lang w:eastAsia="zh-CN"/>
              </w:rPr>
              <w:t xml:space="preserve"> ¿Son los datos una mina de oro? Reglas básicas para proteger nuestra intimidad; Ricard Martínez Martínez</w:t>
            </w:r>
          </w:p>
        </w:tc>
        <w:tc>
          <w:tcPr>
            <w:tcW w:w="1841" w:type="dxa"/>
            <w:tcBorders>
              <w:top w:val="nil"/>
              <w:left w:val="single" w:sz="4" w:space="0" w:color="000000"/>
              <w:bottom w:val="single" w:sz="4" w:space="0" w:color="000000"/>
              <w:right w:val="single" w:sz="4" w:space="0" w:color="000000"/>
            </w:tcBorders>
            <w:hideMark/>
          </w:tcPr>
          <w:p w14:paraId="7FC14BA4"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Derecho Constitucional, y Ciencia Política y de la Administración</w:t>
            </w:r>
          </w:p>
        </w:tc>
        <w:tc>
          <w:tcPr>
            <w:tcW w:w="997" w:type="dxa"/>
            <w:tcBorders>
              <w:top w:val="nil"/>
              <w:left w:val="single" w:sz="4" w:space="0" w:color="000000"/>
              <w:bottom w:val="single" w:sz="4" w:space="0" w:color="000000"/>
              <w:right w:val="nil"/>
            </w:tcBorders>
            <w:hideMark/>
          </w:tcPr>
          <w:p w14:paraId="357FBE7A"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3,5 horas</w:t>
            </w:r>
          </w:p>
        </w:tc>
        <w:tc>
          <w:tcPr>
            <w:tcW w:w="1137" w:type="dxa"/>
            <w:tcBorders>
              <w:top w:val="nil"/>
              <w:left w:val="single" w:sz="4" w:space="0" w:color="000000"/>
              <w:bottom w:val="single" w:sz="4" w:space="0" w:color="000000"/>
              <w:right w:val="single" w:sz="4" w:space="0" w:color="auto"/>
            </w:tcBorders>
            <w:hideMark/>
          </w:tcPr>
          <w:p w14:paraId="00BB1761" w14:textId="77777777" w:rsidR="00BB4994" w:rsidRPr="00973028" w:rsidRDefault="00BB4994" w:rsidP="00BB4994">
            <w:pPr>
              <w:widowControl w:val="0"/>
              <w:suppressAutoHyphens/>
              <w:autoSpaceDN w:val="0"/>
              <w:spacing w:after="0" w:line="240" w:lineRule="auto"/>
              <w:jc w:val="center"/>
              <w:rPr>
                <w:rFonts w:ascii="Arial" w:eastAsia="Times New Roman" w:hAnsi="Arial" w:cs="Arial"/>
                <w:bCs/>
                <w:color w:val="000000"/>
                <w:kern w:val="2"/>
                <w:sz w:val="18"/>
                <w:szCs w:val="18"/>
                <w:lang w:eastAsia="es-ES_tradnl" w:bidi="hi-IN"/>
              </w:rPr>
            </w:pPr>
            <w:r w:rsidRPr="00973028">
              <w:rPr>
                <w:rFonts w:ascii="Arial" w:eastAsia="Times New Roman" w:hAnsi="Arial" w:cs="Arial"/>
                <w:bCs/>
                <w:color w:val="000000"/>
                <w:kern w:val="2"/>
                <w:sz w:val="18"/>
                <w:szCs w:val="18"/>
                <w:lang w:eastAsia="es-ES_tradnl" w:bidi="hi-IN"/>
              </w:rPr>
              <w:t>26</w:t>
            </w:r>
          </w:p>
        </w:tc>
      </w:tr>
      <w:tr w:rsidR="00BB4994" w:rsidRPr="00973028" w14:paraId="6B477475" w14:textId="77777777" w:rsidTr="00BB4994">
        <w:tc>
          <w:tcPr>
            <w:tcW w:w="1326" w:type="dxa"/>
            <w:vMerge w:val="restart"/>
            <w:tcBorders>
              <w:top w:val="nil"/>
              <w:left w:val="single" w:sz="4" w:space="0" w:color="000000"/>
              <w:bottom w:val="single" w:sz="4" w:space="0" w:color="000000"/>
              <w:right w:val="nil"/>
            </w:tcBorders>
            <w:hideMark/>
          </w:tcPr>
          <w:p w14:paraId="5B67B28E"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 xml:space="preserve">Universitat </w:t>
            </w:r>
            <w:r w:rsidRPr="00973028">
              <w:rPr>
                <w:rFonts w:ascii="Arial" w:eastAsia="Open Sans" w:hAnsi="Arial" w:cs="Arial"/>
                <w:bCs/>
                <w:color w:val="000000"/>
                <w:kern w:val="2"/>
                <w:sz w:val="18"/>
                <w:szCs w:val="18"/>
                <w:lang w:eastAsia="zh-CN" w:bidi="hi-IN"/>
              </w:rPr>
              <w:lastRenderedPageBreak/>
              <w:t>Estacional Llíria</w:t>
            </w:r>
          </w:p>
        </w:tc>
        <w:tc>
          <w:tcPr>
            <w:tcW w:w="841" w:type="dxa"/>
            <w:vMerge w:val="restart"/>
            <w:tcBorders>
              <w:top w:val="nil"/>
              <w:left w:val="single" w:sz="4" w:space="0" w:color="000000"/>
              <w:bottom w:val="single" w:sz="4" w:space="0" w:color="000000"/>
              <w:right w:val="nil"/>
            </w:tcBorders>
            <w:hideMark/>
          </w:tcPr>
          <w:p w14:paraId="3439EA7C"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lastRenderedPageBreak/>
              <w:t>11/12/20</w:t>
            </w:r>
          </w:p>
        </w:tc>
        <w:tc>
          <w:tcPr>
            <w:tcW w:w="3072" w:type="dxa"/>
            <w:vMerge w:val="restart"/>
            <w:tcBorders>
              <w:top w:val="nil"/>
              <w:left w:val="single" w:sz="4" w:space="0" w:color="000000"/>
              <w:bottom w:val="single" w:sz="4" w:space="0" w:color="000000"/>
              <w:right w:val="nil"/>
            </w:tcBorders>
            <w:hideMark/>
          </w:tcPr>
          <w:p w14:paraId="2CE560A1" w14:textId="77777777" w:rsidR="00BB4994" w:rsidRPr="00973028" w:rsidRDefault="00BB4994" w:rsidP="00BB4994">
            <w:pPr>
              <w:widowControl w:val="0"/>
              <w:suppressAutoHyphens/>
              <w:autoSpaceDN w:val="0"/>
              <w:spacing w:after="0" w:line="240" w:lineRule="auto"/>
              <w:ind w:left="113" w:right="340"/>
              <w:jc w:val="center"/>
              <w:rPr>
                <w:rFonts w:ascii="Arial" w:eastAsia="Open Sans" w:hAnsi="Arial" w:cs="Arial"/>
                <w:bCs/>
                <w:color w:val="000000"/>
                <w:kern w:val="2"/>
                <w:sz w:val="18"/>
                <w:szCs w:val="18"/>
                <w:lang w:eastAsia="zh-CN" w:bidi="hi-IN"/>
              </w:rPr>
            </w:pPr>
            <w:r w:rsidRPr="00973028">
              <w:rPr>
                <w:rFonts w:ascii="Arial" w:eastAsia="Open Sans" w:hAnsi="Arial" w:cs="Arial"/>
                <w:bCs/>
                <w:kern w:val="2"/>
                <w:sz w:val="18"/>
                <w:szCs w:val="18"/>
                <w:lang w:eastAsia="zh-CN"/>
              </w:rPr>
              <w:t xml:space="preserve">Enseñanzas musicales y buen </w:t>
            </w:r>
            <w:r w:rsidRPr="00973028">
              <w:rPr>
                <w:rFonts w:ascii="Arial" w:eastAsia="Open Sans" w:hAnsi="Arial" w:cs="Arial"/>
                <w:bCs/>
                <w:kern w:val="2"/>
                <w:sz w:val="18"/>
                <w:szCs w:val="18"/>
                <w:lang w:eastAsia="zh-CN"/>
              </w:rPr>
              <w:lastRenderedPageBreak/>
              <w:t>gobierno para la prevención</w:t>
            </w:r>
          </w:p>
          <w:p w14:paraId="76B8C233" w14:textId="77777777" w:rsidR="00BB4994" w:rsidRPr="00973028" w:rsidRDefault="00BB4994" w:rsidP="00BB4994">
            <w:pPr>
              <w:widowControl w:val="0"/>
              <w:suppressAutoHyphens/>
              <w:autoSpaceDN w:val="0"/>
              <w:spacing w:after="0" w:line="240" w:lineRule="auto"/>
              <w:ind w:left="113" w:right="340"/>
              <w:jc w:val="center"/>
              <w:rPr>
                <w:rFonts w:ascii="Arial" w:eastAsia="Open Sans" w:hAnsi="Arial" w:cs="Arial"/>
                <w:bCs/>
                <w:color w:val="000000"/>
                <w:kern w:val="2"/>
                <w:sz w:val="18"/>
                <w:szCs w:val="18"/>
                <w:lang w:eastAsia="zh-CN" w:bidi="hi-IN"/>
              </w:rPr>
            </w:pPr>
            <w:r w:rsidRPr="00973028">
              <w:rPr>
                <w:rFonts w:ascii="Arial" w:eastAsia="Open Sans" w:hAnsi="Arial" w:cs="Arial"/>
                <w:bCs/>
                <w:kern w:val="2"/>
                <w:sz w:val="18"/>
                <w:szCs w:val="18"/>
                <w:lang w:eastAsia="zh-CN"/>
              </w:rPr>
              <w:t>de conflictos de interés ; Reyes Marzal Raga</w:t>
            </w:r>
          </w:p>
        </w:tc>
        <w:tc>
          <w:tcPr>
            <w:tcW w:w="1841" w:type="dxa"/>
            <w:vMerge w:val="restart"/>
            <w:tcBorders>
              <w:top w:val="nil"/>
              <w:left w:val="single" w:sz="4" w:space="0" w:color="000000"/>
              <w:bottom w:val="single" w:sz="4" w:space="0" w:color="auto"/>
              <w:right w:val="single" w:sz="4" w:space="0" w:color="000000"/>
            </w:tcBorders>
            <w:hideMark/>
          </w:tcPr>
          <w:p w14:paraId="28FF03D5"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lastRenderedPageBreak/>
              <w:t xml:space="preserve">Derecho </w:t>
            </w:r>
            <w:r w:rsidRPr="00973028">
              <w:rPr>
                <w:rFonts w:ascii="Arial" w:eastAsia="Open Sans" w:hAnsi="Arial" w:cs="Arial"/>
                <w:bCs/>
                <w:color w:val="000000"/>
                <w:kern w:val="2"/>
                <w:sz w:val="18"/>
                <w:szCs w:val="18"/>
                <w:lang w:eastAsia="zh-CN" w:bidi="hi-IN"/>
              </w:rPr>
              <w:lastRenderedPageBreak/>
              <w:t>Administrativo</w:t>
            </w:r>
          </w:p>
        </w:tc>
        <w:tc>
          <w:tcPr>
            <w:tcW w:w="997" w:type="dxa"/>
            <w:vMerge w:val="restart"/>
            <w:tcBorders>
              <w:top w:val="nil"/>
              <w:left w:val="single" w:sz="4" w:space="0" w:color="000000"/>
              <w:bottom w:val="single" w:sz="4" w:space="0" w:color="000000"/>
              <w:right w:val="nil"/>
            </w:tcBorders>
            <w:hideMark/>
          </w:tcPr>
          <w:p w14:paraId="5A42CC08"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lastRenderedPageBreak/>
              <w:t>2,5 horas</w:t>
            </w:r>
          </w:p>
        </w:tc>
        <w:tc>
          <w:tcPr>
            <w:tcW w:w="1137" w:type="dxa"/>
            <w:tcBorders>
              <w:top w:val="nil"/>
              <w:left w:val="single" w:sz="4" w:space="0" w:color="000000"/>
              <w:bottom w:val="single" w:sz="4" w:space="0" w:color="000000"/>
              <w:right w:val="single" w:sz="4" w:space="0" w:color="auto"/>
            </w:tcBorders>
            <w:hideMark/>
          </w:tcPr>
          <w:p w14:paraId="4F9A3DF3" w14:textId="77777777" w:rsidR="00BB4994" w:rsidRPr="00973028" w:rsidRDefault="00BB4994" w:rsidP="00BB4994">
            <w:pPr>
              <w:widowControl w:val="0"/>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17</w:t>
            </w:r>
          </w:p>
        </w:tc>
      </w:tr>
      <w:tr w:rsidR="00BB4994" w:rsidRPr="00973028" w14:paraId="08EC71A4" w14:textId="77777777" w:rsidTr="00BB4994">
        <w:trPr>
          <w:trHeight w:val="586"/>
        </w:trPr>
        <w:tc>
          <w:tcPr>
            <w:tcW w:w="0" w:type="auto"/>
            <w:vMerge/>
            <w:tcBorders>
              <w:top w:val="nil"/>
              <w:left w:val="single" w:sz="4" w:space="0" w:color="000000"/>
              <w:bottom w:val="single" w:sz="4" w:space="0" w:color="000000"/>
              <w:right w:val="nil"/>
            </w:tcBorders>
            <w:vAlign w:val="center"/>
            <w:hideMark/>
          </w:tcPr>
          <w:p w14:paraId="2F4B9CE6" w14:textId="77777777" w:rsidR="00BB4994" w:rsidRPr="00973028" w:rsidRDefault="00BB4994" w:rsidP="00BB4994">
            <w:pPr>
              <w:widowControl w:val="0"/>
              <w:autoSpaceDN w:val="0"/>
              <w:spacing w:after="0" w:line="240" w:lineRule="auto"/>
              <w:rPr>
                <w:rFonts w:ascii="Arial" w:eastAsia="Open Sans" w:hAnsi="Arial" w:cs="Arial"/>
                <w:bCs/>
                <w:color w:val="000000"/>
                <w:kern w:val="2"/>
                <w:sz w:val="18"/>
                <w:szCs w:val="18"/>
                <w:lang w:eastAsia="zh-CN" w:bidi="hi-IN"/>
              </w:rPr>
            </w:pPr>
          </w:p>
        </w:tc>
        <w:tc>
          <w:tcPr>
            <w:tcW w:w="0" w:type="auto"/>
            <w:vMerge/>
            <w:tcBorders>
              <w:top w:val="nil"/>
              <w:left w:val="single" w:sz="4" w:space="0" w:color="000000"/>
              <w:bottom w:val="single" w:sz="4" w:space="0" w:color="000000"/>
              <w:right w:val="nil"/>
            </w:tcBorders>
            <w:vAlign w:val="center"/>
            <w:hideMark/>
          </w:tcPr>
          <w:p w14:paraId="02CEE8B8" w14:textId="77777777" w:rsidR="00BB4994" w:rsidRPr="00973028" w:rsidRDefault="00BB4994" w:rsidP="00BB4994">
            <w:pPr>
              <w:widowControl w:val="0"/>
              <w:autoSpaceDN w:val="0"/>
              <w:spacing w:after="0" w:line="240" w:lineRule="auto"/>
              <w:rPr>
                <w:rFonts w:ascii="Arial" w:eastAsia="Open Sans" w:hAnsi="Arial" w:cs="Arial"/>
                <w:bCs/>
                <w:color w:val="000000"/>
                <w:kern w:val="2"/>
                <w:sz w:val="18"/>
                <w:szCs w:val="18"/>
                <w:lang w:eastAsia="zh-CN" w:bidi="hi-IN"/>
              </w:rPr>
            </w:pPr>
          </w:p>
        </w:tc>
        <w:tc>
          <w:tcPr>
            <w:tcW w:w="0" w:type="auto"/>
            <w:vMerge/>
            <w:tcBorders>
              <w:top w:val="nil"/>
              <w:left w:val="single" w:sz="4" w:space="0" w:color="000000"/>
              <w:bottom w:val="single" w:sz="4" w:space="0" w:color="000000"/>
              <w:right w:val="nil"/>
            </w:tcBorders>
            <w:vAlign w:val="center"/>
            <w:hideMark/>
          </w:tcPr>
          <w:p w14:paraId="56C2810E" w14:textId="77777777" w:rsidR="00BB4994" w:rsidRPr="00973028" w:rsidRDefault="00BB4994" w:rsidP="00BB4994">
            <w:pPr>
              <w:widowControl w:val="0"/>
              <w:autoSpaceDN w:val="0"/>
              <w:spacing w:after="0" w:line="240" w:lineRule="auto"/>
              <w:rPr>
                <w:rFonts w:ascii="Arial" w:eastAsia="Open Sans" w:hAnsi="Arial" w:cs="Arial"/>
                <w:bCs/>
                <w:color w:val="000000"/>
                <w:kern w:val="2"/>
                <w:sz w:val="18"/>
                <w:szCs w:val="18"/>
                <w:lang w:eastAsia="zh-CN" w:bidi="hi-IN"/>
              </w:rPr>
            </w:pPr>
          </w:p>
        </w:tc>
        <w:tc>
          <w:tcPr>
            <w:tcW w:w="0" w:type="auto"/>
            <w:vMerge/>
            <w:tcBorders>
              <w:top w:val="nil"/>
              <w:left w:val="single" w:sz="4" w:space="0" w:color="000000"/>
              <w:bottom w:val="single" w:sz="4" w:space="0" w:color="auto"/>
              <w:right w:val="single" w:sz="4" w:space="0" w:color="000000"/>
            </w:tcBorders>
            <w:vAlign w:val="center"/>
            <w:hideMark/>
          </w:tcPr>
          <w:p w14:paraId="7EDDE85A" w14:textId="77777777" w:rsidR="00BB4994" w:rsidRPr="00973028" w:rsidRDefault="00BB4994" w:rsidP="00BB4994">
            <w:pPr>
              <w:widowControl w:val="0"/>
              <w:autoSpaceDN w:val="0"/>
              <w:spacing w:after="0" w:line="240" w:lineRule="auto"/>
              <w:rPr>
                <w:rFonts w:ascii="Arial" w:eastAsia="Open Sans" w:hAnsi="Arial" w:cs="Arial"/>
                <w:bCs/>
                <w:color w:val="000000"/>
                <w:kern w:val="2"/>
                <w:sz w:val="18"/>
                <w:szCs w:val="18"/>
                <w:lang w:eastAsia="zh-CN" w:bidi="hi-IN"/>
              </w:rPr>
            </w:pPr>
          </w:p>
        </w:tc>
        <w:tc>
          <w:tcPr>
            <w:tcW w:w="0" w:type="auto"/>
            <w:vMerge/>
            <w:tcBorders>
              <w:top w:val="nil"/>
              <w:left w:val="single" w:sz="4" w:space="0" w:color="000000"/>
              <w:bottom w:val="single" w:sz="4" w:space="0" w:color="000000"/>
              <w:right w:val="nil"/>
            </w:tcBorders>
            <w:vAlign w:val="center"/>
            <w:hideMark/>
          </w:tcPr>
          <w:p w14:paraId="2227B59D" w14:textId="77777777" w:rsidR="00BB4994" w:rsidRPr="00973028" w:rsidRDefault="00BB4994" w:rsidP="00BB4994">
            <w:pPr>
              <w:widowControl w:val="0"/>
              <w:autoSpaceDN w:val="0"/>
              <w:spacing w:after="0" w:line="240" w:lineRule="auto"/>
              <w:rPr>
                <w:rFonts w:ascii="Arial" w:eastAsia="Open Sans" w:hAnsi="Arial" w:cs="Arial"/>
                <w:bCs/>
                <w:color w:val="000000"/>
                <w:kern w:val="2"/>
                <w:sz w:val="18"/>
                <w:szCs w:val="18"/>
                <w:lang w:eastAsia="zh-CN" w:bidi="hi-IN"/>
              </w:rPr>
            </w:pPr>
          </w:p>
        </w:tc>
        <w:tc>
          <w:tcPr>
            <w:tcW w:w="1137" w:type="dxa"/>
            <w:tcBorders>
              <w:top w:val="nil"/>
              <w:left w:val="single" w:sz="4" w:space="0" w:color="000000"/>
              <w:bottom w:val="single" w:sz="4" w:space="0" w:color="auto"/>
              <w:right w:val="single" w:sz="4" w:space="0" w:color="auto"/>
            </w:tcBorders>
            <w:hideMark/>
          </w:tcPr>
          <w:p w14:paraId="686F17AF"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color w:val="000000"/>
                <w:kern w:val="2"/>
                <w:sz w:val="18"/>
                <w:szCs w:val="18"/>
                <w:lang w:eastAsia="zh-CN" w:bidi="hi-IN"/>
              </w:rPr>
            </w:pPr>
            <w:r w:rsidRPr="00973028">
              <w:rPr>
                <w:rFonts w:ascii="Arial" w:eastAsia="Open Sans" w:hAnsi="Arial" w:cs="Arial"/>
                <w:bCs/>
                <w:color w:val="000000"/>
                <w:kern w:val="2"/>
                <w:sz w:val="18"/>
                <w:szCs w:val="18"/>
                <w:lang w:eastAsia="zh-CN" w:bidi="hi-IN"/>
              </w:rPr>
              <w:t>63</w:t>
            </w:r>
          </w:p>
        </w:tc>
      </w:tr>
      <w:tr w:rsidR="00BB4994" w:rsidRPr="00973028" w14:paraId="5609FDCB" w14:textId="77777777" w:rsidTr="00BB4994">
        <w:tc>
          <w:tcPr>
            <w:tcW w:w="1326" w:type="dxa"/>
            <w:tcBorders>
              <w:top w:val="nil"/>
              <w:left w:val="single" w:sz="4" w:space="0" w:color="000000"/>
              <w:bottom w:val="single" w:sz="4" w:space="0" w:color="000000"/>
              <w:right w:val="nil"/>
            </w:tcBorders>
            <w:hideMark/>
          </w:tcPr>
          <w:p w14:paraId="71D0449E"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kern w:val="2"/>
                <w:sz w:val="18"/>
                <w:szCs w:val="18"/>
                <w:lang w:eastAsia="zh-CN" w:bidi="hi-IN"/>
              </w:rPr>
            </w:pPr>
            <w:r w:rsidRPr="00973028">
              <w:rPr>
                <w:rFonts w:ascii="Arial" w:eastAsia="Open Sans" w:hAnsi="Arial" w:cs="Arial"/>
                <w:bCs/>
                <w:kern w:val="2"/>
                <w:sz w:val="18"/>
                <w:szCs w:val="18"/>
                <w:lang w:eastAsia="zh-CN" w:bidi="hi-IN"/>
              </w:rPr>
              <w:t>Universitat Estacional Ayora</w:t>
            </w:r>
          </w:p>
        </w:tc>
        <w:tc>
          <w:tcPr>
            <w:tcW w:w="841" w:type="dxa"/>
            <w:tcBorders>
              <w:top w:val="nil"/>
              <w:left w:val="single" w:sz="4" w:space="0" w:color="000000"/>
              <w:bottom w:val="single" w:sz="4" w:space="0" w:color="000000"/>
              <w:right w:val="nil"/>
            </w:tcBorders>
            <w:hideMark/>
          </w:tcPr>
          <w:p w14:paraId="5DE54966"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kern w:val="2"/>
                <w:sz w:val="18"/>
                <w:szCs w:val="18"/>
                <w:lang w:eastAsia="zh-CN" w:bidi="hi-IN"/>
              </w:rPr>
            </w:pPr>
            <w:r w:rsidRPr="00973028">
              <w:rPr>
                <w:rFonts w:ascii="Arial" w:eastAsia="Open Sans" w:hAnsi="Arial" w:cs="Arial"/>
                <w:bCs/>
                <w:kern w:val="2"/>
                <w:sz w:val="18"/>
                <w:szCs w:val="18"/>
                <w:lang w:eastAsia="zh-CN" w:bidi="hi-IN"/>
              </w:rPr>
              <w:t>16/12/20</w:t>
            </w:r>
          </w:p>
        </w:tc>
        <w:tc>
          <w:tcPr>
            <w:tcW w:w="3072" w:type="dxa"/>
            <w:tcBorders>
              <w:top w:val="nil"/>
              <w:left w:val="single" w:sz="4" w:space="0" w:color="000000"/>
              <w:bottom w:val="single" w:sz="4" w:space="0" w:color="000000"/>
              <w:right w:val="nil"/>
            </w:tcBorders>
            <w:hideMark/>
          </w:tcPr>
          <w:p w14:paraId="403DAC64" w14:textId="77777777" w:rsidR="00BB4994" w:rsidRPr="00973028" w:rsidRDefault="00BB4994" w:rsidP="00BB4994">
            <w:pPr>
              <w:widowControl w:val="0"/>
              <w:suppressLineNumbers/>
              <w:suppressAutoHyphens/>
              <w:autoSpaceDN w:val="0"/>
              <w:spacing w:after="0" w:line="240" w:lineRule="auto"/>
              <w:ind w:left="170" w:right="340"/>
              <w:jc w:val="center"/>
              <w:rPr>
                <w:rFonts w:ascii="Arial" w:eastAsia="Open Sans" w:hAnsi="Arial" w:cs="Arial"/>
                <w:bCs/>
                <w:kern w:val="2"/>
                <w:sz w:val="18"/>
                <w:szCs w:val="18"/>
                <w:lang w:eastAsia="zh-CN" w:bidi="hi-IN"/>
              </w:rPr>
            </w:pPr>
            <w:r w:rsidRPr="00973028">
              <w:rPr>
                <w:rFonts w:ascii="Arial" w:eastAsia="Open Sans" w:hAnsi="Arial" w:cs="Arial"/>
                <w:bCs/>
                <w:kern w:val="2"/>
                <w:sz w:val="18"/>
                <w:szCs w:val="18"/>
                <w:lang w:eastAsia="zh-CN"/>
              </w:rPr>
              <w:t xml:space="preserve"> Las </w:t>
            </w:r>
            <w:r w:rsidRPr="00973028">
              <w:rPr>
                <w:rFonts w:ascii="Arial" w:eastAsia="Open Sans" w:hAnsi="Arial" w:cs="Arial"/>
                <w:bCs/>
                <w:i/>
                <w:iCs/>
                <w:kern w:val="2"/>
                <w:sz w:val="18"/>
                <w:szCs w:val="18"/>
                <w:lang w:eastAsia="zh-CN"/>
              </w:rPr>
              <w:t>fake news</w:t>
            </w:r>
            <w:r w:rsidRPr="00973028">
              <w:rPr>
                <w:rFonts w:ascii="Arial" w:eastAsia="Open Sans" w:hAnsi="Arial" w:cs="Arial"/>
                <w:bCs/>
                <w:kern w:val="2"/>
                <w:sz w:val="18"/>
                <w:szCs w:val="18"/>
                <w:lang w:eastAsia="zh-CN"/>
              </w:rPr>
              <w:t xml:space="preserve"> en la conformación de la opinión pública. Como combatir la manipulación informativa; Rosario Serra Cristóbal</w:t>
            </w:r>
          </w:p>
        </w:tc>
        <w:tc>
          <w:tcPr>
            <w:tcW w:w="1841" w:type="dxa"/>
            <w:tcBorders>
              <w:top w:val="single" w:sz="4" w:space="0" w:color="auto"/>
              <w:left w:val="single" w:sz="4" w:space="0" w:color="000000"/>
              <w:bottom w:val="single" w:sz="4" w:space="0" w:color="000000"/>
              <w:right w:val="single" w:sz="4" w:space="0" w:color="000000"/>
            </w:tcBorders>
            <w:hideMark/>
          </w:tcPr>
          <w:p w14:paraId="190B461B"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kern w:val="2"/>
                <w:sz w:val="18"/>
                <w:szCs w:val="18"/>
                <w:lang w:eastAsia="zh-CN" w:bidi="hi-IN"/>
              </w:rPr>
            </w:pPr>
            <w:r w:rsidRPr="00973028">
              <w:rPr>
                <w:rFonts w:ascii="Arial" w:eastAsia="Open Sans" w:hAnsi="Arial" w:cs="Arial"/>
                <w:bCs/>
                <w:color w:val="000000"/>
                <w:kern w:val="2"/>
                <w:sz w:val="18"/>
                <w:szCs w:val="18"/>
                <w:lang w:eastAsia="zh-CN" w:bidi="hi-IN"/>
              </w:rPr>
              <w:t>Derecho Constitucional, y Ciencia Política y de la Administración</w:t>
            </w:r>
          </w:p>
        </w:tc>
        <w:tc>
          <w:tcPr>
            <w:tcW w:w="997" w:type="dxa"/>
            <w:tcBorders>
              <w:top w:val="nil"/>
              <w:left w:val="single" w:sz="4" w:space="0" w:color="000000"/>
              <w:bottom w:val="single" w:sz="4" w:space="0" w:color="000000"/>
              <w:right w:val="nil"/>
            </w:tcBorders>
            <w:hideMark/>
          </w:tcPr>
          <w:p w14:paraId="608D421D"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Cs/>
                <w:kern w:val="2"/>
                <w:sz w:val="18"/>
                <w:szCs w:val="18"/>
                <w:lang w:eastAsia="zh-CN" w:bidi="hi-IN"/>
              </w:rPr>
            </w:pPr>
            <w:r w:rsidRPr="00973028">
              <w:rPr>
                <w:rFonts w:ascii="Arial" w:eastAsia="Open Sans" w:hAnsi="Arial" w:cs="Arial"/>
                <w:bCs/>
                <w:kern w:val="2"/>
                <w:sz w:val="18"/>
                <w:szCs w:val="18"/>
                <w:lang w:eastAsia="zh-CN" w:bidi="hi-IN"/>
              </w:rPr>
              <w:t>3 horas</w:t>
            </w:r>
          </w:p>
        </w:tc>
        <w:tc>
          <w:tcPr>
            <w:tcW w:w="1137" w:type="dxa"/>
            <w:tcBorders>
              <w:top w:val="single" w:sz="4" w:space="0" w:color="auto"/>
              <w:left w:val="single" w:sz="4" w:space="0" w:color="000000"/>
              <w:bottom w:val="single" w:sz="4" w:space="0" w:color="000000"/>
              <w:right w:val="single" w:sz="4" w:space="0" w:color="auto"/>
            </w:tcBorders>
            <w:hideMark/>
          </w:tcPr>
          <w:p w14:paraId="262E373E" w14:textId="77777777" w:rsidR="00BB4994" w:rsidRPr="00973028" w:rsidRDefault="00BB4994" w:rsidP="00BB4994">
            <w:pPr>
              <w:widowControl w:val="0"/>
              <w:suppressAutoHyphens/>
              <w:autoSpaceDN w:val="0"/>
              <w:spacing w:after="0" w:line="240" w:lineRule="auto"/>
              <w:ind w:right="-166"/>
              <w:jc w:val="center"/>
              <w:rPr>
                <w:rFonts w:ascii="Arial" w:eastAsia="Times New Roman" w:hAnsi="Arial" w:cs="Arial"/>
                <w:bCs/>
                <w:kern w:val="2"/>
                <w:sz w:val="18"/>
                <w:szCs w:val="18"/>
                <w:lang w:eastAsia="es-ES_tradnl" w:bidi="hi-IN"/>
              </w:rPr>
            </w:pPr>
            <w:r w:rsidRPr="00973028">
              <w:rPr>
                <w:rFonts w:ascii="Arial" w:eastAsia="Times New Roman" w:hAnsi="Arial" w:cs="Arial"/>
                <w:bCs/>
                <w:kern w:val="2"/>
                <w:sz w:val="18"/>
                <w:szCs w:val="18"/>
                <w:lang w:eastAsia="es-ES_tradnl" w:bidi="hi-IN"/>
              </w:rPr>
              <w:t>26</w:t>
            </w:r>
          </w:p>
        </w:tc>
      </w:tr>
      <w:tr w:rsidR="00BB4994" w:rsidRPr="00973028" w14:paraId="4F4C6321" w14:textId="77777777" w:rsidTr="008145AC">
        <w:tc>
          <w:tcPr>
            <w:tcW w:w="2167" w:type="dxa"/>
            <w:gridSpan w:val="2"/>
            <w:tcBorders>
              <w:top w:val="nil"/>
              <w:left w:val="single" w:sz="4" w:space="0" w:color="000000"/>
              <w:bottom w:val="single" w:sz="4" w:space="0" w:color="000000"/>
              <w:right w:val="nil"/>
            </w:tcBorders>
            <w:shd w:val="clear" w:color="auto" w:fill="D9D9D9" w:themeFill="background1" w:themeFillShade="D9"/>
            <w:hideMark/>
          </w:tcPr>
          <w:p w14:paraId="585A3E65"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Total</w:t>
            </w:r>
          </w:p>
        </w:tc>
        <w:tc>
          <w:tcPr>
            <w:tcW w:w="3072" w:type="dxa"/>
            <w:tcBorders>
              <w:top w:val="nil"/>
              <w:left w:val="single" w:sz="4" w:space="0" w:color="000000"/>
              <w:bottom w:val="single" w:sz="4" w:space="0" w:color="000000"/>
              <w:right w:val="nil"/>
            </w:tcBorders>
            <w:shd w:val="clear" w:color="auto" w:fill="D9D9D9" w:themeFill="background1" w:themeFillShade="D9"/>
          </w:tcPr>
          <w:p w14:paraId="191886E1"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bCs/>
                <w:kern w:val="2"/>
                <w:sz w:val="18"/>
                <w:szCs w:val="18"/>
                <w:lang w:eastAsia="zh-CN" w:bidi="hi-IN"/>
              </w:rPr>
            </w:pPr>
          </w:p>
        </w:tc>
        <w:tc>
          <w:tcPr>
            <w:tcW w:w="1841" w:type="dxa"/>
            <w:tcBorders>
              <w:top w:val="nil"/>
              <w:left w:val="single" w:sz="4" w:space="0" w:color="000000"/>
              <w:bottom w:val="single" w:sz="4" w:space="0" w:color="000000"/>
              <w:right w:val="nil"/>
            </w:tcBorders>
            <w:shd w:val="clear" w:color="auto" w:fill="D9D9D9" w:themeFill="background1" w:themeFillShade="D9"/>
          </w:tcPr>
          <w:p w14:paraId="5CFB2593"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bCs/>
                <w:kern w:val="2"/>
                <w:sz w:val="18"/>
                <w:szCs w:val="18"/>
                <w:lang w:eastAsia="zh-CN" w:bidi="hi-IN"/>
              </w:rPr>
            </w:pPr>
          </w:p>
        </w:tc>
        <w:tc>
          <w:tcPr>
            <w:tcW w:w="997"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29DD6F51"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b/>
                <w:bCs/>
                <w:kern w:val="2"/>
                <w:sz w:val="18"/>
                <w:szCs w:val="18"/>
                <w:lang w:eastAsia="zh-CN" w:bidi="hi-IN"/>
              </w:rPr>
            </w:pPr>
            <w:r w:rsidRPr="00973028">
              <w:rPr>
                <w:rFonts w:ascii="Arial" w:eastAsia="Open Sans" w:hAnsi="Arial" w:cs="Arial"/>
                <w:b/>
                <w:bCs/>
                <w:kern w:val="2"/>
                <w:sz w:val="18"/>
                <w:szCs w:val="18"/>
                <w:lang w:eastAsia="zh-CN" w:bidi="hi-IN"/>
              </w:rPr>
              <w:t>14 horas y media</w:t>
            </w:r>
          </w:p>
        </w:tc>
        <w:tc>
          <w:tcPr>
            <w:tcW w:w="1137" w:type="dxa"/>
            <w:tcBorders>
              <w:top w:val="nil"/>
              <w:left w:val="single" w:sz="4" w:space="0" w:color="000000"/>
              <w:bottom w:val="single" w:sz="4" w:space="0" w:color="000000"/>
              <w:right w:val="single" w:sz="4" w:space="0" w:color="auto"/>
            </w:tcBorders>
            <w:shd w:val="clear" w:color="auto" w:fill="D9D9D9" w:themeFill="background1" w:themeFillShade="D9"/>
            <w:hideMark/>
          </w:tcPr>
          <w:p w14:paraId="2F043405" w14:textId="77777777" w:rsidR="00BB4994" w:rsidRPr="00973028" w:rsidRDefault="00BB4994" w:rsidP="00BB4994">
            <w:pPr>
              <w:widowControl w:val="0"/>
              <w:suppressLineNumbers/>
              <w:suppressAutoHyphens/>
              <w:autoSpaceDN w:val="0"/>
              <w:spacing w:after="0" w:line="240" w:lineRule="auto"/>
              <w:jc w:val="center"/>
              <w:rPr>
                <w:rFonts w:ascii="Arial" w:eastAsia="Open Sans" w:hAnsi="Arial" w:cs="Arial"/>
                <w:kern w:val="2"/>
                <w:sz w:val="18"/>
                <w:szCs w:val="18"/>
                <w:lang w:eastAsia="zh-CN" w:bidi="hi-IN"/>
              </w:rPr>
            </w:pPr>
            <w:r w:rsidRPr="00973028">
              <w:rPr>
                <w:rFonts w:ascii="Arial" w:eastAsia="Open Sans" w:hAnsi="Arial" w:cs="Arial"/>
                <w:b/>
                <w:bCs/>
                <w:kern w:val="2"/>
                <w:sz w:val="18"/>
                <w:szCs w:val="18"/>
                <w:lang w:eastAsia="zh-CN" w:bidi="hi-IN"/>
              </w:rPr>
              <w:t>205 asistentes</w:t>
            </w:r>
          </w:p>
        </w:tc>
      </w:tr>
    </w:tbl>
    <w:p w14:paraId="4083D57C" w14:textId="77777777" w:rsidR="00BB4994" w:rsidRPr="00973028" w:rsidRDefault="00BB4994" w:rsidP="00BB4994">
      <w:pPr>
        <w:widowControl w:val="0"/>
        <w:suppressAutoHyphens/>
        <w:autoSpaceDN w:val="0"/>
        <w:spacing w:after="0" w:line="276" w:lineRule="auto"/>
        <w:ind w:right="283"/>
        <w:jc w:val="both"/>
        <w:rPr>
          <w:rFonts w:ascii="Arial" w:eastAsia="Open Sans" w:hAnsi="Arial" w:cs="Arial"/>
          <w:kern w:val="2"/>
          <w:sz w:val="21"/>
          <w:szCs w:val="24"/>
          <w:lang w:eastAsia="zh-CN" w:bidi="hi-IN"/>
        </w:rPr>
      </w:pPr>
    </w:p>
    <w:p w14:paraId="1CA1D07D" w14:textId="77777777" w:rsidR="00BB4994" w:rsidRPr="00973028" w:rsidRDefault="00BB4994" w:rsidP="00BB4994">
      <w:pPr>
        <w:widowControl w:val="0"/>
        <w:suppressAutoHyphens/>
        <w:autoSpaceDN w:val="0"/>
        <w:spacing w:after="240" w:line="276" w:lineRule="auto"/>
        <w:jc w:val="both"/>
        <w:rPr>
          <w:rFonts w:ascii="Arial" w:eastAsia="Calibri" w:hAnsi="Arial" w:cs="Arial"/>
          <w:b/>
          <w:bCs/>
          <w:sz w:val="21"/>
          <w:lang w:eastAsia="zh-CN" w:bidi="hi-IN"/>
        </w:rPr>
      </w:pPr>
      <w:r w:rsidRPr="00973028">
        <w:rPr>
          <w:rFonts w:ascii="Arial" w:eastAsia="Calibri" w:hAnsi="Arial" w:cs="Arial"/>
          <w:sz w:val="21"/>
          <w:lang w:eastAsia="zh-CN" w:bidi="hi-IN"/>
        </w:rPr>
        <w:t>Destacamos, igualmente, la intervención de</w:t>
      </w:r>
      <w:r w:rsidRPr="00973028">
        <w:rPr>
          <w:rFonts w:ascii="Arial" w:eastAsia="Calibri" w:hAnsi="Arial" w:cs="Arial"/>
          <w:color w:val="000000"/>
          <w:sz w:val="21"/>
          <w:lang w:eastAsia="zh-CN"/>
        </w:rPr>
        <w:t xml:space="preserve">l director de la Agencia, Joan Llinares i Gómez, en la </w:t>
      </w:r>
      <w:r w:rsidRPr="00973028">
        <w:rPr>
          <w:rFonts w:ascii="Arial" w:eastAsia="Calibri" w:hAnsi="Arial" w:cs="Arial"/>
          <w:b/>
          <w:sz w:val="21"/>
          <w:lang w:eastAsia="zh-CN" w:bidi="hi-IN"/>
        </w:rPr>
        <w:t>3</w:t>
      </w:r>
      <w:r w:rsidRPr="00973028">
        <w:rPr>
          <w:rFonts w:ascii="Arial" w:eastAsia="Calibri" w:hAnsi="Arial" w:cs="Arial"/>
          <w:b/>
          <w:bCs/>
          <w:sz w:val="21"/>
          <w:lang w:eastAsia="zh-CN" w:bidi="hi-IN"/>
        </w:rPr>
        <w:t xml:space="preserve">7ª Universitat d’Estiu de Gandia </w:t>
      </w:r>
      <w:r w:rsidRPr="00973028">
        <w:rPr>
          <w:rFonts w:ascii="Arial" w:eastAsia="Calibri" w:hAnsi="Arial" w:cs="Arial"/>
          <w:sz w:val="21"/>
          <w:lang w:eastAsia="zh-CN" w:bidi="hi-IN"/>
        </w:rPr>
        <w:t xml:space="preserve">En 2020, esta universidad tenía como eje del debate público y académico los Objetivos de Desarrollo Sostenible (ODS) de la ONU y el lema de la actividad académica era </w:t>
      </w:r>
      <w:r w:rsidRPr="00973028">
        <w:rPr>
          <w:rFonts w:ascii="Arial" w:eastAsia="Calibri" w:hAnsi="Arial" w:cs="Arial"/>
          <w:i/>
          <w:iCs/>
          <w:sz w:val="21"/>
          <w:lang w:eastAsia="zh-CN" w:bidi="hi-IN"/>
        </w:rPr>
        <w:t>Viraje a la Sostenibilidad</w:t>
      </w:r>
      <w:r w:rsidRPr="00973028">
        <w:rPr>
          <w:rFonts w:ascii="Arial" w:eastAsia="Calibri" w:hAnsi="Arial" w:cs="Arial"/>
          <w:iCs/>
          <w:sz w:val="21"/>
          <w:lang w:eastAsia="zh-CN" w:bidi="hi-IN"/>
        </w:rPr>
        <w:t xml:space="preserve">. La intervención del director de la AVAF tuvo lugar en la sesión dedicada al </w:t>
      </w:r>
      <w:r w:rsidRPr="00973028">
        <w:rPr>
          <w:rFonts w:ascii="Arial" w:eastAsia="Calibri" w:hAnsi="Arial" w:cs="Arial"/>
          <w:color w:val="000000"/>
          <w:sz w:val="21"/>
          <w:lang w:eastAsia="zh-CN"/>
        </w:rPr>
        <w:t xml:space="preserve">Bloque 4 de los Objetivos de Desarrollo Sostenible sobre la paz, la justicia y las instituciones sólidas, y consistió en la conferencia con debate público </w:t>
      </w:r>
      <w:r w:rsidRPr="00973028">
        <w:rPr>
          <w:rFonts w:ascii="Arial" w:eastAsia="Calibri" w:hAnsi="Arial" w:cs="Arial"/>
          <w:i/>
          <w:iCs/>
          <w:color w:val="000000"/>
          <w:sz w:val="21"/>
          <w:lang w:eastAsia="zh-CN"/>
        </w:rPr>
        <w:t xml:space="preserve">El fraude, la lucha contra la corrupción y la transparencia en las instituciones, </w:t>
      </w:r>
      <w:r w:rsidRPr="00973028">
        <w:rPr>
          <w:rFonts w:ascii="Arial" w:eastAsia="Calibri" w:hAnsi="Arial" w:cs="Arial"/>
          <w:color w:val="000000"/>
          <w:sz w:val="21"/>
          <w:lang w:eastAsia="zh-CN"/>
        </w:rPr>
        <w:t xml:space="preserve">el 23 de julio, de 3 horas de duración con 90 asistentes </w:t>
      </w:r>
      <w:r w:rsidRPr="00973028">
        <w:rPr>
          <w:rFonts w:ascii="Arial" w:eastAsia="Calibri" w:hAnsi="Arial" w:cs="Arial"/>
          <w:i/>
          <w:iCs/>
          <w:color w:val="000000"/>
          <w:sz w:val="21"/>
          <w:lang w:eastAsia="zh-CN"/>
        </w:rPr>
        <w:t xml:space="preserve">online. </w:t>
      </w:r>
    </w:p>
    <w:p w14:paraId="06C8081B" w14:textId="52EEBDDB" w:rsidR="00BB4994" w:rsidRPr="00973028" w:rsidRDefault="00BB4994" w:rsidP="00672ABA">
      <w:pPr>
        <w:pStyle w:val="Prrafodelista"/>
        <w:keepNext/>
        <w:numPr>
          <w:ilvl w:val="2"/>
          <w:numId w:val="22"/>
        </w:numPr>
        <w:spacing w:before="360" w:after="240" w:line="276" w:lineRule="auto"/>
        <w:ind w:left="1134" w:hanging="1134"/>
        <w:contextualSpacing w:val="0"/>
        <w:jc w:val="both"/>
        <w:outlineLvl w:val="2"/>
        <w:rPr>
          <w:rFonts w:ascii="Arial" w:eastAsia="Times New Roman" w:hAnsi="Arial" w:cs="Arial"/>
          <w:b/>
          <w:color w:val="9D2235"/>
          <w:sz w:val="28"/>
          <w:szCs w:val="28"/>
        </w:rPr>
      </w:pPr>
      <w:bookmarkStart w:id="34" w:name="_Toc67646230"/>
      <w:r w:rsidRPr="00973028">
        <w:rPr>
          <w:rFonts w:ascii="Arial" w:eastAsia="Times New Roman" w:hAnsi="Arial" w:cs="Arial"/>
          <w:b/>
          <w:color w:val="9D2235"/>
          <w:sz w:val="28"/>
          <w:szCs w:val="28"/>
        </w:rPr>
        <w:t>O</w:t>
      </w:r>
      <w:r w:rsidR="006668D6" w:rsidRPr="00973028">
        <w:rPr>
          <w:rFonts w:ascii="Arial" w:eastAsia="Times New Roman" w:hAnsi="Arial" w:cs="Arial"/>
          <w:b/>
          <w:color w:val="9D2235"/>
          <w:sz w:val="28"/>
          <w:szCs w:val="28"/>
        </w:rPr>
        <w:t>tras acciones</w:t>
      </w:r>
      <w:bookmarkEnd w:id="34"/>
    </w:p>
    <w:p w14:paraId="42EBAC3B"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t xml:space="preserve">En consonancia con las líneas estratégicas del Plan de Formación 2019-2020 de la Agencia, a lo largo de este año desde el Servicio de Formación se han iniciado proyectos que tendrán repercusión positiva en la acción formativa externa de la Agencia y que serán recogidos en el próximo plan de formación, coadyuvando a las acciones formativas de los próximos años. </w:t>
      </w:r>
    </w:p>
    <w:p w14:paraId="663B24A7"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tab/>
        <w:t>En este sentido, hay que destacar las siguientes iniciativas:</w:t>
      </w:r>
    </w:p>
    <w:p w14:paraId="05FA16FA" w14:textId="79F586CC" w:rsidR="00BB4994" w:rsidRPr="00973028" w:rsidRDefault="00BB4994" w:rsidP="00F5441D">
      <w:pPr>
        <w:widowControl w:val="0"/>
        <w:numPr>
          <w:ilvl w:val="0"/>
          <w:numId w:val="8"/>
        </w:numPr>
        <w:suppressAutoHyphens/>
        <w:autoSpaceDN w:val="0"/>
        <w:spacing w:after="120" w:line="276" w:lineRule="auto"/>
        <w:ind w:left="714" w:hanging="357"/>
        <w:jc w:val="both"/>
        <w:rPr>
          <w:rFonts w:ascii="Arial" w:eastAsia="Times New Roman" w:hAnsi="Arial" w:cs="Arial"/>
          <w:sz w:val="21"/>
          <w:lang w:eastAsia="zh-CN" w:bidi="hi-IN"/>
        </w:rPr>
      </w:pPr>
      <w:r w:rsidRPr="00973028">
        <w:rPr>
          <w:rFonts w:ascii="Arial" w:eastAsia="Times New Roman" w:hAnsi="Arial" w:cs="Arial"/>
          <w:sz w:val="21"/>
          <w:lang w:eastAsia="zh-CN" w:bidi="hi-IN"/>
        </w:rPr>
        <w:t>La firma de convenios y acuerdos con universidades e instituciones valencianas</w:t>
      </w:r>
      <w:r w:rsidR="006668D6" w:rsidRPr="00973028">
        <w:rPr>
          <w:rFonts w:ascii="Arial" w:eastAsia="Times New Roman" w:hAnsi="Arial" w:cs="Arial"/>
          <w:sz w:val="21"/>
          <w:lang w:eastAsia="zh-CN" w:bidi="hi-IN"/>
        </w:rPr>
        <w:t>.</w:t>
      </w:r>
    </w:p>
    <w:p w14:paraId="66503568" w14:textId="77777777" w:rsidR="00BB4994" w:rsidRPr="00973028" w:rsidRDefault="00BB4994" w:rsidP="00F5441D">
      <w:pPr>
        <w:widowControl w:val="0"/>
        <w:numPr>
          <w:ilvl w:val="0"/>
          <w:numId w:val="8"/>
        </w:numPr>
        <w:suppressAutoHyphens/>
        <w:autoSpaceDN w:val="0"/>
        <w:spacing w:after="120" w:line="276" w:lineRule="auto"/>
        <w:ind w:left="714" w:hanging="357"/>
        <w:jc w:val="both"/>
        <w:rPr>
          <w:rFonts w:ascii="Arial" w:eastAsia="Times New Roman" w:hAnsi="Arial" w:cs="Arial"/>
          <w:sz w:val="21"/>
          <w:lang w:eastAsia="zh-CN" w:bidi="hi-IN"/>
        </w:rPr>
      </w:pPr>
      <w:r w:rsidRPr="00973028">
        <w:rPr>
          <w:rFonts w:ascii="Arial" w:eastAsia="Times New Roman" w:hAnsi="Arial" w:cs="Arial"/>
          <w:sz w:val="21"/>
          <w:lang w:eastAsia="zh-CN" w:bidi="hi-IN"/>
        </w:rPr>
        <w:t xml:space="preserve">El establecimiento de vías de colaboración con el Consell y los ayuntamientos para realizar acciones formativas de sensibilización social a través de los consejos municipales de participación de la infancia y la adolescencia. </w:t>
      </w:r>
    </w:p>
    <w:p w14:paraId="475AAF69" w14:textId="533FBE14" w:rsidR="00BB4994" w:rsidRPr="00973028" w:rsidRDefault="00BB4994" w:rsidP="00F5441D">
      <w:pPr>
        <w:widowControl w:val="0"/>
        <w:numPr>
          <w:ilvl w:val="0"/>
          <w:numId w:val="8"/>
        </w:numPr>
        <w:suppressAutoHyphens/>
        <w:autoSpaceDN w:val="0"/>
        <w:spacing w:after="240" w:line="276" w:lineRule="auto"/>
        <w:ind w:left="714" w:hanging="357"/>
        <w:jc w:val="both"/>
        <w:rPr>
          <w:rFonts w:ascii="Arial" w:eastAsia="Times New Roman" w:hAnsi="Arial" w:cs="Arial"/>
          <w:sz w:val="21"/>
          <w:lang w:eastAsia="zh-CN" w:bidi="hi-IN"/>
        </w:rPr>
      </w:pPr>
      <w:r w:rsidRPr="00973028">
        <w:rPr>
          <w:rFonts w:ascii="Arial" w:eastAsia="Times New Roman" w:hAnsi="Arial" w:cs="Arial"/>
          <w:sz w:val="21"/>
          <w:lang w:eastAsia="zh-CN" w:bidi="hi-IN"/>
        </w:rPr>
        <w:t>La creación y puesta en marcha del Campus Virtual de la Agencia dentro de la Plataforma de Formación de la Generalitat Valenciana.</w:t>
      </w:r>
    </w:p>
    <w:p w14:paraId="7D083891" w14:textId="77777777" w:rsidR="00BB4994" w:rsidRPr="00973028" w:rsidRDefault="00BB4994" w:rsidP="00BB4994">
      <w:pPr>
        <w:widowControl w:val="0"/>
        <w:suppressAutoHyphens/>
        <w:autoSpaceDN w:val="0"/>
        <w:spacing w:after="240" w:line="276" w:lineRule="auto"/>
        <w:jc w:val="both"/>
        <w:rPr>
          <w:rFonts w:ascii="Arial" w:eastAsia="Calibri" w:hAnsi="Arial" w:cs="Arial"/>
          <w:b/>
          <w:sz w:val="21"/>
          <w:lang w:eastAsia="es-ES"/>
        </w:rPr>
      </w:pPr>
      <w:r w:rsidRPr="00973028">
        <w:rPr>
          <w:rFonts w:ascii="Arial" w:eastAsia="Calibri" w:hAnsi="Arial" w:cs="Arial"/>
          <w:b/>
          <w:sz w:val="21"/>
          <w:lang w:eastAsia="es-ES"/>
        </w:rPr>
        <w:t>Firma de convenios y acuerdos con universidades e instituciones</w:t>
      </w:r>
    </w:p>
    <w:p w14:paraId="3F6F0252" w14:textId="2057D2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es-ES"/>
        </w:rPr>
      </w:pPr>
      <w:r w:rsidRPr="00973028">
        <w:rPr>
          <w:rFonts w:ascii="Arial" w:eastAsia="Calibri" w:hAnsi="Arial" w:cs="Arial"/>
          <w:color w:val="000000"/>
          <w:sz w:val="21"/>
          <w:lang w:eastAsia="es-ES"/>
        </w:rPr>
        <w:t xml:space="preserve">La voluntad de la Agencia durante 2020 ha sido continuar con la tarea de consolidar las relaciones con las universidades. Por ello, ha formalizado un Convenio marco con la Universidad CEU Cardenal Herrera y un convenio de colaboración con la </w:t>
      </w:r>
      <w:r w:rsidR="00012862">
        <w:rPr>
          <w:rFonts w:ascii="Arial" w:eastAsia="Calibri" w:hAnsi="Arial" w:cs="Arial"/>
          <w:color w:val="000000"/>
          <w:sz w:val="21"/>
          <w:lang w:eastAsia="es-ES"/>
        </w:rPr>
        <w:t>Universitat de València</w:t>
      </w:r>
      <w:r w:rsidRPr="00973028">
        <w:rPr>
          <w:rFonts w:ascii="Arial" w:eastAsia="Calibri" w:hAnsi="Arial" w:cs="Arial"/>
          <w:color w:val="000000"/>
          <w:sz w:val="21"/>
          <w:lang w:eastAsia="es-ES"/>
        </w:rPr>
        <w:t xml:space="preserve"> que contemplan, como parte esencial, la colaboración en actividades formativas.</w:t>
      </w:r>
    </w:p>
    <w:p w14:paraId="20B8D025"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es-ES"/>
        </w:rPr>
      </w:pPr>
      <w:r w:rsidRPr="00973028">
        <w:rPr>
          <w:rFonts w:ascii="Arial" w:eastAsia="Calibri" w:hAnsi="Arial" w:cs="Arial"/>
          <w:color w:val="000000"/>
          <w:sz w:val="21"/>
          <w:lang w:eastAsia="es-ES"/>
        </w:rPr>
        <w:t xml:space="preserve">En el mes de marzo, la Agencia y la </w:t>
      </w:r>
      <w:r w:rsidRPr="00973028">
        <w:rPr>
          <w:rFonts w:ascii="Arial" w:eastAsia="Calibri" w:hAnsi="Arial" w:cs="Arial"/>
          <w:b/>
          <w:color w:val="000000"/>
          <w:sz w:val="21"/>
          <w:lang w:eastAsia="es-ES"/>
        </w:rPr>
        <w:t>Universidad CEU Cardenal Herrera</w:t>
      </w:r>
      <w:r w:rsidRPr="00973028">
        <w:rPr>
          <w:rFonts w:ascii="Arial" w:eastAsia="Calibri" w:hAnsi="Arial" w:cs="Arial"/>
          <w:color w:val="000000"/>
          <w:sz w:val="21"/>
          <w:lang w:eastAsia="es-ES"/>
        </w:rPr>
        <w:t xml:space="preserve"> formalizaron un convenio marco colaboración institucional para, mediante el Observatorio de Transparencia, </w:t>
      </w:r>
      <w:r w:rsidRPr="00973028">
        <w:rPr>
          <w:rFonts w:ascii="Arial" w:eastAsia="Calibri" w:hAnsi="Arial" w:cs="Arial"/>
          <w:color w:val="000000"/>
          <w:sz w:val="21"/>
          <w:lang w:eastAsia="es-ES"/>
        </w:rPr>
        <w:lastRenderedPageBreak/>
        <w:t>Gobernanza y Responsabilidad Social Corporativa de la Universidad CEU-Cardenal Herrera, fomentar la investigación estratégica y la formación estable en materia de transparencia en la Administración pública.</w:t>
      </w:r>
    </w:p>
    <w:p w14:paraId="6D15D270" w14:textId="77777777" w:rsidR="00BB4994" w:rsidRPr="00973028" w:rsidRDefault="00BB4994" w:rsidP="00BB4994">
      <w:pPr>
        <w:widowControl w:val="0"/>
        <w:suppressAutoHyphens/>
        <w:autoSpaceDN w:val="0"/>
        <w:spacing w:after="240" w:line="276" w:lineRule="auto"/>
        <w:jc w:val="both"/>
        <w:rPr>
          <w:rFonts w:ascii="Arial" w:eastAsia="Calibri" w:hAnsi="Arial" w:cs="Arial"/>
          <w:color w:val="000000"/>
          <w:sz w:val="21"/>
          <w:lang w:eastAsia="es-ES"/>
        </w:rPr>
      </w:pPr>
      <w:r w:rsidRPr="00973028">
        <w:rPr>
          <w:rFonts w:ascii="Arial" w:eastAsia="Calibri" w:hAnsi="Arial" w:cs="Arial"/>
          <w:color w:val="000000"/>
          <w:sz w:val="21"/>
          <w:lang w:eastAsia="es-ES"/>
        </w:rPr>
        <w:t xml:space="preserve">En el mes de junio, la Agencia ha formalizado el convenio de colaboración con la </w:t>
      </w:r>
      <w:r w:rsidRPr="00973028">
        <w:rPr>
          <w:rFonts w:ascii="Arial" w:eastAsia="Calibri" w:hAnsi="Arial" w:cs="Arial"/>
          <w:b/>
          <w:color w:val="000000"/>
          <w:sz w:val="21"/>
          <w:lang w:eastAsia="es-ES"/>
        </w:rPr>
        <w:t>Universitat de València</w:t>
      </w:r>
      <w:r w:rsidRPr="00973028">
        <w:rPr>
          <w:rFonts w:ascii="Arial" w:eastAsia="Calibri" w:hAnsi="Arial" w:cs="Arial"/>
          <w:color w:val="000000"/>
          <w:sz w:val="21"/>
          <w:lang w:eastAsia="es-ES"/>
        </w:rPr>
        <w:t xml:space="preserve">, (UV), para llevar a cabo el proyecto “Actividades formativas para el buen gobierno y la ciudadanía en el territorio valenciano”, que desarrolla con el Vicerrectorado de Proyección Territorial y Sociedad de la UV en colaboración con la AVAF. </w:t>
      </w:r>
    </w:p>
    <w:p w14:paraId="7936F8F6"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En el mes de abril, se firmó el Protocolo de colaboración funcional entre la Sindicatura de Comptes y la Agencia. En el apartado III.2 del Protocolo se establece el procedimiento de actuación conjunta entre ambas instituciones, en actividades formativas, internas y externas, o actuaciones de prevención y sensibilización social que permitan conseguir objetivos de interés común como la mejora del control público de la gestión, la ética pública, la calidad institucional y la lucha contra el fraude y la corrupción.</w:t>
      </w:r>
    </w:p>
    <w:p w14:paraId="4CF9F352" w14:textId="77777777" w:rsidR="00BB4994" w:rsidRPr="00973028" w:rsidRDefault="00BB4994" w:rsidP="00BB4994">
      <w:pPr>
        <w:widowControl w:val="0"/>
        <w:suppressAutoHyphens/>
        <w:autoSpaceDN w:val="0"/>
        <w:spacing w:after="240" w:line="276" w:lineRule="auto"/>
        <w:jc w:val="both"/>
        <w:rPr>
          <w:rFonts w:ascii="Arial" w:eastAsia="Times New Roman" w:hAnsi="Arial" w:cs="Arial"/>
          <w:b/>
          <w:sz w:val="24"/>
          <w:szCs w:val="24"/>
          <w:lang w:eastAsia="es-ES"/>
        </w:rPr>
      </w:pPr>
      <w:r w:rsidRPr="00973028">
        <w:rPr>
          <w:rFonts w:ascii="Arial" w:eastAsia="Calibri" w:hAnsi="Arial" w:cs="Arial"/>
          <w:b/>
          <w:sz w:val="21"/>
          <w:lang w:eastAsia="zh-CN" w:bidi="hi-IN"/>
        </w:rPr>
        <w:t xml:space="preserve">Colaboración con la Dirección General de la Infancia y la Adolescencia del Consell de la Generalitat para promover acciones formativas </w:t>
      </w:r>
    </w:p>
    <w:p w14:paraId="2BF877AB" w14:textId="3BC6B53B" w:rsidR="00BB4994" w:rsidRPr="00973028" w:rsidRDefault="00BB4994" w:rsidP="00BB4994">
      <w:pPr>
        <w:widowControl w:val="0"/>
        <w:suppressAutoHyphens/>
        <w:autoSpaceDN w:val="0"/>
        <w:spacing w:after="240" w:line="276" w:lineRule="auto"/>
        <w:jc w:val="both"/>
        <w:rPr>
          <w:rFonts w:ascii="Arial" w:eastAsia="Times New Roman" w:hAnsi="Arial" w:cs="Arial"/>
          <w:sz w:val="21"/>
          <w:lang w:eastAsia="es-ES"/>
        </w:rPr>
      </w:pPr>
      <w:r w:rsidRPr="00973028">
        <w:rPr>
          <w:rFonts w:ascii="Arial" w:eastAsia="Times New Roman" w:hAnsi="Arial" w:cs="Arial"/>
          <w:sz w:val="21"/>
          <w:lang w:eastAsia="es-ES"/>
        </w:rPr>
        <w:t>El Consejo de Participación de la Agencia de Prevención y Lucha contra el Fraude y la Corrupción de la Comuni</w:t>
      </w:r>
      <w:r w:rsidR="00C24397">
        <w:rPr>
          <w:rFonts w:ascii="Arial" w:eastAsia="Times New Roman" w:hAnsi="Arial" w:cs="Arial"/>
          <w:sz w:val="21"/>
          <w:lang w:eastAsia="es-ES"/>
        </w:rPr>
        <w:t>t</w:t>
      </w:r>
      <w:r w:rsidRPr="00973028">
        <w:rPr>
          <w:rFonts w:ascii="Arial" w:eastAsia="Times New Roman" w:hAnsi="Arial" w:cs="Arial"/>
          <w:sz w:val="21"/>
          <w:lang w:eastAsia="es-ES"/>
        </w:rPr>
        <w:t>a</w:t>
      </w:r>
      <w:r w:rsidR="00C24397">
        <w:rPr>
          <w:rFonts w:ascii="Arial" w:eastAsia="Times New Roman" w:hAnsi="Arial" w:cs="Arial"/>
          <w:sz w:val="21"/>
          <w:lang w:eastAsia="es-ES"/>
        </w:rPr>
        <w:t>t</w:t>
      </w:r>
      <w:r w:rsidRPr="00973028">
        <w:rPr>
          <w:rFonts w:ascii="Arial" w:eastAsia="Times New Roman" w:hAnsi="Arial" w:cs="Arial"/>
          <w:sz w:val="21"/>
          <w:lang w:eastAsia="es-ES"/>
        </w:rPr>
        <w:t xml:space="preserve"> Valenciana, en la sesión constitutiva celebrada el 4 de octubre de 2019, acordó formar grupos de trabajo para desarrollar sus funciones y resolvió constituir un grupo de prevención y educación (GR1), que se centra en las líneas de trabajo de sensibilización y educación, priorizando la infancia y la adolescencia. </w:t>
      </w:r>
    </w:p>
    <w:p w14:paraId="76139DA8" w14:textId="77777777" w:rsidR="00BB4994" w:rsidRPr="00973028" w:rsidRDefault="00BB4994" w:rsidP="00BB4994">
      <w:pPr>
        <w:widowControl w:val="0"/>
        <w:suppressAutoHyphens/>
        <w:autoSpaceDN w:val="0"/>
        <w:spacing w:after="240" w:line="276" w:lineRule="auto"/>
        <w:jc w:val="both"/>
        <w:rPr>
          <w:rFonts w:ascii="Arial" w:eastAsia="Times New Roman" w:hAnsi="Arial" w:cs="Arial"/>
          <w:sz w:val="21"/>
          <w:lang w:eastAsia="es-ES"/>
        </w:rPr>
      </w:pPr>
      <w:r w:rsidRPr="00973028">
        <w:rPr>
          <w:rFonts w:ascii="Arial" w:eastAsia="Times New Roman" w:hAnsi="Arial" w:cs="Arial"/>
          <w:sz w:val="21"/>
          <w:lang w:eastAsia="es-ES"/>
        </w:rPr>
        <w:t>La coordinación de este grupo corresponde a la Dirección de Prevención, Formación y Documentación quién, en la primera sesión del citado grupo de trabajo, celebrada el pasado 11 de junio de 2020 planteó, entre otros, los siguientes objetivos:</w:t>
      </w:r>
    </w:p>
    <w:p w14:paraId="69941B42" w14:textId="02EDED7A" w:rsidR="00BB4994" w:rsidRPr="00973028" w:rsidRDefault="00BB4994" w:rsidP="00F5441D">
      <w:pPr>
        <w:widowControl w:val="0"/>
        <w:numPr>
          <w:ilvl w:val="0"/>
          <w:numId w:val="8"/>
        </w:numPr>
        <w:suppressAutoHyphens/>
        <w:autoSpaceDN w:val="0"/>
        <w:spacing w:after="120" w:line="276" w:lineRule="auto"/>
        <w:ind w:left="714" w:hanging="357"/>
        <w:jc w:val="both"/>
        <w:rPr>
          <w:rFonts w:ascii="Arial" w:eastAsia="Calibri" w:hAnsi="Arial" w:cs="Arial"/>
          <w:sz w:val="21"/>
          <w:lang w:eastAsia="es-ES"/>
        </w:rPr>
      </w:pPr>
      <w:r w:rsidRPr="00973028">
        <w:rPr>
          <w:rFonts w:ascii="Arial" w:eastAsia="Times New Roman" w:hAnsi="Arial" w:cs="Arial"/>
          <w:sz w:val="21"/>
          <w:lang w:eastAsia="es-ES"/>
        </w:rPr>
        <w:t>Participar y colaborar con los consejos de participación infantil de la Comuni</w:t>
      </w:r>
      <w:r w:rsidR="00C24397">
        <w:rPr>
          <w:rFonts w:ascii="Arial" w:eastAsia="Times New Roman" w:hAnsi="Arial" w:cs="Arial"/>
          <w:sz w:val="21"/>
          <w:lang w:eastAsia="es-ES"/>
        </w:rPr>
        <w:t>t</w:t>
      </w:r>
      <w:r w:rsidRPr="00973028">
        <w:rPr>
          <w:rFonts w:ascii="Arial" w:eastAsia="Times New Roman" w:hAnsi="Arial" w:cs="Arial"/>
          <w:sz w:val="21"/>
          <w:lang w:eastAsia="es-ES"/>
        </w:rPr>
        <w:t>a</w:t>
      </w:r>
      <w:r w:rsidR="00C24397">
        <w:rPr>
          <w:rFonts w:ascii="Arial" w:eastAsia="Times New Roman" w:hAnsi="Arial" w:cs="Arial"/>
          <w:sz w:val="21"/>
          <w:lang w:eastAsia="es-ES"/>
        </w:rPr>
        <w:t>t</w:t>
      </w:r>
      <w:r w:rsidRPr="00973028">
        <w:rPr>
          <w:rFonts w:ascii="Arial" w:eastAsia="Times New Roman" w:hAnsi="Arial" w:cs="Arial"/>
          <w:sz w:val="21"/>
          <w:lang w:eastAsia="es-ES"/>
        </w:rPr>
        <w:t xml:space="preserve"> Valenciana, para planificar dinámicas de participación de los niños y los adolescentes sobre los valores de transparencia, ejemplaridad y servicio público, imprescindibles para minorar los riesgos de corrupción.</w:t>
      </w:r>
    </w:p>
    <w:p w14:paraId="71E69C19" w14:textId="77777777" w:rsidR="00BB4994" w:rsidRPr="00973028" w:rsidRDefault="00BB4994" w:rsidP="00F5441D">
      <w:pPr>
        <w:widowControl w:val="0"/>
        <w:numPr>
          <w:ilvl w:val="0"/>
          <w:numId w:val="8"/>
        </w:numPr>
        <w:suppressAutoHyphens/>
        <w:autoSpaceDN w:val="0"/>
        <w:spacing w:after="240" w:line="276" w:lineRule="auto"/>
        <w:ind w:left="714" w:hanging="357"/>
        <w:jc w:val="both"/>
        <w:rPr>
          <w:rFonts w:ascii="Arial" w:eastAsia="Times New Roman" w:hAnsi="Arial" w:cs="Arial"/>
          <w:sz w:val="21"/>
          <w:lang w:eastAsia="es-ES"/>
        </w:rPr>
      </w:pPr>
      <w:r w:rsidRPr="00973028">
        <w:rPr>
          <w:rFonts w:ascii="Arial" w:eastAsia="Times New Roman" w:hAnsi="Arial" w:cs="Arial"/>
          <w:sz w:val="21"/>
          <w:lang w:eastAsia="es-ES"/>
        </w:rPr>
        <w:t>Contactar con el Servicio de Promoción de los Derechos de la Infancia y la Adolescencia, de la Dirección General de Infancia y Adolescencia de la GVA, para articular esta línea de trabajo colaborativa.</w:t>
      </w:r>
    </w:p>
    <w:p w14:paraId="36FF6537"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es-ES"/>
        </w:rPr>
      </w:pPr>
      <w:r w:rsidRPr="00973028">
        <w:rPr>
          <w:rFonts w:ascii="Arial" w:eastAsia="Calibri" w:hAnsi="Arial" w:cs="Arial"/>
          <w:sz w:val="21"/>
          <w:lang w:eastAsia="es-ES"/>
        </w:rPr>
        <w:t>A tal efecto se han realizado reuniones de trabajo con la Dirección General de Infancia y Adolescencia de la Generalitat Valenciana en las que, tanto los participantes de la Agencia como los representantes de la Generalitat coincidieron en la necesidad del fomento de la participación directa de niños y adolescentes para formar en prevención de la corrupción, así como con la exigencia de emplear herramientas pedagógicas apropiadas para hacer llegar el mensaje adecuadamente y generar una experiencia formativa socialmente provechosa que tenga en cuenta a los consejos municipales de la infancia y la adolescencia.</w:t>
      </w:r>
    </w:p>
    <w:p w14:paraId="7EDACBD0" w14:textId="5B017E20" w:rsidR="00BB4994" w:rsidRPr="00973028" w:rsidRDefault="00BB4994" w:rsidP="00BB4994">
      <w:pPr>
        <w:widowControl w:val="0"/>
        <w:suppressAutoHyphens/>
        <w:autoSpaceDN w:val="0"/>
        <w:spacing w:after="240" w:line="276" w:lineRule="auto"/>
        <w:jc w:val="both"/>
        <w:rPr>
          <w:rFonts w:ascii="Arial" w:eastAsia="Calibri" w:hAnsi="Arial" w:cs="Arial"/>
          <w:sz w:val="21"/>
          <w:lang w:eastAsia="es-ES"/>
        </w:rPr>
      </w:pPr>
      <w:r w:rsidRPr="00973028">
        <w:rPr>
          <w:rFonts w:ascii="Arial" w:eastAsia="Calibri" w:hAnsi="Arial" w:cs="Arial"/>
          <w:sz w:val="21"/>
          <w:lang w:eastAsia="es-ES"/>
        </w:rPr>
        <w:t>En estos momentos, la red de municipios valencianos con Consejos municipales de infancia y adolescencia alcanza a 37 localidades, distribuidas entre todo el territorio (8 en la provincia de Alicante, 6 en la provincia de Castelló y 23 en la provincia de Val</w:t>
      </w:r>
      <w:r w:rsidR="00D13AB4">
        <w:rPr>
          <w:rFonts w:ascii="Arial" w:eastAsia="Calibri" w:hAnsi="Arial" w:cs="Arial"/>
          <w:sz w:val="21"/>
          <w:lang w:eastAsia="es-ES"/>
        </w:rPr>
        <w:t>e</w:t>
      </w:r>
      <w:r w:rsidRPr="00973028">
        <w:rPr>
          <w:rFonts w:ascii="Arial" w:eastAsia="Calibri" w:hAnsi="Arial" w:cs="Arial"/>
          <w:sz w:val="21"/>
          <w:lang w:eastAsia="es-ES"/>
        </w:rPr>
        <w:t xml:space="preserve">ncia). </w:t>
      </w:r>
    </w:p>
    <w:p w14:paraId="2AC9ECCA"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es-ES"/>
        </w:rPr>
      </w:pPr>
      <w:r w:rsidRPr="00973028">
        <w:rPr>
          <w:rFonts w:ascii="Arial" w:eastAsia="Calibri" w:hAnsi="Arial" w:cs="Arial"/>
          <w:sz w:val="21"/>
          <w:lang w:eastAsia="es-ES"/>
        </w:rPr>
        <w:lastRenderedPageBreak/>
        <w:t>Durante 2021, esta iniciativa deberá concretarse en experiencias de colaboración y actuación formativa con consejos municipales y en la elaboración de materiales pedagógicos que permitan hacer de la infancia y la adolescencia un colectivo activo en el desarrollo de una conciencia ética de rechazo al fraude y la corrupción.</w:t>
      </w:r>
    </w:p>
    <w:p w14:paraId="1F8DCF89" w14:textId="77777777" w:rsidR="00BB4994" w:rsidRPr="00973028" w:rsidRDefault="00BB4994" w:rsidP="00BB4994">
      <w:pPr>
        <w:widowControl w:val="0"/>
        <w:suppressAutoHyphens/>
        <w:autoSpaceDN w:val="0"/>
        <w:spacing w:after="240" w:line="276" w:lineRule="auto"/>
        <w:jc w:val="both"/>
        <w:rPr>
          <w:rFonts w:ascii="Arial" w:eastAsia="Calibri" w:hAnsi="Arial" w:cs="Arial"/>
          <w:b/>
          <w:sz w:val="21"/>
          <w:lang w:eastAsia="zh-CN" w:bidi="hi-IN"/>
        </w:rPr>
      </w:pPr>
      <w:r w:rsidRPr="00973028">
        <w:rPr>
          <w:rFonts w:ascii="Arial" w:eastAsia="Calibri" w:hAnsi="Arial" w:cs="Arial"/>
          <w:b/>
          <w:sz w:val="21"/>
          <w:lang w:eastAsia="zh-CN" w:bidi="hi-IN"/>
        </w:rPr>
        <w:t>Creación del campus virtual de la AVAF</w:t>
      </w:r>
    </w:p>
    <w:p w14:paraId="1E5F7F8E"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t xml:space="preserve">Uno de los proyectos de continuidad estratégica establecidos en el Plan de Formación 2019-2020 es la elaboración de herramientas ágiles y prácticas para formación </w:t>
      </w:r>
      <w:r w:rsidRPr="00973028">
        <w:rPr>
          <w:rFonts w:ascii="Arial" w:eastAsia="Calibri" w:hAnsi="Arial" w:cs="Arial"/>
          <w:i/>
          <w:iCs/>
          <w:sz w:val="21"/>
          <w:lang w:eastAsia="zh-CN" w:bidi="hi-IN"/>
        </w:rPr>
        <w:t>online</w:t>
      </w:r>
      <w:r w:rsidRPr="00973028">
        <w:rPr>
          <w:rFonts w:ascii="Arial" w:eastAsia="Calibri" w:hAnsi="Arial" w:cs="Arial"/>
          <w:sz w:val="21"/>
          <w:lang w:eastAsia="zh-CN" w:bidi="hi-IN"/>
        </w:rPr>
        <w:t xml:space="preserve"> dirigidas, en primer lugar, a los empleados públicos; pero útiles también para la formación y la sensibilización que tuviera su origen en otras instituciones públicas o en universidades y organizaciones de la sociedad civil y la ciudadanía. </w:t>
      </w:r>
    </w:p>
    <w:p w14:paraId="50AD3AAF"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szCs w:val="24"/>
          <w:lang w:eastAsia="zh-CN" w:bidi="hi-IN"/>
        </w:rPr>
      </w:pPr>
      <w:r w:rsidRPr="00973028">
        <w:rPr>
          <w:rFonts w:ascii="Arial" w:eastAsia="Calibri" w:hAnsi="Arial" w:cs="Arial"/>
          <w:sz w:val="21"/>
          <w:lang w:eastAsia="zh-CN" w:bidi="hi-IN"/>
        </w:rPr>
        <w:t xml:space="preserve">Dentro de las modalidades formativas del Plan, la formación virtual se establece como mecanismo importante para multiplicar el aprendizaje, teniendo en cuenta la existencia de instrumentos y modelos pedagógicos </w:t>
      </w:r>
      <w:r w:rsidRPr="00973028">
        <w:rPr>
          <w:rFonts w:ascii="Arial" w:eastAsia="Calibri" w:hAnsi="Arial" w:cs="Arial"/>
          <w:i/>
          <w:iCs/>
          <w:sz w:val="21"/>
          <w:lang w:eastAsia="zh-CN" w:bidi="hi-IN"/>
        </w:rPr>
        <w:t>online</w:t>
      </w:r>
      <w:r w:rsidRPr="00973028">
        <w:rPr>
          <w:rFonts w:ascii="Arial" w:eastAsia="Calibri" w:hAnsi="Arial" w:cs="Arial"/>
          <w:sz w:val="21"/>
          <w:lang w:eastAsia="zh-CN" w:bidi="hi-IN"/>
        </w:rPr>
        <w:t xml:space="preserve"> ya consolidados y en proceso de elaboración y difusión cada vez más especializados y versátiles. </w:t>
      </w:r>
    </w:p>
    <w:p w14:paraId="20B12C16"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t>El objetivo de la iniciativa ha sido contar con herramientas de formación en línea y gestionadas de manera directa y autónoma por la Agencia. Una necesidad acrecentada por el contexto de teletrabajo propiciado por la crisis sanitaria y la pandemia de la COVID-19.</w:t>
      </w:r>
    </w:p>
    <w:p w14:paraId="47F4F9AB"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t>Por este motivo, en el mes de abril de 2020, se inició la planificación del estudio de plataformas de formación en línea para diseñar la implantación de herramientas de formación interna y externa a distancia. En este sentido, se llevó a cabo un informe técnico con diferentes opciones existentes de plataformas de formación de código abierto gratuitas, herramientas de pago y herramientas de videoconferencia. Teniendo, en todo este proceso, reuniones de trabajo con el Servicio TIC de la Agencia y con departamentos del Consell.</w:t>
      </w:r>
    </w:p>
    <w:p w14:paraId="1C1AFF5F"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t>Finalmente, teniendo en cuenta el análisis previo realizado de diferentes plataformas para la publicación de cursos en línea, se propuso la adhesión a la plataforma «e-Formación» dependiente de la Dirección General de las Tecnologías de la Información y de las Comunicaciones de la Conselleria de Hacienda y Modelo Económico de la Generalitat. Adhesión que se materializó en el mes de mayo de 2020, con plena disposición de dicha Dirección General, que agradecemos.</w:t>
      </w:r>
    </w:p>
    <w:p w14:paraId="52C3A8B7"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t>Como resultado de esta iniciativa, se ha creado un campus virtual para formación en línea y publicación de contenidos</w:t>
      </w:r>
      <w:r w:rsidRPr="00973028">
        <w:rPr>
          <w:rFonts w:ascii="Arial" w:eastAsia="Calibri" w:hAnsi="Arial" w:cs="Arial"/>
          <w:i/>
          <w:iCs/>
          <w:sz w:val="21"/>
          <w:lang w:eastAsia="zh-CN" w:bidi="hi-IN"/>
        </w:rPr>
        <w:t xml:space="preserve"> e-learning</w:t>
      </w:r>
      <w:r w:rsidRPr="00973028">
        <w:rPr>
          <w:rFonts w:ascii="Arial" w:eastAsia="Calibri" w:hAnsi="Arial" w:cs="Arial"/>
          <w:sz w:val="21"/>
          <w:lang w:eastAsia="zh-CN" w:bidi="hi-IN"/>
        </w:rPr>
        <w:t>, sondeos y encuestas, que se encuentra ya en fase de explotación y producción a nivel interno y para el que, a lo largo de 2021, está previsto elaborar y desarrollar contenidos formativos de manera activa y estable.</w:t>
      </w:r>
    </w:p>
    <w:p w14:paraId="372C6014" w14:textId="409F2E2D" w:rsidR="00BB4994" w:rsidRPr="00973028" w:rsidRDefault="00B636A3" w:rsidP="00672ABA">
      <w:pPr>
        <w:pStyle w:val="Prrafodelista"/>
        <w:keepNext/>
        <w:numPr>
          <w:ilvl w:val="2"/>
          <w:numId w:val="22"/>
        </w:numPr>
        <w:spacing w:before="360" w:after="240" w:line="276" w:lineRule="auto"/>
        <w:ind w:left="1134" w:hanging="1134"/>
        <w:contextualSpacing w:val="0"/>
        <w:jc w:val="both"/>
        <w:outlineLvl w:val="2"/>
        <w:rPr>
          <w:rFonts w:ascii="Arial" w:eastAsia="Times New Roman" w:hAnsi="Arial" w:cs="Arial"/>
          <w:b/>
          <w:color w:val="9D2235"/>
          <w:sz w:val="28"/>
          <w:szCs w:val="28"/>
        </w:rPr>
      </w:pPr>
      <w:bookmarkStart w:id="35" w:name="_Toc67646231"/>
      <w:r w:rsidRPr="00973028">
        <w:rPr>
          <w:rFonts w:ascii="Arial" w:eastAsia="Times New Roman" w:hAnsi="Arial" w:cs="Arial"/>
          <w:b/>
          <w:color w:val="9D2235"/>
          <w:sz w:val="28"/>
          <w:szCs w:val="28"/>
        </w:rPr>
        <w:t>R</w:t>
      </w:r>
      <w:r w:rsidR="006668D6" w:rsidRPr="00973028">
        <w:rPr>
          <w:rFonts w:ascii="Arial" w:eastAsia="Times New Roman" w:hAnsi="Arial" w:cs="Arial"/>
          <w:b/>
          <w:color w:val="9D2235"/>
          <w:sz w:val="28"/>
          <w:szCs w:val="28"/>
        </w:rPr>
        <w:t>eflexiones</w:t>
      </w:r>
      <w:bookmarkEnd w:id="35"/>
      <w:r w:rsidRPr="00973028">
        <w:rPr>
          <w:rFonts w:ascii="Arial" w:eastAsia="Times New Roman" w:hAnsi="Arial" w:cs="Arial"/>
          <w:b/>
          <w:color w:val="9D2235"/>
          <w:sz w:val="28"/>
          <w:szCs w:val="28"/>
        </w:rPr>
        <w:t xml:space="preserve"> </w:t>
      </w:r>
    </w:p>
    <w:p w14:paraId="3C6EB2D0"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t>El número de actividades formativas de la Agencia se ha incrementado significativamente durante 2020, como también lo ha hecho la calidad media y la especialización de la formación.</w:t>
      </w:r>
    </w:p>
    <w:p w14:paraId="7DCE9D57" w14:textId="132005A0"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t xml:space="preserve">A lo largo de 2021, corresponde realizar una evaluación general del Plan de Formación </w:t>
      </w:r>
      <w:r w:rsidRPr="00973028">
        <w:rPr>
          <w:rFonts w:ascii="Arial" w:eastAsia="Calibri" w:hAnsi="Arial" w:cs="Arial"/>
          <w:sz w:val="21"/>
          <w:lang w:eastAsia="zh-CN" w:bidi="hi-IN"/>
        </w:rPr>
        <w:lastRenderedPageBreak/>
        <w:t xml:space="preserve">2019-2020 de la Agencia, y elaborar un nuevo plan, para el período 2021-2024 que centre sus esfuerzos en la formación cívica de la ciudadanía como instrumento para combatir la corrupción y el fraude. </w:t>
      </w:r>
    </w:p>
    <w:p w14:paraId="7A771341"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szCs w:val="21"/>
          <w:lang w:eastAsia="zh-CN" w:bidi="hi-IN"/>
        </w:rPr>
      </w:pPr>
      <w:r w:rsidRPr="00973028">
        <w:rPr>
          <w:rFonts w:ascii="Arial" w:eastAsia="Calibri" w:hAnsi="Arial" w:cs="Arial"/>
          <w:sz w:val="21"/>
          <w:szCs w:val="21"/>
          <w:lang w:eastAsia="zh-CN" w:bidi="hi-IN"/>
        </w:rPr>
        <w:t xml:space="preserve">En este sentido, hay que considerar la necesidad de realizar actividades formativas específicas sensibilización contra el fraude y la corrupción en grupos específicos como postgraduados, funcionarios públicos municipales, responsables públicos de las administraciones locales, y la infancia y la adolescencia, de manera específica. Y eso, manteniendo y dando continuidad a la formación y sensibilización dentro de los grupos de educación superior, mediante la identificación realizada de todas las titulaciones universitarias y futuros profesionales donde la ética, transparencia, la lucha contra el fraude, los conflictos de interés y la aplicación de buenas prácticas resulta fundamental. </w:t>
      </w:r>
    </w:p>
    <w:p w14:paraId="452AA02C"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szCs w:val="21"/>
          <w:lang w:eastAsia="zh-CN" w:bidi="hi-IN"/>
        </w:rPr>
        <w:t>Una actuación formativa que debe desarrollar y normalizar el uso del Campus Virtual creado y la especialización del personal de la Agencia en el uso de esta herramienta que permite tanto formación síncrona con</w:t>
      </w:r>
      <w:r w:rsidRPr="00973028">
        <w:rPr>
          <w:rFonts w:ascii="Arial" w:eastAsia="Calibri" w:hAnsi="Arial" w:cs="Arial"/>
          <w:i/>
          <w:iCs/>
          <w:sz w:val="21"/>
          <w:szCs w:val="21"/>
          <w:lang w:eastAsia="zh-CN" w:bidi="hi-IN"/>
        </w:rPr>
        <w:t xml:space="preserve"> webinars,</w:t>
      </w:r>
      <w:r w:rsidRPr="00973028">
        <w:rPr>
          <w:rFonts w:ascii="Arial" w:eastAsia="Calibri" w:hAnsi="Arial" w:cs="Arial"/>
          <w:sz w:val="21"/>
          <w:szCs w:val="21"/>
          <w:lang w:eastAsia="zh-CN" w:bidi="hi-IN"/>
        </w:rPr>
        <w:t xml:space="preserve"> como formación asíncrona en formato </w:t>
      </w:r>
      <w:r w:rsidRPr="00973028">
        <w:rPr>
          <w:rFonts w:ascii="Arial" w:eastAsia="Calibri" w:hAnsi="Arial" w:cs="Arial"/>
          <w:i/>
          <w:iCs/>
          <w:sz w:val="21"/>
          <w:szCs w:val="21"/>
          <w:lang w:eastAsia="zh-CN" w:bidi="hi-IN"/>
        </w:rPr>
        <w:t>e-learning</w:t>
      </w:r>
      <w:r w:rsidRPr="00973028">
        <w:rPr>
          <w:rFonts w:ascii="Arial" w:eastAsia="Calibri" w:hAnsi="Arial" w:cs="Arial"/>
          <w:sz w:val="21"/>
          <w:szCs w:val="21"/>
          <w:lang w:eastAsia="zh-CN" w:bidi="hi-IN"/>
        </w:rPr>
        <w:t xml:space="preserve"> y un gran conjunto de instrumentos específicos de dinamización y formación apropiadas para todos los ámbitos y grupos de interés de distintas edades, que no se encuentran en otras plataformas de videoconferencia. Mientras se continúa creando material didáctico digital multiformato y reutilizable a partir del contenido de recomendaciones, presentaciones ya realizadas o conferencias públicas. Se trata de impulsar formas de sensibilización social pensando en diferentes grupos sociales y edades para personalizar los productos: infografías, documentales, animaciones y contenido </w:t>
      </w:r>
      <w:r w:rsidRPr="00973028">
        <w:rPr>
          <w:rFonts w:ascii="Arial" w:eastAsia="Calibri" w:hAnsi="Arial" w:cs="Arial"/>
          <w:i/>
          <w:iCs/>
          <w:sz w:val="21"/>
          <w:szCs w:val="21"/>
          <w:lang w:eastAsia="zh-CN" w:bidi="hi-IN"/>
        </w:rPr>
        <w:t>e-learning</w:t>
      </w:r>
      <w:r w:rsidRPr="00973028">
        <w:rPr>
          <w:rFonts w:ascii="Arial" w:eastAsia="Calibri" w:hAnsi="Arial" w:cs="Arial"/>
          <w:sz w:val="21"/>
          <w:szCs w:val="21"/>
          <w:lang w:eastAsia="zh-CN" w:bidi="hi-IN"/>
        </w:rPr>
        <w:t>, etc. En este sentido, se debe profundizar en el camino iniciado con la elaboración de guiones docentes para las actividades de videoconferencia realizadas con las universidades, las herramientas de dinamización y la planificación de nuevos documentales.</w:t>
      </w:r>
    </w:p>
    <w:p w14:paraId="77E27C9E" w14:textId="6A3170A6" w:rsidR="00BB4994" w:rsidRPr="00973028" w:rsidRDefault="00BB4994" w:rsidP="00BB4994">
      <w:pPr>
        <w:widowControl w:val="0"/>
        <w:suppressAutoHyphens/>
        <w:autoSpaceDN w:val="0"/>
        <w:spacing w:after="240" w:line="276" w:lineRule="auto"/>
        <w:jc w:val="both"/>
        <w:rPr>
          <w:rFonts w:ascii="Arial" w:eastAsia="Calibri" w:hAnsi="Arial" w:cs="Arial"/>
          <w:sz w:val="21"/>
          <w:lang w:eastAsia="zh-CN" w:bidi="hi-IN"/>
        </w:rPr>
      </w:pPr>
      <w:r w:rsidRPr="00973028">
        <w:rPr>
          <w:rFonts w:ascii="Arial" w:eastAsia="Calibri" w:hAnsi="Arial" w:cs="Arial"/>
          <w:sz w:val="21"/>
          <w:lang w:eastAsia="zh-CN" w:bidi="hi-IN"/>
        </w:rPr>
        <w:t xml:space="preserve">El fortalecimiento de la ética pública y la autorresponsabilidad ha de ser el eje de la formación cívica de la Agencia en el futuro inmediato. </w:t>
      </w:r>
    </w:p>
    <w:p w14:paraId="46D3B900" w14:textId="21EF5FF5" w:rsidR="00BB4994" w:rsidRPr="00973028" w:rsidRDefault="00BB4994" w:rsidP="00672ABA">
      <w:pPr>
        <w:pStyle w:val="Prrafodelista"/>
        <w:keepNext/>
        <w:numPr>
          <w:ilvl w:val="1"/>
          <w:numId w:val="22"/>
        </w:numPr>
        <w:spacing w:before="360" w:after="240" w:line="276" w:lineRule="auto"/>
        <w:ind w:left="851" w:hanging="851"/>
        <w:contextualSpacing w:val="0"/>
        <w:jc w:val="both"/>
        <w:outlineLvl w:val="1"/>
        <w:rPr>
          <w:rFonts w:ascii="Arial" w:eastAsia="Times New Roman" w:hAnsi="Arial" w:cs="Arial"/>
          <w:b/>
          <w:color w:val="9D2235"/>
          <w:sz w:val="32"/>
          <w:szCs w:val="32"/>
        </w:rPr>
      </w:pPr>
      <w:bookmarkStart w:id="36" w:name="_Toc67646232"/>
      <w:r w:rsidRPr="00973028">
        <w:rPr>
          <w:rFonts w:ascii="Arial" w:eastAsia="Times New Roman" w:hAnsi="Arial" w:cs="Arial"/>
          <w:b/>
          <w:color w:val="9D2235"/>
          <w:sz w:val="32"/>
          <w:szCs w:val="32"/>
        </w:rPr>
        <w:t>S</w:t>
      </w:r>
      <w:r w:rsidR="006E7084" w:rsidRPr="00973028">
        <w:rPr>
          <w:rFonts w:ascii="Arial" w:eastAsia="Times New Roman" w:hAnsi="Arial" w:cs="Arial"/>
          <w:b/>
          <w:color w:val="9D2235"/>
          <w:sz w:val="32"/>
          <w:szCs w:val="32"/>
        </w:rPr>
        <w:t>ervicio de Documentación</w:t>
      </w:r>
      <w:bookmarkEnd w:id="36"/>
    </w:p>
    <w:p w14:paraId="436D1BBA" w14:textId="097DD3E5" w:rsidR="00BB4994" w:rsidRPr="00973028" w:rsidRDefault="00BB4994" w:rsidP="00672ABA">
      <w:pPr>
        <w:pStyle w:val="Prrafodelista"/>
        <w:keepNext/>
        <w:numPr>
          <w:ilvl w:val="2"/>
          <w:numId w:val="22"/>
        </w:numPr>
        <w:spacing w:before="360" w:after="240" w:line="276" w:lineRule="auto"/>
        <w:ind w:left="1134" w:hanging="1134"/>
        <w:contextualSpacing w:val="0"/>
        <w:jc w:val="both"/>
        <w:outlineLvl w:val="2"/>
        <w:rPr>
          <w:rFonts w:ascii="Arial" w:eastAsia="Times New Roman" w:hAnsi="Arial" w:cs="Arial"/>
          <w:b/>
          <w:color w:val="9D2235"/>
          <w:sz w:val="28"/>
          <w:szCs w:val="28"/>
        </w:rPr>
      </w:pPr>
      <w:bookmarkStart w:id="37" w:name="_Toc67646233"/>
      <w:r w:rsidRPr="00973028">
        <w:rPr>
          <w:rFonts w:ascii="Arial" w:eastAsia="Times New Roman" w:hAnsi="Arial" w:cs="Arial"/>
          <w:b/>
          <w:color w:val="9D2235"/>
          <w:sz w:val="28"/>
          <w:szCs w:val="28"/>
        </w:rPr>
        <w:t>I</w:t>
      </w:r>
      <w:r w:rsidR="006E7084" w:rsidRPr="00973028">
        <w:rPr>
          <w:rFonts w:ascii="Arial" w:eastAsia="Times New Roman" w:hAnsi="Arial" w:cs="Arial"/>
          <w:b/>
          <w:color w:val="9D2235"/>
          <w:sz w:val="28"/>
          <w:szCs w:val="28"/>
        </w:rPr>
        <w:t>ntroducción al Servicio</w:t>
      </w:r>
      <w:bookmarkEnd w:id="37"/>
    </w:p>
    <w:p w14:paraId="4BCD8988" w14:textId="0B9BBD15"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El Servicio de Documentación e Informes organiza sus trabajos en torno a tres líneas de actuación que vienen determinadas por el Reglamento de la Agencia de Prevención y Lucha contra el Fraude y la Corrupción de la Comuni</w:t>
      </w:r>
      <w:r w:rsidR="006E7084" w:rsidRPr="00973028">
        <w:rPr>
          <w:rFonts w:ascii="Arial" w:eastAsia="Calibri" w:hAnsi="Arial" w:cs="Arial"/>
          <w:sz w:val="21"/>
        </w:rPr>
        <w:t>tat</w:t>
      </w:r>
      <w:r w:rsidRPr="00973028">
        <w:rPr>
          <w:rFonts w:ascii="Arial" w:eastAsia="Calibri" w:hAnsi="Arial" w:cs="Arial"/>
          <w:sz w:val="21"/>
        </w:rPr>
        <w:t xml:space="preserve"> Valenciana. En primer lugar establecer, planificar y gestionar el sistema de información y documentación de la Agencia [Artículo 19 apartados f), y m)], en segundo lugar, establecer, planificar y gestionar el Centro de documentación sobre la Prevención y Lucha contra el Fraude y la Corrupción [Artículo 29], y por último, gestionar el archivo con vocación de facilitar el acceso a la información generada por la Agencia en el desempeño de sus funciones y fomentando la transparencia en las instituciones públicas [Artículo 11 y Artículo 19 n)]</w:t>
      </w:r>
      <w:r w:rsidR="006E7084" w:rsidRPr="00973028">
        <w:rPr>
          <w:rFonts w:ascii="Arial" w:eastAsia="Calibri" w:hAnsi="Arial" w:cs="Arial"/>
          <w:sz w:val="21"/>
        </w:rPr>
        <w:t>.</w:t>
      </w:r>
    </w:p>
    <w:p w14:paraId="272213E1" w14:textId="328EF0E0"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La mayor parte de las actuaciones acometidas por el Servicio de Documentación e Informes durante el año 2020 suponen trabajos de dotación de procedimientos, instrumentos y recursos inherentes a la puesta en marcha de un servicio de estas características. Hemos </w:t>
      </w:r>
      <w:r w:rsidRPr="00973028">
        <w:rPr>
          <w:rFonts w:ascii="Arial" w:eastAsia="Calibri" w:hAnsi="Arial" w:cs="Arial"/>
          <w:sz w:val="21"/>
        </w:rPr>
        <w:lastRenderedPageBreak/>
        <w:t xml:space="preserve">llevado a cabo una encuesta en el contexto de la elaboración del Plan estratégico del Servicio de Documentación e Informes. Hemos normalizado la atención de las consultas, fundamentalmente de investigación bibliográfica y localización de documentación, recibidas en el servicio provenientes del resto de áreas y servicios de la Agencia. Se han acometido distintas contrataciones relacionadas con los suministros de los recursos de información. Y finalmente, se ha elaborado y aprobado por la Dirección de la Agencia la Política de gestión de documentos electrónicos. </w:t>
      </w:r>
    </w:p>
    <w:p w14:paraId="616160AC" w14:textId="63F40A60" w:rsidR="00BB4994" w:rsidRPr="00973028" w:rsidRDefault="006E7084" w:rsidP="00672ABA">
      <w:pPr>
        <w:pStyle w:val="Prrafodelista"/>
        <w:keepNext/>
        <w:numPr>
          <w:ilvl w:val="2"/>
          <w:numId w:val="22"/>
        </w:numPr>
        <w:spacing w:before="360" w:after="240" w:line="276" w:lineRule="auto"/>
        <w:ind w:left="1134" w:hanging="1134"/>
        <w:contextualSpacing w:val="0"/>
        <w:jc w:val="both"/>
        <w:outlineLvl w:val="2"/>
        <w:rPr>
          <w:rFonts w:ascii="Arial" w:eastAsia="Times New Roman" w:hAnsi="Arial" w:cs="Arial"/>
          <w:b/>
          <w:color w:val="9D2235"/>
          <w:sz w:val="28"/>
          <w:szCs w:val="28"/>
        </w:rPr>
      </w:pPr>
      <w:bookmarkStart w:id="38" w:name="_Toc67646234"/>
      <w:r w:rsidRPr="00973028">
        <w:rPr>
          <w:rFonts w:ascii="Arial" w:eastAsia="Times New Roman" w:hAnsi="Arial" w:cs="Arial"/>
          <w:b/>
          <w:color w:val="9D2235"/>
          <w:sz w:val="28"/>
          <w:szCs w:val="28"/>
        </w:rPr>
        <w:t>Encuesta sobre el Servicio de Documentación en el contexto de la elaboración del plan estratégico</w:t>
      </w:r>
      <w:bookmarkEnd w:id="38"/>
    </w:p>
    <w:p w14:paraId="6FC6A0B1"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Entre el 25 de noviembre y el 15 de diciembre de 2020 y en el contexto de sus actividades previas a proceso de planificación estratégica, el Servicio de Documentación e Informes de la Agencia ha llevado a cabo una encuesta.</w:t>
      </w:r>
    </w:p>
    <w:p w14:paraId="320F89F5" w14:textId="25A65C8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La consulta perseguía tres fines que al mismo tiempo guiaban su estructura en sendos bloques de preguntas. Por un lado, en cualquier proceso de planificación de un servicio de documentación es preciso identificar y caracterizar los perfiles de los que serán sus usuarios reales, necesitamos conocer en detalle sus características como usuarios de servicios de información y documentación, los requerimientos específicos en el ámbito de trabajo y las expectativas al respecto del Servicio de Documentación e Informes como una herramienta básica de trabajo en el contexto de la propia actividad profesional. Por otro lado, la consulta nos proporcionaba una gran oportunidad para aprovechar el conocimiento y experiencia previa de la población destinataria de la encuesta en la ponderación de las fuentes de información en el ámbito de actuación de la Agencia. Finalmente, se pretendía recabar una valoración apriorística de potenciales servicios a prestar por el departamento.</w:t>
      </w:r>
    </w:p>
    <w:p w14:paraId="192C45F6" w14:textId="2C97A1FB"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La encuesta se dirigió a una población total de 65 miembros provenientes de la propia Agencia Valenciana Antifraude y de su Consejo de Participación. Por tratarse de un sondeo exploratorio y tener como prioridad facilitar la participación de los encuestados, se planteó como una encuesta de preguntas no obligatorias y en su mayor parte abiertas. El cuestionario fue enviado a los destinatarios </w:t>
      </w:r>
      <w:r w:rsidR="006E7084" w:rsidRPr="00973028">
        <w:rPr>
          <w:rFonts w:ascii="Arial" w:eastAsia="Calibri" w:hAnsi="Arial" w:cs="Arial"/>
          <w:sz w:val="21"/>
        </w:rPr>
        <w:t>debido a</w:t>
      </w:r>
      <w:r w:rsidRPr="00973028">
        <w:rPr>
          <w:rFonts w:ascii="Arial" w:eastAsia="Calibri" w:hAnsi="Arial" w:cs="Arial"/>
          <w:sz w:val="21"/>
        </w:rPr>
        <w:t xml:space="preserve"> su vinculación con la Agencia Valenciana Antifraude, pero sin recoger ningún dato de carácter personal.</w:t>
      </w:r>
    </w:p>
    <w:p w14:paraId="5284AC8F" w14:textId="36B35EDB" w:rsidR="00BB4994" w:rsidRPr="00973028" w:rsidRDefault="00BB4994" w:rsidP="00BB4994">
      <w:pPr>
        <w:widowControl w:val="0"/>
        <w:suppressAutoHyphens/>
        <w:autoSpaceDN w:val="0"/>
        <w:spacing w:after="240" w:line="276" w:lineRule="auto"/>
        <w:jc w:val="both"/>
        <w:rPr>
          <w:rFonts w:ascii="Arial" w:eastAsia="Calibri" w:hAnsi="Arial" w:cs="Arial"/>
          <w:sz w:val="21"/>
        </w:rPr>
      </w:pPr>
      <w:bookmarkStart w:id="39" w:name="_Hlk61904783"/>
      <w:r w:rsidRPr="00973028">
        <w:rPr>
          <w:rFonts w:ascii="Arial" w:eastAsia="Calibri" w:hAnsi="Arial" w:cs="Arial"/>
          <w:sz w:val="21"/>
        </w:rPr>
        <w:t>Ha gozado de una participación media de 43% dependiendo del bloque analizado. La explotación completa de los datos recogidos está prevista para el primer trimestre de 2021. Finalizada dicha fase, se llevará a cabo una presentación a la población consultada. El Servicio de Documentación e Informes contempla otras vías de comunicación de resultados todavía no valoradas de manera definitiva. Asimismo, se elaborará el pertinente resumen para su inclusión en la memoria del año en curso.</w:t>
      </w:r>
      <w:bookmarkEnd w:id="39"/>
    </w:p>
    <w:p w14:paraId="46DCBAA6" w14:textId="5E01E3CC" w:rsidR="00BB4994" w:rsidRPr="00973028" w:rsidRDefault="006E7084" w:rsidP="00672ABA">
      <w:pPr>
        <w:pStyle w:val="Prrafodelista"/>
        <w:keepNext/>
        <w:numPr>
          <w:ilvl w:val="2"/>
          <w:numId w:val="22"/>
        </w:numPr>
        <w:spacing w:before="360" w:after="240" w:line="276" w:lineRule="auto"/>
        <w:ind w:left="1134" w:hanging="1134"/>
        <w:contextualSpacing w:val="0"/>
        <w:jc w:val="both"/>
        <w:outlineLvl w:val="2"/>
        <w:rPr>
          <w:rFonts w:ascii="Arial" w:eastAsia="Times New Roman" w:hAnsi="Arial" w:cs="Arial"/>
          <w:b/>
          <w:color w:val="9D2235"/>
          <w:sz w:val="28"/>
          <w:szCs w:val="28"/>
        </w:rPr>
      </w:pPr>
      <w:bookmarkStart w:id="40" w:name="_Toc67646235"/>
      <w:r w:rsidRPr="00973028">
        <w:rPr>
          <w:rFonts w:ascii="Arial" w:eastAsia="Times New Roman" w:hAnsi="Arial" w:cs="Arial"/>
          <w:b/>
          <w:color w:val="9D2235"/>
          <w:sz w:val="28"/>
          <w:szCs w:val="28"/>
        </w:rPr>
        <w:t>Atención a consultas y otros servicios</w:t>
      </w:r>
      <w:bookmarkEnd w:id="40"/>
    </w:p>
    <w:p w14:paraId="1CF13DD6"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El Servicio de Documentación e Informes a lo largo del año 2020 ha satisfecho distintos tipos de consultas de información que le han sido dirigidas por parte de miembros de la Agencia: búsquedas bibliográficas a partir de autores concretos, solicitudes para localizar y poner a disposición informes y documentos a partir de su mención en los medios de comunicación, </w:t>
      </w:r>
      <w:r w:rsidRPr="00973028">
        <w:rPr>
          <w:rFonts w:ascii="Arial" w:eastAsia="Calibri" w:hAnsi="Arial" w:cs="Arial"/>
          <w:sz w:val="21"/>
        </w:rPr>
        <w:lastRenderedPageBreak/>
        <w:t>investigación bibliográfica sobre diversos temas como derecho de acceso a la información por parte de parlamentarios, el conflicto de interés o el enriquecimiento injusto, etc.</w:t>
      </w:r>
    </w:p>
    <w:p w14:paraId="6DDDF1D0" w14:textId="343DD442"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En la misma línea, pero a iniciativa del Servicio de Documentación e Informes, a partir del mes de marzo se dispuso un servicio interno de carácter coyuntural relacionado con la situación de emergencia sanitaria provocada por el </w:t>
      </w:r>
      <w:r w:rsidR="006E7084" w:rsidRPr="00973028">
        <w:rPr>
          <w:rFonts w:ascii="Arial" w:eastAsia="Calibri" w:hAnsi="Arial" w:cs="Arial"/>
          <w:sz w:val="21"/>
        </w:rPr>
        <w:t>Covid</w:t>
      </w:r>
      <w:r w:rsidRPr="00973028">
        <w:rPr>
          <w:rFonts w:ascii="Arial" w:eastAsia="Calibri" w:hAnsi="Arial" w:cs="Arial"/>
          <w:sz w:val="21"/>
        </w:rPr>
        <w:t>-19 y el estado de alarma. El Servicio de Documentación e Informes ha estado actualizando toda esta documentación que se consideró que era importante recoger puntual y específicamente ante la ingente cantidad de producción de normativa, instrucciones, recomendaciones, planes de actuación, instrumentación de ayudas públicas, etc. en todos los ámbitos gubernamentales.</w:t>
      </w:r>
    </w:p>
    <w:p w14:paraId="7692A5CE" w14:textId="7E8E4666" w:rsidR="00BB4994" w:rsidRPr="00973028" w:rsidRDefault="006E7084" w:rsidP="00672ABA">
      <w:pPr>
        <w:pStyle w:val="Prrafodelista"/>
        <w:keepNext/>
        <w:numPr>
          <w:ilvl w:val="2"/>
          <w:numId w:val="22"/>
        </w:numPr>
        <w:spacing w:before="360" w:after="240" w:line="276" w:lineRule="auto"/>
        <w:ind w:left="1134" w:hanging="1134"/>
        <w:contextualSpacing w:val="0"/>
        <w:jc w:val="both"/>
        <w:outlineLvl w:val="2"/>
        <w:rPr>
          <w:rFonts w:ascii="Arial" w:eastAsia="Times New Roman" w:hAnsi="Arial" w:cs="Arial"/>
          <w:b/>
          <w:color w:val="9D2235"/>
          <w:sz w:val="28"/>
          <w:szCs w:val="28"/>
        </w:rPr>
      </w:pPr>
      <w:bookmarkStart w:id="41" w:name="_Toc67646236"/>
      <w:r w:rsidRPr="00973028">
        <w:rPr>
          <w:rFonts w:ascii="Arial" w:eastAsia="Times New Roman" w:hAnsi="Arial" w:cs="Arial"/>
          <w:b/>
          <w:color w:val="9D2235"/>
          <w:sz w:val="28"/>
          <w:szCs w:val="28"/>
        </w:rPr>
        <w:t>Contrataciones del servicio</w:t>
      </w:r>
      <w:bookmarkEnd w:id="41"/>
    </w:p>
    <w:p w14:paraId="72EFC9BE" w14:textId="7CD8FED4" w:rsidR="00BB4994" w:rsidRPr="00973028" w:rsidRDefault="00BB4994" w:rsidP="00672ABA">
      <w:pPr>
        <w:pStyle w:val="Prrafodelista"/>
        <w:keepNext/>
        <w:numPr>
          <w:ilvl w:val="3"/>
          <w:numId w:val="22"/>
        </w:numPr>
        <w:spacing w:before="360" w:after="240" w:line="276" w:lineRule="auto"/>
        <w:ind w:left="1134" w:hanging="1134"/>
        <w:contextualSpacing w:val="0"/>
        <w:jc w:val="both"/>
        <w:outlineLvl w:val="3"/>
        <w:rPr>
          <w:rFonts w:ascii="Arial" w:eastAsia="Times New Roman" w:hAnsi="Arial" w:cs="Arial"/>
          <w:b/>
          <w:color w:val="9D2235"/>
          <w:sz w:val="24"/>
          <w:szCs w:val="24"/>
        </w:rPr>
      </w:pPr>
      <w:r w:rsidRPr="00973028">
        <w:rPr>
          <w:rFonts w:ascii="Arial" w:eastAsia="Times New Roman" w:hAnsi="Arial" w:cs="Arial"/>
          <w:b/>
          <w:color w:val="9D2235"/>
          <w:sz w:val="24"/>
          <w:szCs w:val="24"/>
        </w:rPr>
        <w:t>Base de datos bibliográfica</w:t>
      </w:r>
    </w:p>
    <w:p w14:paraId="741B6C3D"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El Servicio de Documentación e Informes ha gestionado, para la Agencia Valenciana Antifraude, la suscripción institucional a uno de los mayores portales bibliográficos del mundo, centrado fundamentalmente en los ámbitos de las Ciencias Humanas, Jurídicas y Sociales. La base de datos integra diferentes recursos, base de datos bibliográfica de contenidos científicos, hemeroteca virtual hispana de carácter interdisciplinario y repositorio de acceso a texto completo a la literatura científica (Open Access) y permite a la Agencia obtener servicios de valor añadido.</w:t>
      </w:r>
    </w:p>
    <w:p w14:paraId="5B1467DB"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Con dicha suscripción la Agencia se asegura un doble acceso mediante direcciones IP y registro de usuario con correo electrónico institucional.</w:t>
      </w:r>
    </w:p>
    <w:p w14:paraId="38E1149A"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Entre las funcionalidades más destacables del recurso está su potencial para construir búsquedas avanzadas; la visualización de resultados y conexión con otros recursos; la posibilidad de trabajar con los resultados: exportación de documentos seleccionados, almacenamiento de las búsquedas realizadas, creación de listas bibliográficas, etc. Además, permite al Servicio de Documentación e Informes personalizar la imagen del portal, individualizar las alertas subscritas por los usuarios de la institución y consultar estadísticas de uso.</w:t>
      </w:r>
    </w:p>
    <w:p w14:paraId="2DE01BD5" w14:textId="0A13A2DB" w:rsidR="00BB4994" w:rsidRPr="00973028" w:rsidRDefault="00BB4994" w:rsidP="00672ABA">
      <w:pPr>
        <w:pStyle w:val="Prrafodelista"/>
        <w:keepNext/>
        <w:numPr>
          <w:ilvl w:val="3"/>
          <w:numId w:val="22"/>
        </w:numPr>
        <w:spacing w:before="360" w:after="240" w:line="276" w:lineRule="auto"/>
        <w:ind w:left="1134" w:hanging="1134"/>
        <w:contextualSpacing w:val="0"/>
        <w:jc w:val="both"/>
        <w:outlineLvl w:val="3"/>
        <w:rPr>
          <w:rFonts w:ascii="Arial" w:eastAsia="Times New Roman" w:hAnsi="Arial" w:cs="Arial"/>
          <w:b/>
          <w:color w:val="9D2235"/>
          <w:sz w:val="24"/>
          <w:szCs w:val="24"/>
        </w:rPr>
      </w:pPr>
      <w:r w:rsidRPr="00973028">
        <w:rPr>
          <w:rFonts w:ascii="Arial" w:eastAsia="Times New Roman" w:hAnsi="Arial" w:cs="Arial"/>
          <w:b/>
          <w:color w:val="9D2235"/>
          <w:sz w:val="24"/>
          <w:szCs w:val="24"/>
        </w:rPr>
        <w:t>Base de datos legislativa</w:t>
      </w:r>
    </w:p>
    <w:p w14:paraId="09988396"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Las bases de datos jurídicas son herramientas de investigación documental imprescindibles para el cumplimiento de los fines que la Agencia tiene asignados.</w:t>
      </w:r>
    </w:p>
    <w:p w14:paraId="3AFCD6BA"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En consecuencia, en el año 2020 el Servicio de Documentación e Informes ha llevado a cabo, por un lado, un estudio del panorama nacional de este tipo de bases de datos comparando los mejores productos disponibles y, por otro lado, una consulta abierta a todos los miembros de la Agencia en cuanto a sus preferencias a partir de experiencias y valoraciones profesionales previas. Todo ello con el objetivo de suscribir para la AVAF una base de datos jurídica.</w:t>
      </w:r>
    </w:p>
    <w:p w14:paraId="10C6711E"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Las bases de datos jurídicas se valoran desde la doble perspectiva de la cobertura de </w:t>
      </w:r>
      <w:r w:rsidRPr="00973028">
        <w:rPr>
          <w:rFonts w:ascii="Arial" w:eastAsia="Calibri" w:hAnsi="Arial" w:cs="Arial"/>
          <w:sz w:val="21"/>
        </w:rPr>
        <w:lastRenderedPageBreak/>
        <w:t>contenidos y su potencial explotación. En cuanto a contenidos se pondera la cobertura con carácter retrospectivo y a texto completo de la legislación nacional y europea, la doctrina emanada de instituciones especialmente relevantes para la Agencia, el volumen de referencias bibliográficas, artículos a texto completo y, finalmente, la inmediatez y frecuencia de actualización de contenidos. Por lo que respecta a la explotación, resultan de interés las búsquedas sobre todos los tipos documentales, la posibilidad de creación de dosieres individualizados por usuarios, la capacidad de generar alertas a partir de ecuaciones de búsqueda y los avisos automáticos a partir de modificaciones normativas.</w:t>
      </w:r>
    </w:p>
    <w:p w14:paraId="27EE53AE"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Como resultado de este proceso se ha suscrito con carácter anual el producto considerado idóneo para la satisfacción de las necesidades de la Agencia. Se han difundido manuales de usuario de la herramienta y se ha organizado una sesión formativa virtual con la participación del departamento de formación de la empresa proveedora.</w:t>
      </w:r>
      <w:bookmarkStart w:id="42" w:name="_Hlk62128012"/>
    </w:p>
    <w:p w14:paraId="7D0D147F" w14:textId="69AD1893" w:rsidR="00BB4994" w:rsidRPr="00973028" w:rsidRDefault="006E7084" w:rsidP="00672ABA">
      <w:pPr>
        <w:pStyle w:val="Prrafodelista"/>
        <w:keepNext/>
        <w:numPr>
          <w:ilvl w:val="2"/>
          <w:numId w:val="22"/>
        </w:numPr>
        <w:spacing w:before="360" w:after="240" w:line="276" w:lineRule="auto"/>
        <w:ind w:left="1134" w:hanging="1134"/>
        <w:contextualSpacing w:val="0"/>
        <w:jc w:val="both"/>
        <w:outlineLvl w:val="2"/>
        <w:rPr>
          <w:rFonts w:ascii="Arial" w:eastAsia="Times New Roman" w:hAnsi="Arial" w:cs="Arial"/>
          <w:b/>
          <w:color w:val="9D2235"/>
          <w:sz w:val="28"/>
          <w:szCs w:val="28"/>
        </w:rPr>
      </w:pPr>
      <w:bookmarkStart w:id="43" w:name="_Toc67646237"/>
      <w:r w:rsidRPr="00973028">
        <w:rPr>
          <w:rFonts w:ascii="Arial" w:eastAsia="Times New Roman" w:hAnsi="Arial" w:cs="Arial"/>
          <w:b/>
          <w:color w:val="9D2235"/>
          <w:sz w:val="28"/>
          <w:szCs w:val="28"/>
        </w:rPr>
        <w:t>Política de gestión de documentos electrónicos</w:t>
      </w:r>
      <w:bookmarkEnd w:id="42"/>
      <w:bookmarkEnd w:id="43"/>
    </w:p>
    <w:p w14:paraId="79D8479E" w14:textId="5A5A99E8"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En fecha 16 de julio de 2020 se aprobó por Resolución de la Dirección la Política de gestión de documentos electrónicos (PGDE) de la Agencia de Prevención y Lucha contra el </w:t>
      </w:r>
      <w:r w:rsidR="00BD750A" w:rsidRPr="00973028">
        <w:rPr>
          <w:rFonts w:ascii="Arial" w:eastAsia="Calibri" w:hAnsi="Arial" w:cs="Arial"/>
          <w:sz w:val="21"/>
        </w:rPr>
        <w:t xml:space="preserve">Fraude </w:t>
      </w:r>
      <w:r w:rsidRPr="00973028">
        <w:rPr>
          <w:rFonts w:ascii="Arial" w:eastAsia="Calibri" w:hAnsi="Arial" w:cs="Arial"/>
          <w:sz w:val="21"/>
        </w:rPr>
        <w:t>y la Corrupción de la Comuni</w:t>
      </w:r>
      <w:r w:rsidR="00C24397">
        <w:rPr>
          <w:rFonts w:ascii="Arial" w:eastAsia="Calibri" w:hAnsi="Arial" w:cs="Arial"/>
          <w:sz w:val="21"/>
        </w:rPr>
        <w:t>t</w:t>
      </w:r>
      <w:r w:rsidRPr="00973028">
        <w:rPr>
          <w:rFonts w:ascii="Arial" w:eastAsia="Calibri" w:hAnsi="Arial" w:cs="Arial"/>
          <w:sz w:val="21"/>
        </w:rPr>
        <w:t>a</w:t>
      </w:r>
      <w:r w:rsidR="00C24397">
        <w:rPr>
          <w:rFonts w:ascii="Arial" w:eastAsia="Calibri" w:hAnsi="Arial" w:cs="Arial"/>
          <w:sz w:val="21"/>
        </w:rPr>
        <w:t>t</w:t>
      </w:r>
      <w:r w:rsidRPr="00973028">
        <w:rPr>
          <w:rFonts w:ascii="Arial" w:eastAsia="Calibri" w:hAnsi="Arial" w:cs="Arial"/>
          <w:sz w:val="21"/>
        </w:rPr>
        <w:t xml:space="preserve"> Valenciana.</w:t>
      </w:r>
    </w:p>
    <w:p w14:paraId="79405F6C"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Estas políticas, documentos regidos por la Esquema Nacional de Interoperabilidad y de obligado cumplimiento para todas las administraciones públicas, contienen las directrices que las organizaciones definen, de acuerdo con las funciones y actividades que les son propias, para la creación y gestión de sus documentos, de manera que estos sean auténticos, fiables y estén disponibles a lo largo del tiempo. Los documentos son, en primera instancia, garantía de derechos y obligaciones, y más adelante, testimonio de las actuaciones de gobiernos y administraciones que perduran para estar disponibles al servicio de la investigación histórica, científica, la cultura y la memoria.</w:t>
      </w:r>
    </w:p>
    <w:p w14:paraId="3599A926"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Los documentos de la Agencia, producidos o recibidos en el ejercicio de sus funciones forman un conjunto orgánico vivo y en crecimiento que se reúne en su archivo. La Política de gestión de documentos electrónicos de la AVAF establece los principios y requisitos que rigen la gestión de documentos, los roles y atribución de las responsabilidades de las personas implicadas y los procesos de gestión a lo largo de todo el ciclo de vida de sus documentos.</w:t>
      </w:r>
    </w:p>
    <w:p w14:paraId="62FAD478"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La Política de gestión de documentos electrónicos es un documento vivo con vocación de estabilidad. Ha sido aprobada con diversos instrumentos que facilitan su implementación en concomitancia con la Administración Electrónica y el Archivo Electrónico lo que flexibiliza las sucesivas actualizaciones cuando su implantación y uso lo requieran. Los instrumentos son el cuadro de clasificación funcional, las fichas de identificación de las series documentales y el conjunto de metadatos basado en el Esquema de Metadatos para la Gestión del Documento Electrónico (e-EMGDE).</w:t>
      </w:r>
    </w:p>
    <w:p w14:paraId="4BB5EC3D" w14:textId="2C007E3B"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 xml:space="preserve">Según nuestro </w:t>
      </w:r>
      <w:r w:rsidR="00BD750A" w:rsidRPr="00973028">
        <w:rPr>
          <w:rFonts w:ascii="Arial" w:eastAsia="Calibri" w:hAnsi="Arial" w:cs="Arial"/>
          <w:sz w:val="21"/>
        </w:rPr>
        <w:t>Reglamento</w:t>
      </w:r>
      <w:r w:rsidRPr="00973028">
        <w:rPr>
          <w:rFonts w:ascii="Arial" w:eastAsia="Calibri" w:hAnsi="Arial" w:cs="Arial"/>
          <w:sz w:val="21"/>
        </w:rPr>
        <w:t xml:space="preserve">, recae en la Dirección de prevención, formación y documentación la elaboración de la Política de gestión de documentos electrónicos. El Servicio de Documentación e Informes ha generado dicha política en la asunción de que es necesario atender tanto a la conservación de la documentación de la Agencia como a su </w:t>
      </w:r>
      <w:r w:rsidRPr="00973028">
        <w:rPr>
          <w:rFonts w:ascii="Arial" w:eastAsia="Calibri" w:hAnsi="Arial" w:cs="Arial"/>
          <w:sz w:val="21"/>
        </w:rPr>
        <w:lastRenderedPageBreak/>
        <w:t xml:space="preserve">difusión. Esta doble motivación no es excluyente, sino que, como otras actuaciones en defensa del patrimonio documental </w:t>
      </w:r>
      <w:r w:rsidR="00BD750A" w:rsidRPr="00973028">
        <w:rPr>
          <w:rFonts w:ascii="Arial" w:eastAsia="Calibri" w:hAnsi="Arial" w:cs="Arial"/>
          <w:sz w:val="21"/>
        </w:rPr>
        <w:t xml:space="preserve">han </w:t>
      </w:r>
      <w:r w:rsidRPr="00973028">
        <w:rPr>
          <w:rFonts w:ascii="Arial" w:eastAsia="Calibri" w:hAnsi="Arial" w:cs="Arial"/>
          <w:sz w:val="21"/>
        </w:rPr>
        <w:t>demostrado, éste se acrecienta y defiende mejor, cuanto mejor se conoce, lo que contribuye positivamente a su conservación.</w:t>
      </w:r>
    </w:p>
    <w:p w14:paraId="1D34C88A"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Por un lado, la Política de gestión de documentos electrónicos persigue trasladar las características propias de los documentos de archivo —autenticidad, fiabilidad, integridad y disponibilidad—, al conjunto de los documentos de la Agencia. Por otro lado, los medios electrónicos suponen un revulsivo al derecho de acceso a la información, la publicidad activa y la reutilización de la información recogidos en las leyes, que permiten a las instituciones ser proactivas en la transparencia. La información que está disponible en acceso libre no requiere la tramitación de una solicitud de acceso.</w:t>
      </w:r>
    </w:p>
    <w:p w14:paraId="0CFE0A96"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La implementación de la Política de gestión de documentos electrónicos de manera simultánea con la herramienta de Administración Electrónica está suponiendo un gran reto por la necesidad de adaptación mutua y constante. Para garantizar a futuro la recuperación de información de manera satisfactoria y pertinente, se trabaja en la normalización de elementos como los tipos de documentos o vocabularios controlados, y en la normalización de procesos como la diferenciación de las atribuciones de roles que respetan el reparto de responsabilidad en la custodia de los expedientes.</w:t>
      </w:r>
    </w:p>
    <w:p w14:paraId="08E8D5AB" w14:textId="77777777" w:rsidR="00BB4994" w:rsidRPr="00973028" w:rsidRDefault="00BB4994" w:rsidP="00BB4994">
      <w:pPr>
        <w:widowControl w:val="0"/>
        <w:suppressAutoHyphens/>
        <w:autoSpaceDN w:val="0"/>
        <w:spacing w:after="240" w:line="276" w:lineRule="auto"/>
        <w:jc w:val="both"/>
        <w:rPr>
          <w:rFonts w:ascii="Arial" w:eastAsia="Calibri" w:hAnsi="Arial" w:cs="Arial"/>
          <w:sz w:val="21"/>
        </w:rPr>
      </w:pPr>
      <w:r w:rsidRPr="00973028">
        <w:rPr>
          <w:rFonts w:ascii="Arial" w:eastAsia="Calibri" w:hAnsi="Arial" w:cs="Arial"/>
          <w:sz w:val="21"/>
        </w:rPr>
        <w:t>El caso de la Agencia es especial en el sentido de que nuestra institución es de reciente creación y tiene funciones muy diferentes de otras estructuras de la administración autonómica. Es posible que, porque no nos preceden ni coexisten otras instituciones en el mismo ámbito de actuación y con las mismas funciones, estemos ante la creación de un archivo —entendido aquí como conjunto orgánico de documentos— único, destinado a la conservación permanente para el patrimonio documental valenciano. Y de ahí la importancia de su Política de gestión de documentos electrónicos.</w:t>
      </w:r>
    </w:p>
    <w:p w14:paraId="4039FA19" w14:textId="5C1EE628" w:rsidR="00A21AB4" w:rsidRPr="00973028" w:rsidRDefault="00A21AB4" w:rsidP="00157A8B">
      <w:pPr>
        <w:keepNext/>
        <w:spacing w:line="276" w:lineRule="auto"/>
        <w:outlineLvl w:val="0"/>
        <w:rPr>
          <w:rFonts w:ascii="Arial" w:hAnsi="Arial" w:cs="Arial"/>
          <w:color w:val="000000" w:themeColor="text1"/>
          <w:sz w:val="21"/>
          <w:szCs w:val="21"/>
        </w:rPr>
      </w:pPr>
    </w:p>
    <w:p w14:paraId="7FD283C1" w14:textId="2B90B08C" w:rsidR="00F5441D" w:rsidRPr="00973028" w:rsidRDefault="00F5441D">
      <w:pPr>
        <w:rPr>
          <w:rFonts w:ascii="Arial" w:eastAsia="NSimSun" w:hAnsi="Arial" w:cs="Arial"/>
          <w:color w:val="000000"/>
          <w:kern w:val="2"/>
          <w:sz w:val="20"/>
          <w:szCs w:val="20"/>
          <w:lang w:eastAsia="zh-CN" w:bidi="hi-IN"/>
        </w:rPr>
      </w:pPr>
      <w:bookmarkStart w:id="44" w:name="_Hlk34644086"/>
      <w:bookmarkEnd w:id="5"/>
      <w:r w:rsidRPr="00973028">
        <w:rPr>
          <w:rFonts w:ascii="Arial" w:eastAsia="NSimSun" w:hAnsi="Arial" w:cs="Arial"/>
          <w:color w:val="000000"/>
          <w:kern w:val="2"/>
          <w:sz w:val="20"/>
          <w:szCs w:val="20"/>
          <w:lang w:eastAsia="zh-CN" w:bidi="hi-IN"/>
        </w:rPr>
        <w:br w:type="page"/>
      </w:r>
    </w:p>
    <w:p w14:paraId="68D1A9B9" w14:textId="4E690742" w:rsidR="009568B0" w:rsidRPr="00973028" w:rsidRDefault="009568B0" w:rsidP="0015081D">
      <w:pPr>
        <w:spacing w:after="0" w:line="276" w:lineRule="auto"/>
        <w:rPr>
          <w:rFonts w:ascii="Arial" w:eastAsia="NSimSun" w:hAnsi="Arial" w:cs="Arial"/>
          <w:color w:val="000000"/>
          <w:kern w:val="2"/>
          <w:sz w:val="20"/>
          <w:szCs w:val="20"/>
          <w:lang w:eastAsia="zh-CN" w:bidi="hi-IN"/>
        </w:rPr>
      </w:pPr>
    </w:p>
    <w:p w14:paraId="3595352C" w14:textId="50F6386E" w:rsidR="009568B0" w:rsidRPr="00973028" w:rsidRDefault="00F5441D" w:rsidP="00F5441D">
      <w:pPr>
        <w:spacing w:after="0" w:line="276" w:lineRule="auto"/>
        <w:rPr>
          <w:rFonts w:ascii="Arial" w:eastAsia="Times New Roman" w:hAnsi="Arial" w:cs="Arial"/>
          <w:color w:val="9D2235"/>
          <w:kern w:val="2"/>
          <w:sz w:val="24"/>
          <w:szCs w:val="24"/>
          <w:lang w:eastAsia="es-ES" w:bidi="hi-IN"/>
        </w:rPr>
      </w:pPr>
      <w:r w:rsidRPr="00973028">
        <w:rPr>
          <w:rFonts w:ascii="Arial" w:eastAsia="NSimSun" w:hAnsi="Arial" w:cs="Arial"/>
          <w:color w:val="000000"/>
          <w:kern w:val="2"/>
          <w:sz w:val="20"/>
          <w:szCs w:val="20"/>
          <w:lang w:eastAsia="zh-CN" w:bidi="hi-IN"/>
        </w:rPr>
        <w:t xml:space="preserve">                   </w:t>
      </w:r>
      <w:r w:rsidR="00086FD4">
        <w:rPr>
          <w:rFonts w:ascii="Arial" w:eastAsia="NSimSun" w:hAnsi="Arial" w:cs="Arial"/>
          <w:color w:val="000000"/>
          <w:kern w:val="2"/>
          <w:sz w:val="20"/>
          <w:szCs w:val="20"/>
          <w:lang w:eastAsia="zh-CN" w:bidi="hi-IN"/>
        </w:rPr>
        <w:br/>
      </w:r>
      <w:r w:rsidR="00086FD4">
        <w:rPr>
          <w:rFonts w:ascii="Arial" w:eastAsia="NSimSun" w:hAnsi="Arial" w:cs="Arial"/>
          <w:color w:val="000000"/>
          <w:kern w:val="2"/>
          <w:sz w:val="20"/>
          <w:szCs w:val="20"/>
          <w:lang w:eastAsia="zh-CN" w:bidi="hi-IN"/>
        </w:rPr>
        <w:br/>
      </w:r>
    </w:p>
    <w:p w14:paraId="3591EF68" w14:textId="74ECE7A5" w:rsidR="00942F44" w:rsidRPr="00973028" w:rsidRDefault="00942F44" w:rsidP="00672ABA">
      <w:pPr>
        <w:pStyle w:val="Prrafodelista"/>
        <w:keepNext/>
        <w:numPr>
          <w:ilvl w:val="0"/>
          <w:numId w:val="24"/>
        </w:numPr>
        <w:suppressAutoHyphens/>
        <w:spacing w:after="0" w:line="240" w:lineRule="auto"/>
        <w:ind w:left="0" w:firstLine="0"/>
        <w:outlineLvl w:val="0"/>
        <w:rPr>
          <w:rFonts w:ascii="Arial" w:eastAsia="Times New Roman" w:hAnsi="Arial" w:cs="Arial"/>
          <w:b/>
          <w:bCs/>
          <w:color w:val="9D2235"/>
          <w:spacing w:val="-24"/>
          <w:kern w:val="2"/>
          <w:lang w:eastAsia="es-ES" w:bidi="hi-IN"/>
        </w:rPr>
      </w:pPr>
      <w:r w:rsidRPr="00973028">
        <w:rPr>
          <w:rFonts w:ascii="Arial" w:eastAsia="Times New Roman" w:hAnsi="Arial" w:cs="Arial"/>
          <w:b/>
          <w:bCs/>
          <w:color w:val="9D2235"/>
          <w:spacing w:val="-24"/>
          <w:kern w:val="2"/>
          <w:sz w:val="80"/>
          <w:szCs w:val="80"/>
          <w:lang w:eastAsia="es-ES" w:bidi="hi-IN"/>
        </w:rPr>
        <w:br/>
      </w:r>
      <w:bookmarkStart w:id="45" w:name="_Toc67646238"/>
      <w:r w:rsidR="009568B0" w:rsidRPr="00973028">
        <w:rPr>
          <w:rFonts w:ascii="Arial" w:eastAsia="Times New Roman" w:hAnsi="Arial" w:cs="Arial"/>
          <w:b/>
          <w:bCs/>
          <w:color w:val="9D2235"/>
          <w:spacing w:val="-24"/>
          <w:kern w:val="2"/>
          <w:sz w:val="80"/>
          <w:szCs w:val="80"/>
          <w:lang w:eastAsia="es-ES" w:bidi="hi-IN"/>
        </w:rPr>
        <w:t>Análisis e</w:t>
      </w:r>
      <w:r w:rsidR="00F24AAF">
        <w:rPr>
          <w:rFonts w:ascii="Arial" w:eastAsia="Times New Roman" w:hAnsi="Arial" w:cs="Arial"/>
          <w:b/>
          <w:bCs/>
          <w:color w:val="9D2235"/>
          <w:spacing w:val="-24"/>
          <w:kern w:val="2"/>
          <w:sz w:val="80"/>
          <w:szCs w:val="80"/>
          <w:lang w:eastAsia="es-ES" w:bidi="hi-IN"/>
        </w:rPr>
        <w:t xml:space="preserve"> </w:t>
      </w:r>
      <w:r w:rsidR="003C28C4" w:rsidRPr="00973028">
        <w:rPr>
          <w:rFonts w:ascii="Arial" w:eastAsia="Times New Roman" w:hAnsi="Arial" w:cs="Arial"/>
          <w:b/>
          <w:bCs/>
          <w:color w:val="9D2235"/>
          <w:spacing w:val="-24"/>
          <w:kern w:val="2"/>
          <w:sz w:val="80"/>
          <w:szCs w:val="80"/>
          <w:lang w:eastAsia="es-ES" w:bidi="hi-IN"/>
        </w:rPr>
        <w:br/>
      </w:r>
      <w:r w:rsidRPr="00973028">
        <w:rPr>
          <w:rFonts w:ascii="Arial" w:eastAsia="Times New Roman" w:hAnsi="Arial" w:cs="Arial"/>
          <w:b/>
          <w:bCs/>
          <w:color w:val="9D2235"/>
          <w:spacing w:val="-24"/>
          <w:kern w:val="2"/>
          <w:sz w:val="80"/>
          <w:szCs w:val="80"/>
          <w:lang w:eastAsia="es-ES" w:bidi="hi-IN"/>
        </w:rPr>
        <w:t>I</w:t>
      </w:r>
      <w:r w:rsidR="009568B0" w:rsidRPr="00973028">
        <w:rPr>
          <w:rFonts w:ascii="Arial" w:eastAsia="Times New Roman" w:hAnsi="Arial" w:cs="Arial"/>
          <w:b/>
          <w:bCs/>
          <w:color w:val="9D2235"/>
          <w:spacing w:val="-24"/>
          <w:kern w:val="2"/>
          <w:sz w:val="80"/>
          <w:szCs w:val="80"/>
          <w:lang w:eastAsia="es-ES" w:bidi="hi-IN"/>
        </w:rPr>
        <w:t>nvestigación</w:t>
      </w:r>
      <w:bookmarkEnd w:id="45"/>
      <w:r w:rsidRPr="00973028">
        <w:rPr>
          <w:rFonts w:ascii="Arial" w:eastAsia="Times New Roman" w:hAnsi="Arial" w:cs="Arial"/>
          <w:b/>
          <w:bCs/>
          <w:color w:val="9D2235"/>
          <w:spacing w:val="-24"/>
          <w:kern w:val="2"/>
          <w:sz w:val="80"/>
          <w:szCs w:val="80"/>
          <w:lang w:eastAsia="es-ES" w:bidi="hi-IN"/>
        </w:rPr>
        <w:br/>
      </w:r>
      <w:r w:rsidR="00086FD4">
        <w:rPr>
          <w:rFonts w:ascii="Arial" w:eastAsia="Times New Roman" w:hAnsi="Arial" w:cs="Arial"/>
          <w:b/>
          <w:bCs/>
          <w:color w:val="9D2235"/>
          <w:spacing w:val="-24"/>
          <w:kern w:val="2"/>
          <w:lang w:eastAsia="es-ES" w:bidi="hi-IN"/>
        </w:rPr>
        <w:br/>
      </w:r>
      <w:r w:rsidR="00F24AAF">
        <w:rPr>
          <w:rFonts w:ascii="Arial" w:eastAsia="Times New Roman" w:hAnsi="Arial" w:cs="Arial"/>
          <w:b/>
          <w:bCs/>
          <w:color w:val="9D2235"/>
          <w:spacing w:val="-24"/>
          <w:kern w:val="2"/>
          <w:lang w:eastAsia="es-ES" w:bidi="hi-IN"/>
        </w:rPr>
        <w:br/>
      </w:r>
      <w:r w:rsidR="00086FD4">
        <w:rPr>
          <w:rFonts w:ascii="Arial" w:eastAsia="Times New Roman" w:hAnsi="Arial" w:cs="Arial"/>
          <w:b/>
          <w:bCs/>
          <w:color w:val="9D2235"/>
          <w:spacing w:val="-24"/>
          <w:kern w:val="2"/>
          <w:lang w:eastAsia="es-ES" w:bidi="hi-IN"/>
        </w:rPr>
        <w:br/>
      </w:r>
    </w:p>
    <w:p w14:paraId="7FBDAA4A" w14:textId="23D4E619" w:rsidR="002A47AA" w:rsidRPr="00973028" w:rsidRDefault="002A47AA" w:rsidP="00672ABA">
      <w:pPr>
        <w:pStyle w:val="Prrafodelista"/>
        <w:keepNext/>
        <w:numPr>
          <w:ilvl w:val="1"/>
          <w:numId w:val="24"/>
        </w:numPr>
        <w:suppressAutoHyphens/>
        <w:spacing w:before="360" w:after="240" w:line="276" w:lineRule="auto"/>
        <w:ind w:left="851" w:hanging="851"/>
        <w:jc w:val="both"/>
        <w:outlineLvl w:val="1"/>
        <w:rPr>
          <w:rFonts w:ascii="Arial" w:eastAsia="Times New Roman" w:hAnsi="Arial" w:cs="Arial"/>
          <w:b/>
          <w:bCs/>
          <w:color w:val="9D2235"/>
          <w:spacing w:val="-24"/>
          <w:kern w:val="2"/>
          <w:sz w:val="32"/>
          <w:szCs w:val="32"/>
          <w:lang w:eastAsia="es-ES" w:bidi="hi-IN"/>
        </w:rPr>
      </w:pPr>
      <w:bookmarkStart w:id="46" w:name="_Toc67646239"/>
      <w:r w:rsidRPr="00973028">
        <w:rPr>
          <w:rFonts w:ascii="Arial" w:eastAsia="Times New Roman" w:hAnsi="Arial" w:cs="Arial"/>
          <w:b/>
          <w:color w:val="9D2235"/>
          <w:sz w:val="32"/>
          <w:szCs w:val="32"/>
        </w:rPr>
        <w:t>Presentación</w:t>
      </w:r>
      <w:bookmarkEnd w:id="46"/>
    </w:p>
    <w:p w14:paraId="2DC6BCD4"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En este año 2020, cuarto ejercicio de funcionamiento de la Agencia, la Dirección de Análisis e Investigación ha consolidado su actuación basada en tres pilares básicos; el primero y principio rector, afrontar todas las investigaciones con rigor, imparcialidad y objetividad; el segundo, consolidar un equipo humano multidisciplinar, altamente cualificado, comprometido y entregado al desempeño de sus funciones; y el tercer pilar, la búsqueda continua de la mejora, utilizando la planificación de objetivos como mecanismo para conseguirlo. Mejorar la capacidad de resolución de denuncias, incrementar el número de las investigaciones, mejorar el tiempo de respuesta de la resolución de los expedientes, mejorar la calidad técnica y jurídica de las investigaciones, y, en definitiva, la búsqueda de la mejora continua cuantitativa y cualitativa de las investigaciones, ha sido el gran reto de este ejercicio.</w:t>
      </w:r>
    </w:p>
    <w:p w14:paraId="0514A31C"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Los datos de gestión de este difícil año 2020, y la evolución desde el primer año de funcionamiento, acreditan la consolidación del trabajo de la Agencia y su posicionamiento como una entidad referente en la lucha contra el fraude y la corrupción; en el año 2020 se han abierto 226 expedientes, frente a los 168 del año 2019, lo que representa un incremento del 34,52 %. Tomando como referencia el año 2018, en el que se abrieron 181 expedientes, el incremento es del 24,86%.</w:t>
      </w:r>
    </w:p>
    <w:p w14:paraId="47AF8B0A"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 xml:space="preserve">Además del incremento sustancial del número de denuncias presentadas, durante el año 2020 se ha conseguido mejorar sustancialmente la capacidad de gestión de la Dirección, así en 2020 se han finalizado un total de 152 expedientes frente a los 128 expedientes que se finalizaron en 2019, lo que implica un incremento del 18,75%. De los 152 expedientes finalizados en 2020, 122 lo hicieron en la fase de análisis y 30 en la fase de investigación </w:t>
      </w:r>
      <w:r w:rsidRPr="00973028">
        <w:rPr>
          <w:rFonts w:ascii="Arial" w:hAnsi="Arial"/>
          <w:sz w:val="21"/>
          <w:szCs w:val="21"/>
        </w:rPr>
        <w:lastRenderedPageBreak/>
        <w:t>con resolución final de la investigación, lo que supone un incremento del 7,02% respecto a los expedientes finalizados en la fase de análisis en 2019, y un incremento del 114,29% frente a las investigaciones finalizadas en 2019. También hay que destacar que durante 2020 se han iniciado 58 investigaciones frente a las 21 investigaciones que se iniciaron en 2019, lo que implica un incremento del 176,19%, y que ha situado el porcentaje de denuncias que pasan a la fase de investigación en el 32,2% frente al 15,5% del año 2019, duplicando con ello las investigaciones.</w:t>
      </w:r>
    </w:p>
    <w:p w14:paraId="270FD65D"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A lo largo de los siguientes apartados se expondrán en detalle los resultados que se acaban de ofrecer, así como otros que resultan de especial interés, algunos de los cuales ya han sido expuestos anteriormente en las Memorias de ejercicios anteriores y que serán actualizados con la correspondiente evolución de los datos en 2020. Asimismo, se incorporan nuevas tablas que recogen la evolución de la situación de los expedientes tramitados en el Área de Análisis e Investigación y el estado de tramitación y finalización, en su caso, de los mismos.</w:t>
      </w:r>
    </w:p>
    <w:p w14:paraId="7395FD22" w14:textId="77777777" w:rsidR="002A47AA" w:rsidRPr="00973028" w:rsidRDefault="002A47AA" w:rsidP="002A47AA">
      <w:pPr>
        <w:spacing w:after="240" w:line="276" w:lineRule="auto"/>
        <w:jc w:val="both"/>
        <w:rPr>
          <w:rFonts w:ascii="Arial" w:hAnsi="Arial" w:cs="Times New Roman"/>
          <w:sz w:val="21"/>
          <w:szCs w:val="21"/>
        </w:rPr>
      </w:pPr>
      <w:r w:rsidRPr="00973028">
        <w:rPr>
          <w:rFonts w:ascii="Arial" w:hAnsi="Arial"/>
          <w:sz w:val="21"/>
          <w:szCs w:val="21"/>
        </w:rPr>
        <w:t>Uno de los objetivos prioritarios de esta Dirección para la anualidad 2021, como l</w:t>
      </w:r>
      <w:r w:rsidRPr="00973028">
        <w:rPr>
          <w:rFonts w:ascii="Arial" w:hAnsi="Arial" w:cs="Times New Roman"/>
          <w:sz w:val="21"/>
          <w:szCs w:val="21"/>
        </w:rPr>
        <w:t>ínea estratégica, es alcanzar el punto de equilibrio de gestión, entendido como la resolución de expedientes, tanto en la fase de análisis (archivos e inadmisiones) con en la fase de investigación (resoluciones finales de investigación) en un volumen cuantitativo, igual o superior a las denuncias nuevas que se presenten en 2021, y todo ello manteniendo y mejorando los niveles de calidad jurídico técnica de las investigaciones. Para ello, se ha planificado la actuación de los años 2021 y 2022 a través de un Plan Estratégico, que recoge tanto los objetivos globales de la Dirección, como la distribución de objetivos individuales a los distintos puestos de trabajo con funciones de investigación.</w:t>
      </w:r>
    </w:p>
    <w:p w14:paraId="5C1CE4DB" w14:textId="0B8A69E8"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 xml:space="preserve">Como ya se hizo en la Memoria 2019, se incluye un apartado específico relativo al seguimiento de las recomendaciones que se han efectuado tras la finalización de los correspondientes expedientes tramitados, y un apartado que recoge de forma resumida y sintética un compendio de las actuaciones de investigación realizadas durante la anualidad 2020 y que se han considerado como más relevantes o de mayor interés en cuanto a su publicación. Hay que destacar dos novedades, la primera, se han publicado en el portal de transparencia de la Agencia de todas las </w:t>
      </w:r>
      <w:hyperlink r:id="rId46" w:anchor="resoluciones-finales-de-investigaci%C3%B3n" w:history="1">
        <w:r w:rsidRPr="00973028">
          <w:rPr>
            <w:rStyle w:val="Hipervnculo"/>
            <w:rFonts w:ascii="Arial" w:hAnsi="Arial"/>
            <w:sz w:val="21"/>
            <w:szCs w:val="21"/>
          </w:rPr>
          <w:t>resoluciones finales de investigación dictadas desde el inicio de su funcionamiento</w:t>
        </w:r>
      </w:hyperlink>
      <w:r w:rsidRPr="00973028">
        <w:rPr>
          <w:rFonts w:ascii="Arial" w:hAnsi="Arial"/>
          <w:sz w:val="21"/>
          <w:szCs w:val="21"/>
        </w:rPr>
        <w:t xml:space="preserve">, y la segunda, como novedad de esta Memoria se incluye un apartado específico para destacar las administraciones que no han aplicado las recomendaciones propuestas por la Agencia ni justifican su inaplicación. </w:t>
      </w:r>
    </w:p>
    <w:p w14:paraId="065A2F3F"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Finalmente, se hará referencia a la colaboración que ha llevado a cabo la Agencia durante la anualidad 2020 en apoyo o auxilio técnico a otros órganos administrativos o jurisdiccionales.</w:t>
      </w:r>
    </w:p>
    <w:p w14:paraId="3CE0944D" w14:textId="580DA6DF" w:rsidR="002A47AA" w:rsidRPr="00973028" w:rsidRDefault="002A47AA" w:rsidP="00672ABA">
      <w:pPr>
        <w:pStyle w:val="Prrafodelista"/>
        <w:keepNext/>
        <w:numPr>
          <w:ilvl w:val="1"/>
          <w:numId w:val="24"/>
        </w:numPr>
        <w:suppressAutoHyphens/>
        <w:spacing w:before="360" w:after="240" w:line="276" w:lineRule="auto"/>
        <w:ind w:left="851" w:hanging="851"/>
        <w:jc w:val="both"/>
        <w:outlineLvl w:val="1"/>
        <w:rPr>
          <w:rFonts w:ascii="Arial" w:eastAsia="Times New Roman" w:hAnsi="Arial" w:cs="Arial"/>
          <w:b/>
          <w:color w:val="9D2235"/>
          <w:sz w:val="32"/>
          <w:szCs w:val="32"/>
        </w:rPr>
      </w:pPr>
      <w:bookmarkStart w:id="47" w:name="_Toc67646240"/>
      <w:r w:rsidRPr="00973028">
        <w:rPr>
          <w:rFonts w:ascii="Arial" w:eastAsia="Times New Roman" w:hAnsi="Arial" w:cs="Arial"/>
          <w:b/>
          <w:color w:val="9D2235"/>
          <w:sz w:val="32"/>
          <w:szCs w:val="32"/>
        </w:rPr>
        <w:t>Denuncias presentadas, clasificaciones y evolución</w:t>
      </w:r>
      <w:bookmarkEnd w:id="47"/>
    </w:p>
    <w:p w14:paraId="0A0317CF" w14:textId="77777777" w:rsidR="002A47AA" w:rsidRPr="00973028" w:rsidRDefault="002A47AA" w:rsidP="00F24AAF">
      <w:pPr>
        <w:spacing w:after="120" w:line="276" w:lineRule="auto"/>
        <w:jc w:val="both"/>
        <w:rPr>
          <w:rFonts w:ascii="Arial" w:hAnsi="Arial"/>
          <w:sz w:val="21"/>
          <w:szCs w:val="21"/>
        </w:rPr>
      </w:pPr>
      <w:r w:rsidRPr="00973028">
        <w:rPr>
          <w:rFonts w:ascii="Arial" w:hAnsi="Arial"/>
          <w:sz w:val="21"/>
          <w:szCs w:val="21"/>
        </w:rPr>
        <w:t xml:space="preserve">De acuerdo con lo dispuesto en el artículo 11 de la Ley 11/2016, de 28 de noviembre, de la Agencia de Prevención y Lucha contra el Fraude y la Corrupción de la Comunitat Valenciana, </w:t>
      </w:r>
      <w:r w:rsidRPr="00973028">
        <w:rPr>
          <w:rFonts w:ascii="Arial" w:hAnsi="Arial"/>
          <w:sz w:val="21"/>
          <w:szCs w:val="21"/>
        </w:rPr>
        <w:lastRenderedPageBreak/>
        <w:t>las actuaciones de análisis e investigación de la Agencia se inician de oficio, por acuerdo del director o la directora, previa determinación de la verosimilitud, cuando sea sabedora de hechos o conductas que requieran ser investigados, inspeccionados o que aconsejen realizar un seguimiento y también cuando, después de realizar un análisis de riesgo, los indicadores de riesgo aconsejen la inspección o el seguimiento de determinados hechos o actividades.</w:t>
      </w:r>
    </w:p>
    <w:p w14:paraId="14F77CEF" w14:textId="21DF2E62" w:rsidR="002A47AA" w:rsidRPr="00973028" w:rsidRDefault="002A47AA" w:rsidP="00F24AAF">
      <w:pPr>
        <w:spacing w:after="120" w:line="276" w:lineRule="auto"/>
        <w:jc w:val="both"/>
        <w:rPr>
          <w:rFonts w:ascii="Arial" w:hAnsi="Arial"/>
          <w:sz w:val="21"/>
          <w:szCs w:val="21"/>
        </w:rPr>
      </w:pPr>
      <w:r w:rsidRPr="00973028">
        <w:rPr>
          <w:rFonts w:ascii="Arial" w:hAnsi="Arial"/>
          <w:sz w:val="21"/>
          <w:szCs w:val="21"/>
        </w:rPr>
        <w:t>El inicio de las actuaciones de oficio se producirá bien por iniciativa propia, como consecuencia de una solicitud de las Corts o de otros órganos o instituciones públicas, o por denuncia.</w:t>
      </w:r>
    </w:p>
    <w:p w14:paraId="5FF04E5C" w14:textId="77777777" w:rsidR="002A47AA" w:rsidRPr="00973028" w:rsidRDefault="002A47AA" w:rsidP="00F24AAF">
      <w:pPr>
        <w:spacing w:after="120" w:line="276" w:lineRule="auto"/>
        <w:jc w:val="both"/>
        <w:rPr>
          <w:rFonts w:ascii="Arial" w:hAnsi="Arial"/>
          <w:sz w:val="21"/>
          <w:szCs w:val="21"/>
        </w:rPr>
      </w:pPr>
      <w:r w:rsidRPr="00973028">
        <w:rPr>
          <w:rFonts w:ascii="Arial" w:hAnsi="Arial"/>
          <w:sz w:val="21"/>
          <w:szCs w:val="21"/>
        </w:rPr>
        <w:t xml:space="preserve">Cualquier persona puede dirigirse a la Agencia para comunicar conductas que puedan ser susceptibles de ser investigadas o inspeccionadas por esta. </w:t>
      </w:r>
    </w:p>
    <w:p w14:paraId="58A380B7" w14:textId="77777777" w:rsidR="002A47AA" w:rsidRPr="00973028" w:rsidRDefault="002A47AA" w:rsidP="00F24AAF">
      <w:pPr>
        <w:spacing w:after="120" w:line="276" w:lineRule="auto"/>
        <w:jc w:val="both"/>
        <w:rPr>
          <w:rFonts w:ascii="Arial" w:hAnsi="Arial"/>
          <w:sz w:val="21"/>
          <w:szCs w:val="21"/>
        </w:rPr>
      </w:pPr>
      <w:r w:rsidRPr="00973028">
        <w:rPr>
          <w:rFonts w:ascii="Arial" w:hAnsi="Arial"/>
          <w:sz w:val="21"/>
          <w:szCs w:val="21"/>
        </w:rPr>
        <w:t>Las autoridades, los empleados públicos y todos los que cumplan funciones públicas o desarrollen el trabajo en entidades y organismos públicos deben comunicar inmediatamente a la Agencia, desde el momento en que los conozcan, los hechos que puedan ser susceptibles de ser objeto de investigación o inspección por parte de la Agencia.</w:t>
      </w:r>
    </w:p>
    <w:p w14:paraId="4398EB75" w14:textId="77777777" w:rsidR="002A47AA" w:rsidRPr="00973028" w:rsidRDefault="002A47AA" w:rsidP="00F24AAF">
      <w:pPr>
        <w:spacing w:after="120" w:line="276" w:lineRule="auto"/>
        <w:jc w:val="both"/>
        <w:rPr>
          <w:rFonts w:ascii="Arial" w:hAnsi="Arial"/>
          <w:sz w:val="21"/>
          <w:szCs w:val="21"/>
        </w:rPr>
      </w:pPr>
      <w:r w:rsidRPr="00973028">
        <w:rPr>
          <w:rFonts w:ascii="Arial" w:hAnsi="Arial"/>
          <w:sz w:val="21"/>
          <w:szCs w:val="21"/>
        </w:rPr>
        <w:t>En todo caso, la persona informadora tiene el derecho a que se garantice la confidencialidad sobre su identidad.</w:t>
      </w:r>
    </w:p>
    <w:p w14:paraId="7777B206" w14:textId="45F59507" w:rsidR="00086FD4" w:rsidRPr="00973028" w:rsidRDefault="002A47AA" w:rsidP="00F24AAF">
      <w:pPr>
        <w:spacing w:after="120" w:line="276" w:lineRule="auto"/>
        <w:jc w:val="both"/>
        <w:rPr>
          <w:rFonts w:ascii="Arial" w:hAnsi="Arial"/>
          <w:sz w:val="21"/>
          <w:szCs w:val="21"/>
        </w:rPr>
      </w:pPr>
      <w:r w:rsidRPr="00973028">
        <w:rPr>
          <w:rFonts w:ascii="Arial" w:hAnsi="Arial"/>
          <w:sz w:val="21"/>
          <w:szCs w:val="21"/>
        </w:rPr>
        <w:t xml:space="preserve">A continuación, se exponen datos y detalles acerca de la recepción de denuncias, expedientes tramitados y de la evolución comparativa de las denuncias presentadas y los expedientes tramitados desde la Dirección de Análisis e Investigación, desde distintas clasificaciones. </w:t>
      </w:r>
    </w:p>
    <w:p w14:paraId="4FA96936" w14:textId="6B1FB26E" w:rsidR="002A47AA" w:rsidRPr="00973028" w:rsidRDefault="002A47AA" w:rsidP="00F24AAF">
      <w:pPr>
        <w:pStyle w:val="Prrafodelista"/>
        <w:keepNext/>
        <w:numPr>
          <w:ilvl w:val="2"/>
          <w:numId w:val="24"/>
        </w:numPr>
        <w:suppressAutoHyphens/>
        <w:spacing w:after="120" w:line="276" w:lineRule="auto"/>
        <w:ind w:left="1134" w:hanging="1134"/>
        <w:jc w:val="both"/>
        <w:outlineLvl w:val="2"/>
        <w:rPr>
          <w:rFonts w:ascii="Arial" w:eastAsia="Times New Roman" w:hAnsi="Arial" w:cs="Arial"/>
          <w:b/>
          <w:color w:val="9D2235"/>
          <w:sz w:val="28"/>
          <w:szCs w:val="28"/>
        </w:rPr>
      </w:pPr>
      <w:bookmarkStart w:id="48" w:name="_Toc67646241"/>
      <w:r w:rsidRPr="00973028">
        <w:rPr>
          <w:rFonts w:ascii="Arial" w:eastAsia="Times New Roman" w:hAnsi="Arial" w:cs="Arial"/>
          <w:b/>
          <w:color w:val="9D2235"/>
          <w:sz w:val="28"/>
          <w:szCs w:val="28"/>
        </w:rPr>
        <w:t>Denuncias presentadas por ámbito subjetivo</w:t>
      </w:r>
      <w:bookmarkEnd w:id="48"/>
    </w:p>
    <w:p w14:paraId="05F9764C" w14:textId="77777777" w:rsidR="002A47AA" w:rsidRPr="00973028" w:rsidRDefault="002A47AA" w:rsidP="00F24AAF">
      <w:pPr>
        <w:spacing w:after="120" w:line="276" w:lineRule="auto"/>
        <w:jc w:val="both"/>
        <w:rPr>
          <w:rFonts w:ascii="Arial" w:hAnsi="Arial"/>
          <w:sz w:val="21"/>
          <w:szCs w:val="21"/>
        </w:rPr>
      </w:pPr>
      <w:r w:rsidRPr="00973028">
        <w:rPr>
          <w:rFonts w:ascii="Arial" w:hAnsi="Arial"/>
          <w:sz w:val="21"/>
          <w:szCs w:val="21"/>
        </w:rPr>
        <w:t xml:space="preserve">Contempla la clasificación de las denuncias presentadas en base al ámbito o sector de la institución, administración, entidad o persona al que se refiere la comunicación de hechos o denuncia recibida. </w:t>
      </w:r>
    </w:p>
    <w:p w14:paraId="71D33E62" w14:textId="77777777" w:rsidR="002D3AF5" w:rsidRDefault="002A47AA" w:rsidP="002D3AF5">
      <w:pPr>
        <w:spacing w:after="120" w:line="276" w:lineRule="auto"/>
        <w:jc w:val="both"/>
        <w:rPr>
          <w:rFonts w:ascii="Arial" w:hAnsi="Arial"/>
          <w:sz w:val="21"/>
          <w:szCs w:val="21"/>
        </w:rPr>
      </w:pPr>
      <w:r w:rsidRPr="00973028">
        <w:rPr>
          <w:rFonts w:ascii="Arial" w:hAnsi="Arial"/>
          <w:sz w:val="21"/>
          <w:szCs w:val="21"/>
        </w:rPr>
        <w:t>Se han agrupado los expedientes en los sectores incluidos en el ámbito de aplicación de actuación de la Agencia y recogidos en el artículo 3 de la Ley 11/2016:</w:t>
      </w:r>
    </w:p>
    <w:p w14:paraId="62319120" w14:textId="6DEE80E2" w:rsidR="00F24AAF" w:rsidRPr="002D3AF5" w:rsidRDefault="00F24AAF" w:rsidP="002D3AF5">
      <w:pPr>
        <w:spacing w:after="120" w:line="276" w:lineRule="auto"/>
        <w:jc w:val="both"/>
        <w:rPr>
          <w:rFonts w:ascii="Arial" w:hAnsi="Arial"/>
          <w:sz w:val="21"/>
          <w:szCs w:val="21"/>
        </w:rPr>
      </w:pPr>
      <w:r>
        <w:rPr>
          <w:noProof/>
        </w:rPr>
        <w:drawing>
          <wp:inline distT="0" distB="0" distL="0" distR="0" wp14:anchorId="0739936F" wp14:editId="49C6E290">
            <wp:extent cx="5400040" cy="2702001"/>
            <wp:effectExtent l="0" t="0" r="10160" b="3175"/>
            <wp:docPr id="11" name="Gráfico 11">
              <a:extLst xmlns:a="http://schemas.openxmlformats.org/drawingml/2006/main">
                <a:ext uri="{FF2B5EF4-FFF2-40B4-BE49-F238E27FC236}">
                  <a16:creationId xmlns:a16="http://schemas.microsoft.com/office/drawing/2014/main" id="{0A4A1362-315D-4F71-8DC7-EC9F4A4BBC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2996F2A" w14:textId="4AA28BBA" w:rsidR="00F24AAF" w:rsidRPr="00973028" w:rsidRDefault="00F24AAF" w:rsidP="00F24AAF">
      <w:pPr>
        <w:pStyle w:val="Descripcin"/>
        <w:jc w:val="center"/>
        <w:rPr>
          <w:rFonts w:ascii="Arial" w:hAnsi="Arial" w:cs="Arial"/>
          <w:smallCaps w:val="0"/>
          <w:color w:val="FFFFFF" w:themeColor="background1"/>
          <w:sz w:val="16"/>
          <w:szCs w:val="16"/>
          <w14:textFill>
            <w14:noFill/>
          </w14:textFill>
        </w:rPr>
      </w:pPr>
      <w:bookmarkStart w:id="49" w:name="_Toc67646397"/>
      <w:r w:rsidRPr="00973028">
        <w:rPr>
          <w:rFonts w:ascii="Arial" w:hAnsi="Arial" w:cs="Arial"/>
          <w:smallCaps w:val="0"/>
          <w:color w:val="9D2235" w:themeColor="accent1"/>
          <w:sz w:val="16"/>
          <w:szCs w:val="16"/>
        </w:rPr>
        <w:t xml:space="preserve">Gráfico </w:t>
      </w:r>
      <w:r w:rsidRPr="00973028">
        <w:rPr>
          <w:rFonts w:ascii="Arial" w:hAnsi="Arial" w:cs="Arial"/>
          <w:smallCaps w:val="0"/>
          <w:color w:val="9D2235" w:themeColor="accent1"/>
          <w:sz w:val="16"/>
          <w:szCs w:val="16"/>
        </w:rPr>
        <w:fldChar w:fldCharType="begin"/>
      </w:r>
      <w:r w:rsidRPr="00973028">
        <w:rPr>
          <w:rFonts w:ascii="Arial" w:hAnsi="Arial" w:cs="Arial"/>
          <w:smallCaps w:val="0"/>
          <w:color w:val="9D2235" w:themeColor="accent1"/>
          <w:sz w:val="16"/>
          <w:szCs w:val="16"/>
        </w:rPr>
        <w:instrText xml:space="preserve"> SEQ Gráfico \* ARABIC </w:instrText>
      </w:r>
      <w:r w:rsidRPr="00973028">
        <w:rPr>
          <w:rFonts w:ascii="Arial" w:hAnsi="Arial" w:cs="Arial"/>
          <w:smallCaps w:val="0"/>
          <w:color w:val="9D2235" w:themeColor="accent1"/>
          <w:sz w:val="16"/>
          <w:szCs w:val="16"/>
        </w:rPr>
        <w:fldChar w:fldCharType="separate"/>
      </w:r>
      <w:r w:rsidR="00000D1F">
        <w:rPr>
          <w:rFonts w:ascii="Arial" w:hAnsi="Arial" w:cs="Arial"/>
          <w:smallCaps w:val="0"/>
          <w:noProof/>
          <w:color w:val="9D2235" w:themeColor="accent1"/>
          <w:sz w:val="16"/>
          <w:szCs w:val="16"/>
        </w:rPr>
        <w:t>1</w:t>
      </w:r>
      <w:r w:rsidRPr="00973028">
        <w:rPr>
          <w:rFonts w:ascii="Arial" w:hAnsi="Arial" w:cs="Arial"/>
          <w:smallCaps w:val="0"/>
          <w:color w:val="9D2235" w:themeColor="accent1"/>
          <w:sz w:val="16"/>
          <w:szCs w:val="16"/>
        </w:rPr>
        <w:fldChar w:fldCharType="end"/>
      </w:r>
      <w:r>
        <w:rPr>
          <w:rFonts w:ascii="Arial" w:hAnsi="Arial" w:cs="Arial"/>
          <w:smallCaps w:val="0"/>
          <w:color w:val="9D2235" w:themeColor="accent1"/>
          <w:sz w:val="16"/>
          <w:szCs w:val="16"/>
        </w:rPr>
        <w:t>.</w:t>
      </w:r>
      <w:r w:rsidRPr="00973028">
        <w:rPr>
          <w:rFonts w:ascii="Arial" w:hAnsi="Arial" w:cs="Arial"/>
          <w:smallCaps w:val="0"/>
          <w:color w:val="9D2235" w:themeColor="accent1"/>
          <w:sz w:val="16"/>
          <w:szCs w:val="16"/>
        </w:rPr>
        <w:t xml:space="preserve"> </w:t>
      </w:r>
      <w:r w:rsidRPr="00973028">
        <w:rPr>
          <w:rFonts w:ascii="Arial" w:hAnsi="Arial" w:cs="Arial"/>
          <w:smallCaps w:val="0"/>
          <w:sz w:val="16"/>
          <w:szCs w:val="16"/>
        </w:rPr>
        <w:t xml:space="preserve">Denuncias </w:t>
      </w:r>
      <w:r w:rsidRPr="00973028">
        <w:rPr>
          <w:rFonts w:ascii="Arial" w:hAnsi="Arial" w:cs="Arial"/>
          <w:smallCaps w:val="0"/>
          <w:noProof/>
          <w:sz w:val="16"/>
          <w:szCs w:val="16"/>
        </w:rPr>
        <w:t>presentadas por ámbito subjetivo</w:t>
      </w:r>
      <w:bookmarkEnd w:id="49"/>
    </w:p>
    <w:p w14:paraId="5C1F932D" w14:textId="2271D8A4" w:rsidR="008A4A1D" w:rsidRPr="002D3AF5" w:rsidRDefault="00086FD4" w:rsidP="002D3AF5">
      <w:pPr>
        <w:spacing w:after="240" w:line="276" w:lineRule="auto"/>
        <w:jc w:val="both"/>
        <w:rPr>
          <w:rFonts w:ascii="Arial" w:hAnsi="Arial" w:cs="Arial"/>
          <w:sz w:val="18"/>
          <w:szCs w:val="18"/>
        </w:rPr>
      </w:pPr>
      <w:r>
        <w:rPr>
          <w:rFonts w:ascii="Arial" w:hAnsi="Arial"/>
          <w:sz w:val="21"/>
          <w:szCs w:val="21"/>
        </w:rPr>
        <w:lastRenderedPageBreak/>
        <w:br/>
      </w:r>
      <w:r>
        <w:rPr>
          <w:rFonts w:ascii="Arial" w:hAnsi="Arial"/>
          <w:sz w:val="21"/>
          <w:szCs w:val="21"/>
        </w:rPr>
        <w:br/>
      </w:r>
      <w:bookmarkStart w:id="50" w:name="_Toc67646343"/>
      <w:r w:rsidR="008A4A1D" w:rsidRPr="002D3AF5">
        <w:rPr>
          <w:rFonts w:ascii="Arial" w:hAnsi="Arial" w:cs="Arial"/>
          <w:color w:val="9D2235" w:themeColor="accent1"/>
          <w:sz w:val="18"/>
          <w:szCs w:val="18"/>
        </w:rPr>
        <w:t xml:space="preserve">Tabla </w:t>
      </w:r>
      <w:r w:rsidR="008A4A1D" w:rsidRPr="002D3AF5">
        <w:rPr>
          <w:rFonts w:ascii="Arial" w:hAnsi="Arial" w:cs="Arial"/>
          <w:color w:val="9D2235" w:themeColor="accent1"/>
          <w:sz w:val="18"/>
          <w:szCs w:val="18"/>
        </w:rPr>
        <w:fldChar w:fldCharType="begin"/>
      </w:r>
      <w:r w:rsidR="008A4A1D" w:rsidRPr="002D3AF5">
        <w:rPr>
          <w:rFonts w:ascii="Arial" w:hAnsi="Arial" w:cs="Arial"/>
          <w:color w:val="9D2235" w:themeColor="accent1"/>
          <w:sz w:val="18"/>
          <w:szCs w:val="18"/>
        </w:rPr>
        <w:instrText xml:space="preserve"> SEQ Tabla \* ARABIC </w:instrText>
      </w:r>
      <w:r w:rsidR="008A4A1D" w:rsidRPr="002D3AF5">
        <w:rPr>
          <w:rFonts w:ascii="Arial" w:hAnsi="Arial" w:cs="Arial"/>
          <w:color w:val="9D2235" w:themeColor="accent1"/>
          <w:sz w:val="18"/>
          <w:szCs w:val="18"/>
        </w:rPr>
        <w:fldChar w:fldCharType="separate"/>
      </w:r>
      <w:r w:rsidR="00ED7F0D" w:rsidRPr="002D3AF5">
        <w:rPr>
          <w:rFonts w:ascii="Arial" w:hAnsi="Arial" w:cs="Arial"/>
          <w:noProof/>
          <w:color w:val="9D2235" w:themeColor="accent1"/>
          <w:sz w:val="18"/>
          <w:szCs w:val="18"/>
        </w:rPr>
        <w:t>6</w:t>
      </w:r>
      <w:r w:rsidR="008A4A1D" w:rsidRPr="002D3AF5">
        <w:rPr>
          <w:rFonts w:ascii="Arial" w:hAnsi="Arial" w:cs="Arial"/>
          <w:color w:val="9D2235" w:themeColor="accent1"/>
          <w:sz w:val="18"/>
          <w:szCs w:val="18"/>
        </w:rPr>
        <w:fldChar w:fldCharType="end"/>
      </w:r>
      <w:r w:rsidR="00876C89" w:rsidRPr="002D3AF5">
        <w:rPr>
          <w:rFonts w:ascii="Arial" w:hAnsi="Arial" w:cs="Arial"/>
          <w:color w:val="9D2235" w:themeColor="accent1"/>
          <w:sz w:val="18"/>
          <w:szCs w:val="18"/>
        </w:rPr>
        <w:t>.</w:t>
      </w:r>
      <w:r w:rsidR="008A4A1D" w:rsidRPr="002D3AF5">
        <w:rPr>
          <w:rFonts w:ascii="Arial" w:hAnsi="Arial" w:cs="Arial"/>
          <w:color w:val="9D2235" w:themeColor="accent1"/>
          <w:sz w:val="18"/>
          <w:szCs w:val="18"/>
        </w:rPr>
        <w:t xml:space="preserve"> </w:t>
      </w:r>
      <w:r w:rsidR="008A4A1D" w:rsidRPr="002D3AF5">
        <w:rPr>
          <w:rFonts w:ascii="Arial" w:hAnsi="Arial" w:cs="Arial"/>
          <w:sz w:val="18"/>
          <w:szCs w:val="18"/>
        </w:rPr>
        <w:t>Denuncias presentadas por ámbito subjetivo</w:t>
      </w:r>
      <w:bookmarkEnd w:id="50"/>
    </w:p>
    <w:tbl>
      <w:tblPr>
        <w:tblW w:w="5174" w:type="pct"/>
        <w:tblLayout w:type="fixed"/>
        <w:tblCellMar>
          <w:left w:w="70" w:type="dxa"/>
          <w:right w:w="70" w:type="dxa"/>
        </w:tblCellMar>
        <w:tblLook w:val="04A0" w:firstRow="1" w:lastRow="0" w:firstColumn="1" w:lastColumn="0" w:noHBand="0" w:noVBand="1"/>
      </w:tblPr>
      <w:tblGrid>
        <w:gridCol w:w="2542"/>
        <w:gridCol w:w="850"/>
        <w:gridCol w:w="709"/>
        <w:gridCol w:w="852"/>
        <w:gridCol w:w="709"/>
        <w:gridCol w:w="850"/>
        <w:gridCol w:w="709"/>
        <w:gridCol w:w="850"/>
        <w:gridCol w:w="708"/>
      </w:tblGrid>
      <w:tr w:rsidR="00086FD4" w:rsidRPr="00086FD4" w14:paraId="7174B130" w14:textId="77777777" w:rsidTr="00086FD4">
        <w:trPr>
          <w:trHeight w:val="360"/>
        </w:trPr>
        <w:tc>
          <w:tcPr>
            <w:tcW w:w="1448" w:type="pct"/>
            <w:vMerge w:val="restart"/>
            <w:tcBorders>
              <w:top w:val="single" w:sz="8" w:space="0" w:color="auto"/>
              <w:left w:val="single" w:sz="8" w:space="0" w:color="auto"/>
              <w:bottom w:val="single" w:sz="4" w:space="0" w:color="auto"/>
              <w:right w:val="single" w:sz="4" w:space="0" w:color="auto"/>
            </w:tcBorders>
            <w:shd w:val="clear" w:color="auto" w:fill="9D2235" w:themeFill="accent1"/>
            <w:noWrap/>
            <w:vAlign w:val="center"/>
            <w:hideMark/>
          </w:tcPr>
          <w:p w14:paraId="42A25CE0" w14:textId="77777777" w:rsidR="00017634" w:rsidRPr="00017634" w:rsidRDefault="00017634" w:rsidP="00017634">
            <w:pPr>
              <w:spacing w:after="0" w:line="240" w:lineRule="auto"/>
              <w:rPr>
                <w:rFonts w:ascii="Calibri" w:eastAsia="Times New Roman" w:hAnsi="Calibri" w:cs="Calibri"/>
                <w:b/>
                <w:bCs/>
                <w:color w:val="FFFFFF" w:themeColor="background1"/>
                <w:sz w:val="24"/>
                <w:szCs w:val="24"/>
                <w:lang w:eastAsia="es-ES"/>
              </w:rPr>
            </w:pPr>
            <w:r w:rsidRPr="00017634">
              <w:rPr>
                <w:rFonts w:ascii="Calibri" w:eastAsia="Times New Roman" w:hAnsi="Calibri" w:cs="Calibri"/>
                <w:b/>
                <w:bCs/>
                <w:color w:val="FFFFFF" w:themeColor="background1"/>
                <w:sz w:val="24"/>
                <w:szCs w:val="24"/>
                <w:lang w:eastAsia="es-ES"/>
              </w:rPr>
              <w:t>ENTES DENUNCIADOS</w:t>
            </w:r>
          </w:p>
        </w:tc>
        <w:tc>
          <w:tcPr>
            <w:tcW w:w="888"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69D1CB26" w14:textId="77777777" w:rsidR="00017634" w:rsidRPr="00017634" w:rsidRDefault="00017634" w:rsidP="00017634">
            <w:pPr>
              <w:spacing w:after="0" w:line="240" w:lineRule="auto"/>
              <w:jc w:val="center"/>
              <w:rPr>
                <w:rFonts w:ascii="Calibri" w:eastAsia="Times New Roman" w:hAnsi="Calibri" w:cs="Calibri"/>
                <w:b/>
                <w:bCs/>
                <w:color w:val="FFFFFF" w:themeColor="background1"/>
                <w:sz w:val="20"/>
                <w:szCs w:val="20"/>
                <w:lang w:eastAsia="es-ES"/>
              </w:rPr>
            </w:pPr>
            <w:r w:rsidRPr="00017634">
              <w:rPr>
                <w:rFonts w:ascii="Calibri" w:eastAsia="Times New Roman" w:hAnsi="Calibri" w:cs="Calibri"/>
                <w:b/>
                <w:bCs/>
                <w:color w:val="FFFFFF" w:themeColor="background1"/>
                <w:sz w:val="20"/>
                <w:szCs w:val="20"/>
                <w:lang w:eastAsia="es-ES"/>
              </w:rPr>
              <w:t>2017</w:t>
            </w:r>
          </w:p>
        </w:tc>
        <w:tc>
          <w:tcPr>
            <w:tcW w:w="889"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306B5F7A" w14:textId="77777777" w:rsidR="00017634" w:rsidRPr="00017634" w:rsidRDefault="00017634" w:rsidP="00017634">
            <w:pPr>
              <w:spacing w:after="0" w:line="240" w:lineRule="auto"/>
              <w:jc w:val="center"/>
              <w:rPr>
                <w:rFonts w:ascii="Calibri" w:eastAsia="Times New Roman" w:hAnsi="Calibri" w:cs="Calibri"/>
                <w:b/>
                <w:bCs/>
                <w:color w:val="FFFFFF" w:themeColor="background1"/>
                <w:sz w:val="20"/>
                <w:szCs w:val="20"/>
                <w:lang w:eastAsia="es-ES"/>
              </w:rPr>
            </w:pPr>
            <w:r w:rsidRPr="00017634">
              <w:rPr>
                <w:rFonts w:ascii="Calibri" w:eastAsia="Times New Roman" w:hAnsi="Calibri" w:cs="Calibri"/>
                <w:b/>
                <w:bCs/>
                <w:color w:val="FFFFFF" w:themeColor="background1"/>
                <w:sz w:val="20"/>
                <w:szCs w:val="20"/>
                <w:lang w:eastAsia="es-ES"/>
              </w:rPr>
              <w:t>2018</w:t>
            </w:r>
          </w:p>
        </w:tc>
        <w:tc>
          <w:tcPr>
            <w:tcW w:w="888"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223A89AA" w14:textId="77777777" w:rsidR="00017634" w:rsidRPr="00017634" w:rsidRDefault="00017634" w:rsidP="00017634">
            <w:pPr>
              <w:spacing w:after="0" w:line="240" w:lineRule="auto"/>
              <w:jc w:val="center"/>
              <w:rPr>
                <w:rFonts w:ascii="Calibri" w:eastAsia="Times New Roman" w:hAnsi="Calibri" w:cs="Calibri"/>
                <w:b/>
                <w:bCs/>
                <w:color w:val="FFFFFF" w:themeColor="background1"/>
                <w:sz w:val="20"/>
                <w:szCs w:val="20"/>
                <w:lang w:eastAsia="es-ES"/>
              </w:rPr>
            </w:pPr>
            <w:r w:rsidRPr="00017634">
              <w:rPr>
                <w:rFonts w:ascii="Calibri" w:eastAsia="Times New Roman" w:hAnsi="Calibri" w:cs="Calibri"/>
                <w:b/>
                <w:bCs/>
                <w:color w:val="FFFFFF" w:themeColor="background1"/>
                <w:sz w:val="20"/>
                <w:szCs w:val="20"/>
                <w:lang w:eastAsia="es-ES"/>
              </w:rPr>
              <w:t>2019</w:t>
            </w:r>
          </w:p>
        </w:tc>
        <w:tc>
          <w:tcPr>
            <w:tcW w:w="887" w:type="pct"/>
            <w:gridSpan w:val="2"/>
            <w:tcBorders>
              <w:top w:val="single" w:sz="8" w:space="0" w:color="auto"/>
              <w:left w:val="nil"/>
              <w:bottom w:val="single" w:sz="4" w:space="0" w:color="auto"/>
              <w:right w:val="single" w:sz="8" w:space="0" w:color="000000"/>
            </w:tcBorders>
            <w:shd w:val="clear" w:color="auto" w:fill="9D2235" w:themeFill="accent1"/>
            <w:noWrap/>
            <w:vAlign w:val="bottom"/>
            <w:hideMark/>
          </w:tcPr>
          <w:p w14:paraId="3ABFF708" w14:textId="77777777" w:rsidR="00017634" w:rsidRPr="00017634" w:rsidRDefault="00017634" w:rsidP="00017634">
            <w:pPr>
              <w:spacing w:after="0" w:line="240" w:lineRule="auto"/>
              <w:jc w:val="center"/>
              <w:rPr>
                <w:rFonts w:ascii="Calibri" w:eastAsia="Times New Roman" w:hAnsi="Calibri" w:cs="Calibri"/>
                <w:b/>
                <w:bCs/>
                <w:color w:val="FFFFFF" w:themeColor="background1"/>
                <w:sz w:val="20"/>
                <w:szCs w:val="20"/>
                <w:lang w:eastAsia="es-ES"/>
              </w:rPr>
            </w:pPr>
            <w:r w:rsidRPr="00017634">
              <w:rPr>
                <w:rFonts w:ascii="Calibri" w:eastAsia="Times New Roman" w:hAnsi="Calibri" w:cs="Calibri"/>
                <w:b/>
                <w:bCs/>
                <w:color w:val="FFFFFF" w:themeColor="background1"/>
                <w:sz w:val="20"/>
                <w:szCs w:val="20"/>
                <w:lang w:eastAsia="es-ES"/>
              </w:rPr>
              <w:t>2020</w:t>
            </w:r>
          </w:p>
        </w:tc>
      </w:tr>
      <w:tr w:rsidR="00086FD4" w:rsidRPr="00086FD4" w14:paraId="193570ED" w14:textId="77777777" w:rsidTr="00086FD4">
        <w:trPr>
          <w:trHeight w:val="360"/>
        </w:trPr>
        <w:tc>
          <w:tcPr>
            <w:tcW w:w="1448" w:type="pct"/>
            <w:vMerge/>
            <w:tcBorders>
              <w:top w:val="single" w:sz="8" w:space="0" w:color="auto"/>
              <w:left w:val="single" w:sz="8" w:space="0" w:color="auto"/>
              <w:bottom w:val="single" w:sz="4" w:space="0" w:color="auto"/>
              <w:right w:val="single" w:sz="4" w:space="0" w:color="auto"/>
            </w:tcBorders>
            <w:shd w:val="clear" w:color="auto" w:fill="9D2235" w:themeFill="accent1"/>
            <w:vAlign w:val="center"/>
            <w:hideMark/>
          </w:tcPr>
          <w:p w14:paraId="24BE82FD" w14:textId="77777777" w:rsidR="00017634" w:rsidRPr="00017634" w:rsidRDefault="00017634" w:rsidP="00017634">
            <w:pPr>
              <w:spacing w:after="0" w:line="240" w:lineRule="auto"/>
              <w:rPr>
                <w:rFonts w:ascii="Calibri" w:eastAsia="Times New Roman" w:hAnsi="Calibri" w:cs="Calibri"/>
                <w:b/>
                <w:bCs/>
                <w:color w:val="FFFFFF" w:themeColor="background1"/>
                <w:sz w:val="24"/>
                <w:szCs w:val="24"/>
                <w:lang w:eastAsia="es-ES"/>
              </w:rPr>
            </w:pPr>
          </w:p>
        </w:tc>
        <w:tc>
          <w:tcPr>
            <w:tcW w:w="484" w:type="pct"/>
            <w:tcBorders>
              <w:top w:val="nil"/>
              <w:left w:val="nil"/>
              <w:bottom w:val="single" w:sz="4" w:space="0" w:color="auto"/>
              <w:right w:val="single" w:sz="4" w:space="0" w:color="auto"/>
            </w:tcBorders>
            <w:shd w:val="clear" w:color="auto" w:fill="9D2235" w:themeFill="accent1"/>
            <w:noWrap/>
            <w:vAlign w:val="bottom"/>
            <w:hideMark/>
          </w:tcPr>
          <w:p w14:paraId="3BB3E3D3" w14:textId="77777777" w:rsidR="00017634" w:rsidRPr="00017634" w:rsidRDefault="00017634" w:rsidP="00017634">
            <w:pPr>
              <w:spacing w:after="0" w:line="240" w:lineRule="auto"/>
              <w:jc w:val="center"/>
              <w:rPr>
                <w:rFonts w:ascii="Calibri" w:eastAsia="Times New Roman" w:hAnsi="Calibri" w:cs="Calibri"/>
                <w:b/>
                <w:bCs/>
                <w:color w:val="FFFFFF" w:themeColor="background1"/>
                <w:sz w:val="18"/>
                <w:szCs w:val="18"/>
                <w:lang w:eastAsia="es-ES"/>
              </w:rPr>
            </w:pPr>
            <w:r w:rsidRPr="00017634">
              <w:rPr>
                <w:rFonts w:ascii="Calibri" w:eastAsia="Times New Roman" w:hAnsi="Calibri" w:cs="Calibri"/>
                <w:b/>
                <w:bCs/>
                <w:color w:val="FFFFFF" w:themeColor="background1"/>
                <w:sz w:val="18"/>
                <w:szCs w:val="18"/>
                <w:lang w:eastAsia="es-ES"/>
              </w:rPr>
              <w:t>Absoluto</w:t>
            </w:r>
          </w:p>
        </w:tc>
        <w:tc>
          <w:tcPr>
            <w:tcW w:w="404" w:type="pct"/>
            <w:tcBorders>
              <w:top w:val="nil"/>
              <w:left w:val="nil"/>
              <w:bottom w:val="single" w:sz="4" w:space="0" w:color="auto"/>
              <w:right w:val="single" w:sz="4" w:space="0" w:color="auto"/>
            </w:tcBorders>
            <w:shd w:val="clear" w:color="auto" w:fill="9D2235" w:themeFill="accent1"/>
            <w:noWrap/>
            <w:vAlign w:val="bottom"/>
            <w:hideMark/>
          </w:tcPr>
          <w:p w14:paraId="7F37ED2A" w14:textId="77777777" w:rsidR="00017634" w:rsidRPr="00017634" w:rsidRDefault="00017634" w:rsidP="00017634">
            <w:pPr>
              <w:spacing w:after="0" w:line="240" w:lineRule="auto"/>
              <w:jc w:val="center"/>
              <w:rPr>
                <w:rFonts w:ascii="Calibri" w:eastAsia="Times New Roman" w:hAnsi="Calibri" w:cs="Calibri"/>
                <w:b/>
                <w:bCs/>
                <w:color w:val="FFFFFF" w:themeColor="background1"/>
                <w:sz w:val="18"/>
                <w:szCs w:val="18"/>
                <w:lang w:eastAsia="es-ES"/>
              </w:rPr>
            </w:pPr>
            <w:r w:rsidRPr="00017634">
              <w:rPr>
                <w:rFonts w:ascii="Calibri" w:eastAsia="Times New Roman" w:hAnsi="Calibri" w:cs="Calibri"/>
                <w:b/>
                <w:bCs/>
                <w:color w:val="FFFFFF" w:themeColor="background1"/>
                <w:sz w:val="18"/>
                <w:szCs w:val="18"/>
                <w:lang w:eastAsia="es-ES"/>
              </w:rPr>
              <w:t>%</w:t>
            </w:r>
          </w:p>
        </w:tc>
        <w:tc>
          <w:tcPr>
            <w:tcW w:w="485" w:type="pct"/>
            <w:tcBorders>
              <w:top w:val="nil"/>
              <w:left w:val="nil"/>
              <w:bottom w:val="single" w:sz="4" w:space="0" w:color="auto"/>
              <w:right w:val="single" w:sz="4" w:space="0" w:color="auto"/>
            </w:tcBorders>
            <w:shd w:val="clear" w:color="auto" w:fill="9D2235" w:themeFill="accent1"/>
            <w:noWrap/>
            <w:vAlign w:val="bottom"/>
            <w:hideMark/>
          </w:tcPr>
          <w:p w14:paraId="1F926A75" w14:textId="77777777" w:rsidR="00017634" w:rsidRPr="00017634" w:rsidRDefault="00017634" w:rsidP="00017634">
            <w:pPr>
              <w:spacing w:after="0" w:line="240" w:lineRule="auto"/>
              <w:jc w:val="center"/>
              <w:rPr>
                <w:rFonts w:ascii="Calibri" w:eastAsia="Times New Roman" w:hAnsi="Calibri" w:cs="Calibri"/>
                <w:b/>
                <w:bCs/>
                <w:color w:val="FFFFFF" w:themeColor="background1"/>
                <w:sz w:val="18"/>
                <w:szCs w:val="18"/>
                <w:lang w:eastAsia="es-ES"/>
              </w:rPr>
            </w:pPr>
            <w:r w:rsidRPr="00017634">
              <w:rPr>
                <w:rFonts w:ascii="Calibri" w:eastAsia="Times New Roman" w:hAnsi="Calibri" w:cs="Calibri"/>
                <w:b/>
                <w:bCs/>
                <w:color w:val="FFFFFF" w:themeColor="background1"/>
                <w:sz w:val="18"/>
                <w:szCs w:val="18"/>
                <w:lang w:eastAsia="es-ES"/>
              </w:rPr>
              <w:t>Absoluto</w:t>
            </w:r>
          </w:p>
        </w:tc>
        <w:tc>
          <w:tcPr>
            <w:tcW w:w="404" w:type="pct"/>
            <w:tcBorders>
              <w:top w:val="nil"/>
              <w:left w:val="nil"/>
              <w:bottom w:val="single" w:sz="4" w:space="0" w:color="auto"/>
              <w:right w:val="single" w:sz="4" w:space="0" w:color="auto"/>
            </w:tcBorders>
            <w:shd w:val="clear" w:color="auto" w:fill="9D2235" w:themeFill="accent1"/>
            <w:noWrap/>
            <w:vAlign w:val="bottom"/>
            <w:hideMark/>
          </w:tcPr>
          <w:p w14:paraId="4F0ACA44" w14:textId="77777777" w:rsidR="00017634" w:rsidRPr="00017634" w:rsidRDefault="00017634" w:rsidP="00017634">
            <w:pPr>
              <w:spacing w:after="0" w:line="240" w:lineRule="auto"/>
              <w:jc w:val="center"/>
              <w:rPr>
                <w:rFonts w:ascii="Calibri" w:eastAsia="Times New Roman" w:hAnsi="Calibri" w:cs="Calibri"/>
                <w:b/>
                <w:bCs/>
                <w:color w:val="FFFFFF" w:themeColor="background1"/>
                <w:sz w:val="18"/>
                <w:szCs w:val="18"/>
                <w:lang w:eastAsia="es-ES"/>
              </w:rPr>
            </w:pPr>
            <w:r w:rsidRPr="00017634">
              <w:rPr>
                <w:rFonts w:ascii="Calibri" w:eastAsia="Times New Roman" w:hAnsi="Calibri" w:cs="Calibri"/>
                <w:b/>
                <w:bCs/>
                <w:color w:val="FFFFFF" w:themeColor="background1"/>
                <w:sz w:val="18"/>
                <w:szCs w:val="18"/>
                <w:lang w:eastAsia="es-ES"/>
              </w:rPr>
              <w:t>%</w:t>
            </w:r>
          </w:p>
        </w:tc>
        <w:tc>
          <w:tcPr>
            <w:tcW w:w="484" w:type="pct"/>
            <w:tcBorders>
              <w:top w:val="nil"/>
              <w:left w:val="nil"/>
              <w:bottom w:val="single" w:sz="4" w:space="0" w:color="auto"/>
              <w:right w:val="single" w:sz="4" w:space="0" w:color="auto"/>
            </w:tcBorders>
            <w:shd w:val="clear" w:color="auto" w:fill="9D2235" w:themeFill="accent1"/>
            <w:noWrap/>
            <w:vAlign w:val="bottom"/>
            <w:hideMark/>
          </w:tcPr>
          <w:p w14:paraId="6BFE82A5" w14:textId="77777777" w:rsidR="00017634" w:rsidRPr="00017634" w:rsidRDefault="00017634" w:rsidP="00017634">
            <w:pPr>
              <w:spacing w:after="0" w:line="240" w:lineRule="auto"/>
              <w:jc w:val="center"/>
              <w:rPr>
                <w:rFonts w:ascii="Calibri" w:eastAsia="Times New Roman" w:hAnsi="Calibri" w:cs="Calibri"/>
                <w:b/>
                <w:bCs/>
                <w:color w:val="FFFFFF" w:themeColor="background1"/>
                <w:sz w:val="18"/>
                <w:szCs w:val="18"/>
                <w:lang w:eastAsia="es-ES"/>
              </w:rPr>
            </w:pPr>
            <w:r w:rsidRPr="00017634">
              <w:rPr>
                <w:rFonts w:ascii="Calibri" w:eastAsia="Times New Roman" w:hAnsi="Calibri" w:cs="Calibri"/>
                <w:b/>
                <w:bCs/>
                <w:color w:val="FFFFFF" w:themeColor="background1"/>
                <w:sz w:val="18"/>
                <w:szCs w:val="18"/>
                <w:lang w:eastAsia="es-ES"/>
              </w:rPr>
              <w:t>Absoluto</w:t>
            </w:r>
          </w:p>
        </w:tc>
        <w:tc>
          <w:tcPr>
            <w:tcW w:w="404" w:type="pct"/>
            <w:tcBorders>
              <w:top w:val="nil"/>
              <w:left w:val="nil"/>
              <w:bottom w:val="single" w:sz="4" w:space="0" w:color="auto"/>
              <w:right w:val="single" w:sz="4" w:space="0" w:color="auto"/>
            </w:tcBorders>
            <w:shd w:val="clear" w:color="auto" w:fill="9D2235" w:themeFill="accent1"/>
            <w:noWrap/>
            <w:vAlign w:val="bottom"/>
            <w:hideMark/>
          </w:tcPr>
          <w:p w14:paraId="1DE6DC05" w14:textId="77777777" w:rsidR="00017634" w:rsidRPr="00017634" w:rsidRDefault="00017634" w:rsidP="00017634">
            <w:pPr>
              <w:spacing w:after="0" w:line="240" w:lineRule="auto"/>
              <w:jc w:val="center"/>
              <w:rPr>
                <w:rFonts w:ascii="Calibri" w:eastAsia="Times New Roman" w:hAnsi="Calibri" w:cs="Calibri"/>
                <w:b/>
                <w:bCs/>
                <w:color w:val="FFFFFF" w:themeColor="background1"/>
                <w:sz w:val="18"/>
                <w:szCs w:val="18"/>
                <w:lang w:eastAsia="es-ES"/>
              </w:rPr>
            </w:pPr>
            <w:r w:rsidRPr="00017634">
              <w:rPr>
                <w:rFonts w:ascii="Calibri" w:eastAsia="Times New Roman" w:hAnsi="Calibri" w:cs="Calibri"/>
                <w:b/>
                <w:bCs/>
                <w:color w:val="FFFFFF" w:themeColor="background1"/>
                <w:sz w:val="18"/>
                <w:szCs w:val="18"/>
                <w:lang w:eastAsia="es-ES"/>
              </w:rPr>
              <w:t>%</w:t>
            </w:r>
          </w:p>
        </w:tc>
        <w:tc>
          <w:tcPr>
            <w:tcW w:w="484" w:type="pct"/>
            <w:tcBorders>
              <w:top w:val="nil"/>
              <w:left w:val="nil"/>
              <w:bottom w:val="single" w:sz="4" w:space="0" w:color="auto"/>
              <w:right w:val="single" w:sz="4" w:space="0" w:color="auto"/>
            </w:tcBorders>
            <w:shd w:val="clear" w:color="auto" w:fill="9D2235" w:themeFill="accent1"/>
            <w:noWrap/>
            <w:vAlign w:val="bottom"/>
            <w:hideMark/>
          </w:tcPr>
          <w:p w14:paraId="3C936AD5" w14:textId="77777777" w:rsidR="00017634" w:rsidRPr="00017634" w:rsidRDefault="00017634" w:rsidP="00017634">
            <w:pPr>
              <w:spacing w:after="0" w:line="240" w:lineRule="auto"/>
              <w:jc w:val="center"/>
              <w:rPr>
                <w:rFonts w:ascii="Calibri" w:eastAsia="Times New Roman" w:hAnsi="Calibri" w:cs="Calibri"/>
                <w:b/>
                <w:bCs/>
                <w:color w:val="FFFFFF" w:themeColor="background1"/>
                <w:sz w:val="18"/>
                <w:szCs w:val="18"/>
                <w:lang w:eastAsia="es-ES"/>
              </w:rPr>
            </w:pPr>
            <w:r w:rsidRPr="00017634">
              <w:rPr>
                <w:rFonts w:ascii="Calibri" w:eastAsia="Times New Roman" w:hAnsi="Calibri" w:cs="Calibri"/>
                <w:b/>
                <w:bCs/>
                <w:color w:val="FFFFFF" w:themeColor="background1"/>
                <w:sz w:val="18"/>
                <w:szCs w:val="18"/>
                <w:lang w:eastAsia="es-ES"/>
              </w:rPr>
              <w:t>Absoluto</w:t>
            </w:r>
          </w:p>
        </w:tc>
        <w:tc>
          <w:tcPr>
            <w:tcW w:w="403" w:type="pct"/>
            <w:tcBorders>
              <w:top w:val="nil"/>
              <w:left w:val="nil"/>
              <w:bottom w:val="single" w:sz="4" w:space="0" w:color="auto"/>
              <w:right w:val="single" w:sz="8" w:space="0" w:color="auto"/>
            </w:tcBorders>
            <w:shd w:val="clear" w:color="auto" w:fill="9D2235" w:themeFill="accent1"/>
            <w:noWrap/>
            <w:vAlign w:val="bottom"/>
            <w:hideMark/>
          </w:tcPr>
          <w:p w14:paraId="7E763E00" w14:textId="77777777" w:rsidR="00017634" w:rsidRPr="00017634" w:rsidRDefault="00017634" w:rsidP="00017634">
            <w:pPr>
              <w:spacing w:after="0" w:line="240" w:lineRule="auto"/>
              <w:jc w:val="center"/>
              <w:rPr>
                <w:rFonts w:ascii="Calibri" w:eastAsia="Times New Roman" w:hAnsi="Calibri" w:cs="Calibri"/>
                <w:b/>
                <w:bCs/>
                <w:color w:val="FFFFFF" w:themeColor="background1"/>
                <w:sz w:val="18"/>
                <w:szCs w:val="18"/>
                <w:lang w:eastAsia="es-ES"/>
              </w:rPr>
            </w:pPr>
            <w:r w:rsidRPr="00017634">
              <w:rPr>
                <w:rFonts w:ascii="Calibri" w:eastAsia="Times New Roman" w:hAnsi="Calibri" w:cs="Calibri"/>
                <w:b/>
                <w:bCs/>
                <w:color w:val="FFFFFF" w:themeColor="background1"/>
                <w:sz w:val="18"/>
                <w:szCs w:val="18"/>
                <w:lang w:eastAsia="es-ES"/>
              </w:rPr>
              <w:t>%</w:t>
            </w:r>
          </w:p>
        </w:tc>
      </w:tr>
      <w:tr w:rsidR="000B14EB" w:rsidRPr="00017634" w14:paraId="35812DD9"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3239EF5E"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Administración municipal</w:t>
            </w:r>
          </w:p>
        </w:tc>
        <w:tc>
          <w:tcPr>
            <w:tcW w:w="484" w:type="pct"/>
            <w:tcBorders>
              <w:top w:val="nil"/>
              <w:left w:val="nil"/>
              <w:bottom w:val="single" w:sz="4" w:space="0" w:color="auto"/>
              <w:right w:val="single" w:sz="4" w:space="0" w:color="auto"/>
            </w:tcBorders>
            <w:shd w:val="clear" w:color="auto" w:fill="auto"/>
            <w:noWrap/>
            <w:vAlign w:val="bottom"/>
            <w:hideMark/>
          </w:tcPr>
          <w:p w14:paraId="73A0B69F"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21</w:t>
            </w:r>
          </w:p>
        </w:tc>
        <w:tc>
          <w:tcPr>
            <w:tcW w:w="404" w:type="pct"/>
            <w:tcBorders>
              <w:top w:val="nil"/>
              <w:left w:val="nil"/>
              <w:bottom w:val="single" w:sz="4" w:space="0" w:color="auto"/>
              <w:right w:val="single" w:sz="4" w:space="0" w:color="auto"/>
            </w:tcBorders>
            <w:shd w:val="clear" w:color="auto" w:fill="auto"/>
            <w:noWrap/>
            <w:vAlign w:val="bottom"/>
            <w:hideMark/>
          </w:tcPr>
          <w:p w14:paraId="778AEAEB"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60%</w:t>
            </w:r>
          </w:p>
        </w:tc>
        <w:tc>
          <w:tcPr>
            <w:tcW w:w="485" w:type="pct"/>
            <w:tcBorders>
              <w:top w:val="nil"/>
              <w:left w:val="nil"/>
              <w:bottom w:val="single" w:sz="4" w:space="0" w:color="auto"/>
              <w:right w:val="single" w:sz="4" w:space="0" w:color="auto"/>
            </w:tcBorders>
            <w:shd w:val="clear" w:color="auto" w:fill="auto"/>
            <w:noWrap/>
            <w:vAlign w:val="bottom"/>
            <w:hideMark/>
          </w:tcPr>
          <w:p w14:paraId="27632EA3"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81</w:t>
            </w:r>
          </w:p>
        </w:tc>
        <w:tc>
          <w:tcPr>
            <w:tcW w:w="404" w:type="pct"/>
            <w:tcBorders>
              <w:top w:val="nil"/>
              <w:left w:val="nil"/>
              <w:bottom w:val="single" w:sz="4" w:space="0" w:color="auto"/>
              <w:right w:val="single" w:sz="4" w:space="0" w:color="auto"/>
            </w:tcBorders>
            <w:shd w:val="clear" w:color="auto" w:fill="auto"/>
            <w:noWrap/>
            <w:vAlign w:val="bottom"/>
            <w:hideMark/>
          </w:tcPr>
          <w:p w14:paraId="2300E108"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45%</w:t>
            </w:r>
          </w:p>
        </w:tc>
        <w:tc>
          <w:tcPr>
            <w:tcW w:w="484" w:type="pct"/>
            <w:tcBorders>
              <w:top w:val="nil"/>
              <w:left w:val="nil"/>
              <w:bottom w:val="single" w:sz="4" w:space="0" w:color="auto"/>
              <w:right w:val="single" w:sz="4" w:space="0" w:color="auto"/>
            </w:tcBorders>
            <w:shd w:val="clear" w:color="auto" w:fill="auto"/>
            <w:noWrap/>
            <w:vAlign w:val="bottom"/>
            <w:hideMark/>
          </w:tcPr>
          <w:p w14:paraId="73C5C41F"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89</w:t>
            </w:r>
          </w:p>
        </w:tc>
        <w:tc>
          <w:tcPr>
            <w:tcW w:w="404" w:type="pct"/>
            <w:tcBorders>
              <w:top w:val="nil"/>
              <w:left w:val="nil"/>
              <w:bottom w:val="single" w:sz="4" w:space="0" w:color="auto"/>
              <w:right w:val="single" w:sz="4" w:space="0" w:color="auto"/>
            </w:tcBorders>
            <w:shd w:val="clear" w:color="auto" w:fill="auto"/>
            <w:noWrap/>
            <w:vAlign w:val="bottom"/>
            <w:hideMark/>
          </w:tcPr>
          <w:p w14:paraId="0501DFC3"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53%</w:t>
            </w:r>
          </w:p>
        </w:tc>
        <w:tc>
          <w:tcPr>
            <w:tcW w:w="484" w:type="pct"/>
            <w:tcBorders>
              <w:top w:val="nil"/>
              <w:left w:val="nil"/>
              <w:bottom w:val="single" w:sz="4" w:space="0" w:color="auto"/>
              <w:right w:val="single" w:sz="4" w:space="0" w:color="auto"/>
            </w:tcBorders>
            <w:shd w:val="clear" w:color="auto" w:fill="auto"/>
            <w:noWrap/>
            <w:vAlign w:val="bottom"/>
            <w:hideMark/>
          </w:tcPr>
          <w:p w14:paraId="33F1F11D"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131</w:t>
            </w:r>
          </w:p>
        </w:tc>
        <w:tc>
          <w:tcPr>
            <w:tcW w:w="403" w:type="pct"/>
            <w:tcBorders>
              <w:top w:val="nil"/>
              <w:left w:val="nil"/>
              <w:bottom w:val="single" w:sz="4" w:space="0" w:color="auto"/>
              <w:right w:val="single" w:sz="8" w:space="0" w:color="auto"/>
            </w:tcBorders>
            <w:shd w:val="clear" w:color="auto" w:fill="auto"/>
            <w:noWrap/>
            <w:vAlign w:val="bottom"/>
            <w:hideMark/>
          </w:tcPr>
          <w:p w14:paraId="63BBC4FE"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58%</w:t>
            </w:r>
          </w:p>
        </w:tc>
      </w:tr>
      <w:tr w:rsidR="000B14EB" w:rsidRPr="00017634" w14:paraId="25D17F4D"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37C8B50D"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Administración de la Generalitat</w:t>
            </w:r>
          </w:p>
        </w:tc>
        <w:tc>
          <w:tcPr>
            <w:tcW w:w="484" w:type="pct"/>
            <w:tcBorders>
              <w:top w:val="nil"/>
              <w:left w:val="nil"/>
              <w:bottom w:val="single" w:sz="4" w:space="0" w:color="auto"/>
              <w:right w:val="single" w:sz="4" w:space="0" w:color="auto"/>
            </w:tcBorders>
            <w:shd w:val="clear" w:color="auto" w:fill="auto"/>
            <w:noWrap/>
            <w:vAlign w:val="bottom"/>
            <w:hideMark/>
          </w:tcPr>
          <w:p w14:paraId="29D677AF"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9</w:t>
            </w:r>
          </w:p>
        </w:tc>
        <w:tc>
          <w:tcPr>
            <w:tcW w:w="404" w:type="pct"/>
            <w:tcBorders>
              <w:top w:val="nil"/>
              <w:left w:val="nil"/>
              <w:bottom w:val="single" w:sz="4" w:space="0" w:color="auto"/>
              <w:right w:val="single" w:sz="4" w:space="0" w:color="auto"/>
            </w:tcBorders>
            <w:shd w:val="clear" w:color="auto" w:fill="auto"/>
            <w:noWrap/>
            <w:vAlign w:val="bottom"/>
            <w:hideMark/>
          </w:tcPr>
          <w:p w14:paraId="23BA44C0"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26%</w:t>
            </w:r>
          </w:p>
        </w:tc>
        <w:tc>
          <w:tcPr>
            <w:tcW w:w="485" w:type="pct"/>
            <w:tcBorders>
              <w:top w:val="nil"/>
              <w:left w:val="nil"/>
              <w:bottom w:val="single" w:sz="4" w:space="0" w:color="auto"/>
              <w:right w:val="single" w:sz="4" w:space="0" w:color="auto"/>
            </w:tcBorders>
            <w:shd w:val="clear" w:color="auto" w:fill="auto"/>
            <w:noWrap/>
            <w:vAlign w:val="bottom"/>
            <w:hideMark/>
          </w:tcPr>
          <w:p w14:paraId="3BEC3ADD"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53</w:t>
            </w:r>
          </w:p>
        </w:tc>
        <w:tc>
          <w:tcPr>
            <w:tcW w:w="404" w:type="pct"/>
            <w:tcBorders>
              <w:top w:val="nil"/>
              <w:left w:val="nil"/>
              <w:bottom w:val="single" w:sz="4" w:space="0" w:color="auto"/>
              <w:right w:val="single" w:sz="4" w:space="0" w:color="auto"/>
            </w:tcBorders>
            <w:shd w:val="clear" w:color="auto" w:fill="auto"/>
            <w:noWrap/>
            <w:vAlign w:val="bottom"/>
            <w:hideMark/>
          </w:tcPr>
          <w:p w14:paraId="709B0434"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29%</w:t>
            </w:r>
          </w:p>
        </w:tc>
        <w:tc>
          <w:tcPr>
            <w:tcW w:w="484" w:type="pct"/>
            <w:tcBorders>
              <w:top w:val="nil"/>
              <w:left w:val="nil"/>
              <w:bottom w:val="single" w:sz="4" w:space="0" w:color="auto"/>
              <w:right w:val="single" w:sz="4" w:space="0" w:color="auto"/>
            </w:tcBorders>
            <w:shd w:val="clear" w:color="auto" w:fill="auto"/>
            <w:noWrap/>
            <w:vAlign w:val="bottom"/>
            <w:hideMark/>
          </w:tcPr>
          <w:p w14:paraId="05FD2984"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23</w:t>
            </w:r>
          </w:p>
        </w:tc>
        <w:tc>
          <w:tcPr>
            <w:tcW w:w="404" w:type="pct"/>
            <w:tcBorders>
              <w:top w:val="nil"/>
              <w:left w:val="nil"/>
              <w:bottom w:val="single" w:sz="4" w:space="0" w:color="auto"/>
              <w:right w:val="single" w:sz="4" w:space="0" w:color="auto"/>
            </w:tcBorders>
            <w:shd w:val="clear" w:color="auto" w:fill="auto"/>
            <w:noWrap/>
            <w:vAlign w:val="bottom"/>
            <w:hideMark/>
          </w:tcPr>
          <w:p w14:paraId="5C2E72B6"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14%</w:t>
            </w:r>
          </w:p>
        </w:tc>
        <w:tc>
          <w:tcPr>
            <w:tcW w:w="484" w:type="pct"/>
            <w:tcBorders>
              <w:top w:val="nil"/>
              <w:left w:val="nil"/>
              <w:bottom w:val="single" w:sz="4" w:space="0" w:color="auto"/>
              <w:right w:val="single" w:sz="4" w:space="0" w:color="auto"/>
            </w:tcBorders>
            <w:shd w:val="clear" w:color="auto" w:fill="auto"/>
            <w:noWrap/>
            <w:vAlign w:val="bottom"/>
            <w:hideMark/>
          </w:tcPr>
          <w:p w14:paraId="7CF38E13"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43</w:t>
            </w:r>
          </w:p>
        </w:tc>
        <w:tc>
          <w:tcPr>
            <w:tcW w:w="403" w:type="pct"/>
            <w:tcBorders>
              <w:top w:val="nil"/>
              <w:left w:val="nil"/>
              <w:bottom w:val="single" w:sz="4" w:space="0" w:color="auto"/>
              <w:right w:val="single" w:sz="8" w:space="0" w:color="auto"/>
            </w:tcBorders>
            <w:shd w:val="clear" w:color="auto" w:fill="auto"/>
            <w:noWrap/>
            <w:vAlign w:val="bottom"/>
            <w:hideMark/>
          </w:tcPr>
          <w:p w14:paraId="269E6691"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19%</w:t>
            </w:r>
          </w:p>
        </w:tc>
      </w:tr>
      <w:tr w:rsidR="000B14EB" w:rsidRPr="00017634" w14:paraId="1AD908D4"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710D7068"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Sector público local</w:t>
            </w:r>
          </w:p>
        </w:tc>
        <w:tc>
          <w:tcPr>
            <w:tcW w:w="484" w:type="pct"/>
            <w:tcBorders>
              <w:top w:val="nil"/>
              <w:left w:val="nil"/>
              <w:bottom w:val="single" w:sz="4" w:space="0" w:color="auto"/>
              <w:right w:val="single" w:sz="4" w:space="0" w:color="auto"/>
            </w:tcBorders>
            <w:shd w:val="clear" w:color="auto" w:fill="auto"/>
            <w:noWrap/>
            <w:vAlign w:val="bottom"/>
            <w:hideMark/>
          </w:tcPr>
          <w:p w14:paraId="2B9E31E8"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3</w:t>
            </w:r>
          </w:p>
        </w:tc>
        <w:tc>
          <w:tcPr>
            <w:tcW w:w="404" w:type="pct"/>
            <w:tcBorders>
              <w:top w:val="nil"/>
              <w:left w:val="nil"/>
              <w:bottom w:val="single" w:sz="4" w:space="0" w:color="auto"/>
              <w:right w:val="single" w:sz="4" w:space="0" w:color="auto"/>
            </w:tcBorders>
            <w:shd w:val="clear" w:color="auto" w:fill="auto"/>
            <w:noWrap/>
            <w:vAlign w:val="bottom"/>
            <w:hideMark/>
          </w:tcPr>
          <w:p w14:paraId="6EED48F3"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9%</w:t>
            </w:r>
          </w:p>
        </w:tc>
        <w:tc>
          <w:tcPr>
            <w:tcW w:w="485" w:type="pct"/>
            <w:tcBorders>
              <w:top w:val="nil"/>
              <w:left w:val="nil"/>
              <w:bottom w:val="single" w:sz="4" w:space="0" w:color="auto"/>
              <w:right w:val="single" w:sz="4" w:space="0" w:color="auto"/>
            </w:tcBorders>
            <w:shd w:val="clear" w:color="auto" w:fill="auto"/>
            <w:noWrap/>
            <w:vAlign w:val="bottom"/>
            <w:hideMark/>
          </w:tcPr>
          <w:p w14:paraId="201490E9"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3</w:t>
            </w:r>
          </w:p>
        </w:tc>
        <w:tc>
          <w:tcPr>
            <w:tcW w:w="404" w:type="pct"/>
            <w:tcBorders>
              <w:top w:val="nil"/>
              <w:left w:val="nil"/>
              <w:bottom w:val="single" w:sz="4" w:space="0" w:color="auto"/>
              <w:right w:val="single" w:sz="4" w:space="0" w:color="auto"/>
            </w:tcBorders>
            <w:shd w:val="clear" w:color="auto" w:fill="auto"/>
            <w:noWrap/>
            <w:vAlign w:val="bottom"/>
            <w:hideMark/>
          </w:tcPr>
          <w:p w14:paraId="5007ED38"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2%</w:t>
            </w:r>
          </w:p>
        </w:tc>
        <w:tc>
          <w:tcPr>
            <w:tcW w:w="484" w:type="pct"/>
            <w:tcBorders>
              <w:top w:val="nil"/>
              <w:left w:val="nil"/>
              <w:bottom w:val="single" w:sz="4" w:space="0" w:color="auto"/>
              <w:right w:val="single" w:sz="4" w:space="0" w:color="auto"/>
            </w:tcBorders>
            <w:shd w:val="clear" w:color="auto" w:fill="auto"/>
            <w:noWrap/>
            <w:vAlign w:val="bottom"/>
            <w:hideMark/>
          </w:tcPr>
          <w:p w14:paraId="5B246E7C"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15</w:t>
            </w:r>
          </w:p>
        </w:tc>
        <w:tc>
          <w:tcPr>
            <w:tcW w:w="404" w:type="pct"/>
            <w:tcBorders>
              <w:top w:val="nil"/>
              <w:left w:val="nil"/>
              <w:bottom w:val="single" w:sz="4" w:space="0" w:color="auto"/>
              <w:right w:val="single" w:sz="4" w:space="0" w:color="auto"/>
            </w:tcBorders>
            <w:shd w:val="clear" w:color="auto" w:fill="auto"/>
            <w:noWrap/>
            <w:vAlign w:val="bottom"/>
            <w:hideMark/>
          </w:tcPr>
          <w:p w14:paraId="1FAF6F87"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9%</w:t>
            </w:r>
          </w:p>
        </w:tc>
        <w:tc>
          <w:tcPr>
            <w:tcW w:w="484" w:type="pct"/>
            <w:tcBorders>
              <w:top w:val="nil"/>
              <w:left w:val="nil"/>
              <w:bottom w:val="single" w:sz="4" w:space="0" w:color="auto"/>
              <w:right w:val="single" w:sz="4" w:space="0" w:color="auto"/>
            </w:tcBorders>
            <w:shd w:val="clear" w:color="auto" w:fill="auto"/>
            <w:noWrap/>
            <w:vAlign w:val="bottom"/>
            <w:hideMark/>
          </w:tcPr>
          <w:p w14:paraId="285657C6"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12</w:t>
            </w:r>
          </w:p>
        </w:tc>
        <w:tc>
          <w:tcPr>
            <w:tcW w:w="403" w:type="pct"/>
            <w:tcBorders>
              <w:top w:val="nil"/>
              <w:left w:val="nil"/>
              <w:bottom w:val="single" w:sz="4" w:space="0" w:color="auto"/>
              <w:right w:val="single" w:sz="8" w:space="0" w:color="auto"/>
            </w:tcBorders>
            <w:shd w:val="clear" w:color="auto" w:fill="auto"/>
            <w:noWrap/>
            <w:vAlign w:val="bottom"/>
            <w:hideMark/>
          </w:tcPr>
          <w:p w14:paraId="13721695"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5%</w:t>
            </w:r>
          </w:p>
        </w:tc>
      </w:tr>
      <w:tr w:rsidR="000B14EB" w:rsidRPr="00017634" w14:paraId="0E712A21"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1334776C"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Privado</w:t>
            </w:r>
          </w:p>
        </w:tc>
        <w:tc>
          <w:tcPr>
            <w:tcW w:w="484" w:type="pct"/>
            <w:tcBorders>
              <w:top w:val="nil"/>
              <w:left w:val="nil"/>
              <w:bottom w:val="single" w:sz="4" w:space="0" w:color="auto"/>
              <w:right w:val="single" w:sz="4" w:space="0" w:color="auto"/>
            </w:tcBorders>
            <w:shd w:val="clear" w:color="auto" w:fill="auto"/>
            <w:noWrap/>
            <w:vAlign w:val="bottom"/>
            <w:hideMark/>
          </w:tcPr>
          <w:p w14:paraId="5ED62BDF"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595DE858"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5" w:type="pct"/>
            <w:tcBorders>
              <w:top w:val="nil"/>
              <w:left w:val="nil"/>
              <w:bottom w:val="single" w:sz="4" w:space="0" w:color="auto"/>
              <w:right w:val="single" w:sz="4" w:space="0" w:color="auto"/>
            </w:tcBorders>
            <w:shd w:val="clear" w:color="auto" w:fill="auto"/>
            <w:noWrap/>
            <w:vAlign w:val="bottom"/>
            <w:hideMark/>
          </w:tcPr>
          <w:p w14:paraId="02A76C1D"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5</w:t>
            </w:r>
          </w:p>
        </w:tc>
        <w:tc>
          <w:tcPr>
            <w:tcW w:w="404" w:type="pct"/>
            <w:tcBorders>
              <w:top w:val="nil"/>
              <w:left w:val="nil"/>
              <w:bottom w:val="single" w:sz="4" w:space="0" w:color="auto"/>
              <w:right w:val="single" w:sz="4" w:space="0" w:color="auto"/>
            </w:tcBorders>
            <w:shd w:val="clear" w:color="auto" w:fill="auto"/>
            <w:noWrap/>
            <w:vAlign w:val="bottom"/>
            <w:hideMark/>
          </w:tcPr>
          <w:p w14:paraId="6BEB367A"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3%</w:t>
            </w:r>
          </w:p>
        </w:tc>
        <w:tc>
          <w:tcPr>
            <w:tcW w:w="484" w:type="pct"/>
            <w:tcBorders>
              <w:top w:val="nil"/>
              <w:left w:val="nil"/>
              <w:bottom w:val="single" w:sz="4" w:space="0" w:color="auto"/>
              <w:right w:val="single" w:sz="4" w:space="0" w:color="auto"/>
            </w:tcBorders>
            <w:shd w:val="clear" w:color="auto" w:fill="auto"/>
            <w:noWrap/>
            <w:vAlign w:val="bottom"/>
            <w:hideMark/>
          </w:tcPr>
          <w:p w14:paraId="3995CB07"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14</w:t>
            </w:r>
          </w:p>
        </w:tc>
        <w:tc>
          <w:tcPr>
            <w:tcW w:w="404" w:type="pct"/>
            <w:tcBorders>
              <w:top w:val="nil"/>
              <w:left w:val="nil"/>
              <w:bottom w:val="single" w:sz="4" w:space="0" w:color="auto"/>
              <w:right w:val="single" w:sz="4" w:space="0" w:color="auto"/>
            </w:tcBorders>
            <w:shd w:val="clear" w:color="auto" w:fill="auto"/>
            <w:noWrap/>
            <w:vAlign w:val="bottom"/>
            <w:hideMark/>
          </w:tcPr>
          <w:p w14:paraId="429A9AE4"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8%</w:t>
            </w:r>
          </w:p>
        </w:tc>
        <w:tc>
          <w:tcPr>
            <w:tcW w:w="484" w:type="pct"/>
            <w:tcBorders>
              <w:top w:val="nil"/>
              <w:left w:val="nil"/>
              <w:bottom w:val="single" w:sz="4" w:space="0" w:color="auto"/>
              <w:right w:val="single" w:sz="4" w:space="0" w:color="auto"/>
            </w:tcBorders>
            <w:shd w:val="clear" w:color="auto" w:fill="auto"/>
            <w:noWrap/>
            <w:vAlign w:val="bottom"/>
            <w:hideMark/>
          </w:tcPr>
          <w:p w14:paraId="40350461"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10</w:t>
            </w:r>
          </w:p>
        </w:tc>
        <w:tc>
          <w:tcPr>
            <w:tcW w:w="403" w:type="pct"/>
            <w:tcBorders>
              <w:top w:val="nil"/>
              <w:left w:val="nil"/>
              <w:bottom w:val="single" w:sz="4" w:space="0" w:color="auto"/>
              <w:right w:val="single" w:sz="8" w:space="0" w:color="auto"/>
            </w:tcBorders>
            <w:shd w:val="clear" w:color="auto" w:fill="auto"/>
            <w:noWrap/>
            <w:vAlign w:val="bottom"/>
            <w:hideMark/>
          </w:tcPr>
          <w:p w14:paraId="4CF5D820"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4%</w:t>
            </w:r>
          </w:p>
        </w:tc>
      </w:tr>
      <w:tr w:rsidR="000B14EB" w:rsidRPr="00017634" w14:paraId="188E17B0"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2669FA0C"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Diputaciones provinciales</w:t>
            </w:r>
          </w:p>
        </w:tc>
        <w:tc>
          <w:tcPr>
            <w:tcW w:w="484" w:type="pct"/>
            <w:tcBorders>
              <w:top w:val="nil"/>
              <w:left w:val="nil"/>
              <w:bottom w:val="single" w:sz="4" w:space="0" w:color="auto"/>
              <w:right w:val="single" w:sz="4" w:space="0" w:color="auto"/>
            </w:tcBorders>
            <w:shd w:val="clear" w:color="auto" w:fill="auto"/>
            <w:noWrap/>
            <w:vAlign w:val="bottom"/>
            <w:hideMark/>
          </w:tcPr>
          <w:p w14:paraId="4AAA71D4"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c>
          <w:tcPr>
            <w:tcW w:w="404" w:type="pct"/>
            <w:tcBorders>
              <w:top w:val="nil"/>
              <w:left w:val="nil"/>
              <w:bottom w:val="single" w:sz="4" w:space="0" w:color="auto"/>
              <w:right w:val="single" w:sz="4" w:space="0" w:color="auto"/>
            </w:tcBorders>
            <w:shd w:val="clear" w:color="auto" w:fill="auto"/>
            <w:noWrap/>
            <w:vAlign w:val="bottom"/>
            <w:hideMark/>
          </w:tcPr>
          <w:p w14:paraId="07DDB932"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3%</w:t>
            </w:r>
          </w:p>
        </w:tc>
        <w:tc>
          <w:tcPr>
            <w:tcW w:w="485" w:type="pct"/>
            <w:tcBorders>
              <w:top w:val="nil"/>
              <w:left w:val="nil"/>
              <w:bottom w:val="single" w:sz="4" w:space="0" w:color="auto"/>
              <w:right w:val="single" w:sz="4" w:space="0" w:color="auto"/>
            </w:tcBorders>
            <w:shd w:val="clear" w:color="auto" w:fill="auto"/>
            <w:noWrap/>
            <w:vAlign w:val="bottom"/>
            <w:hideMark/>
          </w:tcPr>
          <w:p w14:paraId="60166B35"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15</w:t>
            </w:r>
          </w:p>
        </w:tc>
        <w:tc>
          <w:tcPr>
            <w:tcW w:w="404" w:type="pct"/>
            <w:tcBorders>
              <w:top w:val="nil"/>
              <w:left w:val="nil"/>
              <w:bottom w:val="single" w:sz="4" w:space="0" w:color="auto"/>
              <w:right w:val="single" w:sz="4" w:space="0" w:color="auto"/>
            </w:tcBorders>
            <w:shd w:val="clear" w:color="auto" w:fill="auto"/>
            <w:noWrap/>
            <w:vAlign w:val="bottom"/>
            <w:hideMark/>
          </w:tcPr>
          <w:p w14:paraId="571BCB5C"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8%</w:t>
            </w:r>
          </w:p>
        </w:tc>
        <w:tc>
          <w:tcPr>
            <w:tcW w:w="484" w:type="pct"/>
            <w:tcBorders>
              <w:top w:val="nil"/>
              <w:left w:val="nil"/>
              <w:bottom w:val="single" w:sz="4" w:space="0" w:color="auto"/>
              <w:right w:val="single" w:sz="4" w:space="0" w:color="auto"/>
            </w:tcBorders>
            <w:shd w:val="clear" w:color="auto" w:fill="auto"/>
            <w:noWrap/>
            <w:vAlign w:val="bottom"/>
            <w:hideMark/>
          </w:tcPr>
          <w:p w14:paraId="605572F8"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8</w:t>
            </w:r>
          </w:p>
        </w:tc>
        <w:tc>
          <w:tcPr>
            <w:tcW w:w="404" w:type="pct"/>
            <w:tcBorders>
              <w:top w:val="nil"/>
              <w:left w:val="nil"/>
              <w:bottom w:val="single" w:sz="4" w:space="0" w:color="auto"/>
              <w:right w:val="single" w:sz="4" w:space="0" w:color="auto"/>
            </w:tcBorders>
            <w:shd w:val="clear" w:color="auto" w:fill="auto"/>
            <w:noWrap/>
            <w:vAlign w:val="bottom"/>
            <w:hideMark/>
          </w:tcPr>
          <w:p w14:paraId="4928792C"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5%</w:t>
            </w:r>
          </w:p>
        </w:tc>
        <w:tc>
          <w:tcPr>
            <w:tcW w:w="484" w:type="pct"/>
            <w:tcBorders>
              <w:top w:val="nil"/>
              <w:left w:val="nil"/>
              <w:bottom w:val="single" w:sz="4" w:space="0" w:color="auto"/>
              <w:right w:val="single" w:sz="4" w:space="0" w:color="auto"/>
            </w:tcBorders>
            <w:shd w:val="clear" w:color="auto" w:fill="auto"/>
            <w:noWrap/>
            <w:vAlign w:val="bottom"/>
            <w:hideMark/>
          </w:tcPr>
          <w:p w14:paraId="30BD6819"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7</w:t>
            </w:r>
          </w:p>
        </w:tc>
        <w:tc>
          <w:tcPr>
            <w:tcW w:w="403" w:type="pct"/>
            <w:tcBorders>
              <w:top w:val="nil"/>
              <w:left w:val="nil"/>
              <w:bottom w:val="single" w:sz="4" w:space="0" w:color="auto"/>
              <w:right w:val="single" w:sz="8" w:space="0" w:color="auto"/>
            </w:tcBorders>
            <w:shd w:val="clear" w:color="auto" w:fill="auto"/>
            <w:noWrap/>
            <w:vAlign w:val="bottom"/>
            <w:hideMark/>
          </w:tcPr>
          <w:p w14:paraId="6D4F5C20"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3%</w:t>
            </w:r>
          </w:p>
        </w:tc>
      </w:tr>
      <w:tr w:rsidR="000B14EB" w:rsidRPr="00017634" w14:paraId="3681DE1B"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1E2F6952"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Fundaciones del sector público de la Generalitat</w:t>
            </w:r>
          </w:p>
        </w:tc>
        <w:tc>
          <w:tcPr>
            <w:tcW w:w="484" w:type="pct"/>
            <w:tcBorders>
              <w:top w:val="nil"/>
              <w:left w:val="nil"/>
              <w:bottom w:val="single" w:sz="4" w:space="0" w:color="auto"/>
              <w:right w:val="single" w:sz="4" w:space="0" w:color="auto"/>
            </w:tcBorders>
            <w:shd w:val="clear" w:color="auto" w:fill="auto"/>
            <w:noWrap/>
            <w:vAlign w:val="bottom"/>
            <w:hideMark/>
          </w:tcPr>
          <w:p w14:paraId="1BE832FA"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35F85F89"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5" w:type="pct"/>
            <w:tcBorders>
              <w:top w:val="nil"/>
              <w:left w:val="nil"/>
              <w:bottom w:val="single" w:sz="4" w:space="0" w:color="auto"/>
              <w:right w:val="single" w:sz="4" w:space="0" w:color="auto"/>
            </w:tcBorders>
            <w:shd w:val="clear" w:color="auto" w:fill="auto"/>
            <w:noWrap/>
            <w:vAlign w:val="bottom"/>
            <w:hideMark/>
          </w:tcPr>
          <w:p w14:paraId="1475E5E3"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0A00E426"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5F3D3F7F"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4BB9E618"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35BD0355"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4</w:t>
            </w:r>
          </w:p>
        </w:tc>
        <w:tc>
          <w:tcPr>
            <w:tcW w:w="403" w:type="pct"/>
            <w:tcBorders>
              <w:top w:val="nil"/>
              <w:left w:val="nil"/>
              <w:bottom w:val="single" w:sz="4" w:space="0" w:color="auto"/>
              <w:right w:val="single" w:sz="8" w:space="0" w:color="auto"/>
            </w:tcBorders>
            <w:shd w:val="clear" w:color="auto" w:fill="auto"/>
            <w:noWrap/>
            <w:vAlign w:val="bottom"/>
            <w:hideMark/>
          </w:tcPr>
          <w:p w14:paraId="2F359AD6"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2%</w:t>
            </w:r>
          </w:p>
        </w:tc>
      </w:tr>
      <w:tr w:rsidR="000B14EB" w:rsidRPr="00017634" w14:paraId="231B0AFF"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2F328DE6"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Partidos políticos</w:t>
            </w:r>
          </w:p>
        </w:tc>
        <w:tc>
          <w:tcPr>
            <w:tcW w:w="484" w:type="pct"/>
            <w:tcBorders>
              <w:top w:val="nil"/>
              <w:left w:val="nil"/>
              <w:bottom w:val="single" w:sz="4" w:space="0" w:color="auto"/>
              <w:right w:val="single" w:sz="4" w:space="0" w:color="auto"/>
            </w:tcBorders>
            <w:shd w:val="clear" w:color="auto" w:fill="auto"/>
            <w:noWrap/>
            <w:vAlign w:val="bottom"/>
            <w:hideMark/>
          </w:tcPr>
          <w:p w14:paraId="417A6D19"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10B828EF"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5" w:type="pct"/>
            <w:tcBorders>
              <w:top w:val="nil"/>
              <w:left w:val="nil"/>
              <w:bottom w:val="single" w:sz="4" w:space="0" w:color="auto"/>
              <w:right w:val="single" w:sz="4" w:space="0" w:color="auto"/>
            </w:tcBorders>
            <w:shd w:val="clear" w:color="auto" w:fill="auto"/>
            <w:noWrap/>
            <w:vAlign w:val="bottom"/>
            <w:hideMark/>
          </w:tcPr>
          <w:p w14:paraId="04070BEE"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1D61584B"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3A84FCE1"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1AE61018"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07041FB8"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3</w:t>
            </w:r>
          </w:p>
        </w:tc>
        <w:tc>
          <w:tcPr>
            <w:tcW w:w="403" w:type="pct"/>
            <w:tcBorders>
              <w:top w:val="nil"/>
              <w:left w:val="nil"/>
              <w:bottom w:val="single" w:sz="4" w:space="0" w:color="auto"/>
              <w:right w:val="single" w:sz="8" w:space="0" w:color="auto"/>
            </w:tcBorders>
            <w:shd w:val="clear" w:color="auto" w:fill="auto"/>
            <w:noWrap/>
            <w:vAlign w:val="bottom"/>
            <w:hideMark/>
          </w:tcPr>
          <w:p w14:paraId="444195C2"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r>
      <w:tr w:rsidR="000B14EB" w:rsidRPr="00017634" w14:paraId="003FDCDF"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5F81921B"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Universidades</w:t>
            </w:r>
          </w:p>
        </w:tc>
        <w:tc>
          <w:tcPr>
            <w:tcW w:w="484" w:type="pct"/>
            <w:tcBorders>
              <w:top w:val="nil"/>
              <w:left w:val="nil"/>
              <w:bottom w:val="single" w:sz="4" w:space="0" w:color="auto"/>
              <w:right w:val="single" w:sz="4" w:space="0" w:color="auto"/>
            </w:tcBorders>
            <w:shd w:val="clear" w:color="auto" w:fill="auto"/>
            <w:noWrap/>
            <w:vAlign w:val="bottom"/>
            <w:hideMark/>
          </w:tcPr>
          <w:p w14:paraId="08CEFBDD"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07A10FE6"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5" w:type="pct"/>
            <w:tcBorders>
              <w:top w:val="nil"/>
              <w:left w:val="nil"/>
              <w:bottom w:val="single" w:sz="4" w:space="0" w:color="auto"/>
              <w:right w:val="single" w:sz="4" w:space="0" w:color="auto"/>
            </w:tcBorders>
            <w:shd w:val="clear" w:color="auto" w:fill="auto"/>
            <w:noWrap/>
            <w:vAlign w:val="bottom"/>
            <w:hideMark/>
          </w:tcPr>
          <w:p w14:paraId="48EBB063"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7</w:t>
            </w:r>
          </w:p>
        </w:tc>
        <w:tc>
          <w:tcPr>
            <w:tcW w:w="404" w:type="pct"/>
            <w:tcBorders>
              <w:top w:val="nil"/>
              <w:left w:val="nil"/>
              <w:bottom w:val="single" w:sz="4" w:space="0" w:color="auto"/>
              <w:right w:val="single" w:sz="4" w:space="0" w:color="auto"/>
            </w:tcBorders>
            <w:shd w:val="clear" w:color="auto" w:fill="auto"/>
            <w:noWrap/>
            <w:vAlign w:val="bottom"/>
            <w:hideMark/>
          </w:tcPr>
          <w:p w14:paraId="14DAAAE5"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4%</w:t>
            </w:r>
          </w:p>
        </w:tc>
        <w:tc>
          <w:tcPr>
            <w:tcW w:w="484" w:type="pct"/>
            <w:tcBorders>
              <w:top w:val="nil"/>
              <w:left w:val="nil"/>
              <w:bottom w:val="single" w:sz="4" w:space="0" w:color="auto"/>
              <w:right w:val="single" w:sz="4" w:space="0" w:color="auto"/>
            </w:tcBorders>
            <w:shd w:val="clear" w:color="auto" w:fill="auto"/>
            <w:noWrap/>
            <w:vAlign w:val="bottom"/>
            <w:hideMark/>
          </w:tcPr>
          <w:p w14:paraId="23DAE05F"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3</w:t>
            </w:r>
          </w:p>
        </w:tc>
        <w:tc>
          <w:tcPr>
            <w:tcW w:w="404" w:type="pct"/>
            <w:tcBorders>
              <w:top w:val="nil"/>
              <w:left w:val="nil"/>
              <w:bottom w:val="single" w:sz="4" w:space="0" w:color="auto"/>
              <w:right w:val="single" w:sz="4" w:space="0" w:color="auto"/>
            </w:tcBorders>
            <w:shd w:val="clear" w:color="auto" w:fill="auto"/>
            <w:noWrap/>
            <w:vAlign w:val="bottom"/>
            <w:hideMark/>
          </w:tcPr>
          <w:p w14:paraId="1EDE5370"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2%</w:t>
            </w:r>
          </w:p>
        </w:tc>
        <w:tc>
          <w:tcPr>
            <w:tcW w:w="484" w:type="pct"/>
            <w:tcBorders>
              <w:top w:val="nil"/>
              <w:left w:val="nil"/>
              <w:bottom w:val="single" w:sz="4" w:space="0" w:color="auto"/>
              <w:right w:val="single" w:sz="4" w:space="0" w:color="auto"/>
            </w:tcBorders>
            <w:shd w:val="clear" w:color="auto" w:fill="auto"/>
            <w:noWrap/>
            <w:vAlign w:val="bottom"/>
            <w:hideMark/>
          </w:tcPr>
          <w:p w14:paraId="5233A8A2"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3</w:t>
            </w:r>
          </w:p>
        </w:tc>
        <w:tc>
          <w:tcPr>
            <w:tcW w:w="403" w:type="pct"/>
            <w:tcBorders>
              <w:top w:val="nil"/>
              <w:left w:val="nil"/>
              <w:bottom w:val="single" w:sz="4" w:space="0" w:color="auto"/>
              <w:right w:val="single" w:sz="8" w:space="0" w:color="auto"/>
            </w:tcBorders>
            <w:shd w:val="clear" w:color="auto" w:fill="auto"/>
            <w:noWrap/>
            <w:vAlign w:val="bottom"/>
            <w:hideMark/>
          </w:tcPr>
          <w:p w14:paraId="22D92A7E"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r>
      <w:tr w:rsidR="000B14EB" w:rsidRPr="00017634" w14:paraId="5E24AA3E"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2D091A39"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Entidades de derecho público de la Generalitat</w:t>
            </w:r>
          </w:p>
        </w:tc>
        <w:tc>
          <w:tcPr>
            <w:tcW w:w="484" w:type="pct"/>
            <w:tcBorders>
              <w:top w:val="nil"/>
              <w:left w:val="nil"/>
              <w:bottom w:val="single" w:sz="4" w:space="0" w:color="auto"/>
              <w:right w:val="single" w:sz="4" w:space="0" w:color="auto"/>
            </w:tcBorders>
            <w:shd w:val="clear" w:color="auto" w:fill="auto"/>
            <w:noWrap/>
            <w:vAlign w:val="bottom"/>
            <w:hideMark/>
          </w:tcPr>
          <w:p w14:paraId="513FD3ED"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18B1FD72"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5" w:type="pct"/>
            <w:tcBorders>
              <w:top w:val="nil"/>
              <w:left w:val="nil"/>
              <w:bottom w:val="single" w:sz="4" w:space="0" w:color="auto"/>
              <w:right w:val="single" w:sz="4" w:space="0" w:color="auto"/>
            </w:tcBorders>
            <w:shd w:val="clear" w:color="auto" w:fill="auto"/>
            <w:noWrap/>
            <w:vAlign w:val="bottom"/>
            <w:hideMark/>
          </w:tcPr>
          <w:p w14:paraId="7F54C9CA"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72CE403E"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6D838015"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3</w:t>
            </w:r>
          </w:p>
        </w:tc>
        <w:tc>
          <w:tcPr>
            <w:tcW w:w="404" w:type="pct"/>
            <w:tcBorders>
              <w:top w:val="nil"/>
              <w:left w:val="nil"/>
              <w:bottom w:val="single" w:sz="4" w:space="0" w:color="auto"/>
              <w:right w:val="single" w:sz="4" w:space="0" w:color="auto"/>
            </w:tcBorders>
            <w:shd w:val="clear" w:color="auto" w:fill="auto"/>
            <w:noWrap/>
            <w:vAlign w:val="bottom"/>
            <w:hideMark/>
          </w:tcPr>
          <w:p w14:paraId="68D5A5AE"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2%</w:t>
            </w:r>
          </w:p>
        </w:tc>
        <w:tc>
          <w:tcPr>
            <w:tcW w:w="484" w:type="pct"/>
            <w:tcBorders>
              <w:top w:val="nil"/>
              <w:left w:val="nil"/>
              <w:bottom w:val="single" w:sz="4" w:space="0" w:color="auto"/>
              <w:right w:val="single" w:sz="4" w:space="0" w:color="auto"/>
            </w:tcBorders>
            <w:shd w:val="clear" w:color="auto" w:fill="auto"/>
            <w:noWrap/>
            <w:vAlign w:val="bottom"/>
            <w:hideMark/>
          </w:tcPr>
          <w:p w14:paraId="6741EE62"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2</w:t>
            </w:r>
          </w:p>
        </w:tc>
        <w:tc>
          <w:tcPr>
            <w:tcW w:w="403" w:type="pct"/>
            <w:tcBorders>
              <w:top w:val="nil"/>
              <w:left w:val="nil"/>
              <w:bottom w:val="single" w:sz="4" w:space="0" w:color="auto"/>
              <w:right w:val="single" w:sz="8" w:space="0" w:color="auto"/>
            </w:tcBorders>
            <w:shd w:val="clear" w:color="auto" w:fill="auto"/>
            <w:noWrap/>
            <w:vAlign w:val="bottom"/>
            <w:hideMark/>
          </w:tcPr>
          <w:p w14:paraId="67630E33"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r>
      <w:tr w:rsidR="000B14EB" w:rsidRPr="00017634" w14:paraId="32DAE530"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3FA4060F"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Fundaciones del sector público local</w:t>
            </w:r>
          </w:p>
        </w:tc>
        <w:tc>
          <w:tcPr>
            <w:tcW w:w="484" w:type="pct"/>
            <w:tcBorders>
              <w:top w:val="nil"/>
              <w:left w:val="nil"/>
              <w:bottom w:val="single" w:sz="4" w:space="0" w:color="auto"/>
              <w:right w:val="single" w:sz="4" w:space="0" w:color="auto"/>
            </w:tcBorders>
            <w:shd w:val="clear" w:color="auto" w:fill="auto"/>
            <w:noWrap/>
            <w:vAlign w:val="bottom"/>
            <w:hideMark/>
          </w:tcPr>
          <w:p w14:paraId="128938C1"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35530CA5"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5" w:type="pct"/>
            <w:tcBorders>
              <w:top w:val="nil"/>
              <w:left w:val="nil"/>
              <w:bottom w:val="single" w:sz="4" w:space="0" w:color="auto"/>
              <w:right w:val="single" w:sz="4" w:space="0" w:color="auto"/>
            </w:tcBorders>
            <w:shd w:val="clear" w:color="auto" w:fill="auto"/>
            <w:noWrap/>
            <w:vAlign w:val="bottom"/>
            <w:hideMark/>
          </w:tcPr>
          <w:p w14:paraId="4E18E930"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2CB6A8B6"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76731286"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379A98AA"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40DF8082"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2</w:t>
            </w:r>
          </w:p>
        </w:tc>
        <w:tc>
          <w:tcPr>
            <w:tcW w:w="403" w:type="pct"/>
            <w:tcBorders>
              <w:top w:val="nil"/>
              <w:left w:val="nil"/>
              <w:bottom w:val="single" w:sz="4" w:space="0" w:color="auto"/>
              <w:right w:val="single" w:sz="8" w:space="0" w:color="auto"/>
            </w:tcBorders>
            <w:shd w:val="clear" w:color="auto" w:fill="auto"/>
            <w:noWrap/>
            <w:vAlign w:val="bottom"/>
            <w:hideMark/>
          </w:tcPr>
          <w:p w14:paraId="5951D165"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r>
      <w:tr w:rsidR="000B14EB" w:rsidRPr="00017634" w14:paraId="523E1B89"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12971F95"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Organismos del Estado</w:t>
            </w:r>
          </w:p>
        </w:tc>
        <w:tc>
          <w:tcPr>
            <w:tcW w:w="484" w:type="pct"/>
            <w:tcBorders>
              <w:top w:val="nil"/>
              <w:left w:val="nil"/>
              <w:bottom w:val="single" w:sz="4" w:space="0" w:color="auto"/>
              <w:right w:val="single" w:sz="4" w:space="0" w:color="auto"/>
            </w:tcBorders>
            <w:shd w:val="clear" w:color="auto" w:fill="auto"/>
            <w:noWrap/>
            <w:vAlign w:val="bottom"/>
            <w:hideMark/>
          </w:tcPr>
          <w:p w14:paraId="4AA352FF"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76B3DF7E"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5" w:type="pct"/>
            <w:tcBorders>
              <w:top w:val="nil"/>
              <w:left w:val="nil"/>
              <w:bottom w:val="single" w:sz="4" w:space="0" w:color="auto"/>
              <w:right w:val="single" w:sz="4" w:space="0" w:color="auto"/>
            </w:tcBorders>
            <w:shd w:val="clear" w:color="auto" w:fill="auto"/>
            <w:noWrap/>
            <w:vAlign w:val="bottom"/>
            <w:hideMark/>
          </w:tcPr>
          <w:p w14:paraId="6D91E353"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10CADF6A"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51E9AD83"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c>
          <w:tcPr>
            <w:tcW w:w="404" w:type="pct"/>
            <w:tcBorders>
              <w:top w:val="nil"/>
              <w:left w:val="nil"/>
              <w:bottom w:val="single" w:sz="4" w:space="0" w:color="auto"/>
              <w:right w:val="single" w:sz="4" w:space="0" w:color="auto"/>
            </w:tcBorders>
            <w:shd w:val="clear" w:color="auto" w:fill="auto"/>
            <w:noWrap/>
            <w:vAlign w:val="bottom"/>
            <w:hideMark/>
          </w:tcPr>
          <w:p w14:paraId="0CB269C9"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c>
          <w:tcPr>
            <w:tcW w:w="484" w:type="pct"/>
            <w:tcBorders>
              <w:top w:val="nil"/>
              <w:left w:val="nil"/>
              <w:bottom w:val="single" w:sz="4" w:space="0" w:color="auto"/>
              <w:right w:val="single" w:sz="4" w:space="0" w:color="auto"/>
            </w:tcBorders>
            <w:shd w:val="clear" w:color="auto" w:fill="auto"/>
            <w:noWrap/>
            <w:vAlign w:val="bottom"/>
            <w:hideMark/>
          </w:tcPr>
          <w:p w14:paraId="33910CC7"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2</w:t>
            </w:r>
          </w:p>
        </w:tc>
        <w:tc>
          <w:tcPr>
            <w:tcW w:w="403" w:type="pct"/>
            <w:tcBorders>
              <w:top w:val="nil"/>
              <w:left w:val="nil"/>
              <w:bottom w:val="single" w:sz="4" w:space="0" w:color="auto"/>
              <w:right w:val="single" w:sz="8" w:space="0" w:color="auto"/>
            </w:tcBorders>
            <w:shd w:val="clear" w:color="auto" w:fill="auto"/>
            <w:noWrap/>
            <w:vAlign w:val="bottom"/>
            <w:hideMark/>
          </w:tcPr>
          <w:p w14:paraId="5EA3F014"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r>
      <w:tr w:rsidR="000B14EB" w:rsidRPr="00017634" w14:paraId="5142AFBB"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33B342AB"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Administración de Justicia</w:t>
            </w:r>
          </w:p>
        </w:tc>
        <w:tc>
          <w:tcPr>
            <w:tcW w:w="484" w:type="pct"/>
            <w:tcBorders>
              <w:top w:val="nil"/>
              <w:left w:val="nil"/>
              <w:bottom w:val="single" w:sz="4" w:space="0" w:color="auto"/>
              <w:right w:val="single" w:sz="4" w:space="0" w:color="auto"/>
            </w:tcBorders>
            <w:shd w:val="clear" w:color="auto" w:fill="auto"/>
            <w:noWrap/>
            <w:vAlign w:val="bottom"/>
            <w:hideMark/>
          </w:tcPr>
          <w:p w14:paraId="7F11632C"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59169302"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5" w:type="pct"/>
            <w:tcBorders>
              <w:top w:val="nil"/>
              <w:left w:val="nil"/>
              <w:bottom w:val="single" w:sz="4" w:space="0" w:color="auto"/>
              <w:right w:val="single" w:sz="4" w:space="0" w:color="auto"/>
            </w:tcBorders>
            <w:shd w:val="clear" w:color="auto" w:fill="auto"/>
            <w:noWrap/>
            <w:vAlign w:val="bottom"/>
            <w:hideMark/>
          </w:tcPr>
          <w:p w14:paraId="52128FAA"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2D1E41BA"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7CCC55A8"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c>
          <w:tcPr>
            <w:tcW w:w="404" w:type="pct"/>
            <w:tcBorders>
              <w:top w:val="nil"/>
              <w:left w:val="nil"/>
              <w:bottom w:val="single" w:sz="4" w:space="0" w:color="auto"/>
              <w:right w:val="single" w:sz="4" w:space="0" w:color="auto"/>
            </w:tcBorders>
            <w:shd w:val="clear" w:color="auto" w:fill="auto"/>
            <w:noWrap/>
            <w:vAlign w:val="bottom"/>
            <w:hideMark/>
          </w:tcPr>
          <w:p w14:paraId="45FF0D1C"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c>
          <w:tcPr>
            <w:tcW w:w="484" w:type="pct"/>
            <w:tcBorders>
              <w:top w:val="nil"/>
              <w:left w:val="nil"/>
              <w:bottom w:val="single" w:sz="4" w:space="0" w:color="auto"/>
              <w:right w:val="single" w:sz="4" w:space="0" w:color="auto"/>
            </w:tcBorders>
            <w:shd w:val="clear" w:color="auto" w:fill="auto"/>
            <w:noWrap/>
            <w:vAlign w:val="bottom"/>
            <w:hideMark/>
          </w:tcPr>
          <w:p w14:paraId="64A6C768"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c>
          <w:tcPr>
            <w:tcW w:w="403" w:type="pct"/>
            <w:tcBorders>
              <w:top w:val="nil"/>
              <w:left w:val="nil"/>
              <w:bottom w:val="single" w:sz="4" w:space="0" w:color="auto"/>
              <w:right w:val="single" w:sz="8" w:space="0" w:color="auto"/>
            </w:tcBorders>
            <w:shd w:val="clear" w:color="auto" w:fill="auto"/>
            <w:noWrap/>
            <w:vAlign w:val="bottom"/>
            <w:hideMark/>
          </w:tcPr>
          <w:p w14:paraId="6D3CD19F"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r>
      <w:tr w:rsidR="000B14EB" w:rsidRPr="00017634" w14:paraId="1D90BA36"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065C733A"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Consorcios de la Generalitat</w:t>
            </w:r>
          </w:p>
        </w:tc>
        <w:tc>
          <w:tcPr>
            <w:tcW w:w="484" w:type="pct"/>
            <w:tcBorders>
              <w:top w:val="nil"/>
              <w:left w:val="nil"/>
              <w:bottom w:val="single" w:sz="4" w:space="0" w:color="auto"/>
              <w:right w:val="single" w:sz="4" w:space="0" w:color="auto"/>
            </w:tcBorders>
            <w:shd w:val="clear" w:color="auto" w:fill="auto"/>
            <w:noWrap/>
            <w:vAlign w:val="bottom"/>
            <w:hideMark/>
          </w:tcPr>
          <w:p w14:paraId="23BD26D4"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2A8753AE"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5" w:type="pct"/>
            <w:tcBorders>
              <w:top w:val="nil"/>
              <w:left w:val="nil"/>
              <w:bottom w:val="single" w:sz="4" w:space="0" w:color="auto"/>
              <w:right w:val="single" w:sz="4" w:space="0" w:color="auto"/>
            </w:tcBorders>
            <w:shd w:val="clear" w:color="auto" w:fill="auto"/>
            <w:noWrap/>
            <w:vAlign w:val="bottom"/>
            <w:hideMark/>
          </w:tcPr>
          <w:p w14:paraId="24A20AB0"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7780B88F"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20352FC0"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2</w:t>
            </w:r>
          </w:p>
        </w:tc>
        <w:tc>
          <w:tcPr>
            <w:tcW w:w="404" w:type="pct"/>
            <w:tcBorders>
              <w:top w:val="nil"/>
              <w:left w:val="nil"/>
              <w:bottom w:val="single" w:sz="4" w:space="0" w:color="auto"/>
              <w:right w:val="single" w:sz="4" w:space="0" w:color="auto"/>
            </w:tcBorders>
            <w:shd w:val="clear" w:color="auto" w:fill="auto"/>
            <w:noWrap/>
            <w:vAlign w:val="bottom"/>
            <w:hideMark/>
          </w:tcPr>
          <w:p w14:paraId="33759E82"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c>
          <w:tcPr>
            <w:tcW w:w="484" w:type="pct"/>
            <w:tcBorders>
              <w:top w:val="nil"/>
              <w:left w:val="nil"/>
              <w:bottom w:val="single" w:sz="4" w:space="0" w:color="auto"/>
              <w:right w:val="single" w:sz="4" w:space="0" w:color="auto"/>
            </w:tcBorders>
            <w:shd w:val="clear" w:color="auto" w:fill="auto"/>
            <w:noWrap/>
            <w:vAlign w:val="bottom"/>
            <w:hideMark/>
          </w:tcPr>
          <w:p w14:paraId="424EBF30"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c>
          <w:tcPr>
            <w:tcW w:w="403" w:type="pct"/>
            <w:tcBorders>
              <w:top w:val="nil"/>
              <w:left w:val="nil"/>
              <w:bottom w:val="single" w:sz="4" w:space="0" w:color="auto"/>
              <w:right w:val="single" w:sz="8" w:space="0" w:color="auto"/>
            </w:tcBorders>
            <w:shd w:val="clear" w:color="auto" w:fill="auto"/>
            <w:noWrap/>
            <w:vAlign w:val="bottom"/>
            <w:hideMark/>
          </w:tcPr>
          <w:p w14:paraId="620965BC"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r>
      <w:tr w:rsidR="000B14EB" w:rsidRPr="00017634" w14:paraId="6A6E82EC"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54446615"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Corporación de derecho público</w:t>
            </w:r>
          </w:p>
        </w:tc>
        <w:tc>
          <w:tcPr>
            <w:tcW w:w="484" w:type="pct"/>
            <w:tcBorders>
              <w:top w:val="nil"/>
              <w:left w:val="nil"/>
              <w:bottom w:val="single" w:sz="4" w:space="0" w:color="auto"/>
              <w:right w:val="single" w:sz="4" w:space="0" w:color="auto"/>
            </w:tcBorders>
            <w:shd w:val="clear" w:color="auto" w:fill="auto"/>
            <w:noWrap/>
            <w:vAlign w:val="bottom"/>
            <w:hideMark/>
          </w:tcPr>
          <w:p w14:paraId="5F0D23DF"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1625FF9A"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5" w:type="pct"/>
            <w:tcBorders>
              <w:top w:val="nil"/>
              <w:left w:val="nil"/>
              <w:bottom w:val="single" w:sz="4" w:space="0" w:color="auto"/>
              <w:right w:val="single" w:sz="4" w:space="0" w:color="auto"/>
            </w:tcBorders>
            <w:shd w:val="clear" w:color="auto" w:fill="auto"/>
            <w:noWrap/>
            <w:vAlign w:val="bottom"/>
            <w:hideMark/>
          </w:tcPr>
          <w:p w14:paraId="4ACB6567"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77FDEB91"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634320FF"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4</w:t>
            </w:r>
          </w:p>
        </w:tc>
        <w:tc>
          <w:tcPr>
            <w:tcW w:w="404" w:type="pct"/>
            <w:tcBorders>
              <w:top w:val="nil"/>
              <w:left w:val="nil"/>
              <w:bottom w:val="single" w:sz="4" w:space="0" w:color="auto"/>
              <w:right w:val="single" w:sz="4" w:space="0" w:color="auto"/>
            </w:tcBorders>
            <w:shd w:val="clear" w:color="auto" w:fill="auto"/>
            <w:noWrap/>
            <w:vAlign w:val="bottom"/>
            <w:hideMark/>
          </w:tcPr>
          <w:p w14:paraId="2155B247"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2%</w:t>
            </w:r>
          </w:p>
        </w:tc>
        <w:tc>
          <w:tcPr>
            <w:tcW w:w="484" w:type="pct"/>
            <w:tcBorders>
              <w:top w:val="nil"/>
              <w:left w:val="nil"/>
              <w:bottom w:val="single" w:sz="4" w:space="0" w:color="auto"/>
              <w:right w:val="single" w:sz="4" w:space="0" w:color="auto"/>
            </w:tcBorders>
            <w:shd w:val="clear" w:color="auto" w:fill="auto"/>
            <w:noWrap/>
            <w:vAlign w:val="bottom"/>
            <w:hideMark/>
          </w:tcPr>
          <w:p w14:paraId="6FA506E3"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c>
          <w:tcPr>
            <w:tcW w:w="403" w:type="pct"/>
            <w:tcBorders>
              <w:top w:val="nil"/>
              <w:left w:val="nil"/>
              <w:bottom w:val="single" w:sz="4" w:space="0" w:color="auto"/>
              <w:right w:val="single" w:sz="8" w:space="0" w:color="auto"/>
            </w:tcBorders>
            <w:shd w:val="clear" w:color="auto" w:fill="auto"/>
            <w:noWrap/>
            <w:vAlign w:val="bottom"/>
            <w:hideMark/>
          </w:tcPr>
          <w:p w14:paraId="29061C0A"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r>
      <w:tr w:rsidR="000B14EB" w:rsidRPr="00017634" w14:paraId="6CD0C9B6"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2CA18907"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Empresas contratistas de la Generalitat</w:t>
            </w:r>
          </w:p>
        </w:tc>
        <w:tc>
          <w:tcPr>
            <w:tcW w:w="484" w:type="pct"/>
            <w:tcBorders>
              <w:top w:val="nil"/>
              <w:left w:val="nil"/>
              <w:bottom w:val="single" w:sz="4" w:space="0" w:color="auto"/>
              <w:right w:val="single" w:sz="4" w:space="0" w:color="auto"/>
            </w:tcBorders>
            <w:shd w:val="clear" w:color="auto" w:fill="auto"/>
            <w:noWrap/>
            <w:vAlign w:val="bottom"/>
            <w:hideMark/>
          </w:tcPr>
          <w:p w14:paraId="4C129D98"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0134B813"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5" w:type="pct"/>
            <w:tcBorders>
              <w:top w:val="nil"/>
              <w:left w:val="nil"/>
              <w:bottom w:val="single" w:sz="4" w:space="0" w:color="auto"/>
              <w:right w:val="single" w:sz="4" w:space="0" w:color="auto"/>
            </w:tcBorders>
            <w:shd w:val="clear" w:color="auto" w:fill="auto"/>
            <w:noWrap/>
            <w:vAlign w:val="bottom"/>
            <w:hideMark/>
          </w:tcPr>
          <w:p w14:paraId="5E865AF0"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635B7F34"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482BE746"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57544C28"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57FA91AB"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c>
          <w:tcPr>
            <w:tcW w:w="403" w:type="pct"/>
            <w:tcBorders>
              <w:top w:val="nil"/>
              <w:left w:val="nil"/>
              <w:bottom w:val="single" w:sz="4" w:space="0" w:color="auto"/>
              <w:right w:val="single" w:sz="8" w:space="0" w:color="auto"/>
            </w:tcBorders>
            <w:shd w:val="clear" w:color="auto" w:fill="auto"/>
            <w:noWrap/>
            <w:vAlign w:val="bottom"/>
            <w:hideMark/>
          </w:tcPr>
          <w:p w14:paraId="42B31F9E"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r>
      <w:tr w:rsidR="000B14EB" w:rsidRPr="00017634" w14:paraId="59951BEB"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20D738BD"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Organismos autónomos de la Generalitat</w:t>
            </w:r>
          </w:p>
        </w:tc>
        <w:tc>
          <w:tcPr>
            <w:tcW w:w="484" w:type="pct"/>
            <w:tcBorders>
              <w:top w:val="nil"/>
              <w:left w:val="nil"/>
              <w:bottom w:val="single" w:sz="4" w:space="0" w:color="auto"/>
              <w:right w:val="single" w:sz="4" w:space="0" w:color="auto"/>
            </w:tcBorders>
            <w:shd w:val="clear" w:color="auto" w:fill="auto"/>
            <w:noWrap/>
            <w:vAlign w:val="bottom"/>
            <w:hideMark/>
          </w:tcPr>
          <w:p w14:paraId="7BA87A9B"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0974853F"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5" w:type="pct"/>
            <w:tcBorders>
              <w:top w:val="nil"/>
              <w:left w:val="nil"/>
              <w:bottom w:val="single" w:sz="4" w:space="0" w:color="auto"/>
              <w:right w:val="single" w:sz="4" w:space="0" w:color="auto"/>
            </w:tcBorders>
            <w:shd w:val="clear" w:color="auto" w:fill="auto"/>
            <w:noWrap/>
            <w:vAlign w:val="bottom"/>
            <w:hideMark/>
          </w:tcPr>
          <w:p w14:paraId="56287BF5"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6A283713"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23D5C246"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c>
          <w:tcPr>
            <w:tcW w:w="404" w:type="pct"/>
            <w:tcBorders>
              <w:top w:val="nil"/>
              <w:left w:val="nil"/>
              <w:bottom w:val="single" w:sz="4" w:space="0" w:color="auto"/>
              <w:right w:val="single" w:sz="4" w:space="0" w:color="auto"/>
            </w:tcBorders>
            <w:shd w:val="clear" w:color="auto" w:fill="auto"/>
            <w:noWrap/>
            <w:vAlign w:val="bottom"/>
            <w:hideMark/>
          </w:tcPr>
          <w:p w14:paraId="5A8AC042"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c>
          <w:tcPr>
            <w:tcW w:w="484" w:type="pct"/>
            <w:tcBorders>
              <w:top w:val="nil"/>
              <w:left w:val="nil"/>
              <w:bottom w:val="single" w:sz="4" w:space="0" w:color="auto"/>
              <w:right w:val="single" w:sz="4" w:space="0" w:color="auto"/>
            </w:tcBorders>
            <w:shd w:val="clear" w:color="auto" w:fill="auto"/>
            <w:noWrap/>
            <w:vAlign w:val="bottom"/>
            <w:hideMark/>
          </w:tcPr>
          <w:p w14:paraId="17FE9319"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c>
          <w:tcPr>
            <w:tcW w:w="403" w:type="pct"/>
            <w:tcBorders>
              <w:top w:val="nil"/>
              <w:left w:val="nil"/>
              <w:bottom w:val="single" w:sz="4" w:space="0" w:color="auto"/>
              <w:right w:val="single" w:sz="8" w:space="0" w:color="auto"/>
            </w:tcBorders>
            <w:shd w:val="clear" w:color="auto" w:fill="auto"/>
            <w:noWrap/>
            <w:vAlign w:val="bottom"/>
            <w:hideMark/>
          </w:tcPr>
          <w:p w14:paraId="1C5DE7DF"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r>
      <w:tr w:rsidR="000B14EB" w:rsidRPr="00017634" w14:paraId="236AA6E4"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485CF245"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Sindicatos</w:t>
            </w:r>
          </w:p>
        </w:tc>
        <w:tc>
          <w:tcPr>
            <w:tcW w:w="484" w:type="pct"/>
            <w:tcBorders>
              <w:top w:val="nil"/>
              <w:left w:val="nil"/>
              <w:bottom w:val="single" w:sz="4" w:space="0" w:color="auto"/>
              <w:right w:val="single" w:sz="4" w:space="0" w:color="auto"/>
            </w:tcBorders>
            <w:shd w:val="clear" w:color="auto" w:fill="auto"/>
            <w:noWrap/>
            <w:vAlign w:val="bottom"/>
            <w:hideMark/>
          </w:tcPr>
          <w:p w14:paraId="30C70A1F"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5EDC24EC"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5" w:type="pct"/>
            <w:tcBorders>
              <w:top w:val="nil"/>
              <w:left w:val="nil"/>
              <w:bottom w:val="single" w:sz="4" w:space="0" w:color="auto"/>
              <w:right w:val="single" w:sz="4" w:space="0" w:color="auto"/>
            </w:tcBorders>
            <w:shd w:val="clear" w:color="auto" w:fill="auto"/>
            <w:noWrap/>
            <w:vAlign w:val="bottom"/>
            <w:hideMark/>
          </w:tcPr>
          <w:p w14:paraId="3E814D86"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0187D4B7"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52F82B73"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15A7B2BF"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5D8111C4"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c>
          <w:tcPr>
            <w:tcW w:w="403" w:type="pct"/>
            <w:tcBorders>
              <w:top w:val="nil"/>
              <w:left w:val="nil"/>
              <w:bottom w:val="single" w:sz="4" w:space="0" w:color="auto"/>
              <w:right w:val="single" w:sz="8" w:space="0" w:color="auto"/>
            </w:tcBorders>
            <w:shd w:val="clear" w:color="auto" w:fill="auto"/>
            <w:noWrap/>
            <w:vAlign w:val="bottom"/>
            <w:hideMark/>
          </w:tcPr>
          <w:p w14:paraId="3B9377E0"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r>
      <w:tr w:rsidR="000B14EB" w:rsidRPr="00017634" w14:paraId="08366DEF"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4D913C7D"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Sociedades mercantiles de la Generalitat</w:t>
            </w:r>
          </w:p>
        </w:tc>
        <w:tc>
          <w:tcPr>
            <w:tcW w:w="484" w:type="pct"/>
            <w:tcBorders>
              <w:top w:val="nil"/>
              <w:left w:val="nil"/>
              <w:bottom w:val="single" w:sz="4" w:space="0" w:color="auto"/>
              <w:right w:val="single" w:sz="4" w:space="0" w:color="auto"/>
            </w:tcBorders>
            <w:shd w:val="clear" w:color="auto" w:fill="auto"/>
            <w:noWrap/>
            <w:vAlign w:val="bottom"/>
            <w:hideMark/>
          </w:tcPr>
          <w:p w14:paraId="57CA6212"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0A214481"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5" w:type="pct"/>
            <w:tcBorders>
              <w:top w:val="nil"/>
              <w:left w:val="nil"/>
              <w:bottom w:val="single" w:sz="4" w:space="0" w:color="auto"/>
              <w:right w:val="single" w:sz="4" w:space="0" w:color="auto"/>
            </w:tcBorders>
            <w:shd w:val="clear" w:color="auto" w:fill="auto"/>
            <w:noWrap/>
            <w:vAlign w:val="bottom"/>
            <w:hideMark/>
          </w:tcPr>
          <w:p w14:paraId="394DB4EC"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75229414"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4A97B502"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3907DD60"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7DC488EF"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c>
          <w:tcPr>
            <w:tcW w:w="403" w:type="pct"/>
            <w:tcBorders>
              <w:top w:val="nil"/>
              <w:left w:val="nil"/>
              <w:bottom w:val="single" w:sz="4" w:space="0" w:color="auto"/>
              <w:right w:val="single" w:sz="8" w:space="0" w:color="auto"/>
            </w:tcBorders>
            <w:shd w:val="clear" w:color="auto" w:fill="auto"/>
            <w:noWrap/>
            <w:vAlign w:val="bottom"/>
            <w:hideMark/>
          </w:tcPr>
          <w:p w14:paraId="77C62997"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r>
      <w:tr w:rsidR="000B14EB" w:rsidRPr="00017634" w14:paraId="236E5C7D"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2B2428D7"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Instituciones estatutarias</w:t>
            </w:r>
          </w:p>
        </w:tc>
        <w:tc>
          <w:tcPr>
            <w:tcW w:w="484" w:type="pct"/>
            <w:tcBorders>
              <w:top w:val="nil"/>
              <w:left w:val="nil"/>
              <w:bottom w:val="single" w:sz="4" w:space="0" w:color="auto"/>
              <w:right w:val="single" w:sz="4" w:space="0" w:color="auto"/>
            </w:tcBorders>
            <w:shd w:val="clear" w:color="auto" w:fill="auto"/>
            <w:noWrap/>
            <w:vAlign w:val="bottom"/>
            <w:hideMark/>
          </w:tcPr>
          <w:p w14:paraId="253F90BB"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c>
          <w:tcPr>
            <w:tcW w:w="404" w:type="pct"/>
            <w:tcBorders>
              <w:top w:val="nil"/>
              <w:left w:val="nil"/>
              <w:bottom w:val="single" w:sz="4" w:space="0" w:color="auto"/>
              <w:right w:val="single" w:sz="4" w:space="0" w:color="auto"/>
            </w:tcBorders>
            <w:shd w:val="clear" w:color="auto" w:fill="auto"/>
            <w:noWrap/>
            <w:vAlign w:val="bottom"/>
            <w:hideMark/>
          </w:tcPr>
          <w:p w14:paraId="12A01A7F"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3%</w:t>
            </w:r>
          </w:p>
        </w:tc>
        <w:tc>
          <w:tcPr>
            <w:tcW w:w="485" w:type="pct"/>
            <w:tcBorders>
              <w:top w:val="nil"/>
              <w:left w:val="nil"/>
              <w:bottom w:val="single" w:sz="4" w:space="0" w:color="auto"/>
              <w:right w:val="single" w:sz="4" w:space="0" w:color="auto"/>
            </w:tcBorders>
            <w:shd w:val="clear" w:color="auto" w:fill="auto"/>
            <w:noWrap/>
            <w:vAlign w:val="bottom"/>
            <w:hideMark/>
          </w:tcPr>
          <w:p w14:paraId="23253555"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3</w:t>
            </w:r>
          </w:p>
        </w:tc>
        <w:tc>
          <w:tcPr>
            <w:tcW w:w="404" w:type="pct"/>
            <w:tcBorders>
              <w:top w:val="nil"/>
              <w:left w:val="nil"/>
              <w:bottom w:val="single" w:sz="4" w:space="0" w:color="auto"/>
              <w:right w:val="single" w:sz="4" w:space="0" w:color="auto"/>
            </w:tcBorders>
            <w:shd w:val="clear" w:color="auto" w:fill="auto"/>
            <w:noWrap/>
            <w:vAlign w:val="bottom"/>
            <w:hideMark/>
          </w:tcPr>
          <w:p w14:paraId="657BC462"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2%</w:t>
            </w:r>
          </w:p>
        </w:tc>
        <w:tc>
          <w:tcPr>
            <w:tcW w:w="484" w:type="pct"/>
            <w:tcBorders>
              <w:top w:val="nil"/>
              <w:left w:val="nil"/>
              <w:bottom w:val="single" w:sz="4" w:space="0" w:color="auto"/>
              <w:right w:val="single" w:sz="4" w:space="0" w:color="auto"/>
            </w:tcBorders>
            <w:shd w:val="clear" w:color="auto" w:fill="auto"/>
            <w:noWrap/>
            <w:vAlign w:val="bottom"/>
            <w:hideMark/>
          </w:tcPr>
          <w:p w14:paraId="5829E0E1"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59A50C8D"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2BDF5DE2"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3" w:type="pct"/>
            <w:tcBorders>
              <w:top w:val="nil"/>
              <w:left w:val="nil"/>
              <w:bottom w:val="single" w:sz="4" w:space="0" w:color="auto"/>
              <w:right w:val="single" w:sz="8" w:space="0" w:color="auto"/>
            </w:tcBorders>
            <w:shd w:val="clear" w:color="auto" w:fill="auto"/>
            <w:noWrap/>
            <w:vAlign w:val="bottom"/>
            <w:hideMark/>
          </w:tcPr>
          <w:p w14:paraId="332166B7"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r>
      <w:tr w:rsidR="000B14EB" w:rsidRPr="00017634" w14:paraId="7E7A9C36"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5BDEF15D"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Sector público Generalitat</w:t>
            </w:r>
          </w:p>
        </w:tc>
        <w:tc>
          <w:tcPr>
            <w:tcW w:w="484" w:type="pct"/>
            <w:tcBorders>
              <w:top w:val="nil"/>
              <w:left w:val="nil"/>
              <w:bottom w:val="single" w:sz="4" w:space="0" w:color="auto"/>
              <w:right w:val="single" w:sz="4" w:space="0" w:color="auto"/>
            </w:tcBorders>
            <w:shd w:val="clear" w:color="auto" w:fill="auto"/>
            <w:noWrap/>
            <w:vAlign w:val="bottom"/>
            <w:hideMark/>
          </w:tcPr>
          <w:p w14:paraId="12DE6158"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7849174D"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5" w:type="pct"/>
            <w:tcBorders>
              <w:top w:val="nil"/>
              <w:left w:val="nil"/>
              <w:bottom w:val="single" w:sz="4" w:space="0" w:color="auto"/>
              <w:right w:val="single" w:sz="4" w:space="0" w:color="auto"/>
            </w:tcBorders>
            <w:shd w:val="clear" w:color="auto" w:fill="auto"/>
            <w:noWrap/>
            <w:vAlign w:val="bottom"/>
            <w:hideMark/>
          </w:tcPr>
          <w:p w14:paraId="270FD6DE"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9</w:t>
            </w:r>
          </w:p>
        </w:tc>
        <w:tc>
          <w:tcPr>
            <w:tcW w:w="404" w:type="pct"/>
            <w:tcBorders>
              <w:top w:val="nil"/>
              <w:left w:val="nil"/>
              <w:bottom w:val="single" w:sz="4" w:space="0" w:color="auto"/>
              <w:right w:val="single" w:sz="4" w:space="0" w:color="auto"/>
            </w:tcBorders>
            <w:shd w:val="clear" w:color="auto" w:fill="auto"/>
            <w:noWrap/>
            <w:vAlign w:val="bottom"/>
            <w:hideMark/>
          </w:tcPr>
          <w:p w14:paraId="25B2B9B9"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5%</w:t>
            </w:r>
          </w:p>
        </w:tc>
        <w:tc>
          <w:tcPr>
            <w:tcW w:w="484" w:type="pct"/>
            <w:tcBorders>
              <w:top w:val="nil"/>
              <w:left w:val="nil"/>
              <w:bottom w:val="single" w:sz="4" w:space="0" w:color="auto"/>
              <w:right w:val="single" w:sz="4" w:space="0" w:color="auto"/>
            </w:tcBorders>
            <w:shd w:val="clear" w:color="auto" w:fill="auto"/>
            <w:noWrap/>
            <w:vAlign w:val="bottom"/>
            <w:hideMark/>
          </w:tcPr>
          <w:p w14:paraId="548BB517"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3</w:t>
            </w:r>
          </w:p>
        </w:tc>
        <w:tc>
          <w:tcPr>
            <w:tcW w:w="404" w:type="pct"/>
            <w:tcBorders>
              <w:top w:val="nil"/>
              <w:left w:val="nil"/>
              <w:bottom w:val="single" w:sz="4" w:space="0" w:color="auto"/>
              <w:right w:val="single" w:sz="4" w:space="0" w:color="auto"/>
            </w:tcBorders>
            <w:shd w:val="clear" w:color="auto" w:fill="auto"/>
            <w:noWrap/>
            <w:vAlign w:val="bottom"/>
            <w:hideMark/>
          </w:tcPr>
          <w:p w14:paraId="0EAF06C1"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2%</w:t>
            </w:r>
          </w:p>
        </w:tc>
        <w:tc>
          <w:tcPr>
            <w:tcW w:w="484" w:type="pct"/>
            <w:tcBorders>
              <w:top w:val="nil"/>
              <w:left w:val="nil"/>
              <w:bottom w:val="single" w:sz="4" w:space="0" w:color="auto"/>
              <w:right w:val="single" w:sz="4" w:space="0" w:color="auto"/>
            </w:tcBorders>
            <w:shd w:val="clear" w:color="auto" w:fill="auto"/>
            <w:noWrap/>
            <w:vAlign w:val="bottom"/>
            <w:hideMark/>
          </w:tcPr>
          <w:p w14:paraId="6BA2D3F5"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3" w:type="pct"/>
            <w:tcBorders>
              <w:top w:val="nil"/>
              <w:left w:val="nil"/>
              <w:bottom w:val="single" w:sz="4" w:space="0" w:color="auto"/>
              <w:right w:val="single" w:sz="8" w:space="0" w:color="auto"/>
            </w:tcBorders>
            <w:shd w:val="clear" w:color="auto" w:fill="auto"/>
            <w:noWrap/>
            <w:vAlign w:val="bottom"/>
            <w:hideMark/>
          </w:tcPr>
          <w:p w14:paraId="60AA4088"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r>
      <w:tr w:rsidR="000B14EB" w:rsidRPr="00017634" w14:paraId="473F6AF9"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40C7B8A8"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Sector público provincial</w:t>
            </w:r>
          </w:p>
        </w:tc>
        <w:tc>
          <w:tcPr>
            <w:tcW w:w="484" w:type="pct"/>
            <w:tcBorders>
              <w:top w:val="nil"/>
              <w:left w:val="nil"/>
              <w:bottom w:val="single" w:sz="4" w:space="0" w:color="auto"/>
              <w:right w:val="single" w:sz="4" w:space="0" w:color="auto"/>
            </w:tcBorders>
            <w:shd w:val="clear" w:color="auto" w:fill="auto"/>
            <w:noWrap/>
            <w:vAlign w:val="bottom"/>
            <w:hideMark/>
          </w:tcPr>
          <w:p w14:paraId="4903D461"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32F774CA"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5" w:type="pct"/>
            <w:tcBorders>
              <w:top w:val="nil"/>
              <w:left w:val="nil"/>
              <w:bottom w:val="single" w:sz="4" w:space="0" w:color="auto"/>
              <w:right w:val="single" w:sz="4" w:space="0" w:color="auto"/>
            </w:tcBorders>
            <w:shd w:val="clear" w:color="auto" w:fill="auto"/>
            <w:noWrap/>
            <w:vAlign w:val="bottom"/>
            <w:hideMark/>
          </w:tcPr>
          <w:p w14:paraId="5A484445"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5</w:t>
            </w:r>
          </w:p>
        </w:tc>
        <w:tc>
          <w:tcPr>
            <w:tcW w:w="404" w:type="pct"/>
            <w:tcBorders>
              <w:top w:val="nil"/>
              <w:left w:val="nil"/>
              <w:bottom w:val="single" w:sz="4" w:space="0" w:color="auto"/>
              <w:right w:val="single" w:sz="4" w:space="0" w:color="auto"/>
            </w:tcBorders>
            <w:shd w:val="clear" w:color="auto" w:fill="auto"/>
            <w:noWrap/>
            <w:vAlign w:val="bottom"/>
            <w:hideMark/>
          </w:tcPr>
          <w:p w14:paraId="216FF192"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3%</w:t>
            </w:r>
          </w:p>
        </w:tc>
        <w:tc>
          <w:tcPr>
            <w:tcW w:w="484" w:type="pct"/>
            <w:tcBorders>
              <w:top w:val="nil"/>
              <w:left w:val="nil"/>
              <w:bottom w:val="single" w:sz="4" w:space="0" w:color="auto"/>
              <w:right w:val="single" w:sz="4" w:space="0" w:color="auto"/>
            </w:tcBorders>
            <w:shd w:val="clear" w:color="auto" w:fill="auto"/>
            <w:noWrap/>
            <w:vAlign w:val="bottom"/>
            <w:hideMark/>
          </w:tcPr>
          <w:p w14:paraId="5E933418"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5042768D"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20CAE667"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3" w:type="pct"/>
            <w:tcBorders>
              <w:top w:val="nil"/>
              <w:left w:val="nil"/>
              <w:bottom w:val="single" w:sz="4" w:space="0" w:color="auto"/>
              <w:right w:val="single" w:sz="8" w:space="0" w:color="auto"/>
            </w:tcBorders>
            <w:shd w:val="clear" w:color="auto" w:fill="auto"/>
            <w:noWrap/>
            <w:vAlign w:val="bottom"/>
            <w:hideMark/>
          </w:tcPr>
          <w:p w14:paraId="22F5B577"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r>
      <w:tr w:rsidR="000B14EB" w:rsidRPr="00017634" w14:paraId="4F620414" w14:textId="77777777" w:rsidTr="002D3AF5">
        <w:trPr>
          <w:trHeight w:hRule="exact" w:val="454"/>
        </w:trPr>
        <w:tc>
          <w:tcPr>
            <w:tcW w:w="1448" w:type="pct"/>
            <w:tcBorders>
              <w:top w:val="nil"/>
              <w:left w:val="single" w:sz="8" w:space="0" w:color="auto"/>
              <w:bottom w:val="single" w:sz="4" w:space="0" w:color="auto"/>
              <w:right w:val="single" w:sz="4" w:space="0" w:color="auto"/>
            </w:tcBorders>
            <w:shd w:val="clear" w:color="auto" w:fill="auto"/>
            <w:noWrap/>
            <w:vAlign w:val="bottom"/>
            <w:hideMark/>
          </w:tcPr>
          <w:p w14:paraId="66F7BD01" w14:textId="77777777" w:rsidR="00017634" w:rsidRPr="00017634" w:rsidRDefault="00017634" w:rsidP="00017634">
            <w:pPr>
              <w:spacing w:after="0" w:line="240" w:lineRule="auto"/>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 xml:space="preserve">Otros </w:t>
            </w:r>
          </w:p>
        </w:tc>
        <w:tc>
          <w:tcPr>
            <w:tcW w:w="484" w:type="pct"/>
            <w:tcBorders>
              <w:top w:val="nil"/>
              <w:left w:val="nil"/>
              <w:bottom w:val="single" w:sz="4" w:space="0" w:color="auto"/>
              <w:right w:val="single" w:sz="4" w:space="0" w:color="auto"/>
            </w:tcBorders>
            <w:shd w:val="clear" w:color="auto" w:fill="auto"/>
            <w:noWrap/>
            <w:vAlign w:val="bottom"/>
            <w:hideMark/>
          </w:tcPr>
          <w:p w14:paraId="491AB471"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20892E2A"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5" w:type="pct"/>
            <w:tcBorders>
              <w:top w:val="nil"/>
              <w:left w:val="nil"/>
              <w:bottom w:val="single" w:sz="4" w:space="0" w:color="auto"/>
              <w:right w:val="single" w:sz="4" w:space="0" w:color="auto"/>
            </w:tcBorders>
            <w:shd w:val="clear" w:color="auto" w:fill="auto"/>
            <w:noWrap/>
            <w:vAlign w:val="bottom"/>
            <w:hideMark/>
          </w:tcPr>
          <w:p w14:paraId="49BCD64D"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4" w:type="pct"/>
            <w:tcBorders>
              <w:top w:val="nil"/>
              <w:left w:val="nil"/>
              <w:bottom w:val="single" w:sz="4" w:space="0" w:color="auto"/>
              <w:right w:val="single" w:sz="4" w:space="0" w:color="auto"/>
            </w:tcBorders>
            <w:shd w:val="clear" w:color="auto" w:fill="auto"/>
            <w:noWrap/>
            <w:vAlign w:val="bottom"/>
            <w:hideMark/>
          </w:tcPr>
          <w:p w14:paraId="6C762807"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84" w:type="pct"/>
            <w:tcBorders>
              <w:top w:val="nil"/>
              <w:left w:val="nil"/>
              <w:bottom w:val="single" w:sz="4" w:space="0" w:color="auto"/>
              <w:right w:val="single" w:sz="4" w:space="0" w:color="auto"/>
            </w:tcBorders>
            <w:shd w:val="clear" w:color="auto" w:fill="auto"/>
            <w:noWrap/>
            <w:vAlign w:val="bottom"/>
            <w:hideMark/>
          </w:tcPr>
          <w:p w14:paraId="0BEA8F81"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c>
          <w:tcPr>
            <w:tcW w:w="404" w:type="pct"/>
            <w:tcBorders>
              <w:top w:val="nil"/>
              <w:left w:val="nil"/>
              <w:bottom w:val="single" w:sz="4" w:space="0" w:color="auto"/>
              <w:right w:val="single" w:sz="4" w:space="0" w:color="auto"/>
            </w:tcBorders>
            <w:shd w:val="clear" w:color="auto" w:fill="auto"/>
            <w:noWrap/>
            <w:vAlign w:val="bottom"/>
            <w:hideMark/>
          </w:tcPr>
          <w:p w14:paraId="408FFE30"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1%</w:t>
            </w:r>
          </w:p>
        </w:tc>
        <w:tc>
          <w:tcPr>
            <w:tcW w:w="484" w:type="pct"/>
            <w:tcBorders>
              <w:top w:val="nil"/>
              <w:left w:val="nil"/>
              <w:bottom w:val="single" w:sz="4" w:space="0" w:color="auto"/>
              <w:right w:val="single" w:sz="4" w:space="0" w:color="auto"/>
            </w:tcBorders>
            <w:shd w:val="clear" w:color="auto" w:fill="auto"/>
            <w:noWrap/>
            <w:vAlign w:val="bottom"/>
            <w:hideMark/>
          </w:tcPr>
          <w:p w14:paraId="6F17455C"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c>
          <w:tcPr>
            <w:tcW w:w="403" w:type="pct"/>
            <w:tcBorders>
              <w:top w:val="nil"/>
              <w:left w:val="nil"/>
              <w:bottom w:val="single" w:sz="4" w:space="0" w:color="auto"/>
              <w:right w:val="single" w:sz="8" w:space="0" w:color="auto"/>
            </w:tcBorders>
            <w:shd w:val="clear" w:color="auto" w:fill="auto"/>
            <w:noWrap/>
            <w:vAlign w:val="bottom"/>
            <w:hideMark/>
          </w:tcPr>
          <w:p w14:paraId="6ACCD706" w14:textId="77777777" w:rsidR="00017634" w:rsidRPr="00017634" w:rsidRDefault="00017634" w:rsidP="00017634">
            <w:pPr>
              <w:spacing w:after="0" w:line="240" w:lineRule="auto"/>
              <w:jc w:val="center"/>
              <w:rPr>
                <w:rFonts w:ascii="Calibri" w:eastAsia="Times New Roman" w:hAnsi="Calibri" w:cs="Calibri"/>
                <w:color w:val="000000"/>
                <w:sz w:val="20"/>
                <w:szCs w:val="20"/>
                <w:lang w:eastAsia="es-ES"/>
              </w:rPr>
            </w:pPr>
            <w:r w:rsidRPr="00017634">
              <w:rPr>
                <w:rFonts w:ascii="Calibri" w:eastAsia="Times New Roman" w:hAnsi="Calibri" w:cs="Calibri"/>
                <w:color w:val="000000"/>
                <w:sz w:val="20"/>
                <w:szCs w:val="20"/>
                <w:lang w:eastAsia="es-ES"/>
              </w:rPr>
              <w:t>0%</w:t>
            </w:r>
          </w:p>
        </w:tc>
      </w:tr>
      <w:tr w:rsidR="000B14EB" w:rsidRPr="00017634" w14:paraId="0B9E4CBC" w14:textId="77777777" w:rsidTr="002D3AF5">
        <w:trPr>
          <w:trHeight w:hRule="exact" w:val="454"/>
        </w:trPr>
        <w:tc>
          <w:tcPr>
            <w:tcW w:w="1448" w:type="pct"/>
            <w:tcBorders>
              <w:top w:val="nil"/>
              <w:left w:val="single" w:sz="8" w:space="0" w:color="auto"/>
              <w:bottom w:val="single" w:sz="8" w:space="0" w:color="auto"/>
              <w:right w:val="single" w:sz="4" w:space="0" w:color="auto"/>
            </w:tcBorders>
            <w:shd w:val="clear" w:color="auto" w:fill="auto"/>
            <w:noWrap/>
            <w:vAlign w:val="bottom"/>
            <w:hideMark/>
          </w:tcPr>
          <w:p w14:paraId="7E4359B0" w14:textId="3DF8EFFC" w:rsidR="00017634" w:rsidRPr="00017634" w:rsidRDefault="00086FD4" w:rsidP="00017634">
            <w:pPr>
              <w:spacing w:after="0" w:line="240" w:lineRule="auto"/>
              <w:jc w:val="right"/>
              <w:rPr>
                <w:rFonts w:ascii="Calibri" w:eastAsia="Times New Roman" w:hAnsi="Calibri" w:cs="Calibri"/>
                <w:b/>
                <w:bCs/>
                <w:color w:val="000000"/>
                <w:sz w:val="20"/>
                <w:szCs w:val="20"/>
                <w:lang w:eastAsia="es-ES"/>
              </w:rPr>
            </w:pPr>
            <w:r w:rsidRPr="00017634">
              <w:rPr>
                <w:rFonts w:ascii="Calibri" w:eastAsia="Times New Roman" w:hAnsi="Calibri" w:cs="Calibri"/>
                <w:b/>
                <w:bCs/>
                <w:color w:val="000000"/>
                <w:sz w:val="20"/>
                <w:szCs w:val="20"/>
                <w:lang w:eastAsia="es-ES"/>
              </w:rPr>
              <w:t>TOTAL…</w:t>
            </w:r>
          </w:p>
        </w:tc>
        <w:tc>
          <w:tcPr>
            <w:tcW w:w="484" w:type="pct"/>
            <w:tcBorders>
              <w:top w:val="nil"/>
              <w:left w:val="nil"/>
              <w:bottom w:val="single" w:sz="4" w:space="0" w:color="auto"/>
              <w:right w:val="single" w:sz="4" w:space="0" w:color="auto"/>
            </w:tcBorders>
            <w:shd w:val="clear" w:color="auto" w:fill="auto"/>
            <w:noWrap/>
            <w:vAlign w:val="bottom"/>
            <w:hideMark/>
          </w:tcPr>
          <w:p w14:paraId="78D4C0C0" w14:textId="77777777" w:rsidR="00017634" w:rsidRPr="00017634" w:rsidRDefault="00017634" w:rsidP="00017634">
            <w:pPr>
              <w:spacing w:after="0" w:line="240" w:lineRule="auto"/>
              <w:jc w:val="center"/>
              <w:rPr>
                <w:rFonts w:ascii="Calibri" w:eastAsia="Times New Roman" w:hAnsi="Calibri" w:cs="Calibri"/>
                <w:b/>
                <w:bCs/>
                <w:color w:val="000000"/>
                <w:sz w:val="20"/>
                <w:szCs w:val="20"/>
                <w:lang w:eastAsia="es-ES"/>
              </w:rPr>
            </w:pPr>
            <w:r w:rsidRPr="00017634">
              <w:rPr>
                <w:rFonts w:ascii="Calibri" w:eastAsia="Times New Roman" w:hAnsi="Calibri" w:cs="Calibri"/>
                <w:b/>
                <w:bCs/>
                <w:color w:val="000000"/>
                <w:sz w:val="20"/>
                <w:szCs w:val="20"/>
                <w:lang w:eastAsia="es-ES"/>
              </w:rPr>
              <w:t>35</w:t>
            </w:r>
          </w:p>
        </w:tc>
        <w:tc>
          <w:tcPr>
            <w:tcW w:w="404" w:type="pct"/>
            <w:tcBorders>
              <w:top w:val="nil"/>
              <w:left w:val="nil"/>
              <w:bottom w:val="single" w:sz="8" w:space="0" w:color="auto"/>
              <w:right w:val="single" w:sz="4" w:space="0" w:color="auto"/>
            </w:tcBorders>
            <w:shd w:val="clear" w:color="auto" w:fill="auto"/>
            <w:noWrap/>
            <w:vAlign w:val="bottom"/>
            <w:hideMark/>
          </w:tcPr>
          <w:p w14:paraId="14F383DB" w14:textId="77777777" w:rsidR="00017634" w:rsidRPr="00017634" w:rsidRDefault="00017634" w:rsidP="00017634">
            <w:pPr>
              <w:spacing w:after="0" w:line="240" w:lineRule="auto"/>
              <w:jc w:val="center"/>
              <w:rPr>
                <w:rFonts w:ascii="Calibri" w:eastAsia="Times New Roman" w:hAnsi="Calibri" w:cs="Calibri"/>
                <w:b/>
                <w:bCs/>
                <w:color w:val="000000"/>
                <w:sz w:val="20"/>
                <w:szCs w:val="20"/>
                <w:lang w:eastAsia="es-ES"/>
              </w:rPr>
            </w:pPr>
            <w:r w:rsidRPr="00017634">
              <w:rPr>
                <w:rFonts w:ascii="Calibri" w:eastAsia="Times New Roman" w:hAnsi="Calibri" w:cs="Calibri"/>
                <w:b/>
                <w:bCs/>
                <w:color w:val="000000"/>
                <w:sz w:val="20"/>
                <w:szCs w:val="20"/>
                <w:lang w:eastAsia="es-ES"/>
              </w:rPr>
              <w:t>100%</w:t>
            </w:r>
          </w:p>
        </w:tc>
        <w:tc>
          <w:tcPr>
            <w:tcW w:w="485" w:type="pct"/>
            <w:tcBorders>
              <w:top w:val="nil"/>
              <w:left w:val="nil"/>
              <w:bottom w:val="single" w:sz="8" w:space="0" w:color="auto"/>
              <w:right w:val="single" w:sz="4" w:space="0" w:color="auto"/>
            </w:tcBorders>
            <w:shd w:val="clear" w:color="auto" w:fill="auto"/>
            <w:noWrap/>
            <w:vAlign w:val="bottom"/>
            <w:hideMark/>
          </w:tcPr>
          <w:p w14:paraId="5D163702" w14:textId="77777777" w:rsidR="00017634" w:rsidRPr="00017634" w:rsidRDefault="00017634" w:rsidP="00017634">
            <w:pPr>
              <w:spacing w:after="0" w:line="240" w:lineRule="auto"/>
              <w:jc w:val="center"/>
              <w:rPr>
                <w:rFonts w:ascii="Calibri" w:eastAsia="Times New Roman" w:hAnsi="Calibri" w:cs="Calibri"/>
                <w:b/>
                <w:bCs/>
                <w:color w:val="000000"/>
                <w:sz w:val="20"/>
                <w:szCs w:val="20"/>
                <w:lang w:eastAsia="es-ES"/>
              </w:rPr>
            </w:pPr>
            <w:r w:rsidRPr="00017634">
              <w:rPr>
                <w:rFonts w:ascii="Calibri" w:eastAsia="Times New Roman" w:hAnsi="Calibri" w:cs="Calibri"/>
                <w:b/>
                <w:bCs/>
                <w:color w:val="000000"/>
                <w:sz w:val="20"/>
                <w:szCs w:val="20"/>
                <w:lang w:eastAsia="es-ES"/>
              </w:rPr>
              <w:t>181</w:t>
            </w:r>
          </w:p>
        </w:tc>
        <w:tc>
          <w:tcPr>
            <w:tcW w:w="404" w:type="pct"/>
            <w:tcBorders>
              <w:top w:val="nil"/>
              <w:left w:val="nil"/>
              <w:bottom w:val="single" w:sz="8" w:space="0" w:color="auto"/>
              <w:right w:val="single" w:sz="4" w:space="0" w:color="auto"/>
            </w:tcBorders>
            <w:shd w:val="clear" w:color="auto" w:fill="auto"/>
            <w:noWrap/>
            <w:vAlign w:val="bottom"/>
            <w:hideMark/>
          </w:tcPr>
          <w:p w14:paraId="38492863" w14:textId="77777777" w:rsidR="00017634" w:rsidRPr="00017634" w:rsidRDefault="00017634" w:rsidP="00017634">
            <w:pPr>
              <w:spacing w:after="0" w:line="240" w:lineRule="auto"/>
              <w:jc w:val="center"/>
              <w:rPr>
                <w:rFonts w:ascii="Calibri" w:eastAsia="Times New Roman" w:hAnsi="Calibri" w:cs="Calibri"/>
                <w:b/>
                <w:bCs/>
                <w:color w:val="000000"/>
                <w:sz w:val="20"/>
                <w:szCs w:val="20"/>
                <w:lang w:eastAsia="es-ES"/>
              </w:rPr>
            </w:pPr>
            <w:r w:rsidRPr="00017634">
              <w:rPr>
                <w:rFonts w:ascii="Calibri" w:eastAsia="Times New Roman" w:hAnsi="Calibri" w:cs="Calibri"/>
                <w:b/>
                <w:bCs/>
                <w:color w:val="000000"/>
                <w:sz w:val="20"/>
                <w:szCs w:val="20"/>
                <w:lang w:eastAsia="es-ES"/>
              </w:rPr>
              <w:t>100%</w:t>
            </w:r>
          </w:p>
        </w:tc>
        <w:tc>
          <w:tcPr>
            <w:tcW w:w="484" w:type="pct"/>
            <w:tcBorders>
              <w:top w:val="nil"/>
              <w:left w:val="nil"/>
              <w:bottom w:val="single" w:sz="8" w:space="0" w:color="auto"/>
              <w:right w:val="single" w:sz="4" w:space="0" w:color="auto"/>
            </w:tcBorders>
            <w:shd w:val="clear" w:color="auto" w:fill="auto"/>
            <w:noWrap/>
            <w:vAlign w:val="bottom"/>
            <w:hideMark/>
          </w:tcPr>
          <w:p w14:paraId="699F1D94" w14:textId="77777777" w:rsidR="00017634" w:rsidRPr="00017634" w:rsidRDefault="00017634" w:rsidP="00017634">
            <w:pPr>
              <w:spacing w:after="0" w:line="240" w:lineRule="auto"/>
              <w:jc w:val="center"/>
              <w:rPr>
                <w:rFonts w:ascii="Calibri" w:eastAsia="Times New Roman" w:hAnsi="Calibri" w:cs="Calibri"/>
                <w:b/>
                <w:bCs/>
                <w:color w:val="000000"/>
                <w:sz w:val="20"/>
                <w:szCs w:val="20"/>
                <w:lang w:eastAsia="es-ES"/>
              </w:rPr>
            </w:pPr>
            <w:r w:rsidRPr="00017634">
              <w:rPr>
                <w:rFonts w:ascii="Calibri" w:eastAsia="Times New Roman" w:hAnsi="Calibri" w:cs="Calibri"/>
                <w:b/>
                <w:bCs/>
                <w:color w:val="000000"/>
                <w:sz w:val="20"/>
                <w:szCs w:val="20"/>
                <w:lang w:eastAsia="es-ES"/>
              </w:rPr>
              <w:t>168</w:t>
            </w:r>
          </w:p>
        </w:tc>
        <w:tc>
          <w:tcPr>
            <w:tcW w:w="404" w:type="pct"/>
            <w:tcBorders>
              <w:top w:val="nil"/>
              <w:left w:val="nil"/>
              <w:bottom w:val="single" w:sz="8" w:space="0" w:color="auto"/>
              <w:right w:val="single" w:sz="4" w:space="0" w:color="auto"/>
            </w:tcBorders>
            <w:shd w:val="clear" w:color="auto" w:fill="auto"/>
            <w:noWrap/>
            <w:vAlign w:val="bottom"/>
            <w:hideMark/>
          </w:tcPr>
          <w:p w14:paraId="183E98C6" w14:textId="77777777" w:rsidR="00017634" w:rsidRPr="00017634" w:rsidRDefault="00017634" w:rsidP="00017634">
            <w:pPr>
              <w:spacing w:after="0" w:line="240" w:lineRule="auto"/>
              <w:jc w:val="center"/>
              <w:rPr>
                <w:rFonts w:ascii="Calibri" w:eastAsia="Times New Roman" w:hAnsi="Calibri" w:cs="Calibri"/>
                <w:b/>
                <w:bCs/>
                <w:color w:val="000000"/>
                <w:sz w:val="20"/>
                <w:szCs w:val="20"/>
                <w:lang w:eastAsia="es-ES"/>
              </w:rPr>
            </w:pPr>
            <w:r w:rsidRPr="00017634">
              <w:rPr>
                <w:rFonts w:ascii="Calibri" w:eastAsia="Times New Roman" w:hAnsi="Calibri" w:cs="Calibri"/>
                <w:b/>
                <w:bCs/>
                <w:color w:val="000000"/>
                <w:sz w:val="20"/>
                <w:szCs w:val="20"/>
                <w:lang w:eastAsia="es-ES"/>
              </w:rPr>
              <w:t>100%</w:t>
            </w:r>
          </w:p>
        </w:tc>
        <w:tc>
          <w:tcPr>
            <w:tcW w:w="484" w:type="pct"/>
            <w:tcBorders>
              <w:top w:val="nil"/>
              <w:left w:val="nil"/>
              <w:bottom w:val="single" w:sz="8" w:space="0" w:color="auto"/>
              <w:right w:val="single" w:sz="4" w:space="0" w:color="auto"/>
            </w:tcBorders>
            <w:shd w:val="clear" w:color="auto" w:fill="auto"/>
            <w:noWrap/>
            <w:vAlign w:val="bottom"/>
            <w:hideMark/>
          </w:tcPr>
          <w:p w14:paraId="3477ADE3" w14:textId="77777777" w:rsidR="00017634" w:rsidRPr="00017634" w:rsidRDefault="00017634" w:rsidP="00017634">
            <w:pPr>
              <w:spacing w:after="0" w:line="240" w:lineRule="auto"/>
              <w:jc w:val="center"/>
              <w:rPr>
                <w:rFonts w:ascii="Calibri" w:eastAsia="Times New Roman" w:hAnsi="Calibri" w:cs="Calibri"/>
                <w:b/>
                <w:bCs/>
                <w:color w:val="000000"/>
                <w:sz w:val="20"/>
                <w:szCs w:val="20"/>
                <w:lang w:eastAsia="es-ES"/>
              </w:rPr>
            </w:pPr>
            <w:r w:rsidRPr="00017634">
              <w:rPr>
                <w:rFonts w:ascii="Calibri" w:eastAsia="Times New Roman" w:hAnsi="Calibri" w:cs="Calibri"/>
                <w:b/>
                <w:bCs/>
                <w:color w:val="000000"/>
                <w:sz w:val="20"/>
                <w:szCs w:val="20"/>
                <w:lang w:eastAsia="es-ES"/>
              </w:rPr>
              <w:t>226</w:t>
            </w:r>
          </w:p>
        </w:tc>
        <w:tc>
          <w:tcPr>
            <w:tcW w:w="403" w:type="pct"/>
            <w:tcBorders>
              <w:top w:val="nil"/>
              <w:left w:val="nil"/>
              <w:bottom w:val="single" w:sz="8" w:space="0" w:color="auto"/>
              <w:right w:val="single" w:sz="8" w:space="0" w:color="auto"/>
            </w:tcBorders>
            <w:shd w:val="clear" w:color="auto" w:fill="auto"/>
            <w:noWrap/>
            <w:vAlign w:val="bottom"/>
            <w:hideMark/>
          </w:tcPr>
          <w:p w14:paraId="6E569BA7" w14:textId="77777777" w:rsidR="00017634" w:rsidRPr="00017634" w:rsidRDefault="00017634" w:rsidP="00017634">
            <w:pPr>
              <w:spacing w:after="0" w:line="240" w:lineRule="auto"/>
              <w:jc w:val="center"/>
              <w:rPr>
                <w:rFonts w:ascii="Calibri" w:eastAsia="Times New Roman" w:hAnsi="Calibri" w:cs="Calibri"/>
                <w:b/>
                <w:bCs/>
                <w:color w:val="000000"/>
                <w:sz w:val="20"/>
                <w:szCs w:val="20"/>
                <w:lang w:eastAsia="es-ES"/>
              </w:rPr>
            </w:pPr>
            <w:r w:rsidRPr="00017634">
              <w:rPr>
                <w:rFonts w:ascii="Calibri" w:eastAsia="Times New Roman" w:hAnsi="Calibri" w:cs="Calibri"/>
                <w:b/>
                <w:bCs/>
                <w:color w:val="000000"/>
                <w:sz w:val="20"/>
                <w:szCs w:val="20"/>
                <w:lang w:eastAsia="es-ES"/>
              </w:rPr>
              <w:t>100%</w:t>
            </w:r>
          </w:p>
        </w:tc>
      </w:tr>
    </w:tbl>
    <w:p w14:paraId="0E04C494" w14:textId="77777777" w:rsidR="002A47AA" w:rsidRPr="00973028" w:rsidRDefault="002A47AA" w:rsidP="002A47AA">
      <w:pPr>
        <w:spacing w:after="240" w:line="276" w:lineRule="auto"/>
        <w:rPr>
          <w:rFonts w:ascii="Arial" w:hAnsi="Arial"/>
          <w:b/>
          <w:sz w:val="21"/>
          <w:szCs w:val="21"/>
        </w:rPr>
      </w:pPr>
    </w:p>
    <w:p w14:paraId="28FF704F" w14:textId="77777777" w:rsidR="00961CE5" w:rsidRPr="00973028" w:rsidRDefault="00961CE5" w:rsidP="00961CE5">
      <w:pPr>
        <w:spacing w:after="240" w:line="276" w:lineRule="auto"/>
        <w:jc w:val="center"/>
        <w:rPr>
          <w:rFonts w:ascii="Arial" w:hAnsi="Arial"/>
          <w:b/>
          <w:sz w:val="21"/>
          <w:szCs w:val="21"/>
        </w:rPr>
      </w:pPr>
    </w:p>
    <w:p w14:paraId="72E2E687" w14:textId="77777777" w:rsidR="00961CE5" w:rsidRPr="00973028" w:rsidRDefault="00961CE5" w:rsidP="00961CE5">
      <w:pPr>
        <w:spacing w:after="240" w:line="276" w:lineRule="auto"/>
        <w:jc w:val="center"/>
        <w:rPr>
          <w:rFonts w:ascii="Arial" w:hAnsi="Arial"/>
          <w:b/>
          <w:sz w:val="21"/>
          <w:szCs w:val="21"/>
        </w:rPr>
      </w:pPr>
    </w:p>
    <w:p w14:paraId="54933940" w14:textId="77777777" w:rsidR="006D54A8" w:rsidRPr="00973028" w:rsidRDefault="006D54A8" w:rsidP="002A47AA">
      <w:pPr>
        <w:spacing w:after="240" w:line="276" w:lineRule="auto"/>
        <w:jc w:val="both"/>
        <w:rPr>
          <w:rFonts w:ascii="Arial" w:hAnsi="Arial"/>
          <w:sz w:val="21"/>
          <w:szCs w:val="21"/>
        </w:rPr>
      </w:pPr>
    </w:p>
    <w:p w14:paraId="04032762" w14:textId="78399843"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 xml:space="preserve">La distribución de los datos en la anterior tabla indica que se ha mantenido la línea predominante en la entrada de denuncias en la Agencia desde su creación y puesta en funcionamiento en la anualidad 2017, siendo las administraciones de carácter municipal, incluyendo las entidades correspondientes a su sector público, las que reciben un mayor número de denuncias, aglutinando una media del 64% del volumen total de denuncias en 2020. En segundo lugar, la administración de la Generalitat Valenciana, incluido el sector público autonómico, conforman un grupo de entidades que aglutina casi un 22% del volumen de entrada total de denuncias en la Agencia. La parte restante corresponde a diversas entidades como se ha reflejado en la tabla precedente. </w:t>
      </w:r>
    </w:p>
    <w:p w14:paraId="080A9DF7" w14:textId="3A0D26C3" w:rsidR="002A47AA" w:rsidRPr="00973028" w:rsidRDefault="002A47AA" w:rsidP="002D3AF5">
      <w:pPr>
        <w:pStyle w:val="Prrafodelista"/>
        <w:keepNext/>
        <w:numPr>
          <w:ilvl w:val="2"/>
          <w:numId w:val="24"/>
        </w:numPr>
        <w:suppressAutoHyphens/>
        <w:spacing w:before="360" w:after="120" w:line="276" w:lineRule="auto"/>
        <w:ind w:left="1134" w:hanging="1134"/>
        <w:jc w:val="both"/>
        <w:outlineLvl w:val="2"/>
        <w:rPr>
          <w:rFonts w:ascii="Arial" w:eastAsia="Times New Roman" w:hAnsi="Arial" w:cs="Arial"/>
          <w:b/>
          <w:color w:val="9D2235"/>
          <w:sz w:val="28"/>
          <w:szCs w:val="28"/>
        </w:rPr>
      </w:pPr>
      <w:bookmarkStart w:id="51" w:name="_Toc67646242"/>
      <w:r w:rsidRPr="00973028">
        <w:rPr>
          <w:rFonts w:ascii="Arial" w:eastAsia="Times New Roman" w:hAnsi="Arial" w:cs="Arial"/>
          <w:b/>
          <w:color w:val="9D2235"/>
          <w:sz w:val="28"/>
          <w:szCs w:val="28"/>
        </w:rPr>
        <w:t>Denuncias presentadas según el canal de comunicación</w:t>
      </w:r>
      <w:bookmarkEnd w:id="51"/>
    </w:p>
    <w:p w14:paraId="283E8F66" w14:textId="77777777" w:rsidR="002A47AA" w:rsidRPr="00973028" w:rsidRDefault="002A47AA" w:rsidP="002D3AF5">
      <w:pPr>
        <w:spacing w:after="120" w:line="276" w:lineRule="auto"/>
        <w:jc w:val="both"/>
        <w:rPr>
          <w:rFonts w:ascii="Arial" w:hAnsi="Arial"/>
          <w:sz w:val="21"/>
          <w:szCs w:val="21"/>
        </w:rPr>
      </w:pPr>
      <w:r w:rsidRPr="00973028">
        <w:rPr>
          <w:rFonts w:ascii="Arial" w:hAnsi="Arial"/>
          <w:sz w:val="21"/>
          <w:szCs w:val="21"/>
        </w:rPr>
        <w:t xml:space="preserve">Contempla la clasificación de las denuncias presentadas en base al canal de comunicación empleado para poner los hechos en conocimiento de la Agencia de Prevención y Lucha contra el Fraude y la Corrupción de la Comunitat Valenciana. </w:t>
      </w:r>
    </w:p>
    <w:p w14:paraId="7583F892" w14:textId="77777777" w:rsidR="002A47AA" w:rsidRPr="00973028" w:rsidRDefault="002A47AA" w:rsidP="002D3AF5">
      <w:pPr>
        <w:spacing w:after="120" w:line="276" w:lineRule="auto"/>
        <w:jc w:val="both"/>
        <w:rPr>
          <w:rFonts w:ascii="Arial" w:hAnsi="Arial"/>
          <w:sz w:val="21"/>
          <w:szCs w:val="21"/>
        </w:rPr>
      </w:pPr>
      <w:r w:rsidRPr="00973028">
        <w:rPr>
          <w:rFonts w:ascii="Arial" w:hAnsi="Arial"/>
          <w:sz w:val="21"/>
          <w:szCs w:val="21"/>
        </w:rPr>
        <w:t>Debe resaltarse que la Agencia dispone de procedimientos y canales confidenciales para la formulación de denuncias que garanticen la estricta confidencialidad, especialmente cuando el denunciante invoque la aplicación del estatuto de protección. Estos procedimientos y canales podrán ser también utilizados por los que ya hayan actuado como denunciantes para comunicar represalias u otras actuaciones lesivas derivadas de la presentación de la denuncia.</w:t>
      </w:r>
    </w:p>
    <w:p w14:paraId="35DE5FF3" w14:textId="39726B1D" w:rsidR="002A47AA" w:rsidRPr="00973028" w:rsidRDefault="002A47AA" w:rsidP="002D3AF5">
      <w:pPr>
        <w:spacing w:after="120" w:line="276" w:lineRule="auto"/>
        <w:jc w:val="both"/>
        <w:rPr>
          <w:rFonts w:ascii="Arial" w:hAnsi="Arial"/>
          <w:sz w:val="21"/>
          <w:szCs w:val="21"/>
        </w:rPr>
      </w:pPr>
      <w:r w:rsidRPr="00973028">
        <w:rPr>
          <w:rFonts w:ascii="Arial" w:hAnsi="Arial"/>
          <w:sz w:val="21"/>
          <w:szCs w:val="21"/>
        </w:rPr>
        <w:t>Cualquier persona puede dirigirse a la Agencia para comunicar conductas que puedan ser susceptibles de ser investigadas o inspeccionadas por esta, y la Agencia acusará recepción del escrito recibido. La persona informadora puede solicitar que se garantice la confidencialidad sobre su identidad, y el personal de la Agencia está obligado a mantenerla, con la única excepción del requerimiento judicial.</w:t>
      </w:r>
    </w:p>
    <w:p w14:paraId="20E24894" w14:textId="79B66DDF" w:rsidR="002A47AA" w:rsidRPr="00973028" w:rsidRDefault="002A47AA" w:rsidP="002D3AF5">
      <w:pPr>
        <w:spacing w:after="120" w:line="276" w:lineRule="auto"/>
        <w:jc w:val="both"/>
        <w:rPr>
          <w:rFonts w:ascii="Arial" w:hAnsi="Arial"/>
          <w:sz w:val="21"/>
          <w:szCs w:val="21"/>
        </w:rPr>
      </w:pPr>
      <w:r w:rsidRPr="00973028">
        <w:rPr>
          <w:rFonts w:ascii="Arial" w:hAnsi="Arial"/>
          <w:sz w:val="21"/>
          <w:szCs w:val="21"/>
        </w:rPr>
        <w:t xml:space="preserve">La reglamentación relativa a la configuración de los canales de entrada de denuncias y comunicaciones se completa con lo establecido en la Resolución de 27 de junio de 2019, del director de la Agencia de Prevención y Lucha contra el Fraude y la Corrupción de la Comunitat Valenciana, por la que se aprueba el Reglamento de funcionamiento y régimen interior de esta, en desarrollo de la Ley 11/2016, de 28 de noviembre, de la Generalitat, indicándose que se admiten las denuncias y comunicaciones, tanto nominales como anónimas, pudiendo realizarse con plenas garantías de anonimato mediante el </w:t>
      </w:r>
      <w:r w:rsidR="00012862">
        <w:rPr>
          <w:rFonts w:ascii="Arial" w:hAnsi="Arial"/>
          <w:sz w:val="21"/>
          <w:szCs w:val="21"/>
        </w:rPr>
        <w:t>Buzón de Denuncias</w:t>
      </w:r>
      <w:r w:rsidRPr="00973028">
        <w:rPr>
          <w:rFonts w:ascii="Arial" w:hAnsi="Arial"/>
          <w:sz w:val="21"/>
          <w:szCs w:val="21"/>
        </w:rPr>
        <w:t xml:space="preserve"> electrónico disponible en </w:t>
      </w:r>
      <w:hyperlink r:id="rId48" w:history="1">
        <w:r w:rsidRPr="00973028">
          <w:rPr>
            <w:rStyle w:val="Hipervnculo"/>
            <w:rFonts w:ascii="Arial" w:hAnsi="Arial"/>
            <w:sz w:val="21"/>
            <w:szCs w:val="21"/>
          </w:rPr>
          <w:t>la página web de la Agencia</w:t>
        </w:r>
      </w:hyperlink>
      <w:r w:rsidR="00082030" w:rsidRPr="00973028">
        <w:rPr>
          <w:rFonts w:ascii="Arial" w:hAnsi="Arial"/>
          <w:sz w:val="21"/>
          <w:szCs w:val="21"/>
        </w:rPr>
        <w:t>.</w:t>
      </w:r>
      <w:r w:rsidRPr="00973028">
        <w:rPr>
          <w:rFonts w:ascii="Arial" w:hAnsi="Arial"/>
          <w:sz w:val="21"/>
          <w:szCs w:val="21"/>
        </w:rPr>
        <w:t xml:space="preserve"> Dicho canal de denuncias opera asimismo como oficina virtual del personal empleado público que pone en conocimiento de la Agencia las irregularidades que conozca o a las que haya tenido acceso, adelantándose de esta manera la Agencia desde la implantación del </w:t>
      </w:r>
      <w:r w:rsidR="00012862">
        <w:rPr>
          <w:rFonts w:ascii="Arial" w:hAnsi="Arial"/>
          <w:sz w:val="21"/>
          <w:szCs w:val="21"/>
        </w:rPr>
        <w:t>Buzón de Denuncias</w:t>
      </w:r>
      <w:r w:rsidRPr="00973028">
        <w:rPr>
          <w:rFonts w:ascii="Arial" w:hAnsi="Arial"/>
          <w:sz w:val="21"/>
          <w:szCs w:val="21"/>
        </w:rPr>
        <w:t xml:space="preserve"> a las exigencias que la normativa comunitaria ha exigido posteriormente, Directiva (UE) 2019/1937 del Parlamento Europeo y del Consejo, de 23 de octubre de 2019, relativa a la </w:t>
      </w:r>
      <w:r w:rsidRPr="00973028">
        <w:rPr>
          <w:rFonts w:ascii="Arial" w:hAnsi="Arial"/>
          <w:sz w:val="21"/>
          <w:szCs w:val="21"/>
        </w:rPr>
        <w:lastRenderedPageBreak/>
        <w:t>protección de las personas que informen sobre infracciones del Derecho de la Unión (Directiva Whistleblowing).</w:t>
      </w:r>
    </w:p>
    <w:p w14:paraId="3F1C88A0" w14:textId="6EEA9659" w:rsidR="002A47AA" w:rsidRPr="00973028" w:rsidRDefault="002A47AA" w:rsidP="002D3AF5">
      <w:pPr>
        <w:spacing w:after="120" w:line="276" w:lineRule="auto"/>
        <w:jc w:val="both"/>
        <w:rPr>
          <w:rFonts w:ascii="Arial" w:hAnsi="Arial"/>
          <w:sz w:val="21"/>
          <w:szCs w:val="21"/>
        </w:rPr>
      </w:pPr>
      <w:r w:rsidRPr="00973028">
        <w:rPr>
          <w:rFonts w:ascii="Arial" w:hAnsi="Arial"/>
          <w:sz w:val="21"/>
          <w:szCs w:val="21"/>
        </w:rPr>
        <w:t xml:space="preserve">Además del </w:t>
      </w:r>
      <w:r w:rsidR="00012862">
        <w:rPr>
          <w:rFonts w:ascii="Arial" w:hAnsi="Arial"/>
          <w:sz w:val="21"/>
          <w:szCs w:val="21"/>
        </w:rPr>
        <w:t>Buzón de Denuncias</w:t>
      </w:r>
      <w:r w:rsidRPr="00973028">
        <w:rPr>
          <w:rFonts w:ascii="Arial" w:hAnsi="Arial"/>
          <w:sz w:val="21"/>
          <w:szCs w:val="21"/>
        </w:rPr>
        <w:t>, se mantiene la posibilidad de presentación de denuncias identificadas de forma presencial, accediendo de este modo al Registro de Entrada general, a través de la Sede Electrónica de la Agencia, https://sede.antifraucv.es, así como por cualquiera de los medios permitidos por la legislación sobre procedimiento administrativo común.</w:t>
      </w:r>
    </w:p>
    <w:p w14:paraId="02466057" w14:textId="0B509585" w:rsidR="002A47AA" w:rsidRDefault="002A47AA" w:rsidP="002D3AF5">
      <w:pPr>
        <w:spacing w:after="120" w:line="276" w:lineRule="auto"/>
        <w:jc w:val="both"/>
        <w:rPr>
          <w:rFonts w:ascii="Arial" w:hAnsi="Arial"/>
          <w:sz w:val="21"/>
          <w:szCs w:val="21"/>
        </w:rPr>
      </w:pPr>
      <w:r w:rsidRPr="00973028">
        <w:rPr>
          <w:rFonts w:ascii="Arial" w:hAnsi="Arial"/>
          <w:sz w:val="21"/>
          <w:szCs w:val="21"/>
        </w:rPr>
        <w:t xml:space="preserve">Se han agrupado los expedientes según la naturaleza de las comunicaciones recibidas por la Agencia, distinguiendo entre denuncias recibidas por vía del </w:t>
      </w:r>
      <w:r w:rsidR="00012862">
        <w:rPr>
          <w:rFonts w:ascii="Arial" w:hAnsi="Arial"/>
          <w:sz w:val="21"/>
          <w:szCs w:val="21"/>
        </w:rPr>
        <w:t>Buzón de Denuncias</w:t>
      </w:r>
      <w:r w:rsidRPr="00973028">
        <w:rPr>
          <w:rFonts w:ascii="Arial" w:hAnsi="Arial"/>
          <w:sz w:val="21"/>
          <w:szCs w:val="21"/>
        </w:rPr>
        <w:t>, por correo electrónico, por registro general — incluyéndose los correspondientes a los canales de entrada permitidos por la legislación (registros de otras administraciones públicas, registros presentados en oficinas de correos de forma certificada, etc.) —, sede electrónica, actas de comparecencia in situ y de oficio/otros (incluyendo en este último apartado tanto las iniciaciones de oficio como las reaperturas y otras circunstancias).</w:t>
      </w:r>
    </w:p>
    <w:p w14:paraId="60F5CB0F" w14:textId="77777777" w:rsidR="002D3AF5" w:rsidRPr="00973028" w:rsidRDefault="002D3AF5" w:rsidP="002D3AF5">
      <w:pPr>
        <w:spacing w:after="120" w:line="276" w:lineRule="auto"/>
        <w:jc w:val="both"/>
        <w:rPr>
          <w:rFonts w:ascii="Arial" w:hAnsi="Arial"/>
          <w:sz w:val="21"/>
          <w:szCs w:val="21"/>
        </w:rPr>
      </w:pPr>
    </w:p>
    <w:p w14:paraId="6F120569" w14:textId="7CEDBB44" w:rsidR="006D54A8" w:rsidRPr="00973028" w:rsidRDefault="006D54A8" w:rsidP="006D54A8">
      <w:pPr>
        <w:pStyle w:val="Descripcin"/>
        <w:keepNext/>
        <w:rPr>
          <w:rFonts w:ascii="Arial" w:hAnsi="Arial" w:cs="Arial"/>
          <w:smallCaps w:val="0"/>
          <w:sz w:val="18"/>
          <w:szCs w:val="18"/>
        </w:rPr>
      </w:pPr>
      <w:bookmarkStart w:id="52" w:name="_Toc67646344"/>
      <w:r w:rsidRPr="00973028">
        <w:rPr>
          <w:rFonts w:ascii="Arial" w:hAnsi="Arial" w:cs="Arial"/>
          <w:smallCaps w:val="0"/>
          <w:color w:val="9D2235" w:themeColor="accent1"/>
          <w:sz w:val="18"/>
          <w:szCs w:val="18"/>
        </w:rPr>
        <w:t xml:space="preserve">Tabla </w:t>
      </w:r>
      <w:r w:rsidRPr="00973028">
        <w:rPr>
          <w:rFonts w:ascii="Arial" w:hAnsi="Arial" w:cs="Arial"/>
          <w:smallCaps w:val="0"/>
          <w:color w:val="9D2235" w:themeColor="accent1"/>
          <w:sz w:val="18"/>
          <w:szCs w:val="18"/>
        </w:rPr>
        <w:fldChar w:fldCharType="begin"/>
      </w:r>
      <w:r w:rsidRPr="00973028">
        <w:rPr>
          <w:rFonts w:ascii="Arial" w:hAnsi="Arial" w:cs="Arial"/>
          <w:smallCaps w:val="0"/>
          <w:color w:val="9D2235" w:themeColor="accent1"/>
          <w:sz w:val="18"/>
          <w:szCs w:val="18"/>
        </w:rPr>
        <w:instrText xml:space="preserve"> SEQ Tabla \* ARABIC </w:instrText>
      </w:r>
      <w:r w:rsidRPr="00973028">
        <w:rPr>
          <w:rFonts w:ascii="Arial" w:hAnsi="Arial" w:cs="Arial"/>
          <w:smallCaps w:val="0"/>
          <w:color w:val="9D2235" w:themeColor="accent1"/>
          <w:sz w:val="18"/>
          <w:szCs w:val="18"/>
        </w:rPr>
        <w:fldChar w:fldCharType="separate"/>
      </w:r>
      <w:r w:rsidR="00ED7F0D">
        <w:rPr>
          <w:rFonts w:ascii="Arial" w:hAnsi="Arial" w:cs="Arial"/>
          <w:smallCaps w:val="0"/>
          <w:noProof/>
          <w:color w:val="9D2235" w:themeColor="accent1"/>
          <w:sz w:val="18"/>
          <w:szCs w:val="18"/>
        </w:rPr>
        <w:t>7</w:t>
      </w:r>
      <w:r w:rsidRPr="00973028">
        <w:rPr>
          <w:rFonts w:ascii="Arial" w:hAnsi="Arial" w:cs="Arial"/>
          <w:smallCaps w:val="0"/>
          <w:color w:val="9D2235" w:themeColor="accent1"/>
          <w:sz w:val="18"/>
          <w:szCs w:val="18"/>
        </w:rPr>
        <w:fldChar w:fldCharType="end"/>
      </w:r>
      <w:r w:rsidR="00876C89">
        <w:rPr>
          <w:rFonts w:ascii="Arial" w:hAnsi="Arial" w:cs="Arial"/>
          <w:smallCaps w:val="0"/>
          <w:color w:val="9D2235" w:themeColor="accent1"/>
          <w:sz w:val="18"/>
          <w:szCs w:val="18"/>
        </w:rPr>
        <w:t>.</w:t>
      </w:r>
      <w:r w:rsidRPr="00973028">
        <w:rPr>
          <w:rFonts w:ascii="Arial" w:hAnsi="Arial" w:cs="Arial"/>
          <w:smallCaps w:val="0"/>
          <w:color w:val="9D2235" w:themeColor="accent1"/>
          <w:sz w:val="18"/>
          <w:szCs w:val="18"/>
        </w:rPr>
        <w:t xml:space="preserve"> </w:t>
      </w:r>
      <w:r w:rsidRPr="00973028">
        <w:rPr>
          <w:rFonts w:ascii="Arial" w:hAnsi="Arial" w:cs="Arial"/>
          <w:smallCaps w:val="0"/>
          <w:sz w:val="18"/>
          <w:szCs w:val="18"/>
        </w:rPr>
        <w:t>Denuncias presentadas según el canal de comunicación</w:t>
      </w:r>
      <w:bookmarkEnd w:id="52"/>
    </w:p>
    <w:tbl>
      <w:tblPr>
        <w:tblW w:w="9302" w:type="dxa"/>
        <w:tblCellMar>
          <w:left w:w="70" w:type="dxa"/>
          <w:right w:w="70" w:type="dxa"/>
        </w:tblCellMar>
        <w:tblLook w:val="04A0" w:firstRow="1" w:lastRow="0" w:firstColumn="1" w:lastColumn="0" w:noHBand="0" w:noVBand="1"/>
      </w:tblPr>
      <w:tblGrid>
        <w:gridCol w:w="3042"/>
        <w:gridCol w:w="920"/>
        <w:gridCol w:w="601"/>
        <w:gridCol w:w="920"/>
        <w:gridCol w:w="601"/>
        <w:gridCol w:w="920"/>
        <w:gridCol w:w="601"/>
        <w:gridCol w:w="920"/>
        <w:gridCol w:w="777"/>
      </w:tblGrid>
      <w:tr w:rsidR="00961CE5" w:rsidRPr="00973028" w14:paraId="7181859A" w14:textId="77777777" w:rsidTr="002D3AF5">
        <w:trPr>
          <w:trHeight w:hRule="exact" w:val="454"/>
          <w:tblHeader/>
        </w:trPr>
        <w:tc>
          <w:tcPr>
            <w:tcW w:w="0" w:type="auto"/>
            <w:vMerge w:val="restart"/>
            <w:tcBorders>
              <w:top w:val="single" w:sz="8" w:space="0" w:color="auto"/>
              <w:left w:val="single" w:sz="8" w:space="0" w:color="auto"/>
              <w:bottom w:val="single" w:sz="4" w:space="0" w:color="auto"/>
              <w:right w:val="single" w:sz="4" w:space="0" w:color="auto"/>
            </w:tcBorders>
            <w:shd w:val="clear" w:color="auto" w:fill="9D2235" w:themeFill="accent1"/>
            <w:noWrap/>
            <w:vAlign w:val="center"/>
            <w:hideMark/>
          </w:tcPr>
          <w:p w14:paraId="4072E12E" w14:textId="77777777" w:rsidR="002A47AA" w:rsidRPr="00973028" w:rsidRDefault="002A47AA" w:rsidP="002A47AA">
            <w:pPr>
              <w:spacing w:after="240"/>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CANAL DE COMUNICACIÓN</w:t>
            </w:r>
          </w:p>
        </w:tc>
        <w:tc>
          <w:tcPr>
            <w:tcW w:w="0" w:type="auto"/>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12356E84" w14:textId="77777777" w:rsidR="002A47AA" w:rsidRPr="00973028" w:rsidRDefault="002A47AA" w:rsidP="002A47AA">
            <w:pPr>
              <w:spacing w:after="240"/>
              <w:jc w:val="center"/>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2017</w:t>
            </w:r>
          </w:p>
        </w:tc>
        <w:tc>
          <w:tcPr>
            <w:tcW w:w="0" w:type="auto"/>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26DD7866" w14:textId="77777777" w:rsidR="002A47AA" w:rsidRPr="00973028" w:rsidRDefault="002A47AA" w:rsidP="002A47AA">
            <w:pPr>
              <w:spacing w:after="240"/>
              <w:jc w:val="center"/>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2018</w:t>
            </w:r>
          </w:p>
        </w:tc>
        <w:tc>
          <w:tcPr>
            <w:tcW w:w="0" w:type="auto"/>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1960AE9C" w14:textId="77777777" w:rsidR="002A47AA" w:rsidRPr="00973028" w:rsidRDefault="002A47AA" w:rsidP="002A47AA">
            <w:pPr>
              <w:spacing w:after="240"/>
              <w:jc w:val="center"/>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2019</w:t>
            </w:r>
          </w:p>
        </w:tc>
        <w:tc>
          <w:tcPr>
            <w:tcW w:w="1697" w:type="dxa"/>
            <w:gridSpan w:val="2"/>
            <w:tcBorders>
              <w:top w:val="single" w:sz="8" w:space="0" w:color="auto"/>
              <w:left w:val="nil"/>
              <w:bottom w:val="single" w:sz="4" w:space="0" w:color="auto"/>
              <w:right w:val="single" w:sz="8" w:space="0" w:color="000000"/>
            </w:tcBorders>
            <w:shd w:val="clear" w:color="auto" w:fill="9D2235" w:themeFill="accent1"/>
            <w:noWrap/>
            <w:vAlign w:val="bottom"/>
            <w:hideMark/>
          </w:tcPr>
          <w:p w14:paraId="2D174A13" w14:textId="77777777" w:rsidR="002A47AA" w:rsidRPr="00973028" w:rsidRDefault="002A47AA" w:rsidP="002A47AA">
            <w:pPr>
              <w:spacing w:after="240"/>
              <w:jc w:val="center"/>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2020</w:t>
            </w:r>
          </w:p>
        </w:tc>
      </w:tr>
      <w:tr w:rsidR="00961CE5" w:rsidRPr="00973028" w14:paraId="1F456B87" w14:textId="77777777" w:rsidTr="002D3AF5">
        <w:trPr>
          <w:trHeight w:hRule="exact" w:val="454"/>
          <w:tblHeader/>
        </w:trPr>
        <w:tc>
          <w:tcPr>
            <w:tcW w:w="0" w:type="auto"/>
            <w:vMerge/>
            <w:tcBorders>
              <w:top w:val="single" w:sz="8" w:space="0" w:color="auto"/>
              <w:left w:val="single" w:sz="8" w:space="0" w:color="auto"/>
              <w:bottom w:val="single" w:sz="4" w:space="0" w:color="auto"/>
              <w:right w:val="single" w:sz="4" w:space="0" w:color="auto"/>
            </w:tcBorders>
            <w:shd w:val="clear" w:color="auto" w:fill="9D2235" w:themeFill="accent1"/>
            <w:vAlign w:val="center"/>
            <w:hideMark/>
          </w:tcPr>
          <w:p w14:paraId="10EF68D3" w14:textId="77777777" w:rsidR="002A47AA" w:rsidRPr="00973028" w:rsidRDefault="002A47AA" w:rsidP="002A47AA">
            <w:pPr>
              <w:spacing w:after="240"/>
              <w:rPr>
                <w:rFonts w:ascii="Arial" w:eastAsia="Times New Roman" w:hAnsi="Arial" w:cs="Arial"/>
                <w:b/>
                <w:bCs/>
                <w:color w:val="FFFFFF" w:themeColor="background1"/>
                <w:sz w:val="18"/>
                <w:szCs w:val="18"/>
                <w:lang w:eastAsia="es-ES"/>
              </w:rPr>
            </w:pP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4B950E24" w14:textId="77777777" w:rsidR="002A47AA" w:rsidRPr="00973028" w:rsidRDefault="002A47AA" w:rsidP="002A47AA">
            <w:pPr>
              <w:spacing w:after="240"/>
              <w:jc w:val="center"/>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Absoluto</w:t>
            </w: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304C4A5B" w14:textId="77777777" w:rsidR="002A47AA" w:rsidRPr="00973028" w:rsidRDefault="002A47AA" w:rsidP="002A47AA">
            <w:pPr>
              <w:spacing w:after="240"/>
              <w:jc w:val="center"/>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w:t>
            </w: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79CD3F46" w14:textId="77777777" w:rsidR="002A47AA" w:rsidRPr="00973028" w:rsidRDefault="002A47AA" w:rsidP="002A47AA">
            <w:pPr>
              <w:spacing w:after="240"/>
              <w:jc w:val="center"/>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Absoluto</w:t>
            </w: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520165CD" w14:textId="77777777" w:rsidR="002A47AA" w:rsidRPr="00973028" w:rsidRDefault="002A47AA" w:rsidP="002A47AA">
            <w:pPr>
              <w:spacing w:after="240"/>
              <w:jc w:val="center"/>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w:t>
            </w: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1AAB4F9A" w14:textId="77777777" w:rsidR="002A47AA" w:rsidRPr="00973028" w:rsidRDefault="002A47AA" w:rsidP="002A47AA">
            <w:pPr>
              <w:spacing w:after="240"/>
              <w:jc w:val="center"/>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Absoluto</w:t>
            </w: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39199087" w14:textId="77777777" w:rsidR="002A47AA" w:rsidRPr="00973028" w:rsidRDefault="002A47AA" w:rsidP="002A47AA">
            <w:pPr>
              <w:spacing w:after="240"/>
              <w:jc w:val="center"/>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w:t>
            </w: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24CA4CC2" w14:textId="77777777" w:rsidR="002A47AA" w:rsidRPr="00973028" w:rsidRDefault="002A47AA" w:rsidP="002A47AA">
            <w:pPr>
              <w:spacing w:after="240"/>
              <w:jc w:val="center"/>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Absoluto</w:t>
            </w:r>
          </w:p>
        </w:tc>
        <w:tc>
          <w:tcPr>
            <w:tcW w:w="777" w:type="dxa"/>
            <w:tcBorders>
              <w:top w:val="nil"/>
              <w:left w:val="nil"/>
              <w:bottom w:val="single" w:sz="4" w:space="0" w:color="auto"/>
              <w:right w:val="single" w:sz="8" w:space="0" w:color="auto"/>
            </w:tcBorders>
            <w:shd w:val="clear" w:color="auto" w:fill="9D2235" w:themeFill="accent1"/>
            <w:noWrap/>
            <w:vAlign w:val="bottom"/>
            <w:hideMark/>
          </w:tcPr>
          <w:p w14:paraId="7FEF6D6A" w14:textId="77777777" w:rsidR="002A47AA" w:rsidRPr="00973028" w:rsidRDefault="002A47AA" w:rsidP="002A47AA">
            <w:pPr>
              <w:spacing w:after="240"/>
              <w:jc w:val="center"/>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w:t>
            </w:r>
          </w:p>
        </w:tc>
      </w:tr>
      <w:tr w:rsidR="002A47AA" w:rsidRPr="00973028" w14:paraId="3E3E3DCA" w14:textId="77777777" w:rsidTr="002D3AF5">
        <w:trPr>
          <w:trHeight w:hRule="exact" w:val="454"/>
          <w:tblHead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53AE2CC" w14:textId="5A7C488B" w:rsidR="002A47AA" w:rsidRPr="00973028" w:rsidRDefault="00012862" w:rsidP="002A47AA">
            <w:pPr>
              <w:spacing w:after="240"/>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Buzón de Denuncias</w:t>
            </w:r>
          </w:p>
        </w:tc>
        <w:tc>
          <w:tcPr>
            <w:tcW w:w="0" w:type="auto"/>
            <w:tcBorders>
              <w:top w:val="nil"/>
              <w:left w:val="nil"/>
              <w:bottom w:val="single" w:sz="4" w:space="0" w:color="auto"/>
              <w:right w:val="single" w:sz="4" w:space="0" w:color="auto"/>
            </w:tcBorders>
            <w:shd w:val="clear" w:color="auto" w:fill="auto"/>
            <w:noWrap/>
            <w:vAlign w:val="bottom"/>
            <w:hideMark/>
          </w:tcPr>
          <w:p w14:paraId="7F1B9442"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6013943F"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6A2B20DB"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97</w:t>
            </w:r>
          </w:p>
        </w:tc>
        <w:tc>
          <w:tcPr>
            <w:tcW w:w="0" w:type="auto"/>
            <w:tcBorders>
              <w:top w:val="nil"/>
              <w:left w:val="nil"/>
              <w:bottom w:val="single" w:sz="4" w:space="0" w:color="auto"/>
              <w:right w:val="single" w:sz="4" w:space="0" w:color="auto"/>
            </w:tcBorders>
            <w:shd w:val="clear" w:color="auto" w:fill="auto"/>
            <w:noWrap/>
            <w:vAlign w:val="bottom"/>
            <w:hideMark/>
          </w:tcPr>
          <w:p w14:paraId="139867F3"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54%</w:t>
            </w:r>
          </w:p>
        </w:tc>
        <w:tc>
          <w:tcPr>
            <w:tcW w:w="0" w:type="auto"/>
            <w:tcBorders>
              <w:top w:val="nil"/>
              <w:left w:val="nil"/>
              <w:bottom w:val="single" w:sz="4" w:space="0" w:color="auto"/>
              <w:right w:val="single" w:sz="4" w:space="0" w:color="auto"/>
            </w:tcBorders>
            <w:shd w:val="clear" w:color="auto" w:fill="auto"/>
            <w:noWrap/>
            <w:vAlign w:val="bottom"/>
            <w:hideMark/>
          </w:tcPr>
          <w:p w14:paraId="58D88874"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127</w:t>
            </w:r>
          </w:p>
        </w:tc>
        <w:tc>
          <w:tcPr>
            <w:tcW w:w="0" w:type="auto"/>
            <w:tcBorders>
              <w:top w:val="nil"/>
              <w:left w:val="nil"/>
              <w:bottom w:val="single" w:sz="4" w:space="0" w:color="auto"/>
              <w:right w:val="single" w:sz="4" w:space="0" w:color="auto"/>
            </w:tcBorders>
            <w:shd w:val="clear" w:color="auto" w:fill="auto"/>
            <w:noWrap/>
            <w:vAlign w:val="bottom"/>
            <w:hideMark/>
          </w:tcPr>
          <w:p w14:paraId="05F7A64E"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76%</w:t>
            </w:r>
          </w:p>
        </w:tc>
        <w:tc>
          <w:tcPr>
            <w:tcW w:w="0" w:type="auto"/>
            <w:tcBorders>
              <w:top w:val="nil"/>
              <w:left w:val="nil"/>
              <w:bottom w:val="single" w:sz="4" w:space="0" w:color="auto"/>
              <w:right w:val="single" w:sz="4" w:space="0" w:color="auto"/>
            </w:tcBorders>
            <w:shd w:val="clear" w:color="auto" w:fill="auto"/>
            <w:noWrap/>
            <w:vAlign w:val="bottom"/>
            <w:hideMark/>
          </w:tcPr>
          <w:p w14:paraId="08B3C1DA"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191</w:t>
            </w:r>
          </w:p>
        </w:tc>
        <w:tc>
          <w:tcPr>
            <w:tcW w:w="777" w:type="dxa"/>
            <w:tcBorders>
              <w:top w:val="nil"/>
              <w:left w:val="nil"/>
              <w:bottom w:val="single" w:sz="4" w:space="0" w:color="auto"/>
              <w:right w:val="single" w:sz="8" w:space="0" w:color="auto"/>
            </w:tcBorders>
            <w:shd w:val="clear" w:color="auto" w:fill="auto"/>
            <w:noWrap/>
            <w:vAlign w:val="bottom"/>
            <w:hideMark/>
          </w:tcPr>
          <w:p w14:paraId="73206E8E"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85%</w:t>
            </w:r>
          </w:p>
        </w:tc>
      </w:tr>
      <w:tr w:rsidR="002A47AA" w:rsidRPr="00973028" w14:paraId="008A61ED" w14:textId="77777777" w:rsidTr="002D3AF5">
        <w:trPr>
          <w:trHeight w:hRule="exact" w:val="454"/>
          <w:tblHead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4D54020" w14:textId="77777777" w:rsidR="002A47AA" w:rsidRPr="00973028" w:rsidRDefault="002A47AA" w:rsidP="002A47AA">
            <w:pPr>
              <w:spacing w:after="240"/>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Correo electrónico</w:t>
            </w:r>
          </w:p>
        </w:tc>
        <w:tc>
          <w:tcPr>
            <w:tcW w:w="0" w:type="auto"/>
            <w:tcBorders>
              <w:top w:val="nil"/>
              <w:left w:val="nil"/>
              <w:bottom w:val="single" w:sz="4" w:space="0" w:color="auto"/>
              <w:right w:val="single" w:sz="4" w:space="0" w:color="auto"/>
            </w:tcBorders>
            <w:shd w:val="clear" w:color="auto" w:fill="auto"/>
            <w:noWrap/>
            <w:vAlign w:val="bottom"/>
            <w:hideMark/>
          </w:tcPr>
          <w:p w14:paraId="340A1259"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26</w:t>
            </w:r>
          </w:p>
        </w:tc>
        <w:tc>
          <w:tcPr>
            <w:tcW w:w="0" w:type="auto"/>
            <w:tcBorders>
              <w:top w:val="nil"/>
              <w:left w:val="nil"/>
              <w:bottom w:val="single" w:sz="4" w:space="0" w:color="auto"/>
              <w:right w:val="single" w:sz="4" w:space="0" w:color="auto"/>
            </w:tcBorders>
            <w:shd w:val="clear" w:color="auto" w:fill="auto"/>
            <w:noWrap/>
            <w:vAlign w:val="bottom"/>
            <w:hideMark/>
          </w:tcPr>
          <w:p w14:paraId="016EAA97"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74%</w:t>
            </w:r>
          </w:p>
        </w:tc>
        <w:tc>
          <w:tcPr>
            <w:tcW w:w="0" w:type="auto"/>
            <w:tcBorders>
              <w:top w:val="nil"/>
              <w:left w:val="nil"/>
              <w:bottom w:val="single" w:sz="4" w:space="0" w:color="auto"/>
              <w:right w:val="single" w:sz="4" w:space="0" w:color="auto"/>
            </w:tcBorders>
            <w:shd w:val="clear" w:color="auto" w:fill="auto"/>
            <w:noWrap/>
            <w:vAlign w:val="bottom"/>
            <w:hideMark/>
          </w:tcPr>
          <w:p w14:paraId="0D93168F"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34</w:t>
            </w:r>
          </w:p>
        </w:tc>
        <w:tc>
          <w:tcPr>
            <w:tcW w:w="0" w:type="auto"/>
            <w:tcBorders>
              <w:top w:val="nil"/>
              <w:left w:val="nil"/>
              <w:bottom w:val="single" w:sz="4" w:space="0" w:color="auto"/>
              <w:right w:val="single" w:sz="4" w:space="0" w:color="auto"/>
            </w:tcBorders>
            <w:shd w:val="clear" w:color="auto" w:fill="auto"/>
            <w:noWrap/>
            <w:vAlign w:val="bottom"/>
            <w:hideMark/>
          </w:tcPr>
          <w:p w14:paraId="5ED52C2A"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19%</w:t>
            </w:r>
          </w:p>
        </w:tc>
        <w:tc>
          <w:tcPr>
            <w:tcW w:w="0" w:type="auto"/>
            <w:tcBorders>
              <w:top w:val="nil"/>
              <w:left w:val="nil"/>
              <w:bottom w:val="single" w:sz="4" w:space="0" w:color="auto"/>
              <w:right w:val="single" w:sz="4" w:space="0" w:color="auto"/>
            </w:tcBorders>
            <w:shd w:val="clear" w:color="000000" w:fill="FFFFFF"/>
            <w:noWrap/>
            <w:vAlign w:val="bottom"/>
            <w:hideMark/>
          </w:tcPr>
          <w:p w14:paraId="330C1FC9"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15</w:t>
            </w:r>
          </w:p>
        </w:tc>
        <w:tc>
          <w:tcPr>
            <w:tcW w:w="0" w:type="auto"/>
            <w:tcBorders>
              <w:top w:val="nil"/>
              <w:left w:val="nil"/>
              <w:bottom w:val="single" w:sz="4" w:space="0" w:color="auto"/>
              <w:right w:val="single" w:sz="4" w:space="0" w:color="auto"/>
            </w:tcBorders>
            <w:shd w:val="clear" w:color="auto" w:fill="auto"/>
            <w:noWrap/>
            <w:vAlign w:val="bottom"/>
            <w:hideMark/>
          </w:tcPr>
          <w:p w14:paraId="732C3FFA"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9%</w:t>
            </w:r>
          </w:p>
        </w:tc>
        <w:tc>
          <w:tcPr>
            <w:tcW w:w="0" w:type="auto"/>
            <w:tcBorders>
              <w:top w:val="nil"/>
              <w:left w:val="nil"/>
              <w:bottom w:val="single" w:sz="4" w:space="0" w:color="auto"/>
              <w:right w:val="single" w:sz="4" w:space="0" w:color="auto"/>
            </w:tcBorders>
            <w:shd w:val="clear" w:color="auto" w:fill="auto"/>
            <w:noWrap/>
            <w:vAlign w:val="bottom"/>
            <w:hideMark/>
          </w:tcPr>
          <w:p w14:paraId="039F517C"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3</w:t>
            </w:r>
          </w:p>
        </w:tc>
        <w:tc>
          <w:tcPr>
            <w:tcW w:w="777" w:type="dxa"/>
            <w:tcBorders>
              <w:top w:val="nil"/>
              <w:left w:val="nil"/>
              <w:bottom w:val="single" w:sz="4" w:space="0" w:color="auto"/>
              <w:right w:val="single" w:sz="8" w:space="0" w:color="auto"/>
            </w:tcBorders>
            <w:shd w:val="clear" w:color="auto" w:fill="auto"/>
            <w:noWrap/>
            <w:vAlign w:val="bottom"/>
            <w:hideMark/>
          </w:tcPr>
          <w:p w14:paraId="1205B8AC"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w:t>
            </w:r>
          </w:p>
        </w:tc>
      </w:tr>
      <w:tr w:rsidR="002A47AA" w:rsidRPr="00973028" w14:paraId="5F52D247" w14:textId="77777777" w:rsidTr="002D3AF5">
        <w:trPr>
          <w:trHeight w:hRule="exact" w:val="454"/>
          <w:tblHead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7DB607E" w14:textId="77777777" w:rsidR="002A47AA" w:rsidRPr="00973028" w:rsidRDefault="002A47AA" w:rsidP="002A47AA">
            <w:pPr>
              <w:spacing w:after="240"/>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Registro General</w:t>
            </w:r>
          </w:p>
        </w:tc>
        <w:tc>
          <w:tcPr>
            <w:tcW w:w="0" w:type="auto"/>
            <w:tcBorders>
              <w:top w:val="nil"/>
              <w:left w:val="nil"/>
              <w:bottom w:val="single" w:sz="4" w:space="0" w:color="auto"/>
              <w:right w:val="single" w:sz="4" w:space="0" w:color="auto"/>
            </w:tcBorders>
            <w:shd w:val="clear" w:color="auto" w:fill="auto"/>
            <w:noWrap/>
            <w:vAlign w:val="bottom"/>
            <w:hideMark/>
          </w:tcPr>
          <w:p w14:paraId="16119FBD"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9</w:t>
            </w:r>
          </w:p>
        </w:tc>
        <w:tc>
          <w:tcPr>
            <w:tcW w:w="0" w:type="auto"/>
            <w:tcBorders>
              <w:top w:val="nil"/>
              <w:left w:val="nil"/>
              <w:bottom w:val="single" w:sz="4" w:space="0" w:color="auto"/>
              <w:right w:val="single" w:sz="4" w:space="0" w:color="auto"/>
            </w:tcBorders>
            <w:shd w:val="clear" w:color="auto" w:fill="auto"/>
            <w:noWrap/>
            <w:vAlign w:val="bottom"/>
            <w:hideMark/>
          </w:tcPr>
          <w:p w14:paraId="3D29CC0F"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26%</w:t>
            </w:r>
          </w:p>
        </w:tc>
        <w:tc>
          <w:tcPr>
            <w:tcW w:w="0" w:type="auto"/>
            <w:tcBorders>
              <w:top w:val="nil"/>
              <w:left w:val="nil"/>
              <w:bottom w:val="single" w:sz="4" w:space="0" w:color="auto"/>
              <w:right w:val="single" w:sz="4" w:space="0" w:color="auto"/>
            </w:tcBorders>
            <w:shd w:val="clear" w:color="auto" w:fill="auto"/>
            <w:noWrap/>
            <w:vAlign w:val="bottom"/>
            <w:hideMark/>
          </w:tcPr>
          <w:p w14:paraId="07863059"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50</w:t>
            </w:r>
          </w:p>
        </w:tc>
        <w:tc>
          <w:tcPr>
            <w:tcW w:w="0" w:type="auto"/>
            <w:tcBorders>
              <w:top w:val="nil"/>
              <w:left w:val="nil"/>
              <w:bottom w:val="single" w:sz="4" w:space="0" w:color="auto"/>
              <w:right w:val="single" w:sz="4" w:space="0" w:color="auto"/>
            </w:tcBorders>
            <w:shd w:val="clear" w:color="auto" w:fill="auto"/>
            <w:noWrap/>
            <w:vAlign w:val="bottom"/>
            <w:hideMark/>
          </w:tcPr>
          <w:p w14:paraId="41F97217"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28%</w:t>
            </w:r>
          </w:p>
        </w:tc>
        <w:tc>
          <w:tcPr>
            <w:tcW w:w="0" w:type="auto"/>
            <w:tcBorders>
              <w:top w:val="nil"/>
              <w:left w:val="nil"/>
              <w:bottom w:val="single" w:sz="4" w:space="0" w:color="auto"/>
              <w:right w:val="single" w:sz="4" w:space="0" w:color="auto"/>
            </w:tcBorders>
            <w:shd w:val="clear" w:color="000000" w:fill="FFFFFF"/>
            <w:noWrap/>
            <w:vAlign w:val="bottom"/>
            <w:hideMark/>
          </w:tcPr>
          <w:p w14:paraId="199AB932"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26</w:t>
            </w:r>
          </w:p>
        </w:tc>
        <w:tc>
          <w:tcPr>
            <w:tcW w:w="0" w:type="auto"/>
            <w:tcBorders>
              <w:top w:val="nil"/>
              <w:left w:val="nil"/>
              <w:bottom w:val="single" w:sz="4" w:space="0" w:color="auto"/>
              <w:right w:val="single" w:sz="4" w:space="0" w:color="auto"/>
            </w:tcBorders>
            <w:shd w:val="clear" w:color="auto" w:fill="auto"/>
            <w:noWrap/>
            <w:vAlign w:val="bottom"/>
            <w:hideMark/>
          </w:tcPr>
          <w:p w14:paraId="5FBF68A9"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15%</w:t>
            </w:r>
          </w:p>
        </w:tc>
        <w:tc>
          <w:tcPr>
            <w:tcW w:w="0" w:type="auto"/>
            <w:tcBorders>
              <w:top w:val="nil"/>
              <w:left w:val="nil"/>
              <w:bottom w:val="single" w:sz="4" w:space="0" w:color="auto"/>
              <w:right w:val="single" w:sz="4" w:space="0" w:color="auto"/>
            </w:tcBorders>
            <w:shd w:val="clear" w:color="auto" w:fill="auto"/>
            <w:noWrap/>
            <w:vAlign w:val="bottom"/>
            <w:hideMark/>
          </w:tcPr>
          <w:p w14:paraId="4D1F0FC2"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14</w:t>
            </w:r>
          </w:p>
        </w:tc>
        <w:tc>
          <w:tcPr>
            <w:tcW w:w="777" w:type="dxa"/>
            <w:tcBorders>
              <w:top w:val="nil"/>
              <w:left w:val="nil"/>
              <w:bottom w:val="single" w:sz="4" w:space="0" w:color="auto"/>
              <w:right w:val="single" w:sz="8" w:space="0" w:color="auto"/>
            </w:tcBorders>
            <w:shd w:val="clear" w:color="auto" w:fill="auto"/>
            <w:noWrap/>
            <w:vAlign w:val="bottom"/>
            <w:hideMark/>
          </w:tcPr>
          <w:p w14:paraId="3BAC62B0"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6%</w:t>
            </w:r>
          </w:p>
        </w:tc>
      </w:tr>
      <w:tr w:rsidR="002A47AA" w:rsidRPr="00973028" w14:paraId="03C71857" w14:textId="77777777" w:rsidTr="002D3AF5">
        <w:trPr>
          <w:trHeight w:hRule="exact" w:val="454"/>
          <w:tblHead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759CD8E" w14:textId="77777777" w:rsidR="002A47AA" w:rsidRPr="00973028" w:rsidRDefault="002A47AA" w:rsidP="002A47AA">
            <w:pPr>
              <w:spacing w:after="240"/>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Sede electrónica</w:t>
            </w:r>
          </w:p>
        </w:tc>
        <w:tc>
          <w:tcPr>
            <w:tcW w:w="0" w:type="auto"/>
            <w:tcBorders>
              <w:top w:val="nil"/>
              <w:left w:val="nil"/>
              <w:bottom w:val="single" w:sz="4" w:space="0" w:color="auto"/>
              <w:right w:val="single" w:sz="4" w:space="0" w:color="auto"/>
            </w:tcBorders>
            <w:shd w:val="clear" w:color="auto" w:fill="auto"/>
            <w:noWrap/>
            <w:vAlign w:val="bottom"/>
            <w:hideMark/>
          </w:tcPr>
          <w:p w14:paraId="1B2F794F"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074D926F"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45F771C8"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40D4EE1B"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43BF6397"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205C7345"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15BEE89F"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12</w:t>
            </w:r>
          </w:p>
        </w:tc>
        <w:tc>
          <w:tcPr>
            <w:tcW w:w="777" w:type="dxa"/>
            <w:tcBorders>
              <w:top w:val="nil"/>
              <w:left w:val="nil"/>
              <w:bottom w:val="single" w:sz="4" w:space="0" w:color="auto"/>
              <w:right w:val="single" w:sz="8" w:space="0" w:color="auto"/>
            </w:tcBorders>
            <w:shd w:val="clear" w:color="auto" w:fill="auto"/>
            <w:noWrap/>
            <w:vAlign w:val="bottom"/>
            <w:hideMark/>
          </w:tcPr>
          <w:p w14:paraId="57EEEB56"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5%</w:t>
            </w:r>
          </w:p>
        </w:tc>
      </w:tr>
      <w:tr w:rsidR="002A47AA" w:rsidRPr="00973028" w14:paraId="38CC9F0D" w14:textId="77777777" w:rsidTr="002D3AF5">
        <w:trPr>
          <w:trHeight w:hRule="exact" w:val="454"/>
          <w:tblHead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7FD69C5" w14:textId="77777777" w:rsidR="002A47AA" w:rsidRPr="00973028" w:rsidRDefault="002A47AA" w:rsidP="002A47AA">
            <w:pPr>
              <w:spacing w:after="240"/>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Acta comparecencia</w:t>
            </w:r>
          </w:p>
        </w:tc>
        <w:tc>
          <w:tcPr>
            <w:tcW w:w="0" w:type="auto"/>
            <w:tcBorders>
              <w:top w:val="nil"/>
              <w:left w:val="nil"/>
              <w:bottom w:val="single" w:sz="4" w:space="0" w:color="auto"/>
              <w:right w:val="single" w:sz="4" w:space="0" w:color="auto"/>
            </w:tcBorders>
            <w:shd w:val="clear" w:color="auto" w:fill="auto"/>
            <w:noWrap/>
            <w:vAlign w:val="bottom"/>
            <w:hideMark/>
          </w:tcPr>
          <w:p w14:paraId="1FCF6BD5"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736885DF"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0BE49E65"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5C9D4F33"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19F42E72"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47A699DD"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5D6993F1"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w:t>
            </w:r>
          </w:p>
        </w:tc>
        <w:tc>
          <w:tcPr>
            <w:tcW w:w="777" w:type="dxa"/>
            <w:tcBorders>
              <w:top w:val="nil"/>
              <w:left w:val="nil"/>
              <w:bottom w:val="single" w:sz="4" w:space="0" w:color="auto"/>
              <w:right w:val="single" w:sz="8" w:space="0" w:color="auto"/>
            </w:tcBorders>
            <w:shd w:val="clear" w:color="auto" w:fill="auto"/>
            <w:noWrap/>
            <w:vAlign w:val="bottom"/>
            <w:hideMark/>
          </w:tcPr>
          <w:p w14:paraId="365D6A87"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w:t>
            </w:r>
          </w:p>
        </w:tc>
      </w:tr>
      <w:tr w:rsidR="002A47AA" w:rsidRPr="00973028" w14:paraId="376B39AF" w14:textId="77777777" w:rsidTr="002D3AF5">
        <w:trPr>
          <w:trHeight w:hRule="exact" w:val="454"/>
          <w:tblHead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CFE7FAE" w14:textId="77777777" w:rsidR="002A47AA" w:rsidRPr="00973028" w:rsidRDefault="002A47AA" w:rsidP="002A47AA">
            <w:pPr>
              <w:spacing w:after="240"/>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Expedientes abiertos de oficio/ otros</w:t>
            </w:r>
          </w:p>
        </w:tc>
        <w:tc>
          <w:tcPr>
            <w:tcW w:w="0" w:type="auto"/>
            <w:tcBorders>
              <w:top w:val="nil"/>
              <w:left w:val="nil"/>
              <w:bottom w:val="single" w:sz="4" w:space="0" w:color="auto"/>
              <w:right w:val="single" w:sz="4" w:space="0" w:color="auto"/>
            </w:tcBorders>
            <w:shd w:val="clear" w:color="auto" w:fill="auto"/>
            <w:noWrap/>
            <w:vAlign w:val="bottom"/>
            <w:hideMark/>
          </w:tcPr>
          <w:p w14:paraId="6A74F466"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23D0E41E"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1FCC1E6E"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74B81908"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55A53527"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3DF4ECB7"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7829F042"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4</w:t>
            </w:r>
          </w:p>
        </w:tc>
        <w:tc>
          <w:tcPr>
            <w:tcW w:w="777" w:type="dxa"/>
            <w:tcBorders>
              <w:top w:val="nil"/>
              <w:left w:val="nil"/>
              <w:bottom w:val="single" w:sz="4" w:space="0" w:color="auto"/>
              <w:right w:val="single" w:sz="8" w:space="0" w:color="auto"/>
            </w:tcBorders>
            <w:shd w:val="clear" w:color="auto" w:fill="auto"/>
            <w:noWrap/>
            <w:vAlign w:val="bottom"/>
            <w:hideMark/>
          </w:tcPr>
          <w:p w14:paraId="7BF314A0" w14:textId="77777777" w:rsidR="002A47AA" w:rsidRPr="00973028" w:rsidRDefault="002A47AA" w:rsidP="002A47AA">
            <w:pPr>
              <w:spacing w:after="240"/>
              <w:jc w:val="center"/>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w:t>
            </w:r>
          </w:p>
        </w:tc>
      </w:tr>
      <w:tr w:rsidR="002A47AA" w:rsidRPr="00973028" w14:paraId="122D756A" w14:textId="77777777" w:rsidTr="002D3AF5">
        <w:trPr>
          <w:trHeight w:hRule="exact" w:val="454"/>
          <w:tblHeader/>
        </w:trPr>
        <w:tc>
          <w:tcPr>
            <w:tcW w:w="0" w:type="auto"/>
            <w:tcBorders>
              <w:top w:val="nil"/>
              <w:left w:val="single" w:sz="8" w:space="0" w:color="auto"/>
              <w:bottom w:val="single" w:sz="8" w:space="0" w:color="auto"/>
              <w:right w:val="single" w:sz="4" w:space="0" w:color="auto"/>
            </w:tcBorders>
            <w:shd w:val="clear" w:color="auto" w:fill="DCE0E3" w:themeFill="accent6" w:themeFillTint="33"/>
            <w:noWrap/>
            <w:vAlign w:val="bottom"/>
            <w:hideMark/>
          </w:tcPr>
          <w:p w14:paraId="2790B648" w14:textId="77777777" w:rsidR="002A47AA" w:rsidRPr="00973028" w:rsidRDefault="002A47AA" w:rsidP="002A47AA">
            <w:pPr>
              <w:spacing w:after="240"/>
              <w:jc w:val="right"/>
              <w:rPr>
                <w:rFonts w:ascii="Arial" w:eastAsia="Times New Roman" w:hAnsi="Arial" w:cs="Arial"/>
                <w:b/>
                <w:bCs/>
                <w:color w:val="000000"/>
                <w:sz w:val="18"/>
                <w:szCs w:val="18"/>
                <w:lang w:eastAsia="es-ES"/>
              </w:rPr>
            </w:pPr>
            <w:r w:rsidRPr="00973028">
              <w:rPr>
                <w:rFonts w:ascii="Arial" w:eastAsia="Times New Roman" w:hAnsi="Arial" w:cs="Arial"/>
                <w:b/>
                <w:bCs/>
                <w:color w:val="000000"/>
                <w:sz w:val="18"/>
                <w:szCs w:val="18"/>
                <w:lang w:eastAsia="es-ES"/>
              </w:rPr>
              <w:t>TOTAL.</w:t>
            </w:r>
          </w:p>
        </w:tc>
        <w:tc>
          <w:tcPr>
            <w:tcW w:w="0" w:type="auto"/>
            <w:tcBorders>
              <w:top w:val="nil"/>
              <w:left w:val="nil"/>
              <w:bottom w:val="single" w:sz="8" w:space="0" w:color="auto"/>
              <w:right w:val="single" w:sz="4" w:space="0" w:color="auto"/>
            </w:tcBorders>
            <w:shd w:val="clear" w:color="auto" w:fill="DCE0E3" w:themeFill="accent6" w:themeFillTint="33"/>
            <w:noWrap/>
            <w:vAlign w:val="bottom"/>
            <w:hideMark/>
          </w:tcPr>
          <w:p w14:paraId="75ADBB79" w14:textId="77777777" w:rsidR="002A47AA" w:rsidRPr="00973028" w:rsidRDefault="002A47AA" w:rsidP="002A47AA">
            <w:pPr>
              <w:spacing w:after="240"/>
              <w:jc w:val="center"/>
              <w:rPr>
                <w:rFonts w:ascii="Arial" w:eastAsia="Times New Roman" w:hAnsi="Arial" w:cs="Arial"/>
                <w:b/>
                <w:bCs/>
                <w:color w:val="000000"/>
                <w:sz w:val="18"/>
                <w:szCs w:val="18"/>
                <w:lang w:eastAsia="es-ES"/>
              </w:rPr>
            </w:pPr>
            <w:r w:rsidRPr="00973028">
              <w:rPr>
                <w:rFonts w:ascii="Arial" w:eastAsia="Times New Roman" w:hAnsi="Arial" w:cs="Arial"/>
                <w:b/>
                <w:bCs/>
                <w:color w:val="000000"/>
                <w:sz w:val="18"/>
                <w:szCs w:val="18"/>
                <w:lang w:eastAsia="es-ES"/>
              </w:rPr>
              <w:t>35</w:t>
            </w:r>
          </w:p>
        </w:tc>
        <w:tc>
          <w:tcPr>
            <w:tcW w:w="0" w:type="auto"/>
            <w:tcBorders>
              <w:top w:val="nil"/>
              <w:left w:val="nil"/>
              <w:bottom w:val="single" w:sz="8" w:space="0" w:color="auto"/>
              <w:right w:val="single" w:sz="4" w:space="0" w:color="auto"/>
            </w:tcBorders>
            <w:shd w:val="clear" w:color="auto" w:fill="DCE0E3" w:themeFill="accent6" w:themeFillTint="33"/>
            <w:noWrap/>
            <w:vAlign w:val="bottom"/>
            <w:hideMark/>
          </w:tcPr>
          <w:p w14:paraId="24FE1090" w14:textId="77777777" w:rsidR="002A47AA" w:rsidRPr="00973028" w:rsidRDefault="002A47AA" w:rsidP="002A47AA">
            <w:pPr>
              <w:spacing w:after="240"/>
              <w:jc w:val="center"/>
              <w:rPr>
                <w:rFonts w:ascii="Arial" w:eastAsia="Times New Roman" w:hAnsi="Arial" w:cs="Arial"/>
                <w:b/>
                <w:bCs/>
                <w:color w:val="000000"/>
                <w:sz w:val="18"/>
                <w:szCs w:val="18"/>
                <w:lang w:eastAsia="es-ES"/>
              </w:rPr>
            </w:pPr>
            <w:r w:rsidRPr="00973028">
              <w:rPr>
                <w:rFonts w:ascii="Arial" w:eastAsia="Times New Roman" w:hAnsi="Arial" w:cs="Arial"/>
                <w:b/>
                <w:bCs/>
                <w:color w:val="000000"/>
                <w:sz w:val="18"/>
                <w:szCs w:val="18"/>
                <w:lang w:eastAsia="es-ES"/>
              </w:rPr>
              <w:t>100%</w:t>
            </w:r>
          </w:p>
        </w:tc>
        <w:tc>
          <w:tcPr>
            <w:tcW w:w="0" w:type="auto"/>
            <w:tcBorders>
              <w:top w:val="nil"/>
              <w:left w:val="nil"/>
              <w:bottom w:val="single" w:sz="8" w:space="0" w:color="auto"/>
              <w:right w:val="single" w:sz="4" w:space="0" w:color="auto"/>
            </w:tcBorders>
            <w:shd w:val="clear" w:color="auto" w:fill="DCE0E3" w:themeFill="accent6" w:themeFillTint="33"/>
            <w:noWrap/>
            <w:vAlign w:val="bottom"/>
            <w:hideMark/>
          </w:tcPr>
          <w:p w14:paraId="41CE24AD" w14:textId="77777777" w:rsidR="002A47AA" w:rsidRPr="00973028" w:rsidRDefault="002A47AA" w:rsidP="002A47AA">
            <w:pPr>
              <w:spacing w:after="240"/>
              <w:jc w:val="center"/>
              <w:rPr>
                <w:rFonts w:ascii="Arial" w:eastAsia="Times New Roman" w:hAnsi="Arial" w:cs="Arial"/>
                <w:b/>
                <w:bCs/>
                <w:color w:val="000000"/>
                <w:sz w:val="18"/>
                <w:szCs w:val="18"/>
                <w:lang w:eastAsia="es-ES"/>
              </w:rPr>
            </w:pPr>
            <w:r w:rsidRPr="00973028">
              <w:rPr>
                <w:rFonts w:ascii="Arial" w:eastAsia="Times New Roman" w:hAnsi="Arial" w:cs="Arial"/>
                <w:b/>
                <w:bCs/>
                <w:color w:val="000000"/>
                <w:sz w:val="18"/>
                <w:szCs w:val="18"/>
                <w:lang w:eastAsia="es-ES"/>
              </w:rPr>
              <w:t>181</w:t>
            </w:r>
          </w:p>
        </w:tc>
        <w:tc>
          <w:tcPr>
            <w:tcW w:w="0" w:type="auto"/>
            <w:tcBorders>
              <w:top w:val="nil"/>
              <w:left w:val="nil"/>
              <w:bottom w:val="single" w:sz="8" w:space="0" w:color="auto"/>
              <w:right w:val="single" w:sz="4" w:space="0" w:color="auto"/>
            </w:tcBorders>
            <w:shd w:val="clear" w:color="auto" w:fill="DCE0E3" w:themeFill="accent6" w:themeFillTint="33"/>
            <w:noWrap/>
            <w:vAlign w:val="bottom"/>
            <w:hideMark/>
          </w:tcPr>
          <w:p w14:paraId="1C61DBD0" w14:textId="77777777" w:rsidR="002A47AA" w:rsidRPr="00973028" w:rsidRDefault="002A47AA" w:rsidP="002A47AA">
            <w:pPr>
              <w:spacing w:after="240"/>
              <w:jc w:val="center"/>
              <w:rPr>
                <w:rFonts w:ascii="Arial" w:eastAsia="Times New Roman" w:hAnsi="Arial" w:cs="Arial"/>
                <w:b/>
                <w:bCs/>
                <w:color w:val="000000"/>
                <w:sz w:val="18"/>
                <w:szCs w:val="18"/>
                <w:lang w:eastAsia="es-ES"/>
              </w:rPr>
            </w:pPr>
            <w:r w:rsidRPr="00973028">
              <w:rPr>
                <w:rFonts w:ascii="Arial" w:eastAsia="Times New Roman" w:hAnsi="Arial" w:cs="Arial"/>
                <w:b/>
                <w:bCs/>
                <w:color w:val="000000"/>
                <w:sz w:val="18"/>
                <w:szCs w:val="18"/>
                <w:lang w:eastAsia="es-ES"/>
              </w:rPr>
              <w:t>100%</w:t>
            </w:r>
          </w:p>
        </w:tc>
        <w:tc>
          <w:tcPr>
            <w:tcW w:w="0" w:type="auto"/>
            <w:tcBorders>
              <w:top w:val="nil"/>
              <w:left w:val="nil"/>
              <w:bottom w:val="single" w:sz="8" w:space="0" w:color="auto"/>
              <w:right w:val="single" w:sz="4" w:space="0" w:color="auto"/>
            </w:tcBorders>
            <w:shd w:val="clear" w:color="auto" w:fill="DCE0E3" w:themeFill="accent6" w:themeFillTint="33"/>
            <w:noWrap/>
            <w:vAlign w:val="bottom"/>
            <w:hideMark/>
          </w:tcPr>
          <w:p w14:paraId="713A81AB" w14:textId="77777777" w:rsidR="002A47AA" w:rsidRPr="00973028" w:rsidRDefault="002A47AA" w:rsidP="002A47AA">
            <w:pPr>
              <w:spacing w:after="240"/>
              <w:jc w:val="center"/>
              <w:rPr>
                <w:rFonts w:ascii="Arial" w:eastAsia="Times New Roman" w:hAnsi="Arial" w:cs="Arial"/>
                <w:b/>
                <w:bCs/>
                <w:color w:val="000000"/>
                <w:sz w:val="18"/>
                <w:szCs w:val="18"/>
                <w:lang w:eastAsia="es-ES"/>
              </w:rPr>
            </w:pPr>
            <w:r w:rsidRPr="00973028">
              <w:rPr>
                <w:rFonts w:ascii="Arial" w:eastAsia="Times New Roman" w:hAnsi="Arial" w:cs="Arial"/>
                <w:b/>
                <w:bCs/>
                <w:color w:val="000000"/>
                <w:sz w:val="18"/>
                <w:szCs w:val="18"/>
                <w:lang w:eastAsia="es-ES"/>
              </w:rPr>
              <w:t>168</w:t>
            </w:r>
          </w:p>
        </w:tc>
        <w:tc>
          <w:tcPr>
            <w:tcW w:w="0" w:type="auto"/>
            <w:tcBorders>
              <w:top w:val="nil"/>
              <w:left w:val="nil"/>
              <w:bottom w:val="single" w:sz="8" w:space="0" w:color="auto"/>
              <w:right w:val="single" w:sz="4" w:space="0" w:color="auto"/>
            </w:tcBorders>
            <w:shd w:val="clear" w:color="auto" w:fill="DCE0E3" w:themeFill="accent6" w:themeFillTint="33"/>
            <w:noWrap/>
            <w:vAlign w:val="bottom"/>
            <w:hideMark/>
          </w:tcPr>
          <w:p w14:paraId="6C8D656B" w14:textId="77777777" w:rsidR="002A47AA" w:rsidRPr="00973028" w:rsidRDefault="002A47AA" w:rsidP="002A47AA">
            <w:pPr>
              <w:spacing w:after="240"/>
              <w:jc w:val="center"/>
              <w:rPr>
                <w:rFonts w:ascii="Arial" w:eastAsia="Times New Roman" w:hAnsi="Arial" w:cs="Arial"/>
                <w:b/>
                <w:bCs/>
                <w:color w:val="000000"/>
                <w:sz w:val="18"/>
                <w:szCs w:val="18"/>
                <w:lang w:eastAsia="es-ES"/>
              </w:rPr>
            </w:pPr>
            <w:r w:rsidRPr="00973028">
              <w:rPr>
                <w:rFonts w:ascii="Arial" w:eastAsia="Times New Roman" w:hAnsi="Arial" w:cs="Arial"/>
                <w:b/>
                <w:bCs/>
                <w:color w:val="000000"/>
                <w:sz w:val="18"/>
                <w:szCs w:val="18"/>
                <w:lang w:eastAsia="es-ES"/>
              </w:rPr>
              <w:t>100%</w:t>
            </w:r>
          </w:p>
        </w:tc>
        <w:tc>
          <w:tcPr>
            <w:tcW w:w="0" w:type="auto"/>
            <w:tcBorders>
              <w:top w:val="nil"/>
              <w:left w:val="nil"/>
              <w:bottom w:val="single" w:sz="8" w:space="0" w:color="auto"/>
              <w:right w:val="single" w:sz="4" w:space="0" w:color="auto"/>
            </w:tcBorders>
            <w:shd w:val="clear" w:color="auto" w:fill="DCE0E3" w:themeFill="accent6" w:themeFillTint="33"/>
            <w:noWrap/>
            <w:vAlign w:val="bottom"/>
            <w:hideMark/>
          </w:tcPr>
          <w:p w14:paraId="0778B415" w14:textId="77777777" w:rsidR="002A47AA" w:rsidRPr="00973028" w:rsidRDefault="002A47AA" w:rsidP="002A47AA">
            <w:pPr>
              <w:spacing w:after="240"/>
              <w:jc w:val="center"/>
              <w:rPr>
                <w:rFonts w:ascii="Arial" w:eastAsia="Times New Roman" w:hAnsi="Arial" w:cs="Arial"/>
                <w:b/>
                <w:bCs/>
                <w:color w:val="000000"/>
                <w:sz w:val="18"/>
                <w:szCs w:val="18"/>
                <w:lang w:eastAsia="es-ES"/>
              </w:rPr>
            </w:pPr>
            <w:r w:rsidRPr="00973028">
              <w:rPr>
                <w:rFonts w:ascii="Arial" w:eastAsia="Times New Roman" w:hAnsi="Arial" w:cs="Arial"/>
                <w:b/>
                <w:bCs/>
                <w:color w:val="000000"/>
                <w:sz w:val="18"/>
                <w:szCs w:val="18"/>
                <w:lang w:eastAsia="es-ES"/>
              </w:rPr>
              <w:t>226</w:t>
            </w:r>
          </w:p>
        </w:tc>
        <w:tc>
          <w:tcPr>
            <w:tcW w:w="777" w:type="dxa"/>
            <w:tcBorders>
              <w:top w:val="nil"/>
              <w:left w:val="nil"/>
              <w:bottom w:val="single" w:sz="8" w:space="0" w:color="auto"/>
              <w:right w:val="single" w:sz="8" w:space="0" w:color="auto"/>
            </w:tcBorders>
            <w:shd w:val="clear" w:color="auto" w:fill="DCE0E3" w:themeFill="accent6" w:themeFillTint="33"/>
            <w:noWrap/>
            <w:vAlign w:val="bottom"/>
            <w:hideMark/>
          </w:tcPr>
          <w:p w14:paraId="3CA146FF" w14:textId="77777777" w:rsidR="002A47AA" w:rsidRPr="00973028" w:rsidRDefault="002A47AA" w:rsidP="002A47AA">
            <w:pPr>
              <w:spacing w:after="240"/>
              <w:jc w:val="center"/>
              <w:rPr>
                <w:rFonts w:ascii="Arial" w:eastAsia="Times New Roman" w:hAnsi="Arial" w:cs="Arial"/>
                <w:b/>
                <w:bCs/>
                <w:color w:val="000000"/>
                <w:sz w:val="18"/>
                <w:szCs w:val="18"/>
                <w:lang w:eastAsia="es-ES"/>
              </w:rPr>
            </w:pPr>
            <w:r w:rsidRPr="00973028">
              <w:rPr>
                <w:rFonts w:ascii="Arial" w:eastAsia="Times New Roman" w:hAnsi="Arial" w:cs="Arial"/>
                <w:b/>
                <w:bCs/>
                <w:color w:val="000000"/>
                <w:sz w:val="18"/>
                <w:szCs w:val="18"/>
                <w:lang w:eastAsia="es-ES"/>
              </w:rPr>
              <w:t>100%</w:t>
            </w:r>
          </w:p>
        </w:tc>
      </w:tr>
    </w:tbl>
    <w:p w14:paraId="13A516AA" w14:textId="77777777" w:rsidR="00086FD4" w:rsidRPr="00973028" w:rsidRDefault="00086FD4" w:rsidP="002A47AA">
      <w:pPr>
        <w:spacing w:after="240" w:line="276" w:lineRule="auto"/>
        <w:rPr>
          <w:rFonts w:ascii="Arial" w:hAnsi="Arial"/>
          <w:b/>
          <w:sz w:val="21"/>
          <w:szCs w:val="21"/>
        </w:rPr>
      </w:pPr>
    </w:p>
    <w:p w14:paraId="52F20445" w14:textId="5AA9283C" w:rsidR="002A47AA" w:rsidRPr="00973028" w:rsidRDefault="002D3AF5" w:rsidP="002A47AA">
      <w:pPr>
        <w:spacing w:after="240" w:line="276" w:lineRule="auto"/>
        <w:jc w:val="center"/>
        <w:rPr>
          <w:rFonts w:ascii="Arial" w:hAnsi="Arial"/>
          <w:b/>
          <w:sz w:val="21"/>
          <w:szCs w:val="21"/>
        </w:rPr>
      </w:pPr>
      <w:r w:rsidRPr="00973028">
        <w:rPr>
          <w:noProof/>
        </w:rPr>
        <w:lastRenderedPageBreak/>
        <mc:AlternateContent>
          <mc:Choice Requires="wps">
            <w:drawing>
              <wp:anchor distT="0" distB="0" distL="114300" distR="114300" simplePos="0" relativeHeight="251933696" behindDoc="0" locked="0" layoutInCell="1" allowOverlap="1" wp14:anchorId="301CFE61" wp14:editId="68CDAC7E">
                <wp:simplePos x="0" y="0"/>
                <wp:positionH relativeFrom="column">
                  <wp:posOffset>81077</wp:posOffset>
                </wp:positionH>
                <wp:positionV relativeFrom="paragraph">
                  <wp:posOffset>2498150</wp:posOffset>
                </wp:positionV>
                <wp:extent cx="5387975" cy="635"/>
                <wp:effectExtent l="0" t="0" r="3175" b="0"/>
                <wp:wrapTopAndBottom/>
                <wp:docPr id="16" name="Cuadro de texto 16"/>
                <wp:cNvGraphicFramePr/>
                <a:graphic xmlns:a="http://schemas.openxmlformats.org/drawingml/2006/main">
                  <a:graphicData uri="http://schemas.microsoft.com/office/word/2010/wordprocessingShape">
                    <wps:wsp>
                      <wps:cNvSpPr txBox="1"/>
                      <wps:spPr>
                        <a:xfrm>
                          <a:off x="0" y="0"/>
                          <a:ext cx="5387975" cy="635"/>
                        </a:xfrm>
                        <a:prstGeom prst="rect">
                          <a:avLst/>
                        </a:prstGeom>
                        <a:solidFill>
                          <a:prstClr val="white"/>
                        </a:solidFill>
                        <a:ln>
                          <a:noFill/>
                        </a:ln>
                      </wps:spPr>
                      <wps:txbx>
                        <w:txbxContent>
                          <w:p w14:paraId="2612FDF7" w14:textId="321C2693" w:rsidR="004D416C" w:rsidRPr="004D194D" w:rsidRDefault="004D416C" w:rsidP="006D54A8">
                            <w:pPr>
                              <w:pStyle w:val="Descripcin"/>
                              <w:jc w:val="center"/>
                              <w:rPr>
                                <w:rFonts w:ascii="Arial" w:hAnsi="Arial" w:cs="Arial"/>
                                <w:smallCaps w:val="0"/>
                                <w:noProof/>
                                <w:sz w:val="16"/>
                                <w:szCs w:val="16"/>
                              </w:rPr>
                            </w:pPr>
                            <w:bookmarkStart w:id="53" w:name="_Toc67646398"/>
                            <w:r w:rsidRPr="00963019">
                              <w:rPr>
                                <w:rFonts w:ascii="Arial" w:hAnsi="Arial" w:cs="Arial"/>
                                <w:smallCaps w:val="0"/>
                                <w:color w:val="9D2235" w:themeColor="accent1"/>
                                <w:sz w:val="16"/>
                                <w:szCs w:val="16"/>
                              </w:rPr>
                              <w:t xml:space="preserve">Gráfico </w:t>
                            </w:r>
                            <w:r w:rsidRPr="00963019">
                              <w:rPr>
                                <w:rFonts w:ascii="Arial" w:hAnsi="Arial" w:cs="Arial"/>
                                <w:smallCaps w:val="0"/>
                                <w:color w:val="9D2235" w:themeColor="accent1"/>
                                <w:sz w:val="16"/>
                                <w:szCs w:val="16"/>
                              </w:rPr>
                              <w:fldChar w:fldCharType="begin"/>
                            </w:r>
                            <w:r w:rsidRPr="00963019">
                              <w:rPr>
                                <w:rFonts w:ascii="Arial" w:hAnsi="Arial" w:cs="Arial"/>
                                <w:smallCaps w:val="0"/>
                                <w:color w:val="9D2235" w:themeColor="accent1"/>
                                <w:sz w:val="16"/>
                                <w:szCs w:val="16"/>
                              </w:rPr>
                              <w:instrText xml:space="preserve"> SEQ Gráfico \* ARABIC </w:instrText>
                            </w:r>
                            <w:r w:rsidRPr="00963019">
                              <w:rPr>
                                <w:rFonts w:ascii="Arial" w:hAnsi="Arial" w:cs="Arial"/>
                                <w:smallCaps w:val="0"/>
                                <w:color w:val="9D2235" w:themeColor="accent1"/>
                                <w:sz w:val="16"/>
                                <w:szCs w:val="16"/>
                              </w:rPr>
                              <w:fldChar w:fldCharType="separate"/>
                            </w:r>
                            <w:r>
                              <w:rPr>
                                <w:rFonts w:ascii="Arial" w:hAnsi="Arial" w:cs="Arial"/>
                                <w:smallCaps w:val="0"/>
                                <w:noProof/>
                                <w:color w:val="9D2235" w:themeColor="accent1"/>
                                <w:sz w:val="16"/>
                                <w:szCs w:val="16"/>
                              </w:rPr>
                              <w:t>2</w:t>
                            </w:r>
                            <w:r w:rsidRPr="00963019">
                              <w:rPr>
                                <w:rFonts w:ascii="Arial" w:hAnsi="Arial" w:cs="Arial"/>
                                <w:smallCaps w:val="0"/>
                                <w:color w:val="9D2235" w:themeColor="accent1"/>
                                <w:sz w:val="16"/>
                                <w:szCs w:val="16"/>
                              </w:rPr>
                              <w:fldChar w:fldCharType="end"/>
                            </w:r>
                            <w:r>
                              <w:rPr>
                                <w:rFonts w:ascii="Arial" w:hAnsi="Arial" w:cs="Arial"/>
                                <w:smallCaps w:val="0"/>
                                <w:color w:val="9D2235" w:themeColor="accent1"/>
                                <w:sz w:val="16"/>
                                <w:szCs w:val="16"/>
                              </w:rPr>
                              <w:t>.</w:t>
                            </w:r>
                            <w:r w:rsidRPr="00963019">
                              <w:rPr>
                                <w:rFonts w:ascii="Arial" w:hAnsi="Arial" w:cs="Arial"/>
                                <w:smallCaps w:val="0"/>
                                <w:color w:val="9D2235" w:themeColor="accent1"/>
                                <w:sz w:val="16"/>
                                <w:szCs w:val="16"/>
                              </w:rPr>
                              <w:t xml:space="preserve"> </w:t>
                            </w:r>
                            <w:r w:rsidRPr="004D194D">
                              <w:rPr>
                                <w:rFonts w:ascii="Arial" w:hAnsi="Arial" w:cs="Arial"/>
                                <w:smallCaps w:val="0"/>
                                <w:sz w:val="16"/>
                                <w:szCs w:val="16"/>
                              </w:rPr>
                              <w:t>Denuncias presentadas según el canal de comunicación.</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1CFE61" id="Cuadro de texto 16" o:spid="_x0000_s1034" type="#_x0000_t202" style="position:absolute;left:0;text-align:left;margin-left:6.4pt;margin-top:196.7pt;width:424.25pt;height:.05p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K8GwIAAD8EAAAOAAAAZHJzL2Uyb0RvYy54bWysU01v2zAMvQ/YfxB0X5y0SD+MOEWWIsOA&#10;oC2QDj0rshwLkEWNUmJnv36UHCdbt9Owi0yTFCm+9zh76BrDDgq9BlvwyWjMmbISSm13Bf/2uvp0&#10;x5kPwpbCgFUFPyrPH+YfP8xal6srqMGUChkVsT5vXcHrEFyeZV7WqhF+BE5ZClaAjQj0i7usRNFS&#10;9cZkV+PxTdYClg5BKu/J+9gH+TzVryolw3NVeRWYKTi9LaQT07mNZzafiXyHwtVanp4h/uEVjdCW&#10;mp5LPYog2B71H6UaLRE8VGEkocmgqrRUaQaaZjJ+N82mFk6lWQgc784w+f9XVj4dNu4FWeg+Q0cE&#10;RkBa53NPzjhPV2ETv/RSRnGC8HiGTXWBSXJOr+9u72+nnEmK3VxPY43sctWhD18UNCwaBUfiJEEl&#10;Dmsf+tQhJXbyYHS50sbEnxhYGmQHQfy1tQ7qVPy3LGNjroV4qy8YPdlljmiFbtsxXRb8bphxC+WR&#10;RkfoVeGdXGnqtxY+vAgkGdC0JO3wTEdloC04nCzOasAff/PHfGKHopy1JKuC++97gYoz89USb1GD&#10;g4GDsR0Mu2+WQJNOaGmcTCZdwGAGs0Jo3kjxi9iFQsJK6lXwMJjL0IubNkaqxSIlkdKcCGu7cTKW&#10;HnB97d4EuhMrgch8gkFwIn9HTp+b6HGLfSCkE3MR1x7FE9yk0sT9aaPiGvz6n7Iuez//CQAA//8D&#10;AFBLAwQUAAYACAAAACEAb36Tp+AAAAAKAQAADwAAAGRycy9kb3ducmV2LnhtbEyPwU7DMBBE70j8&#10;g7VIXBB12oSohDhVVcGhXCpCL9zc2I0D8TqynTb8PVsucJyd0czbcjXZnp20D51DAfNZAkxj41SH&#10;rYD9+8v9EliIEpXsHWoB3zrAqrq+KmWh3Bnf9KmOLaMSDIUUYGIcCs5DY7SVYeYGjeQdnbcykvQt&#10;V16eqdz2fJEkObeyQ1owctAbo5uverQCdtnHztyNx+fXdZb67X7c5J9tLcTtzbR+Ahb1FP/CcMEn&#10;dKiI6eBGVIH1pBdEHgWkj2kGjALLfJ4CO/xeHoBXJf//QvUDAAD//wMAUEsBAi0AFAAGAAgAAAAh&#10;ALaDOJL+AAAA4QEAABMAAAAAAAAAAAAAAAAAAAAAAFtDb250ZW50X1R5cGVzXS54bWxQSwECLQAU&#10;AAYACAAAACEAOP0h/9YAAACUAQAACwAAAAAAAAAAAAAAAAAvAQAAX3JlbHMvLnJlbHNQSwECLQAU&#10;AAYACAAAACEACzhCvBsCAAA/BAAADgAAAAAAAAAAAAAAAAAuAgAAZHJzL2Uyb0RvYy54bWxQSwEC&#10;LQAUAAYACAAAACEAb36Tp+AAAAAKAQAADwAAAAAAAAAAAAAAAAB1BAAAZHJzL2Rvd25yZXYueG1s&#10;UEsFBgAAAAAEAAQA8wAAAIIFAAAAAA==&#10;" stroked="f">
                <v:textbox style="mso-fit-shape-to-text:t" inset="0,0,0,0">
                  <w:txbxContent>
                    <w:p w14:paraId="2612FDF7" w14:textId="321C2693" w:rsidR="004D416C" w:rsidRPr="004D194D" w:rsidRDefault="004D416C" w:rsidP="006D54A8">
                      <w:pPr>
                        <w:pStyle w:val="Descripcin"/>
                        <w:jc w:val="center"/>
                        <w:rPr>
                          <w:rFonts w:ascii="Arial" w:hAnsi="Arial" w:cs="Arial"/>
                          <w:smallCaps w:val="0"/>
                          <w:noProof/>
                          <w:sz w:val="16"/>
                          <w:szCs w:val="16"/>
                        </w:rPr>
                      </w:pPr>
                      <w:bookmarkStart w:id="54" w:name="_Toc67646398"/>
                      <w:r w:rsidRPr="00963019">
                        <w:rPr>
                          <w:rFonts w:ascii="Arial" w:hAnsi="Arial" w:cs="Arial"/>
                          <w:smallCaps w:val="0"/>
                          <w:color w:val="9D2235" w:themeColor="accent1"/>
                          <w:sz w:val="16"/>
                          <w:szCs w:val="16"/>
                        </w:rPr>
                        <w:t xml:space="preserve">Gráfico </w:t>
                      </w:r>
                      <w:r w:rsidRPr="00963019">
                        <w:rPr>
                          <w:rFonts w:ascii="Arial" w:hAnsi="Arial" w:cs="Arial"/>
                          <w:smallCaps w:val="0"/>
                          <w:color w:val="9D2235" w:themeColor="accent1"/>
                          <w:sz w:val="16"/>
                          <w:szCs w:val="16"/>
                        </w:rPr>
                        <w:fldChar w:fldCharType="begin"/>
                      </w:r>
                      <w:r w:rsidRPr="00963019">
                        <w:rPr>
                          <w:rFonts w:ascii="Arial" w:hAnsi="Arial" w:cs="Arial"/>
                          <w:smallCaps w:val="0"/>
                          <w:color w:val="9D2235" w:themeColor="accent1"/>
                          <w:sz w:val="16"/>
                          <w:szCs w:val="16"/>
                        </w:rPr>
                        <w:instrText xml:space="preserve"> SEQ Gráfico \* ARABIC </w:instrText>
                      </w:r>
                      <w:r w:rsidRPr="00963019">
                        <w:rPr>
                          <w:rFonts w:ascii="Arial" w:hAnsi="Arial" w:cs="Arial"/>
                          <w:smallCaps w:val="0"/>
                          <w:color w:val="9D2235" w:themeColor="accent1"/>
                          <w:sz w:val="16"/>
                          <w:szCs w:val="16"/>
                        </w:rPr>
                        <w:fldChar w:fldCharType="separate"/>
                      </w:r>
                      <w:r>
                        <w:rPr>
                          <w:rFonts w:ascii="Arial" w:hAnsi="Arial" w:cs="Arial"/>
                          <w:smallCaps w:val="0"/>
                          <w:noProof/>
                          <w:color w:val="9D2235" w:themeColor="accent1"/>
                          <w:sz w:val="16"/>
                          <w:szCs w:val="16"/>
                        </w:rPr>
                        <w:t>2</w:t>
                      </w:r>
                      <w:r w:rsidRPr="00963019">
                        <w:rPr>
                          <w:rFonts w:ascii="Arial" w:hAnsi="Arial" w:cs="Arial"/>
                          <w:smallCaps w:val="0"/>
                          <w:color w:val="9D2235" w:themeColor="accent1"/>
                          <w:sz w:val="16"/>
                          <w:szCs w:val="16"/>
                        </w:rPr>
                        <w:fldChar w:fldCharType="end"/>
                      </w:r>
                      <w:r>
                        <w:rPr>
                          <w:rFonts w:ascii="Arial" w:hAnsi="Arial" w:cs="Arial"/>
                          <w:smallCaps w:val="0"/>
                          <w:color w:val="9D2235" w:themeColor="accent1"/>
                          <w:sz w:val="16"/>
                          <w:szCs w:val="16"/>
                        </w:rPr>
                        <w:t>.</w:t>
                      </w:r>
                      <w:r w:rsidRPr="00963019">
                        <w:rPr>
                          <w:rFonts w:ascii="Arial" w:hAnsi="Arial" w:cs="Arial"/>
                          <w:smallCaps w:val="0"/>
                          <w:color w:val="9D2235" w:themeColor="accent1"/>
                          <w:sz w:val="16"/>
                          <w:szCs w:val="16"/>
                        </w:rPr>
                        <w:t xml:space="preserve"> </w:t>
                      </w:r>
                      <w:r w:rsidRPr="004D194D">
                        <w:rPr>
                          <w:rFonts w:ascii="Arial" w:hAnsi="Arial" w:cs="Arial"/>
                          <w:smallCaps w:val="0"/>
                          <w:sz w:val="16"/>
                          <w:szCs w:val="16"/>
                        </w:rPr>
                        <w:t>Denuncias presentadas según el canal de comunicación.</w:t>
                      </w:r>
                      <w:bookmarkEnd w:id="54"/>
                    </w:p>
                  </w:txbxContent>
                </v:textbox>
                <w10:wrap type="topAndBottom"/>
              </v:shape>
            </w:pict>
          </mc:Fallback>
        </mc:AlternateContent>
      </w:r>
      <w:r w:rsidR="00086FD4">
        <w:rPr>
          <w:noProof/>
        </w:rPr>
        <w:drawing>
          <wp:inline distT="0" distB="0" distL="0" distR="0" wp14:anchorId="68C69CDE" wp14:editId="7281465C">
            <wp:extent cx="5400040" cy="2375535"/>
            <wp:effectExtent l="0" t="0" r="10160" b="5715"/>
            <wp:docPr id="279" name="Gráfico 279">
              <a:extLst xmlns:a="http://schemas.openxmlformats.org/drawingml/2006/main">
                <a:ext uri="{FF2B5EF4-FFF2-40B4-BE49-F238E27FC236}">
                  <a16:creationId xmlns:a16="http://schemas.microsoft.com/office/drawing/2014/main" id="{833ED1D6-385D-496E-ABE3-4BDCFBFB9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9DFA19C" w14:textId="609BF8EB" w:rsidR="002A47AA" w:rsidRPr="00973028" w:rsidRDefault="002A47AA" w:rsidP="00A569F9">
      <w:pPr>
        <w:spacing w:after="240" w:line="276" w:lineRule="auto"/>
        <w:rPr>
          <w:rFonts w:ascii="Arial" w:hAnsi="Arial"/>
          <w:b/>
          <w:sz w:val="21"/>
          <w:szCs w:val="21"/>
        </w:rPr>
      </w:pPr>
    </w:p>
    <w:p w14:paraId="50A6B977" w14:textId="7E8CA8E1" w:rsidR="002A47AA" w:rsidRPr="00973028" w:rsidRDefault="002A47AA" w:rsidP="002D3AF5">
      <w:pPr>
        <w:spacing w:after="240" w:line="276" w:lineRule="auto"/>
        <w:jc w:val="both"/>
        <w:rPr>
          <w:rFonts w:ascii="Arial" w:hAnsi="Arial"/>
          <w:sz w:val="21"/>
          <w:szCs w:val="21"/>
        </w:rPr>
      </w:pPr>
      <w:r w:rsidRPr="00973028">
        <w:rPr>
          <w:rFonts w:ascii="Arial" w:hAnsi="Arial"/>
          <w:sz w:val="21"/>
          <w:szCs w:val="21"/>
        </w:rPr>
        <w:t xml:space="preserve">La evolución muestra la generalización del empleo del </w:t>
      </w:r>
      <w:r w:rsidR="00012862">
        <w:rPr>
          <w:rFonts w:ascii="Arial" w:hAnsi="Arial"/>
          <w:sz w:val="21"/>
          <w:szCs w:val="21"/>
        </w:rPr>
        <w:t>Buzón de Denuncias</w:t>
      </w:r>
      <w:r w:rsidRPr="00973028">
        <w:rPr>
          <w:rFonts w:ascii="Arial" w:hAnsi="Arial"/>
          <w:sz w:val="21"/>
          <w:szCs w:val="21"/>
        </w:rPr>
        <w:t xml:space="preserve"> de la Agencia para la formulación de comunicaciones y presentación de denuncias. Pasando en 2018 desde su creación y puesta en funcionamiento en abril-mayo de 2018, a representar el canal de entrada del 54% de las denuncias, llegando en 2019 al 76%, y en 2020 ha representado el canal utilizado para el 85% de las denuncias. Las facilidades de uso y los estándares de seguridad y confidencialidad que la misma proporciona no pueden ser alcanzados por las otras vías contempladas para la presentación de denuncias y comunicaciones, lo que justifica el aumento exponencial en el uso preferente de este canal para la presentación de denuncias.</w:t>
      </w:r>
    </w:p>
    <w:p w14:paraId="7371DACB" w14:textId="307FFE03" w:rsidR="002A47AA" w:rsidRPr="00973028" w:rsidRDefault="002A47AA" w:rsidP="002D3AF5">
      <w:pPr>
        <w:pStyle w:val="Prrafodelista"/>
        <w:keepNext/>
        <w:numPr>
          <w:ilvl w:val="2"/>
          <w:numId w:val="24"/>
        </w:numPr>
        <w:suppressAutoHyphens/>
        <w:spacing w:after="240" w:line="276" w:lineRule="auto"/>
        <w:ind w:left="1134" w:hanging="1134"/>
        <w:jc w:val="both"/>
        <w:outlineLvl w:val="2"/>
        <w:rPr>
          <w:rFonts w:ascii="Arial" w:eastAsia="Times New Roman" w:hAnsi="Arial" w:cs="Arial"/>
          <w:b/>
          <w:color w:val="9D2235"/>
          <w:sz w:val="28"/>
          <w:szCs w:val="28"/>
        </w:rPr>
      </w:pPr>
      <w:bookmarkStart w:id="55" w:name="_Toc67646243"/>
      <w:r w:rsidRPr="00973028">
        <w:rPr>
          <w:rFonts w:ascii="Arial" w:eastAsia="Times New Roman" w:hAnsi="Arial" w:cs="Arial"/>
          <w:b/>
          <w:color w:val="9D2235"/>
          <w:sz w:val="28"/>
          <w:szCs w:val="28"/>
        </w:rPr>
        <w:t xml:space="preserve">Denuncias presentadas según </w:t>
      </w:r>
      <w:r w:rsidR="00082030" w:rsidRPr="00973028">
        <w:rPr>
          <w:rFonts w:ascii="Arial" w:eastAsia="Times New Roman" w:hAnsi="Arial" w:cs="Arial"/>
          <w:b/>
          <w:color w:val="9D2235"/>
          <w:sz w:val="28"/>
          <w:szCs w:val="28"/>
        </w:rPr>
        <w:t>la zona geográfica afectada</w:t>
      </w:r>
      <w:bookmarkEnd w:id="55"/>
    </w:p>
    <w:p w14:paraId="58287147" w14:textId="06FCBF85" w:rsidR="002A47AA" w:rsidRDefault="002A47AA" w:rsidP="002D3AF5">
      <w:pPr>
        <w:spacing w:after="240" w:line="276" w:lineRule="auto"/>
        <w:jc w:val="both"/>
        <w:rPr>
          <w:rFonts w:ascii="Arial" w:hAnsi="Arial"/>
          <w:sz w:val="21"/>
          <w:szCs w:val="21"/>
        </w:rPr>
      </w:pPr>
      <w:r w:rsidRPr="00973028">
        <w:rPr>
          <w:rFonts w:ascii="Arial" w:hAnsi="Arial"/>
          <w:sz w:val="21"/>
          <w:szCs w:val="21"/>
        </w:rPr>
        <w:t>Contempla la clasificación de las denuncias presentadas según el territorio donde se ubica la administración concretamente denunciada, realizando la clasificación por provincias o, en caso de afectar a varias provincias, haciendo referencia a la totalidad de la Comunitat Valenciana, que además aglutina las denuncias presentadas por actuaciones de la Generalitat y su sector instrumental.</w:t>
      </w:r>
    </w:p>
    <w:p w14:paraId="294C12E1" w14:textId="77777777" w:rsidR="002D3AF5" w:rsidRPr="00973028" w:rsidRDefault="002D3AF5" w:rsidP="002D3AF5">
      <w:pPr>
        <w:spacing w:after="240" w:line="276" w:lineRule="auto"/>
        <w:jc w:val="both"/>
        <w:rPr>
          <w:rFonts w:ascii="Arial" w:hAnsi="Arial"/>
          <w:sz w:val="21"/>
          <w:szCs w:val="21"/>
        </w:rPr>
      </w:pPr>
    </w:p>
    <w:p w14:paraId="5131D7B8" w14:textId="6A5294FA" w:rsidR="006D54A8" w:rsidRPr="00973028" w:rsidRDefault="006D54A8" w:rsidP="002D3AF5">
      <w:pPr>
        <w:pStyle w:val="Descripcin"/>
        <w:keepNext/>
        <w:spacing w:after="240" w:line="276" w:lineRule="auto"/>
        <w:rPr>
          <w:rFonts w:ascii="Arial" w:hAnsi="Arial" w:cs="Arial"/>
          <w:smallCaps w:val="0"/>
          <w:sz w:val="18"/>
          <w:szCs w:val="18"/>
        </w:rPr>
      </w:pPr>
      <w:bookmarkStart w:id="56" w:name="_Toc67646345"/>
      <w:r w:rsidRPr="00973028">
        <w:rPr>
          <w:rFonts w:ascii="Arial" w:hAnsi="Arial" w:cs="Arial"/>
          <w:smallCaps w:val="0"/>
          <w:color w:val="9D2235" w:themeColor="accent1"/>
          <w:sz w:val="18"/>
          <w:szCs w:val="18"/>
        </w:rPr>
        <w:t xml:space="preserve">Tabla </w:t>
      </w:r>
      <w:r w:rsidRPr="00973028">
        <w:rPr>
          <w:rFonts w:ascii="Arial" w:hAnsi="Arial" w:cs="Arial"/>
          <w:smallCaps w:val="0"/>
          <w:color w:val="9D2235" w:themeColor="accent1"/>
          <w:sz w:val="18"/>
          <w:szCs w:val="18"/>
        </w:rPr>
        <w:fldChar w:fldCharType="begin"/>
      </w:r>
      <w:r w:rsidRPr="00973028">
        <w:rPr>
          <w:rFonts w:ascii="Arial" w:hAnsi="Arial" w:cs="Arial"/>
          <w:smallCaps w:val="0"/>
          <w:color w:val="9D2235" w:themeColor="accent1"/>
          <w:sz w:val="18"/>
          <w:szCs w:val="18"/>
        </w:rPr>
        <w:instrText xml:space="preserve"> SEQ Tabla \* ARABIC </w:instrText>
      </w:r>
      <w:r w:rsidRPr="00973028">
        <w:rPr>
          <w:rFonts w:ascii="Arial" w:hAnsi="Arial" w:cs="Arial"/>
          <w:smallCaps w:val="0"/>
          <w:color w:val="9D2235" w:themeColor="accent1"/>
          <w:sz w:val="18"/>
          <w:szCs w:val="18"/>
        </w:rPr>
        <w:fldChar w:fldCharType="separate"/>
      </w:r>
      <w:r w:rsidR="00ED7F0D">
        <w:rPr>
          <w:rFonts w:ascii="Arial" w:hAnsi="Arial" w:cs="Arial"/>
          <w:smallCaps w:val="0"/>
          <w:noProof/>
          <w:color w:val="9D2235" w:themeColor="accent1"/>
          <w:sz w:val="18"/>
          <w:szCs w:val="18"/>
        </w:rPr>
        <w:t>8</w:t>
      </w:r>
      <w:r w:rsidRPr="00973028">
        <w:rPr>
          <w:rFonts w:ascii="Arial" w:hAnsi="Arial" w:cs="Arial"/>
          <w:smallCaps w:val="0"/>
          <w:color w:val="9D2235" w:themeColor="accent1"/>
          <w:sz w:val="18"/>
          <w:szCs w:val="18"/>
        </w:rPr>
        <w:fldChar w:fldCharType="end"/>
      </w:r>
      <w:r w:rsidR="00876C89">
        <w:rPr>
          <w:rFonts w:ascii="Arial" w:hAnsi="Arial" w:cs="Arial"/>
          <w:smallCaps w:val="0"/>
          <w:color w:val="9D2235" w:themeColor="accent1"/>
          <w:sz w:val="18"/>
          <w:szCs w:val="18"/>
        </w:rPr>
        <w:t>.</w:t>
      </w:r>
      <w:r w:rsidRPr="00973028">
        <w:rPr>
          <w:rFonts w:ascii="Arial" w:hAnsi="Arial" w:cs="Arial"/>
          <w:smallCaps w:val="0"/>
          <w:color w:val="9D2235" w:themeColor="accent1"/>
          <w:sz w:val="18"/>
          <w:szCs w:val="18"/>
        </w:rPr>
        <w:t xml:space="preserve"> </w:t>
      </w:r>
      <w:r w:rsidRPr="00973028">
        <w:rPr>
          <w:rFonts w:ascii="Arial" w:hAnsi="Arial" w:cs="Arial"/>
          <w:smallCaps w:val="0"/>
          <w:sz w:val="18"/>
          <w:szCs w:val="18"/>
        </w:rPr>
        <w:t xml:space="preserve">Denuncias presentadas según </w:t>
      </w:r>
      <w:r w:rsidR="00082030" w:rsidRPr="00973028">
        <w:rPr>
          <w:rFonts w:ascii="Arial" w:hAnsi="Arial" w:cs="Arial"/>
          <w:smallCaps w:val="0"/>
          <w:sz w:val="18"/>
          <w:szCs w:val="18"/>
        </w:rPr>
        <w:t>la zona geográfica afectada</w:t>
      </w:r>
      <w:bookmarkEnd w:id="56"/>
    </w:p>
    <w:tbl>
      <w:tblPr>
        <w:tblW w:w="8637" w:type="dxa"/>
        <w:tblInd w:w="80" w:type="dxa"/>
        <w:tblCellMar>
          <w:left w:w="70" w:type="dxa"/>
          <w:right w:w="70" w:type="dxa"/>
        </w:tblCellMar>
        <w:tblLook w:val="04A0" w:firstRow="1" w:lastRow="0" w:firstColumn="1" w:lastColumn="0" w:noHBand="0" w:noVBand="1"/>
      </w:tblPr>
      <w:tblGrid>
        <w:gridCol w:w="2109"/>
        <w:gridCol w:w="896"/>
        <w:gridCol w:w="600"/>
        <w:gridCol w:w="897"/>
        <w:gridCol w:w="600"/>
        <w:gridCol w:w="897"/>
        <w:gridCol w:w="600"/>
        <w:gridCol w:w="933"/>
        <w:gridCol w:w="1105"/>
      </w:tblGrid>
      <w:tr w:rsidR="00A569F9" w:rsidRPr="002D3AF5" w14:paraId="02DAD8BD" w14:textId="77777777" w:rsidTr="00A569F9">
        <w:trPr>
          <w:trHeight w:val="300"/>
        </w:trPr>
        <w:tc>
          <w:tcPr>
            <w:tcW w:w="2109" w:type="dxa"/>
            <w:vMerge w:val="restart"/>
            <w:tcBorders>
              <w:top w:val="single" w:sz="8" w:space="0" w:color="auto"/>
              <w:left w:val="single" w:sz="8" w:space="0" w:color="auto"/>
              <w:bottom w:val="single" w:sz="4" w:space="0" w:color="auto"/>
              <w:right w:val="single" w:sz="4" w:space="0" w:color="auto"/>
            </w:tcBorders>
            <w:shd w:val="clear" w:color="auto" w:fill="9D2235" w:themeFill="accent1"/>
            <w:noWrap/>
            <w:vAlign w:val="center"/>
            <w:hideMark/>
          </w:tcPr>
          <w:p w14:paraId="7122A501" w14:textId="77777777" w:rsidR="002A47AA" w:rsidRPr="002D3AF5" w:rsidRDefault="002A47AA" w:rsidP="002D3AF5">
            <w:pPr>
              <w:spacing w:after="240" w:line="276" w:lineRule="auto"/>
              <w:rPr>
                <w:rFonts w:ascii="Calibri" w:eastAsia="Times New Roman" w:hAnsi="Calibri" w:cs="Calibri"/>
                <w:b/>
                <w:bCs/>
                <w:color w:val="FFFFFF" w:themeColor="background1"/>
                <w:sz w:val="18"/>
                <w:szCs w:val="18"/>
                <w:lang w:eastAsia="es-ES"/>
              </w:rPr>
            </w:pPr>
            <w:r w:rsidRPr="002D3AF5">
              <w:rPr>
                <w:rFonts w:ascii="Calibri" w:eastAsia="Times New Roman" w:hAnsi="Calibri" w:cs="Calibri"/>
                <w:b/>
                <w:bCs/>
                <w:color w:val="FFFFFF" w:themeColor="background1"/>
                <w:sz w:val="18"/>
                <w:szCs w:val="18"/>
                <w:lang w:eastAsia="es-ES"/>
              </w:rPr>
              <w:t>ÁMBITO TERRITORIAL</w:t>
            </w:r>
          </w:p>
        </w:tc>
        <w:tc>
          <w:tcPr>
            <w:tcW w:w="0" w:type="auto"/>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592115FE" w14:textId="77777777" w:rsidR="002A47AA" w:rsidRPr="002D3AF5" w:rsidRDefault="002A47AA" w:rsidP="002D3AF5">
            <w:pPr>
              <w:spacing w:after="240" w:line="276" w:lineRule="auto"/>
              <w:jc w:val="center"/>
              <w:rPr>
                <w:rFonts w:ascii="Calibri" w:eastAsia="Times New Roman" w:hAnsi="Calibri" w:cs="Calibri"/>
                <w:b/>
                <w:bCs/>
                <w:color w:val="FFFFFF" w:themeColor="background1"/>
                <w:sz w:val="18"/>
                <w:szCs w:val="18"/>
                <w:lang w:eastAsia="es-ES"/>
              </w:rPr>
            </w:pPr>
            <w:r w:rsidRPr="002D3AF5">
              <w:rPr>
                <w:rFonts w:ascii="Calibri" w:eastAsia="Times New Roman" w:hAnsi="Calibri" w:cs="Calibri"/>
                <w:b/>
                <w:bCs/>
                <w:color w:val="FFFFFF" w:themeColor="background1"/>
                <w:sz w:val="18"/>
                <w:szCs w:val="18"/>
                <w:lang w:eastAsia="es-ES"/>
              </w:rPr>
              <w:t>2017</w:t>
            </w:r>
          </w:p>
        </w:tc>
        <w:tc>
          <w:tcPr>
            <w:tcW w:w="0" w:type="auto"/>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65558A36" w14:textId="77777777" w:rsidR="002A47AA" w:rsidRPr="002D3AF5" w:rsidRDefault="002A47AA" w:rsidP="002D3AF5">
            <w:pPr>
              <w:spacing w:after="240" w:line="276" w:lineRule="auto"/>
              <w:jc w:val="center"/>
              <w:rPr>
                <w:rFonts w:ascii="Calibri" w:eastAsia="Times New Roman" w:hAnsi="Calibri" w:cs="Calibri"/>
                <w:b/>
                <w:bCs/>
                <w:color w:val="FFFFFF" w:themeColor="background1"/>
                <w:sz w:val="18"/>
                <w:szCs w:val="18"/>
                <w:lang w:eastAsia="es-ES"/>
              </w:rPr>
            </w:pPr>
            <w:r w:rsidRPr="002D3AF5">
              <w:rPr>
                <w:rFonts w:ascii="Calibri" w:eastAsia="Times New Roman" w:hAnsi="Calibri" w:cs="Calibri"/>
                <w:b/>
                <w:bCs/>
                <w:color w:val="FFFFFF" w:themeColor="background1"/>
                <w:sz w:val="18"/>
                <w:szCs w:val="18"/>
                <w:lang w:eastAsia="es-ES"/>
              </w:rPr>
              <w:t>2018</w:t>
            </w:r>
          </w:p>
        </w:tc>
        <w:tc>
          <w:tcPr>
            <w:tcW w:w="0" w:type="auto"/>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1DA42AC3" w14:textId="77777777" w:rsidR="002A47AA" w:rsidRPr="002D3AF5" w:rsidRDefault="002A47AA" w:rsidP="002D3AF5">
            <w:pPr>
              <w:spacing w:after="240" w:line="276" w:lineRule="auto"/>
              <w:jc w:val="center"/>
              <w:rPr>
                <w:rFonts w:ascii="Calibri" w:eastAsia="Times New Roman" w:hAnsi="Calibri" w:cs="Calibri"/>
                <w:b/>
                <w:bCs/>
                <w:color w:val="FFFFFF" w:themeColor="background1"/>
                <w:sz w:val="18"/>
                <w:szCs w:val="18"/>
                <w:lang w:eastAsia="es-ES"/>
              </w:rPr>
            </w:pPr>
            <w:r w:rsidRPr="002D3AF5">
              <w:rPr>
                <w:rFonts w:ascii="Calibri" w:eastAsia="Times New Roman" w:hAnsi="Calibri" w:cs="Calibri"/>
                <w:b/>
                <w:bCs/>
                <w:color w:val="FFFFFF" w:themeColor="background1"/>
                <w:sz w:val="18"/>
                <w:szCs w:val="18"/>
                <w:lang w:eastAsia="es-ES"/>
              </w:rPr>
              <w:t>2019</w:t>
            </w:r>
          </w:p>
        </w:tc>
        <w:tc>
          <w:tcPr>
            <w:tcW w:w="1953" w:type="dxa"/>
            <w:gridSpan w:val="2"/>
            <w:tcBorders>
              <w:top w:val="single" w:sz="8" w:space="0" w:color="auto"/>
              <w:left w:val="nil"/>
              <w:bottom w:val="single" w:sz="4" w:space="0" w:color="auto"/>
              <w:right w:val="single" w:sz="8" w:space="0" w:color="000000"/>
            </w:tcBorders>
            <w:shd w:val="clear" w:color="auto" w:fill="9D2235" w:themeFill="accent1"/>
            <w:noWrap/>
            <w:vAlign w:val="bottom"/>
            <w:hideMark/>
          </w:tcPr>
          <w:p w14:paraId="3E0938F5" w14:textId="77777777" w:rsidR="002A47AA" w:rsidRPr="002D3AF5" w:rsidRDefault="002A47AA" w:rsidP="002D3AF5">
            <w:pPr>
              <w:spacing w:after="240" w:line="276" w:lineRule="auto"/>
              <w:jc w:val="center"/>
              <w:rPr>
                <w:rFonts w:ascii="Calibri" w:eastAsia="Times New Roman" w:hAnsi="Calibri" w:cs="Calibri"/>
                <w:b/>
                <w:bCs/>
                <w:color w:val="FFFFFF" w:themeColor="background1"/>
                <w:sz w:val="18"/>
                <w:szCs w:val="18"/>
                <w:lang w:eastAsia="es-ES"/>
              </w:rPr>
            </w:pPr>
            <w:r w:rsidRPr="002D3AF5">
              <w:rPr>
                <w:rFonts w:ascii="Calibri" w:eastAsia="Times New Roman" w:hAnsi="Calibri" w:cs="Calibri"/>
                <w:b/>
                <w:bCs/>
                <w:color w:val="FFFFFF" w:themeColor="background1"/>
                <w:sz w:val="18"/>
                <w:szCs w:val="18"/>
                <w:lang w:eastAsia="es-ES"/>
              </w:rPr>
              <w:t>2020</w:t>
            </w:r>
          </w:p>
        </w:tc>
      </w:tr>
      <w:tr w:rsidR="00A569F9" w:rsidRPr="002D3AF5" w14:paraId="135E7281" w14:textId="77777777" w:rsidTr="00A569F9">
        <w:trPr>
          <w:trHeight w:val="300"/>
        </w:trPr>
        <w:tc>
          <w:tcPr>
            <w:tcW w:w="2109" w:type="dxa"/>
            <w:vMerge/>
            <w:tcBorders>
              <w:top w:val="single" w:sz="8" w:space="0" w:color="auto"/>
              <w:left w:val="single" w:sz="8" w:space="0" w:color="auto"/>
              <w:bottom w:val="single" w:sz="4" w:space="0" w:color="auto"/>
              <w:right w:val="single" w:sz="4" w:space="0" w:color="auto"/>
            </w:tcBorders>
            <w:shd w:val="clear" w:color="auto" w:fill="9D2235" w:themeFill="accent1"/>
            <w:vAlign w:val="center"/>
            <w:hideMark/>
          </w:tcPr>
          <w:p w14:paraId="20B973F3" w14:textId="77777777" w:rsidR="002A47AA" w:rsidRPr="002D3AF5" w:rsidRDefault="002A47AA" w:rsidP="002D3AF5">
            <w:pPr>
              <w:spacing w:after="240" w:line="276" w:lineRule="auto"/>
              <w:rPr>
                <w:rFonts w:ascii="Calibri" w:eastAsia="Times New Roman" w:hAnsi="Calibri" w:cs="Calibri"/>
                <w:b/>
                <w:bCs/>
                <w:color w:val="FFFFFF" w:themeColor="background1"/>
                <w:sz w:val="18"/>
                <w:szCs w:val="18"/>
                <w:lang w:eastAsia="es-ES"/>
              </w:rPr>
            </w:pP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05A1E7FB" w14:textId="77777777" w:rsidR="002A47AA" w:rsidRPr="002D3AF5" w:rsidRDefault="002A47AA" w:rsidP="002D3AF5">
            <w:pPr>
              <w:spacing w:after="240" w:line="276" w:lineRule="auto"/>
              <w:jc w:val="center"/>
              <w:rPr>
                <w:rFonts w:ascii="Calibri" w:eastAsia="Times New Roman" w:hAnsi="Calibri" w:cs="Calibri"/>
                <w:b/>
                <w:bCs/>
                <w:color w:val="FFFFFF" w:themeColor="background1"/>
                <w:sz w:val="18"/>
                <w:szCs w:val="18"/>
                <w:lang w:eastAsia="es-ES"/>
              </w:rPr>
            </w:pPr>
            <w:r w:rsidRPr="002D3AF5">
              <w:rPr>
                <w:rFonts w:ascii="Calibri" w:eastAsia="Times New Roman" w:hAnsi="Calibri" w:cs="Calibri"/>
                <w:b/>
                <w:bCs/>
                <w:color w:val="FFFFFF" w:themeColor="background1"/>
                <w:sz w:val="18"/>
                <w:szCs w:val="18"/>
                <w:lang w:eastAsia="es-ES"/>
              </w:rPr>
              <w:t>Absoluto</w:t>
            </w: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2F4D433A" w14:textId="77777777" w:rsidR="002A47AA" w:rsidRPr="002D3AF5" w:rsidRDefault="002A47AA" w:rsidP="002D3AF5">
            <w:pPr>
              <w:spacing w:after="240" w:line="276" w:lineRule="auto"/>
              <w:jc w:val="center"/>
              <w:rPr>
                <w:rFonts w:ascii="Calibri" w:eastAsia="Times New Roman" w:hAnsi="Calibri" w:cs="Calibri"/>
                <w:b/>
                <w:bCs/>
                <w:color w:val="FFFFFF" w:themeColor="background1"/>
                <w:sz w:val="18"/>
                <w:szCs w:val="18"/>
                <w:lang w:eastAsia="es-ES"/>
              </w:rPr>
            </w:pPr>
            <w:r w:rsidRPr="002D3AF5">
              <w:rPr>
                <w:rFonts w:ascii="Calibri" w:eastAsia="Times New Roman" w:hAnsi="Calibri" w:cs="Calibri"/>
                <w:b/>
                <w:bCs/>
                <w:color w:val="FFFFFF" w:themeColor="background1"/>
                <w:sz w:val="18"/>
                <w:szCs w:val="18"/>
                <w:lang w:eastAsia="es-ES"/>
              </w:rPr>
              <w:t>%</w:t>
            </w: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4218E701" w14:textId="77777777" w:rsidR="002A47AA" w:rsidRPr="002D3AF5" w:rsidRDefault="002A47AA" w:rsidP="002D3AF5">
            <w:pPr>
              <w:spacing w:after="240" w:line="276" w:lineRule="auto"/>
              <w:jc w:val="center"/>
              <w:rPr>
                <w:rFonts w:ascii="Calibri" w:eastAsia="Times New Roman" w:hAnsi="Calibri" w:cs="Calibri"/>
                <w:b/>
                <w:bCs/>
                <w:color w:val="FFFFFF" w:themeColor="background1"/>
                <w:sz w:val="18"/>
                <w:szCs w:val="18"/>
                <w:lang w:eastAsia="es-ES"/>
              </w:rPr>
            </w:pPr>
            <w:r w:rsidRPr="002D3AF5">
              <w:rPr>
                <w:rFonts w:ascii="Calibri" w:eastAsia="Times New Roman" w:hAnsi="Calibri" w:cs="Calibri"/>
                <w:b/>
                <w:bCs/>
                <w:color w:val="FFFFFF" w:themeColor="background1"/>
                <w:sz w:val="18"/>
                <w:szCs w:val="18"/>
                <w:lang w:eastAsia="es-ES"/>
              </w:rPr>
              <w:t>Absoluto</w:t>
            </w: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5062F086" w14:textId="77777777" w:rsidR="002A47AA" w:rsidRPr="002D3AF5" w:rsidRDefault="002A47AA" w:rsidP="002D3AF5">
            <w:pPr>
              <w:spacing w:after="240" w:line="276" w:lineRule="auto"/>
              <w:jc w:val="center"/>
              <w:rPr>
                <w:rFonts w:ascii="Calibri" w:eastAsia="Times New Roman" w:hAnsi="Calibri" w:cs="Calibri"/>
                <w:b/>
                <w:bCs/>
                <w:color w:val="FFFFFF" w:themeColor="background1"/>
                <w:sz w:val="18"/>
                <w:szCs w:val="18"/>
                <w:lang w:eastAsia="es-ES"/>
              </w:rPr>
            </w:pPr>
            <w:r w:rsidRPr="002D3AF5">
              <w:rPr>
                <w:rFonts w:ascii="Calibri" w:eastAsia="Times New Roman" w:hAnsi="Calibri" w:cs="Calibri"/>
                <w:b/>
                <w:bCs/>
                <w:color w:val="FFFFFF" w:themeColor="background1"/>
                <w:sz w:val="18"/>
                <w:szCs w:val="18"/>
                <w:lang w:eastAsia="es-ES"/>
              </w:rPr>
              <w:t>%</w:t>
            </w: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7EB21260" w14:textId="77777777" w:rsidR="002A47AA" w:rsidRPr="002D3AF5" w:rsidRDefault="002A47AA" w:rsidP="002D3AF5">
            <w:pPr>
              <w:spacing w:after="240" w:line="276" w:lineRule="auto"/>
              <w:jc w:val="center"/>
              <w:rPr>
                <w:rFonts w:ascii="Calibri" w:eastAsia="Times New Roman" w:hAnsi="Calibri" w:cs="Calibri"/>
                <w:b/>
                <w:bCs/>
                <w:color w:val="FFFFFF" w:themeColor="background1"/>
                <w:sz w:val="18"/>
                <w:szCs w:val="18"/>
                <w:lang w:eastAsia="es-ES"/>
              </w:rPr>
            </w:pPr>
            <w:r w:rsidRPr="002D3AF5">
              <w:rPr>
                <w:rFonts w:ascii="Calibri" w:eastAsia="Times New Roman" w:hAnsi="Calibri" w:cs="Calibri"/>
                <w:b/>
                <w:bCs/>
                <w:color w:val="FFFFFF" w:themeColor="background1"/>
                <w:sz w:val="18"/>
                <w:szCs w:val="18"/>
                <w:lang w:eastAsia="es-ES"/>
              </w:rPr>
              <w:t>Absoluto</w:t>
            </w: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1077FAF1" w14:textId="77777777" w:rsidR="002A47AA" w:rsidRPr="002D3AF5" w:rsidRDefault="002A47AA" w:rsidP="002D3AF5">
            <w:pPr>
              <w:spacing w:after="240" w:line="276" w:lineRule="auto"/>
              <w:jc w:val="center"/>
              <w:rPr>
                <w:rFonts w:ascii="Calibri" w:eastAsia="Times New Roman" w:hAnsi="Calibri" w:cs="Calibri"/>
                <w:b/>
                <w:bCs/>
                <w:color w:val="FFFFFF" w:themeColor="background1"/>
                <w:sz w:val="18"/>
                <w:szCs w:val="18"/>
                <w:lang w:eastAsia="es-ES"/>
              </w:rPr>
            </w:pPr>
            <w:r w:rsidRPr="002D3AF5">
              <w:rPr>
                <w:rFonts w:ascii="Calibri" w:eastAsia="Times New Roman" w:hAnsi="Calibri" w:cs="Calibri"/>
                <w:b/>
                <w:bCs/>
                <w:color w:val="FFFFFF" w:themeColor="background1"/>
                <w:sz w:val="18"/>
                <w:szCs w:val="18"/>
                <w:lang w:eastAsia="es-ES"/>
              </w:rPr>
              <w:t>%</w:t>
            </w: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65E2B203" w14:textId="77777777" w:rsidR="002A47AA" w:rsidRPr="002D3AF5" w:rsidRDefault="002A47AA" w:rsidP="002D3AF5">
            <w:pPr>
              <w:spacing w:after="240" w:line="276" w:lineRule="auto"/>
              <w:jc w:val="center"/>
              <w:rPr>
                <w:rFonts w:ascii="Calibri" w:eastAsia="Times New Roman" w:hAnsi="Calibri" w:cs="Calibri"/>
                <w:b/>
                <w:bCs/>
                <w:color w:val="FFFFFF" w:themeColor="background1"/>
                <w:sz w:val="18"/>
                <w:szCs w:val="18"/>
                <w:lang w:eastAsia="es-ES"/>
              </w:rPr>
            </w:pPr>
            <w:r w:rsidRPr="002D3AF5">
              <w:rPr>
                <w:rFonts w:ascii="Calibri" w:eastAsia="Times New Roman" w:hAnsi="Calibri" w:cs="Calibri"/>
                <w:b/>
                <w:bCs/>
                <w:color w:val="FFFFFF" w:themeColor="background1"/>
                <w:sz w:val="18"/>
                <w:szCs w:val="18"/>
                <w:lang w:eastAsia="es-ES"/>
              </w:rPr>
              <w:t>Absoluto</w:t>
            </w:r>
          </w:p>
        </w:tc>
        <w:tc>
          <w:tcPr>
            <w:tcW w:w="1063" w:type="dxa"/>
            <w:tcBorders>
              <w:top w:val="nil"/>
              <w:left w:val="nil"/>
              <w:bottom w:val="single" w:sz="4" w:space="0" w:color="auto"/>
              <w:right w:val="single" w:sz="8" w:space="0" w:color="auto"/>
            </w:tcBorders>
            <w:shd w:val="clear" w:color="auto" w:fill="9D2235" w:themeFill="accent1"/>
            <w:noWrap/>
            <w:vAlign w:val="bottom"/>
            <w:hideMark/>
          </w:tcPr>
          <w:p w14:paraId="44D3FB5A" w14:textId="77777777" w:rsidR="002A47AA" w:rsidRPr="002D3AF5" w:rsidRDefault="002A47AA" w:rsidP="002D3AF5">
            <w:pPr>
              <w:spacing w:after="240" w:line="276" w:lineRule="auto"/>
              <w:jc w:val="center"/>
              <w:rPr>
                <w:rFonts w:ascii="Calibri" w:eastAsia="Times New Roman" w:hAnsi="Calibri" w:cs="Calibri"/>
                <w:b/>
                <w:bCs/>
                <w:color w:val="FFFFFF" w:themeColor="background1"/>
                <w:sz w:val="18"/>
                <w:szCs w:val="18"/>
                <w:lang w:eastAsia="es-ES"/>
              </w:rPr>
            </w:pPr>
            <w:r w:rsidRPr="002D3AF5">
              <w:rPr>
                <w:rFonts w:ascii="Calibri" w:eastAsia="Times New Roman" w:hAnsi="Calibri" w:cs="Calibri"/>
                <w:b/>
                <w:bCs/>
                <w:color w:val="FFFFFF" w:themeColor="background1"/>
                <w:sz w:val="18"/>
                <w:szCs w:val="18"/>
                <w:lang w:eastAsia="es-ES"/>
              </w:rPr>
              <w:t>%</w:t>
            </w:r>
          </w:p>
        </w:tc>
      </w:tr>
      <w:tr w:rsidR="002A47AA" w:rsidRPr="002D3AF5" w14:paraId="5DDB1BAB" w14:textId="77777777" w:rsidTr="002A47AA">
        <w:trPr>
          <w:trHeight w:val="300"/>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295B8B4B" w14:textId="77777777" w:rsidR="002A47AA" w:rsidRPr="002D3AF5" w:rsidRDefault="002A47AA" w:rsidP="002D3AF5">
            <w:pPr>
              <w:spacing w:after="240" w:line="276" w:lineRule="auto"/>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Alicante</w:t>
            </w:r>
          </w:p>
        </w:tc>
        <w:tc>
          <w:tcPr>
            <w:tcW w:w="0" w:type="auto"/>
            <w:tcBorders>
              <w:top w:val="nil"/>
              <w:left w:val="nil"/>
              <w:bottom w:val="single" w:sz="4" w:space="0" w:color="auto"/>
              <w:right w:val="single" w:sz="4" w:space="0" w:color="auto"/>
            </w:tcBorders>
            <w:shd w:val="clear" w:color="000000" w:fill="FFFFFF"/>
            <w:noWrap/>
            <w:vAlign w:val="bottom"/>
            <w:hideMark/>
          </w:tcPr>
          <w:p w14:paraId="37FB7A36"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7</w:t>
            </w:r>
          </w:p>
        </w:tc>
        <w:tc>
          <w:tcPr>
            <w:tcW w:w="0" w:type="auto"/>
            <w:tcBorders>
              <w:top w:val="nil"/>
              <w:left w:val="nil"/>
              <w:bottom w:val="single" w:sz="4" w:space="0" w:color="auto"/>
              <w:right w:val="single" w:sz="4" w:space="0" w:color="auto"/>
            </w:tcBorders>
            <w:shd w:val="clear" w:color="auto" w:fill="auto"/>
            <w:noWrap/>
            <w:vAlign w:val="bottom"/>
            <w:hideMark/>
          </w:tcPr>
          <w:p w14:paraId="458C4BC6"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20%</w:t>
            </w:r>
          </w:p>
        </w:tc>
        <w:tc>
          <w:tcPr>
            <w:tcW w:w="0" w:type="auto"/>
            <w:tcBorders>
              <w:top w:val="nil"/>
              <w:left w:val="nil"/>
              <w:bottom w:val="single" w:sz="4" w:space="0" w:color="auto"/>
              <w:right w:val="single" w:sz="4" w:space="0" w:color="auto"/>
            </w:tcBorders>
            <w:shd w:val="clear" w:color="auto" w:fill="auto"/>
            <w:noWrap/>
            <w:vAlign w:val="bottom"/>
            <w:hideMark/>
          </w:tcPr>
          <w:p w14:paraId="3243C2D2"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34</w:t>
            </w:r>
          </w:p>
        </w:tc>
        <w:tc>
          <w:tcPr>
            <w:tcW w:w="0" w:type="auto"/>
            <w:tcBorders>
              <w:top w:val="nil"/>
              <w:left w:val="nil"/>
              <w:bottom w:val="single" w:sz="4" w:space="0" w:color="auto"/>
              <w:right w:val="single" w:sz="4" w:space="0" w:color="auto"/>
            </w:tcBorders>
            <w:shd w:val="clear" w:color="auto" w:fill="auto"/>
            <w:noWrap/>
            <w:vAlign w:val="bottom"/>
            <w:hideMark/>
          </w:tcPr>
          <w:p w14:paraId="6C95CE99"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19%</w:t>
            </w:r>
          </w:p>
        </w:tc>
        <w:tc>
          <w:tcPr>
            <w:tcW w:w="0" w:type="auto"/>
            <w:tcBorders>
              <w:top w:val="nil"/>
              <w:left w:val="nil"/>
              <w:bottom w:val="single" w:sz="4" w:space="0" w:color="auto"/>
              <w:right w:val="single" w:sz="4" w:space="0" w:color="auto"/>
            </w:tcBorders>
            <w:shd w:val="clear" w:color="auto" w:fill="auto"/>
            <w:noWrap/>
            <w:vAlign w:val="bottom"/>
            <w:hideMark/>
          </w:tcPr>
          <w:p w14:paraId="4A23BB64"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40</w:t>
            </w:r>
          </w:p>
        </w:tc>
        <w:tc>
          <w:tcPr>
            <w:tcW w:w="0" w:type="auto"/>
            <w:tcBorders>
              <w:top w:val="nil"/>
              <w:left w:val="nil"/>
              <w:bottom w:val="single" w:sz="4" w:space="0" w:color="auto"/>
              <w:right w:val="single" w:sz="4" w:space="0" w:color="auto"/>
            </w:tcBorders>
            <w:shd w:val="clear" w:color="auto" w:fill="auto"/>
            <w:noWrap/>
            <w:vAlign w:val="bottom"/>
            <w:hideMark/>
          </w:tcPr>
          <w:p w14:paraId="57D8D640"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24%</w:t>
            </w:r>
          </w:p>
        </w:tc>
        <w:tc>
          <w:tcPr>
            <w:tcW w:w="0" w:type="auto"/>
            <w:tcBorders>
              <w:top w:val="nil"/>
              <w:left w:val="nil"/>
              <w:bottom w:val="single" w:sz="4" w:space="0" w:color="auto"/>
              <w:right w:val="single" w:sz="4" w:space="0" w:color="auto"/>
            </w:tcBorders>
            <w:shd w:val="clear" w:color="auto" w:fill="auto"/>
            <w:noWrap/>
            <w:vAlign w:val="bottom"/>
            <w:hideMark/>
          </w:tcPr>
          <w:p w14:paraId="34A036CF"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70</w:t>
            </w:r>
          </w:p>
        </w:tc>
        <w:tc>
          <w:tcPr>
            <w:tcW w:w="1063" w:type="dxa"/>
            <w:tcBorders>
              <w:top w:val="nil"/>
              <w:left w:val="nil"/>
              <w:bottom w:val="single" w:sz="4" w:space="0" w:color="auto"/>
              <w:right w:val="single" w:sz="8" w:space="0" w:color="auto"/>
            </w:tcBorders>
            <w:shd w:val="clear" w:color="auto" w:fill="auto"/>
            <w:noWrap/>
            <w:vAlign w:val="bottom"/>
            <w:hideMark/>
          </w:tcPr>
          <w:p w14:paraId="016369B6"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31%</w:t>
            </w:r>
          </w:p>
        </w:tc>
      </w:tr>
      <w:tr w:rsidR="002A47AA" w:rsidRPr="002D3AF5" w14:paraId="4420119D" w14:textId="77777777" w:rsidTr="002A47AA">
        <w:trPr>
          <w:trHeight w:val="300"/>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39C163F0" w14:textId="77777777" w:rsidR="002A47AA" w:rsidRPr="002D3AF5" w:rsidRDefault="002A47AA" w:rsidP="002D3AF5">
            <w:pPr>
              <w:spacing w:after="240" w:line="276" w:lineRule="auto"/>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Castelló</w:t>
            </w:r>
          </w:p>
        </w:tc>
        <w:tc>
          <w:tcPr>
            <w:tcW w:w="0" w:type="auto"/>
            <w:tcBorders>
              <w:top w:val="nil"/>
              <w:left w:val="nil"/>
              <w:bottom w:val="single" w:sz="4" w:space="0" w:color="auto"/>
              <w:right w:val="single" w:sz="4" w:space="0" w:color="auto"/>
            </w:tcBorders>
            <w:shd w:val="clear" w:color="auto" w:fill="auto"/>
            <w:noWrap/>
            <w:vAlign w:val="bottom"/>
            <w:hideMark/>
          </w:tcPr>
          <w:p w14:paraId="4B23B3F2"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33BB28E0"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2E1BEAAC"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20</w:t>
            </w:r>
          </w:p>
        </w:tc>
        <w:tc>
          <w:tcPr>
            <w:tcW w:w="0" w:type="auto"/>
            <w:tcBorders>
              <w:top w:val="nil"/>
              <w:left w:val="nil"/>
              <w:bottom w:val="single" w:sz="4" w:space="0" w:color="auto"/>
              <w:right w:val="single" w:sz="4" w:space="0" w:color="auto"/>
            </w:tcBorders>
            <w:shd w:val="clear" w:color="auto" w:fill="auto"/>
            <w:noWrap/>
            <w:vAlign w:val="bottom"/>
            <w:hideMark/>
          </w:tcPr>
          <w:p w14:paraId="0006A566"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11%</w:t>
            </w:r>
          </w:p>
        </w:tc>
        <w:tc>
          <w:tcPr>
            <w:tcW w:w="0" w:type="auto"/>
            <w:tcBorders>
              <w:top w:val="nil"/>
              <w:left w:val="nil"/>
              <w:bottom w:val="single" w:sz="4" w:space="0" w:color="auto"/>
              <w:right w:val="single" w:sz="4" w:space="0" w:color="auto"/>
            </w:tcBorders>
            <w:shd w:val="clear" w:color="auto" w:fill="auto"/>
            <w:noWrap/>
            <w:vAlign w:val="bottom"/>
            <w:hideMark/>
          </w:tcPr>
          <w:p w14:paraId="1A03F686"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17</w:t>
            </w:r>
          </w:p>
        </w:tc>
        <w:tc>
          <w:tcPr>
            <w:tcW w:w="0" w:type="auto"/>
            <w:tcBorders>
              <w:top w:val="nil"/>
              <w:left w:val="nil"/>
              <w:bottom w:val="single" w:sz="4" w:space="0" w:color="auto"/>
              <w:right w:val="single" w:sz="4" w:space="0" w:color="auto"/>
            </w:tcBorders>
            <w:shd w:val="clear" w:color="auto" w:fill="auto"/>
            <w:noWrap/>
            <w:vAlign w:val="bottom"/>
            <w:hideMark/>
          </w:tcPr>
          <w:p w14:paraId="25153C90"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10%</w:t>
            </w:r>
          </w:p>
        </w:tc>
        <w:tc>
          <w:tcPr>
            <w:tcW w:w="0" w:type="auto"/>
            <w:tcBorders>
              <w:top w:val="nil"/>
              <w:left w:val="nil"/>
              <w:bottom w:val="single" w:sz="4" w:space="0" w:color="auto"/>
              <w:right w:val="single" w:sz="4" w:space="0" w:color="auto"/>
            </w:tcBorders>
            <w:shd w:val="clear" w:color="auto" w:fill="auto"/>
            <w:noWrap/>
            <w:vAlign w:val="bottom"/>
            <w:hideMark/>
          </w:tcPr>
          <w:p w14:paraId="3AC12531"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15</w:t>
            </w:r>
          </w:p>
        </w:tc>
        <w:tc>
          <w:tcPr>
            <w:tcW w:w="1063" w:type="dxa"/>
            <w:tcBorders>
              <w:top w:val="nil"/>
              <w:left w:val="nil"/>
              <w:bottom w:val="single" w:sz="4" w:space="0" w:color="auto"/>
              <w:right w:val="single" w:sz="8" w:space="0" w:color="auto"/>
            </w:tcBorders>
            <w:shd w:val="clear" w:color="auto" w:fill="auto"/>
            <w:noWrap/>
            <w:vAlign w:val="bottom"/>
            <w:hideMark/>
          </w:tcPr>
          <w:p w14:paraId="1EBC9801"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7%</w:t>
            </w:r>
          </w:p>
        </w:tc>
      </w:tr>
      <w:tr w:rsidR="002A47AA" w:rsidRPr="002D3AF5" w14:paraId="11C7A601" w14:textId="77777777" w:rsidTr="002A47AA">
        <w:trPr>
          <w:trHeight w:val="300"/>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1D50972B" w14:textId="2187AB43" w:rsidR="002A47AA" w:rsidRPr="002D3AF5" w:rsidRDefault="002A47AA" w:rsidP="002D3AF5">
            <w:pPr>
              <w:spacing w:after="240" w:line="276" w:lineRule="auto"/>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lastRenderedPageBreak/>
              <w:t>Val</w:t>
            </w:r>
            <w:r w:rsidR="00D13AB4" w:rsidRPr="002D3AF5">
              <w:rPr>
                <w:rFonts w:ascii="Calibri" w:eastAsia="Times New Roman" w:hAnsi="Calibri" w:cs="Calibri"/>
                <w:color w:val="000000"/>
                <w:sz w:val="18"/>
                <w:szCs w:val="18"/>
                <w:lang w:eastAsia="es-ES"/>
              </w:rPr>
              <w:t>e</w:t>
            </w:r>
            <w:r w:rsidRPr="002D3AF5">
              <w:rPr>
                <w:rFonts w:ascii="Calibri" w:eastAsia="Times New Roman" w:hAnsi="Calibri" w:cs="Calibri"/>
                <w:color w:val="000000"/>
                <w:sz w:val="18"/>
                <w:szCs w:val="18"/>
                <w:lang w:eastAsia="es-ES"/>
              </w:rPr>
              <w:t>ncia</w:t>
            </w:r>
          </w:p>
        </w:tc>
        <w:tc>
          <w:tcPr>
            <w:tcW w:w="0" w:type="auto"/>
            <w:tcBorders>
              <w:top w:val="nil"/>
              <w:left w:val="nil"/>
              <w:bottom w:val="single" w:sz="4" w:space="0" w:color="auto"/>
              <w:right w:val="single" w:sz="4" w:space="0" w:color="auto"/>
            </w:tcBorders>
            <w:shd w:val="clear" w:color="auto" w:fill="auto"/>
            <w:noWrap/>
            <w:vAlign w:val="bottom"/>
            <w:hideMark/>
          </w:tcPr>
          <w:p w14:paraId="37C40C03"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20</w:t>
            </w:r>
          </w:p>
        </w:tc>
        <w:tc>
          <w:tcPr>
            <w:tcW w:w="0" w:type="auto"/>
            <w:tcBorders>
              <w:top w:val="nil"/>
              <w:left w:val="nil"/>
              <w:bottom w:val="single" w:sz="4" w:space="0" w:color="auto"/>
              <w:right w:val="single" w:sz="4" w:space="0" w:color="auto"/>
            </w:tcBorders>
            <w:shd w:val="clear" w:color="auto" w:fill="auto"/>
            <w:noWrap/>
            <w:vAlign w:val="bottom"/>
            <w:hideMark/>
          </w:tcPr>
          <w:p w14:paraId="770D9C30"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602DDA1E"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96</w:t>
            </w:r>
          </w:p>
        </w:tc>
        <w:tc>
          <w:tcPr>
            <w:tcW w:w="0" w:type="auto"/>
            <w:tcBorders>
              <w:top w:val="nil"/>
              <w:left w:val="nil"/>
              <w:bottom w:val="single" w:sz="4" w:space="0" w:color="auto"/>
              <w:right w:val="single" w:sz="4" w:space="0" w:color="auto"/>
            </w:tcBorders>
            <w:shd w:val="clear" w:color="auto" w:fill="auto"/>
            <w:noWrap/>
            <w:vAlign w:val="bottom"/>
            <w:hideMark/>
          </w:tcPr>
          <w:p w14:paraId="5A159454"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53%</w:t>
            </w:r>
          </w:p>
        </w:tc>
        <w:tc>
          <w:tcPr>
            <w:tcW w:w="0" w:type="auto"/>
            <w:tcBorders>
              <w:top w:val="nil"/>
              <w:left w:val="nil"/>
              <w:bottom w:val="single" w:sz="4" w:space="0" w:color="auto"/>
              <w:right w:val="single" w:sz="4" w:space="0" w:color="auto"/>
            </w:tcBorders>
            <w:shd w:val="clear" w:color="auto" w:fill="auto"/>
            <w:noWrap/>
            <w:vAlign w:val="bottom"/>
            <w:hideMark/>
          </w:tcPr>
          <w:p w14:paraId="08E835C8"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82</w:t>
            </w:r>
          </w:p>
        </w:tc>
        <w:tc>
          <w:tcPr>
            <w:tcW w:w="0" w:type="auto"/>
            <w:tcBorders>
              <w:top w:val="nil"/>
              <w:left w:val="nil"/>
              <w:bottom w:val="single" w:sz="4" w:space="0" w:color="auto"/>
              <w:right w:val="single" w:sz="4" w:space="0" w:color="auto"/>
            </w:tcBorders>
            <w:shd w:val="clear" w:color="auto" w:fill="auto"/>
            <w:noWrap/>
            <w:vAlign w:val="bottom"/>
            <w:hideMark/>
          </w:tcPr>
          <w:p w14:paraId="4F63F646"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49%</w:t>
            </w:r>
          </w:p>
        </w:tc>
        <w:tc>
          <w:tcPr>
            <w:tcW w:w="0" w:type="auto"/>
            <w:tcBorders>
              <w:top w:val="nil"/>
              <w:left w:val="nil"/>
              <w:bottom w:val="single" w:sz="4" w:space="0" w:color="auto"/>
              <w:right w:val="single" w:sz="4" w:space="0" w:color="auto"/>
            </w:tcBorders>
            <w:shd w:val="clear" w:color="auto" w:fill="auto"/>
            <w:noWrap/>
            <w:vAlign w:val="bottom"/>
            <w:hideMark/>
          </w:tcPr>
          <w:p w14:paraId="48EBB33F"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115</w:t>
            </w:r>
          </w:p>
        </w:tc>
        <w:tc>
          <w:tcPr>
            <w:tcW w:w="1063" w:type="dxa"/>
            <w:tcBorders>
              <w:top w:val="nil"/>
              <w:left w:val="nil"/>
              <w:bottom w:val="single" w:sz="4" w:space="0" w:color="auto"/>
              <w:right w:val="single" w:sz="8" w:space="0" w:color="auto"/>
            </w:tcBorders>
            <w:shd w:val="clear" w:color="auto" w:fill="auto"/>
            <w:noWrap/>
            <w:vAlign w:val="bottom"/>
            <w:hideMark/>
          </w:tcPr>
          <w:p w14:paraId="15484D3C"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51%</w:t>
            </w:r>
          </w:p>
        </w:tc>
      </w:tr>
      <w:tr w:rsidR="002A47AA" w:rsidRPr="002D3AF5" w14:paraId="1DEA9992" w14:textId="77777777" w:rsidTr="002A47AA">
        <w:trPr>
          <w:trHeight w:val="300"/>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33383879" w14:textId="77777777" w:rsidR="002A47AA" w:rsidRPr="002D3AF5" w:rsidRDefault="002A47AA" w:rsidP="002D3AF5">
            <w:pPr>
              <w:spacing w:after="240" w:line="276" w:lineRule="auto"/>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Comunitat Valenciana</w:t>
            </w:r>
          </w:p>
        </w:tc>
        <w:tc>
          <w:tcPr>
            <w:tcW w:w="0" w:type="auto"/>
            <w:tcBorders>
              <w:top w:val="nil"/>
              <w:left w:val="nil"/>
              <w:bottom w:val="single" w:sz="4" w:space="0" w:color="auto"/>
              <w:right w:val="single" w:sz="4" w:space="0" w:color="auto"/>
            </w:tcBorders>
            <w:shd w:val="clear" w:color="auto" w:fill="auto"/>
            <w:noWrap/>
            <w:vAlign w:val="bottom"/>
            <w:hideMark/>
          </w:tcPr>
          <w:p w14:paraId="0EDB5812"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8</w:t>
            </w:r>
          </w:p>
        </w:tc>
        <w:tc>
          <w:tcPr>
            <w:tcW w:w="0" w:type="auto"/>
            <w:tcBorders>
              <w:top w:val="nil"/>
              <w:left w:val="nil"/>
              <w:bottom w:val="single" w:sz="4" w:space="0" w:color="auto"/>
              <w:right w:val="single" w:sz="4" w:space="0" w:color="auto"/>
            </w:tcBorders>
            <w:shd w:val="clear" w:color="auto" w:fill="auto"/>
            <w:noWrap/>
            <w:vAlign w:val="bottom"/>
            <w:hideMark/>
          </w:tcPr>
          <w:p w14:paraId="0FCE636A"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23%</w:t>
            </w:r>
          </w:p>
        </w:tc>
        <w:tc>
          <w:tcPr>
            <w:tcW w:w="0" w:type="auto"/>
            <w:tcBorders>
              <w:top w:val="nil"/>
              <w:left w:val="nil"/>
              <w:bottom w:val="single" w:sz="4" w:space="0" w:color="auto"/>
              <w:right w:val="single" w:sz="4" w:space="0" w:color="auto"/>
            </w:tcBorders>
            <w:shd w:val="clear" w:color="000000" w:fill="FFFFFF"/>
            <w:noWrap/>
            <w:vAlign w:val="bottom"/>
            <w:hideMark/>
          </w:tcPr>
          <w:p w14:paraId="7BC887CF"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31</w:t>
            </w:r>
          </w:p>
        </w:tc>
        <w:tc>
          <w:tcPr>
            <w:tcW w:w="0" w:type="auto"/>
            <w:tcBorders>
              <w:top w:val="nil"/>
              <w:left w:val="nil"/>
              <w:bottom w:val="single" w:sz="4" w:space="0" w:color="auto"/>
              <w:right w:val="single" w:sz="4" w:space="0" w:color="auto"/>
            </w:tcBorders>
            <w:shd w:val="clear" w:color="auto" w:fill="auto"/>
            <w:noWrap/>
            <w:vAlign w:val="bottom"/>
            <w:hideMark/>
          </w:tcPr>
          <w:p w14:paraId="570F1A24"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17%</w:t>
            </w:r>
          </w:p>
        </w:tc>
        <w:tc>
          <w:tcPr>
            <w:tcW w:w="0" w:type="auto"/>
            <w:tcBorders>
              <w:top w:val="nil"/>
              <w:left w:val="nil"/>
              <w:bottom w:val="single" w:sz="4" w:space="0" w:color="auto"/>
              <w:right w:val="single" w:sz="4" w:space="0" w:color="auto"/>
            </w:tcBorders>
            <w:shd w:val="clear" w:color="auto" w:fill="auto"/>
            <w:noWrap/>
            <w:vAlign w:val="bottom"/>
            <w:hideMark/>
          </w:tcPr>
          <w:p w14:paraId="796AC059"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29</w:t>
            </w:r>
          </w:p>
        </w:tc>
        <w:tc>
          <w:tcPr>
            <w:tcW w:w="0" w:type="auto"/>
            <w:tcBorders>
              <w:top w:val="nil"/>
              <w:left w:val="nil"/>
              <w:bottom w:val="single" w:sz="4" w:space="0" w:color="auto"/>
              <w:right w:val="single" w:sz="4" w:space="0" w:color="auto"/>
            </w:tcBorders>
            <w:shd w:val="clear" w:color="auto" w:fill="auto"/>
            <w:noWrap/>
            <w:vAlign w:val="bottom"/>
            <w:hideMark/>
          </w:tcPr>
          <w:p w14:paraId="0F621E68"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17%</w:t>
            </w:r>
          </w:p>
        </w:tc>
        <w:tc>
          <w:tcPr>
            <w:tcW w:w="0" w:type="auto"/>
            <w:tcBorders>
              <w:top w:val="nil"/>
              <w:left w:val="nil"/>
              <w:bottom w:val="single" w:sz="4" w:space="0" w:color="auto"/>
              <w:right w:val="single" w:sz="4" w:space="0" w:color="auto"/>
            </w:tcBorders>
            <w:shd w:val="clear" w:color="auto" w:fill="auto"/>
            <w:noWrap/>
            <w:vAlign w:val="bottom"/>
            <w:hideMark/>
          </w:tcPr>
          <w:p w14:paraId="423529DD"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26</w:t>
            </w:r>
          </w:p>
        </w:tc>
        <w:tc>
          <w:tcPr>
            <w:tcW w:w="1063" w:type="dxa"/>
            <w:tcBorders>
              <w:top w:val="nil"/>
              <w:left w:val="nil"/>
              <w:bottom w:val="single" w:sz="4" w:space="0" w:color="auto"/>
              <w:right w:val="single" w:sz="8" w:space="0" w:color="auto"/>
            </w:tcBorders>
            <w:shd w:val="clear" w:color="auto" w:fill="auto"/>
            <w:noWrap/>
            <w:vAlign w:val="bottom"/>
            <w:hideMark/>
          </w:tcPr>
          <w:p w14:paraId="0C93D1F7" w14:textId="77777777" w:rsidR="002A47AA" w:rsidRPr="002D3AF5" w:rsidRDefault="002A47AA" w:rsidP="002D3AF5">
            <w:pPr>
              <w:spacing w:after="240" w:line="276" w:lineRule="auto"/>
              <w:jc w:val="center"/>
              <w:rPr>
                <w:rFonts w:ascii="Calibri" w:eastAsia="Times New Roman" w:hAnsi="Calibri" w:cs="Calibri"/>
                <w:color w:val="000000"/>
                <w:sz w:val="18"/>
                <w:szCs w:val="18"/>
                <w:lang w:eastAsia="es-ES"/>
              </w:rPr>
            </w:pPr>
            <w:r w:rsidRPr="002D3AF5">
              <w:rPr>
                <w:rFonts w:ascii="Calibri" w:eastAsia="Times New Roman" w:hAnsi="Calibri" w:cs="Calibri"/>
                <w:color w:val="000000"/>
                <w:sz w:val="18"/>
                <w:szCs w:val="18"/>
                <w:lang w:eastAsia="es-ES"/>
              </w:rPr>
              <w:t>12%</w:t>
            </w:r>
          </w:p>
        </w:tc>
      </w:tr>
      <w:tr w:rsidR="002A47AA" w:rsidRPr="002D3AF5" w14:paraId="75E51502" w14:textId="77777777" w:rsidTr="008145AC">
        <w:trPr>
          <w:trHeight w:val="300"/>
        </w:trPr>
        <w:tc>
          <w:tcPr>
            <w:tcW w:w="2109" w:type="dxa"/>
            <w:tcBorders>
              <w:top w:val="nil"/>
              <w:left w:val="single" w:sz="8" w:space="0" w:color="auto"/>
              <w:bottom w:val="single" w:sz="8" w:space="0" w:color="auto"/>
              <w:right w:val="single" w:sz="4" w:space="0" w:color="auto"/>
            </w:tcBorders>
            <w:shd w:val="clear" w:color="auto" w:fill="D9D9D9" w:themeFill="background1" w:themeFillShade="D9"/>
            <w:noWrap/>
            <w:vAlign w:val="bottom"/>
            <w:hideMark/>
          </w:tcPr>
          <w:p w14:paraId="4C12294A" w14:textId="77777777" w:rsidR="002A47AA" w:rsidRPr="002D3AF5" w:rsidRDefault="002A47AA" w:rsidP="002D3AF5">
            <w:pPr>
              <w:spacing w:after="240" w:line="276" w:lineRule="auto"/>
              <w:jc w:val="right"/>
              <w:rPr>
                <w:rFonts w:ascii="Calibri" w:eastAsia="Times New Roman" w:hAnsi="Calibri" w:cs="Calibri"/>
                <w:b/>
                <w:bCs/>
                <w:color w:val="000000"/>
                <w:sz w:val="18"/>
                <w:szCs w:val="18"/>
                <w:lang w:eastAsia="es-ES"/>
              </w:rPr>
            </w:pPr>
            <w:r w:rsidRPr="002D3AF5">
              <w:rPr>
                <w:rFonts w:ascii="Calibri" w:eastAsia="Times New Roman" w:hAnsi="Calibri" w:cs="Calibri"/>
                <w:b/>
                <w:bCs/>
                <w:color w:val="000000"/>
                <w:sz w:val="18"/>
                <w:szCs w:val="18"/>
                <w:lang w:eastAsia="es-ES"/>
              </w:rPr>
              <w:t>TOTAL.</w:t>
            </w:r>
          </w:p>
        </w:tc>
        <w:tc>
          <w:tcPr>
            <w:tcW w:w="0" w:type="auto"/>
            <w:tcBorders>
              <w:top w:val="nil"/>
              <w:left w:val="nil"/>
              <w:bottom w:val="single" w:sz="8" w:space="0" w:color="auto"/>
              <w:right w:val="single" w:sz="4" w:space="0" w:color="auto"/>
            </w:tcBorders>
            <w:shd w:val="clear" w:color="auto" w:fill="D9D9D9" w:themeFill="background1" w:themeFillShade="D9"/>
            <w:noWrap/>
            <w:vAlign w:val="bottom"/>
            <w:hideMark/>
          </w:tcPr>
          <w:p w14:paraId="6FC6DF03" w14:textId="77777777" w:rsidR="002A47AA" w:rsidRPr="002D3AF5" w:rsidRDefault="002A47AA" w:rsidP="002D3AF5">
            <w:pPr>
              <w:spacing w:after="240" w:line="276" w:lineRule="auto"/>
              <w:jc w:val="center"/>
              <w:rPr>
                <w:rFonts w:ascii="Calibri" w:eastAsia="Times New Roman" w:hAnsi="Calibri" w:cs="Calibri"/>
                <w:b/>
                <w:bCs/>
                <w:color w:val="000000"/>
                <w:sz w:val="18"/>
                <w:szCs w:val="18"/>
                <w:lang w:eastAsia="es-ES"/>
              </w:rPr>
            </w:pPr>
            <w:r w:rsidRPr="002D3AF5">
              <w:rPr>
                <w:rFonts w:ascii="Calibri" w:eastAsia="Times New Roman" w:hAnsi="Calibri" w:cs="Calibri"/>
                <w:b/>
                <w:bCs/>
                <w:color w:val="000000"/>
                <w:sz w:val="18"/>
                <w:szCs w:val="18"/>
                <w:lang w:eastAsia="es-ES"/>
              </w:rPr>
              <w:t>35</w:t>
            </w:r>
          </w:p>
        </w:tc>
        <w:tc>
          <w:tcPr>
            <w:tcW w:w="0" w:type="auto"/>
            <w:tcBorders>
              <w:top w:val="nil"/>
              <w:left w:val="nil"/>
              <w:bottom w:val="single" w:sz="8" w:space="0" w:color="auto"/>
              <w:right w:val="single" w:sz="4" w:space="0" w:color="auto"/>
            </w:tcBorders>
            <w:shd w:val="clear" w:color="auto" w:fill="D9D9D9" w:themeFill="background1" w:themeFillShade="D9"/>
            <w:noWrap/>
            <w:vAlign w:val="bottom"/>
            <w:hideMark/>
          </w:tcPr>
          <w:p w14:paraId="3B665BD8" w14:textId="77777777" w:rsidR="002A47AA" w:rsidRPr="002D3AF5" w:rsidRDefault="002A47AA" w:rsidP="002D3AF5">
            <w:pPr>
              <w:spacing w:after="240" w:line="276" w:lineRule="auto"/>
              <w:jc w:val="center"/>
              <w:rPr>
                <w:rFonts w:ascii="Calibri" w:eastAsia="Times New Roman" w:hAnsi="Calibri" w:cs="Calibri"/>
                <w:b/>
                <w:bCs/>
                <w:color w:val="000000"/>
                <w:sz w:val="18"/>
                <w:szCs w:val="18"/>
                <w:lang w:eastAsia="es-ES"/>
              </w:rPr>
            </w:pPr>
            <w:r w:rsidRPr="002D3AF5">
              <w:rPr>
                <w:rFonts w:ascii="Calibri" w:eastAsia="Times New Roman" w:hAnsi="Calibri" w:cs="Calibri"/>
                <w:b/>
                <w:bCs/>
                <w:color w:val="000000"/>
                <w:sz w:val="18"/>
                <w:szCs w:val="18"/>
                <w:lang w:eastAsia="es-ES"/>
              </w:rPr>
              <w:t>100%</w:t>
            </w:r>
          </w:p>
        </w:tc>
        <w:tc>
          <w:tcPr>
            <w:tcW w:w="0" w:type="auto"/>
            <w:tcBorders>
              <w:top w:val="nil"/>
              <w:left w:val="nil"/>
              <w:bottom w:val="single" w:sz="8" w:space="0" w:color="auto"/>
              <w:right w:val="single" w:sz="4" w:space="0" w:color="auto"/>
            </w:tcBorders>
            <w:shd w:val="clear" w:color="auto" w:fill="D9D9D9" w:themeFill="background1" w:themeFillShade="D9"/>
            <w:noWrap/>
            <w:vAlign w:val="bottom"/>
            <w:hideMark/>
          </w:tcPr>
          <w:p w14:paraId="60DE3AB8" w14:textId="77777777" w:rsidR="002A47AA" w:rsidRPr="002D3AF5" w:rsidRDefault="002A47AA" w:rsidP="002D3AF5">
            <w:pPr>
              <w:spacing w:after="240" w:line="276" w:lineRule="auto"/>
              <w:jc w:val="center"/>
              <w:rPr>
                <w:rFonts w:ascii="Calibri" w:eastAsia="Times New Roman" w:hAnsi="Calibri" w:cs="Calibri"/>
                <w:b/>
                <w:bCs/>
                <w:color w:val="000000"/>
                <w:sz w:val="18"/>
                <w:szCs w:val="18"/>
                <w:lang w:eastAsia="es-ES"/>
              </w:rPr>
            </w:pPr>
            <w:r w:rsidRPr="002D3AF5">
              <w:rPr>
                <w:rFonts w:ascii="Calibri" w:eastAsia="Times New Roman" w:hAnsi="Calibri" w:cs="Calibri"/>
                <w:b/>
                <w:bCs/>
                <w:color w:val="000000"/>
                <w:sz w:val="18"/>
                <w:szCs w:val="18"/>
                <w:lang w:eastAsia="es-ES"/>
              </w:rPr>
              <w:t>181</w:t>
            </w:r>
          </w:p>
        </w:tc>
        <w:tc>
          <w:tcPr>
            <w:tcW w:w="0" w:type="auto"/>
            <w:tcBorders>
              <w:top w:val="nil"/>
              <w:left w:val="nil"/>
              <w:bottom w:val="single" w:sz="8" w:space="0" w:color="auto"/>
              <w:right w:val="single" w:sz="4" w:space="0" w:color="auto"/>
            </w:tcBorders>
            <w:shd w:val="clear" w:color="auto" w:fill="D9D9D9" w:themeFill="background1" w:themeFillShade="D9"/>
            <w:noWrap/>
            <w:vAlign w:val="bottom"/>
            <w:hideMark/>
          </w:tcPr>
          <w:p w14:paraId="487F8919" w14:textId="77777777" w:rsidR="002A47AA" w:rsidRPr="002D3AF5" w:rsidRDefault="002A47AA" w:rsidP="002D3AF5">
            <w:pPr>
              <w:spacing w:after="240" w:line="276" w:lineRule="auto"/>
              <w:jc w:val="center"/>
              <w:rPr>
                <w:rFonts w:ascii="Calibri" w:eastAsia="Times New Roman" w:hAnsi="Calibri" w:cs="Calibri"/>
                <w:b/>
                <w:bCs/>
                <w:color w:val="000000"/>
                <w:sz w:val="18"/>
                <w:szCs w:val="18"/>
                <w:lang w:eastAsia="es-ES"/>
              </w:rPr>
            </w:pPr>
            <w:r w:rsidRPr="002D3AF5">
              <w:rPr>
                <w:rFonts w:ascii="Calibri" w:eastAsia="Times New Roman" w:hAnsi="Calibri" w:cs="Calibri"/>
                <w:b/>
                <w:bCs/>
                <w:color w:val="000000"/>
                <w:sz w:val="18"/>
                <w:szCs w:val="18"/>
                <w:lang w:eastAsia="es-ES"/>
              </w:rPr>
              <w:t>100%</w:t>
            </w:r>
          </w:p>
        </w:tc>
        <w:tc>
          <w:tcPr>
            <w:tcW w:w="0" w:type="auto"/>
            <w:tcBorders>
              <w:top w:val="nil"/>
              <w:left w:val="nil"/>
              <w:bottom w:val="single" w:sz="8" w:space="0" w:color="auto"/>
              <w:right w:val="single" w:sz="4" w:space="0" w:color="auto"/>
            </w:tcBorders>
            <w:shd w:val="clear" w:color="auto" w:fill="D9D9D9" w:themeFill="background1" w:themeFillShade="D9"/>
            <w:noWrap/>
            <w:vAlign w:val="bottom"/>
            <w:hideMark/>
          </w:tcPr>
          <w:p w14:paraId="5FBB5F45" w14:textId="77777777" w:rsidR="002A47AA" w:rsidRPr="002D3AF5" w:rsidRDefault="002A47AA" w:rsidP="002D3AF5">
            <w:pPr>
              <w:spacing w:after="240" w:line="276" w:lineRule="auto"/>
              <w:jc w:val="center"/>
              <w:rPr>
                <w:rFonts w:ascii="Calibri" w:eastAsia="Times New Roman" w:hAnsi="Calibri" w:cs="Calibri"/>
                <w:b/>
                <w:bCs/>
                <w:color w:val="000000"/>
                <w:sz w:val="18"/>
                <w:szCs w:val="18"/>
                <w:lang w:eastAsia="es-ES"/>
              </w:rPr>
            </w:pPr>
            <w:r w:rsidRPr="002D3AF5">
              <w:rPr>
                <w:rFonts w:ascii="Calibri" w:eastAsia="Times New Roman" w:hAnsi="Calibri" w:cs="Calibri"/>
                <w:b/>
                <w:bCs/>
                <w:color w:val="000000"/>
                <w:sz w:val="18"/>
                <w:szCs w:val="18"/>
                <w:lang w:eastAsia="es-ES"/>
              </w:rPr>
              <w:t>168</w:t>
            </w:r>
          </w:p>
        </w:tc>
        <w:tc>
          <w:tcPr>
            <w:tcW w:w="0" w:type="auto"/>
            <w:tcBorders>
              <w:top w:val="nil"/>
              <w:left w:val="nil"/>
              <w:bottom w:val="single" w:sz="8" w:space="0" w:color="auto"/>
              <w:right w:val="single" w:sz="4" w:space="0" w:color="auto"/>
            </w:tcBorders>
            <w:shd w:val="clear" w:color="auto" w:fill="D9D9D9" w:themeFill="background1" w:themeFillShade="D9"/>
            <w:noWrap/>
            <w:vAlign w:val="bottom"/>
            <w:hideMark/>
          </w:tcPr>
          <w:p w14:paraId="3242B614" w14:textId="77777777" w:rsidR="002A47AA" w:rsidRPr="002D3AF5" w:rsidRDefault="002A47AA" w:rsidP="002D3AF5">
            <w:pPr>
              <w:spacing w:after="240" w:line="276" w:lineRule="auto"/>
              <w:jc w:val="center"/>
              <w:rPr>
                <w:rFonts w:ascii="Calibri" w:eastAsia="Times New Roman" w:hAnsi="Calibri" w:cs="Calibri"/>
                <w:b/>
                <w:bCs/>
                <w:color w:val="000000"/>
                <w:sz w:val="18"/>
                <w:szCs w:val="18"/>
                <w:lang w:eastAsia="es-ES"/>
              </w:rPr>
            </w:pPr>
            <w:r w:rsidRPr="002D3AF5">
              <w:rPr>
                <w:rFonts w:ascii="Calibri" w:eastAsia="Times New Roman" w:hAnsi="Calibri" w:cs="Calibri"/>
                <w:b/>
                <w:bCs/>
                <w:color w:val="000000"/>
                <w:sz w:val="18"/>
                <w:szCs w:val="18"/>
                <w:lang w:eastAsia="es-ES"/>
              </w:rPr>
              <w:t>100%</w:t>
            </w:r>
          </w:p>
        </w:tc>
        <w:tc>
          <w:tcPr>
            <w:tcW w:w="0" w:type="auto"/>
            <w:tcBorders>
              <w:top w:val="nil"/>
              <w:left w:val="nil"/>
              <w:bottom w:val="single" w:sz="8" w:space="0" w:color="auto"/>
              <w:right w:val="single" w:sz="4" w:space="0" w:color="auto"/>
            </w:tcBorders>
            <w:shd w:val="clear" w:color="auto" w:fill="D9D9D9" w:themeFill="background1" w:themeFillShade="D9"/>
            <w:noWrap/>
            <w:vAlign w:val="bottom"/>
            <w:hideMark/>
          </w:tcPr>
          <w:p w14:paraId="444FF934" w14:textId="77777777" w:rsidR="002A47AA" w:rsidRPr="002D3AF5" w:rsidRDefault="002A47AA" w:rsidP="002D3AF5">
            <w:pPr>
              <w:spacing w:after="240" w:line="276" w:lineRule="auto"/>
              <w:jc w:val="center"/>
              <w:rPr>
                <w:rFonts w:ascii="Calibri" w:eastAsia="Times New Roman" w:hAnsi="Calibri" w:cs="Calibri"/>
                <w:b/>
                <w:bCs/>
                <w:color w:val="000000"/>
                <w:sz w:val="18"/>
                <w:szCs w:val="18"/>
                <w:lang w:eastAsia="es-ES"/>
              </w:rPr>
            </w:pPr>
            <w:r w:rsidRPr="002D3AF5">
              <w:rPr>
                <w:rFonts w:ascii="Calibri" w:eastAsia="Times New Roman" w:hAnsi="Calibri" w:cs="Calibri"/>
                <w:b/>
                <w:bCs/>
                <w:color w:val="000000"/>
                <w:sz w:val="18"/>
                <w:szCs w:val="18"/>
                <w:lang w:eastAsia="es-ES"/>
              </w:rPr>
              <w:t>226</w:t>
            </w:r>
          </w:p>
        </w:tc>
        <w:tc>
          <w:tcPr>
            <w:tcW w:w="1063" w:type="dxa"/>
            <w:tcBorders>
              <w:top w:val="nil"/>
              <w:left w:val="nil"/>
              <w:bottom w:val="single" w:sz="8" w:space="0" w:color="auto"/>
              <w:right w:val="single" w:sz="8" w:space="0" w:color="auto"/>
            </w:tcBorders>
            <w:shd w:val="clear" w:color="auto" w:fill="D9D9D9" w:themeFill="background1" w:themeFillShade="D9"/>
            <w:noWrap/>
            <w:vAlign w:val="bottom"/>
            <w:hideMark/>
          </w:tcPr>
          <w:p w14:paraId="4B1814DC" w14:textId="77777777" w:rsidR="002A47AA" w:rsidRPr="002D3AF5" w:rsidRDefault="002A47AA" w:rsidP="002D3AF5">
            <w:pPr>
              <w:spacing w:after="240" w:line="276" w:lineRule="auto"/>
              <w:jc w:val="center"/>
              <w:rPr>
                <w:rFonts w:ascii="Calibri" w:eastAsia="Times New Roman" w:hAnsi="Calibri" w:cs="Calibri"/>
                <w:b/>
                <w:bCs/>
                <w:color w:val="000000"/>
                <w:sz w:val="18"/>
                <w:szCs w:val="18"/>
                <w:lang w:eastAsia="es-ES"/>
              </w:rPr>
            </w:pPr>
            <w:r w:rsidRPr="002D3AF5">
              <w:rPr>
                <w:rFonts w:ascii="Calibri" w:eastAsia="Times New Roman" w:hAnsi="Calibri" w:cs="Calibri"/>
                <w:b/>
                <w:bCs/>
                <w:color w:val="000000"/>
                <w:sz w:val="18"/>
                <w:szCs w:val="18"/>
                <w:lang w:eastAsia="es-ES"/>
              </w:rPr>
              <w:t>100%</w:t>
            </w:r>
          </w:p>
        </w:tc>
      </w:tr>
    </w:tbl>
    <w:p w14:paraId="44807713" w14:textId="77777777" w:rsidR="002A47AA" w:rsidRPr="00973028" w:rsidRDefault="002A47AA" w:rsidP="002D3AF5">
      <w:pPr>
        <w:spacing w:after="240" w:line="276" w:lineRule="auto"/>
        <w:jc w:val="both"/>
        <w:rPr>
          <w:rFonts w:ascii="Arial" w:hAnsi="Arial"/>
          <w:b/>
          <w:sz w:val="21"/>
          <w:szCs w:val="21"/>
        </w:rPr>
      </w:pPr>
    </w:p>
    <w:p w14:paraId="7B24C907" w14:textId="3C10E4CF" w:rsidR="006D54A8" w:rsidRPr="00973028" w:rsidRDefault="00876C89" w:rsidP="006D54A8">
      <w:pPr>
        <w:keepNext/>
        <w:spacing w:after="240" w:line="276" w:lineRule="auto"/>
        <w:jc w:val="center"/>
      </w:pPr>
      <w:r>
        <w:rPr>
          <w:noProof/>
        </w:rPr>
        <w:drawing>
          <wp:inline distT="0" distB="0" distL="0" distR="0" wp14:anchorId="6F26A759" wp14:editId="0B0C2B20">
            <wp:extent cx="5400040" cy="2430379"/>
            <wp:effectExtent l="0" t="0" r="10160" b="8255"/>
            <wp:docPr id="280" name="Gráfico 280">
              <a:extLst xmlns:a="http://schemas.openxmlformats.org/drawingml/2006/main">
                <a:ext uri="{FF2B5EF4-FFF2-40B4-BE49-F238E27FC236}">
                  <a16:creationId xmlns:a16="http://schemas.microsoft.com/office/drawing/2014/main" id="{60127B0B-BB6D-4392-A303-73C78F1822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E7C2EC9" w14:textId="7A37AD60" w:rsidR="00876C89" w:rsidRPr="00876C89" w:rsidRDefault="006D54A8" w:rsidP="00876C89">
      <w:pPr>
        <w:pStyle w:val="Descripcin"/>
        <w:jc w:val="center"/>
        <w:rPr>
          <w:rFonts w:ascii="Arial" w:hAnsi="Arial" w:cs="Arial"/>
          <w:smallCaps w:val="0"/>
          <w:sz w:val="18"/>
        </w:rPr>
      </w:pPr>
      <w:bookmarkStart w:id="57" w:name="_Toc67646399"/>
      <w:r w:rsidRPr="00876C89">
        <w:rPr>
          <w:rFonts w:ascii="Arial" w:hAnsi="Arial" w:cs="Arial"/>
          <w:smallCaps w:val="0"/>
          <w:color w:val="9D2235" w:themeColor="accent1"/>
          <w:sz w:val="18"/>
        </w:rPr>
        <w:t xml:space="preserve">Gráfico </w:t>
      </w:r>
      <w:r w:rsidRPr="00876C89">
        <w:rPr>
          <w:rFonts w:ascii="Arial" w:hAnsi="Arial" w:cs="Arial"/>
          <w:smallCaps w:val="0"/>
          <w:color w:val="9D2235" w:themeColor="accent1"/>
          <w:sz w:val="18"/>
        </w:rPr>
        <w:fldChar w:fldCharType="begin"/>
      </w:r>
      <w:r w:rsidRPr="00876C89">
        <w:rPr>
          <w:rFonts w:ascii="Arial" w:hAnsi="Arial" w:cs="Arial"/>
          <w:smallCaps w:val="0"/>
          <w:color w:val="9D2235" w:themeColor="accent1"/>
          <w:sz w:val="18"/>
        </w:rPr>
        <w:instrText xml:space="preserve"> SEQ Gráfico \* ARABIC </w:instrText>
      </w:r>
      <w:r w:rsidRPr="00876C89">
        <w:rPr>
          <w:rFonts w:ascii="Arial" w:hAnsi="Arial" w:cs="Arial"/>
          <w:smallCaps w:val="0"/>
          <w:color w:val="9D2235" w:themeColor="accent1"/>
          <w:sz w:val="18"/>
        </w:rPr>
        <w:fldChar w:fldCharType="separate"/>
      </w:r>
      <w:r w:rsidR="00000D1F">
        <w:rPr>
          <w:rFonts w:ascii="Arial" w:hAnsi="Arial" w:cs="Arial"/>
          <w:smallCaps w:val="0"/>
          <w:noProof/>
          <w:color w:val="9D2235" w:themeColor="accent1"/>
          <w:sz w:val="18"/>
        </w:rPr>
        <w:t>3</w:t>
      </w:r>
      <w:r w:rsidRPr="00876C89">
        <w:rPr>
          <w:rFonts w:ascii="Arial" w:hAnsi="Arial" w:cs="Arial"/>
          <w:smallCaps w:val="0"/>
          <w:color w:val="9D2235" w:themeColor="accent1"/>
          <w:sz w:val="18"/>
        </w:rPr>
        <w:fldChar w:fldCharType="end"/>
      </w:r>
      <w:r w:rsidR="00876C89">
        <w:rPr>
          <w:rFonts w:ascii="Arial" w:hAnsi="Arial" w:cs="Arial"/>
          <w:smallCaps w:val="0"/>
          <w:color w:val="9D2235" w:themeColor="accent1"/>
          <w:sz w:val="18"/>
        </w:rPr>
        <w:t>.</w:t>
      </w:r>
      <w:r w:rsidRPr="00876C89">
        <w:rPr>
          <w:rFonts w:ascii="Arial" w:hAnsi="Arial" w:cs="Arial"/>
          <w:smallCaps w:val="0"/>
          <w:color w:val="9D2235" w:themeColor="accent1"/>
          <w:sz w:val="18"/>
        </w:rPr>
        <w:t xml:space="preserve"> </w:t>
      </w:r>
      <w:r w:rsidR="00876C89" w:rsidRPr="00876C89">
        <w:rPr>
          <w:rFonts w:ascii="Arial" w:hAnsi="Arial" w:cs="Arial"/>
          <w:smallCaps w:val="0"/>
          <w:sz w:val="18"/>
        </w:rPr>
        <w:t>Distribución del acumulado denuncias 2017-2020</w:t>
      </w:r>
      <w:bookmarkEnd w:id="57"/>
    </w:p>
    <w:p w14:paraId="263E1B5C" w14:textId="2D1BBF58" w:rsidR="002A47AA" w:rsidRPr="00973028" w:rsidRDefault="002A47AA" w:rsidP="006D54A8">
      <w:pPr>
        <w:pStyle w:val="Descripcin"/>
        <w:jc w:val="center"/>
        <w:rPr>
          <w:rFonts w:ascii="Arial" w:hAnsi="Arial"/>
          <w:b w:val="0"/>
          <w:smallCaps w:val="0"/>
          <w:sz w:val="18"/>
          <w:szCs w:val="21"/>
        </w:rPr>
      </w:pPr>
    </w:p>
    <w:p w14:paraId="501EFD36" w14:textId="77777777" w:rsidR="00876C89" w:rsidRDefault="00876C89" w:rsidP="00876C89">
      <w:pPr>
        <w:keepNext/>
        <w:spacing w:after="240" w:line="276" w:lineRule="auto"/>
        <w:jc w:val="both"/>
      </w:pPr>
      <w:r>
        <w:rPr>
          <w:noProof/>
        </w:rPr>
        <w:drawing>
          <wp:inline distT="0" distB="0" distL="0" distR="0" wp14:anchorId="48A5C017" wp14:editId="759630FB">
            <wp:extent cx="5400040" cy="3425588"/>
            <wp:effectExtent l="0" t="0" r="10160" b="3810"/>
            <wp:docPr id="283" name="Gráfico 283">
              <a:extLst xmlns:a="http://schemas.openxmlformats.org/drawingml/2006/main">
                <a:ext uri="{FF2B5EF4-FFF2-40B4-BE49-F238E27FC236}">
                  <a16:creationId xmlns:a16="http://schemas.microsoft.com/office/drawing/2014/main" id="{30972FD0-3AE1-40B7-9BDD-D11C41C82E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0E7F725" w14:textId="60691F30" w:rsidR="006D54A8" w:rsidRPr="00876C89" w:rsidRDefault="00876C89" w:rsidP="00876C89">
      <w:pPr>
        <w:pStyle w:val="Descripcin"/>
        <w:jc w:val="center"/>
        <w:rPr>
          <w:rFonts w:ascii="Arial" w:hAnsi="Arial" w:cs="Arial"/>
          <w:smallCaps w:val="0"/>
          <w:sz w:val="16"/>
          <w:szCs w:val="21"/>
        </w:rPr>
      </w:pPr>
      <w:bookmarkStart w:id="58" w:name="_Toc67646400"/>
      <w:r w:rsidRPr="00876C89">
        <w:rPr>
          <w:rFonts w:ascii="Arial" w:hAnsi="Arial" w:cs="Arial"/>
          <w:smallCaps w:val="0"/>
          <w:color w:val="9D2235" w:themeColor="accent1"/>
          <w:sz w:val="16"/>
        </w:rPr>
        <w:t xml:space="preserve">Gráfico </w:t>
      </w:r>
      <w:r w:rsidRPr="00876C89">
        <w:rPr>
          <w:rFonts w:ascii="Arial" w:hAnsi="Arial" w:cs="Arial"/>
          <w:smallCaps w:val="0"/>
          <w:color w:val="9D2235" w:themeColor="accent1"/>
          <w:sz w:val="16"/>
        </w:rPr>
        <w:fldChar w:fldCharType="begin"/>
      </w:r>
      <w:r w:rsidRPr="00876C89">
        <w:rPr>
          <w:rFonts w:ascii="Arial" w:hAnsi="Arial" w:cs="Arial"/>
          <w:smallCaps w:val="0"/>
          <w:color w:val="9D2235" w:themeColor="accent1"/>
          <w:sz w:val="16"/>
        </w:rPr>
        <w:instrText xml:space="preserve"> SEQ Gráfico \* ARABIC </w:instrText>
      </w:r>
      <w:r w:rsidRPr="00876C89">
        <w:rPr>
          <w:rFonts w:ascii="Arial" w:hAnsi="Arial" w:cs="Arial"/>
          <w:smallCaps w:val="0"/>
          <w:color w:val="9D2235" w:themeColor="accent1"/>
          <w:sz w:val="16"/>
        </w:rPr>
        <w:fldChar w:fldCharType="separate"/>
      </w:r>
      <w:r w:rsidR="00000D1F">
        <w:rPr>
          <w:rFonts w:ascii="Arial" w:hAnsi="Arial" w:cs="Arial"/>
          <w:smallCaps w:val="0"/>
          <w:noProof/>
          <w:color w:val="9D2235" w:themeColor="accent1"/>
          <w:sz w:val="16"/>
        </w:rPr>
        <w:t>4</w:t>
      </w:r>
      <w:r w:rsidRPr="00876C89">
        <w:rPr>
          <w:rFonts w:ascii="Arial" w:hAnsi="Arial" w:cs="Arial"/>
          <w:smallCaps w:val="0"/>
          <w:color w:val="9D2235" w:themeColor="accent1"/>
          <w:sz w:val="16"/>
        </w:rPr>
        <w:fldChar w:fldCharType="end"/>
      </w:r>
      <w:r>
        <w:rPr>
          <w:rFonts w:ascii="Arial" w:hAnsi="Arial" w:cs="Arial"/>
          <w:smallCaps w:val="0"/>
          <w:color w:val="9D2235" w:themeColor="accent1"/>
          <w:sz w:val="16"/>
        </w:rPr>
        <w:t>.</w:t>
      </w:r>
      <w:r w:rsidRPr="00876C89">
        <w:rPr>
          <w:rFonts w:ascii="Arial" w:hAnsi="Arial" w:cs="Arial"/>
          <w:smallCaps w:val="0"/>
          <w:sz w:val="16"/>
        </w:rPr>
        <w:t xml:space="preserve"> Evolución de denuncias por territorio y año</w:t>
      </w:r>
      <w:bookmarkEnd w:id="58"/>
    </w:p>
    <w:p w14:paraId="600A44FD" w14:textId="4D60AD5F" w:rsidR="002A47AA" w:rsidRPr="00973028" w:rsidRDefault="002A47AA" w:rsidP="002D3AF5">
      <w:pPr>
        <w:spacing w:after="120" w:line="276" w:lineRule="auto"/>
        <w:jc w:val="both"/>
        <w:rPr>
          <w:rFonts w:ascii="Arial" w:hAnsi="Arial"/>
          <w:sz w:val="21"/>
          <w:szCs w:val="21"/>
        </w:rPr>
      </w:pPr>
      <w:r w:rsidRPr="00973028">
        <w:rPr>
          <w:rFonts w:ascii="Arial" w:hAnsi="Arial"/>
          <w:sz w:val="21"/>
          <w:szCs w:val="21"/>
        </w:rPr>
        <w:lastRenderedPageBreak/>
        <w:t>La evolución de las anualidades de 2018, 2019 y 2020 muestra el establecimiento de unas tendencias que se confirman con el paso del tiempo, respondiendo a la configuración propia de la organización administrativa de base territorial, si bien en 2020 han crecido las denuncias sobre el sector público de la provincia de Alicante respecto a ejercicios anteriores, reduciéndose en términos absolutos y porcentuales en los tres ejercicios consecutivos las denuncias presentadas respecto al sector público autonómico y de la provincia de Castellón.</w:t>
      </w:r>
    </w:p>
    <w:p w14:paraId="60B04DF0" w14:textId="700B3D79" w:rsidR="002A47AA" w:rsidRPr="00973028" w:rsidRDefault="002A47AA" w:rsidP="002D3AF5">
      <w:pPr>
        <w:spacing w:after="120" w:line="276" w:lineRule="auto"/>
        <w:jc w:val="both"/>
        <w:rPr>
          <w:rFonts w:ascii="Arial" w:hAnsi="Arial"/>
          <w:sz w:val="21"/>
          <w:szCs w:val="21"/>
        </w:rPr>
      </w:pPr>
      <w:r w:rsidRPr="00973028">
        <w:rPr>
          <w:rFonts w:ascii="Arial" w:hAnsi="Arial"/>
          <w:sz w:val="21"/>
          <w:szCs w:val="21"/>
        </w:rPr>
        <w:t>De nuevo las denuncias respecto a la provincia de Valencia aglutinan la mayor representatividad con el 51% de los casos, 115 denuncias en términos absolutos.</w:t>
      </w:r>
    </w:p>
    <w:p w14:paraId="66AAE9DE" w14:textId="7E7D79D9"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59" w:name="_Toc67646244"/>
      <w:r w:rsidRPr="00973028">
        <w:rPr>
          <w:rFonts w:ascii="Arial" w:eastAsia="Times New Roman" w:hAnsi="Arial" w:cs="Arial"/>
          <w:b/>
          <w:color w:val="9D2235"/>
          <w:sz w:val="28"/>
          <w:szCs w:val="28"/>
        </w:rPr>
        <w:t>Denuncias presentadas según el ámbito material</w:t>
      </w:r>
      <w:bookmarkEnd w:id="59"/>
    </w:p>
    <w:p w14:paraId="7A3322E6" w14:textId="77777777" w:rsidR="002A47AA" w:rsidRPr="00973028" w:rsidRDefault="002A47AA" w:rsidP="002D3AF5">
      <w:pPr>
        <w:spacing w:after="120" w:line="276" w:lineRule="auto"/>
        <w:jc w:val="both"/>
        <w:rPr>
          <w:rFonts w:ascii="Arial" w:hAnsi="Arial"/>
          <w:sz w:val="21"/>
          <w:szCs w:val="21"/>
        </w:rPr>
      </w:pPr>
      <w:r w:rsidRPr="00973028">
        <w:rPr>
          <w:rFonts w:ascii="Arial" w:hAnsi="Arial"/>
          <w:sz w:val="21"/>
          <w:szCs w:val="21"/>
        </w:rPr>
        <w:t xml:space="preserve">En este apartado se presenta la clasificación de las denuncias según el ámbito material de la actuación administrativa. </w:t>
      </w:r>
    </w:p>
    <w:p w14:paraId="16719B50" w14:textId="77777777" w:rsidR="002A47AA" w:rsidRPr="00973028" w:rsidRDefault="002A47AA" w:rsidP="002D3AF5">
      <w:pPr>
        <w:spacing w:after="120" w:line="276" w:lineRule="auto"/>
        <w:jc w:val="both"/>
        <w:rPr>
          <w:rFonts w:ascii="Arial" w:hAnsi="Arial"/>
          <w:sz w:val="21"/>
          <w:szCs w:val="21"/>
        </w:rPr>
      </w:pPr>
      <w:r w:rsidRPr="00973028">
        <w:rPr>
          <w:rFonts w:ascii="Arial" w:hAnsi="Arial"/>
          <w:sz w:val="21"/>
          <w:szCs w:val="21"/>
        </w:rPr>
        <w:t xml:space="preserve">La clasificación por criterio de la materia se ha realizado mediante la clasificación en atención a las grandes áreas de actuación tradicionales en el seno de la actividad administrativa de carácter general. </w:t>
      </w:r>
    </w:p>
    <w:p w14:paraId="28331246" w14:textId="2DCADCCF" w:rsidR="002A47AA" w:rsidRPr="00973028" w:rsidRDefault="002A47AA" w:rsidP="002D3AF5">
      <w:pPr>
        <w:spacing w:after="120" w:line="276" w:lineRule="auto"/>
        <w:jc w:val="both"/>
        <w:rPr>
          <w:rFonts w:ascii="Arial" w:hAnsi="Arial"/>
          <w:sz w:val="21"/>
          <w:szCs w:val="21"/>
        </w:rPr>
      </w:pPr>
      <w:r w:rsidRPr="00973028">
        <w:rPr>
          <w:rFonts w:ascii="Arial" w:hAnsi="Arial"/>
          <w:sz w:val="21"/>
          <w:szCs w:val="21"/>
        </w:rPr>
        <w:t>Asimismo, en la medida de lo posible, se ha realizado un desglose en submaterias, con el fin de acotar en mayor medida los datos que se extraen del análisis de la tipología de las denuncias presentadas.</w:t>
      </w:r>
    </w:p>
    <w:p w14:paraId="5A85B9E1" w14:textId="77777777" w:rsidR="006D54A8" w:rsidRPr="002D3AF5" w:rsidRDefault="006D54A8" w:rsidP="002A47AA">
      <w:pPr>
        <w:spacing w:after="240" w:line="276" w:lineRule="auto"/>
        <w:jc w:val="both"/>
        <w:rPr>
          <w:rFonts w:ascii="Arial" w:hAnsi="Arial"/>
          <w:sz w:val="2"/>
          <w:szCs w:val="2"/>
        </w:rPr>
      </w:pPr>
    </w:p>
    <w:p w14:paraId="0833D85E" w14:textId="0DECB882" w:rsidR="006D54A8" w:rsidRPr="00973028" w:rsidRDefault="006D54A8" w:rsidP="002D3AF5">
      <w:pPr>
        <w:pStyle w:val="Descripcin"/>
        <w:keepNext/>
        <w:spacing w:after="120"/>
        <w:rPr>
          <w:rFonts w:ascii="Arial" w:hAnsi="Arial" w:cs="Arial"/>
          <w:smallCaps w:val="0"/>
          <w:sz w:val="18"/>
          <w:szCs w:val="20"/>
        </w:rPr>
      </w:pPr>
      <w:bookmarkStart w:id="60" w:name="_Toc67646346"/>
      <w:r w:rsidRPr="00973028">
        <w:rPr>
          <w:rFonts w:ascii="Arial" w:hAnsi="Arial" w:cs="Arial"/>
          <w:smallCaps w:val="0"/>
          <w:color w:val="9D2235" w:themeColor="accent1"/>
          <w:sz w:val="18"/>
          <w:szCs w:val="20"/>
        </w:rPr>
        <w:t xml:space="preserve">Tabla </w:t>
      </w:r>
      <w:r w:rsidRPr="00973028">
        <w:rPr>
          <w:rFonts w:ascii="Arial" w:hAnsi="Arial" w:cs="Arial"/>
          <w:smallCaps w:val="0"/>
          <w:color w:val="9D2235" w:themeColor="accent1"/>
          <w:sz w:val="18"/>
          <w:szCs w:val="20"/>
        </w:rPr>
        <w:fldChar w:fldCharType="begin"/>
      </w:r>
      <w:r w:rsidRPr="00973028">
        <w:rPr>
          <w:rFonts w:ascii="Arial" w:hAnsi="Arial" w:cs="Arial"/>
          <w:smallCaps w:val="0"/>
          <w:color w:val="9D2235" w:themeColor="accent1"/>
          <w:sz w:val="18"/>
          <w:szCs w:val="20"/>
        </w:rPr>
        <w:instrText xml:space="preserve"> SEQ Tabla \* ARABIC </w:instrText>
      </w:r>
      <w:r w:rsidRPr="00973028">
        <w:rPr>
          <w:rFonts w:ascii="Arial" w:hAnsi="Arial" w:cs="Arial"/>
          <w:smallCaps w:val="0"/>
          <w:color w:val="9D2235" w:themeColor="accent1"/>
          <w:sz w:val="18"/>
          <w:szCs w:val="20"/>
        </w:rPr>
        <w:fldChar w:fldCharType="separate"/>
      </w:r>
      <w:r w:rsidR="00ED7F0D">
        <w:rPr>
          <w:rFonts w:ascii="Arial" w:hAnsi="Arial" w:cs="Arial"/>
          <w:smallCaps w:val="0"/>
          <w:noProof/>
          <w:color w:val="9D2235" w:themeColor="accent1"/>
          <w:sz w:val="18"/>
          <w:szCs w:val="20"/>
        </w:rPr>
        <w:t>9</w:t>
      </w:r>
      <w:r w:rsidRPr="00973028">
        <w:rPr>
          <w:rFonts w:ascii="Arial" w:hAnsi="Arial" w:cs="Arial"/>
          <w:smallCaps w:val="0"/>
          <w:color w:val="9D2235" w:themeColor="accent1"/>
          <w:sz w:val="18"/>
          <w:szCs w:val="20"/>
        </w:rPr>
        <w:fldChar w:fldCharType="end"/>
      </w:r>
      <w:r w:rsidR="00876C89">
        <w:rPr>
          <w:rFonts w:ascii="Arial" w:hAnsi="Arial" w:cs="Arial"/>
          <w:smallCaps w:val="0"/>
          <w:color w:val="9D2235" w:themeColor="accent1"/>
          <w:sz w:val="18"/>
          <w:szCs w:val="20"/>
        </w:rPr>
        <w:t>.</w:t>
      </w:r>
      <w:r w:rsidRPr="00973028">
        <w:rPr>
          <w:rFonts w:ascii="Arial" w:hAnsi="Arial" w:cs="Arial"/>
          <w:smallCaps w:val="0"/>
          <w:color w:val="9D2235" w:themeColor="accent1"/>
          <w:sz w:val="18"/>
          <w:szCs w:val="20"/>
        </w:rPr>
        <w:t xml:space="preserve"> </w:t>
      </w:r>
      <w:r w:rsidRPr="00973028">
        <w:rPr>
          <w:rFonts w:ascii="Arial" w:hAnsi="Arial" w:cs="Arial"/>
          <w:smallCaps w:val="0"/>
          <w:sz w:val="18"/>
          <w:szCs w:val="20"/>
        </w:rPr>
        <w:t>Denuncias presentadas según el ámbito material</w:t>
      </w:r>
      <w:bookmarkEnd w:id="60"/>
    </w:p>
    <w:tbl>
      <w:tblPr>
        <w:tblW w:w="9204" w:type="dxa"/>
        <w:tblCellMar>
          <w:left w:w="70" w:type="dxa"/>
          <w:right w:w="70" w:type="dxa"/>
        </w:tblCellMar>
        <w:tblLook w:val="04A0" w:firstRow="1" w:lastRow="0" w:firstColumn="1" w:lastColumn="0" w:noHBand="0" w:noVBand="1"/>
      </w:tblPr>
      <w:tblGrid>
        <w:gridCol w:w="3480"/>
        <w:gridCol w:w="890"/>
        <w:gridCol w:w="588"/>
        <w:gridCol w:w="890"/>
        <w:gridCol w:w="588"/>
        <w:gridCol w:w="890"/>
        <w:gridCol w:w="588"/>
        <w:gridCol w:w="890"/>
        <w:gridCol w:w="588"/>
      </w:tblGrid>
      <w:tr w:rsidR="002A47AA" w:rsidRPr="00973028" w14:paraId="1D1F917E" w14:textId="77777777" w:rsidTr="00F5441D">
        <w:trPr>
          <w:trHeight w:val="300"/>
        </w:trPr>
        <w:tc>
          <w:tcPr>
            <w:tcW w:w="3480" w:type="dxa"/>
            <w:vMerge w:val="restart"/>
            <w:tcBorders>
              <w:top w:val="single" w:sz="8" w:space="0" w:color="auto"/>
              <w:left w:val="single" w:sz="8" w:space="0" w:color="auto"/>
              <w:bottom w:val="single" w:sz="4" w:space="0" w:color="auto"/>
              <w:right w:val="single" w:sz="4" w:space="0" w:color="auto"/>
            </w:tcBorders>
            <w:shd w:val="clear" w:color="auto" w:fill="9D2235" w:themeFill="accent1"/>
            <w:noWrap/>
            <w:vAlign w:val="center"/>
            <w:hideMark/>
          </w:tcPr>
          <w:p w14:paraId="4FE0891E" w14:textId="77777777" w:rsidR="002A47AA" w:rsidRPr="00973028" w:rsidRDefault="002A47AA" w:rsidP="002A47AA">
            <w:pPr>
              <w:spacing w:after="240"/>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MATERIAS</w:t>
            </w:r>
          </w:p>
        </w:tc>
        <w:tc>
          <w:tcPr>
            <w:tcW w:w="1478" w:type="dxa"/>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73F92766" w14:textId="77777777" w:rsidR="002A47AA" w:rsidRPr="00973028" w:rsidRDefault="002A47AA" w:rsidP="002A47AA">
            <w:pPr>
              <w:spacing w:after="240"/>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2017</w:t>
            </w:r>
          </w:p>
        </w:tc>
        <w:tc>
          <w:tcPr>
            <w:tcW w:w="1478" w:type="dxa"/>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38697CA6" w14:textId="77777777" w:rsidR="002A47AA" w:rsidRPr="00973028" w:rsidRDefault="002A47AA" w:rsidP="002A47AA">
            <w:pPr>
              <w:spacing w:after="240"/>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2018</w:t>
            </w:r>
          </w:p>
        </w:tc>
        <w:tc>
          <w:tcPr>
            <w:tcW w:w="1478" w:type="dxa"/>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41DFCB3D" w14:textId="77777777" w:rsidR="002A47AA" w:rsidRPr="00973028" w:rsidRDefault="002A47AA" w:rsidP="002A47AA">
            <w:pPr>
              <w:spacing w:after="240"/>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2019</w:t>
            </w:r>
          </w:p>
        </w:tc>
        <w:tc>
          <w:tcPr>
            <w:tcW w:w="1290" w:type="dxa"/>
            <w:gridSpan w:val="2"/>
            <w:tcBorders>
              <w:top w:val="single" w:sz="8" w:space="0" w:color="auto"/>
              <w:left w:val="nil"/>
              <w:bottom w:val="single" w:sz="4" w:space="0" w:color="auto"/>
              <w:right w:val="single" w:sz="8" w:space="0" w:color="000000"/>
            </w:tcBorders>
            <w:shd w:val="clear" w:color="auto" w:fill="9D2235" w:themeFill="accent1"/>
            <w:noWrap/>
            <w:vAlign w:val="bottom"/>
            <w:hideMark/>
          </w:tcPr>
          <w:p w14:paraId="4184C252" w14:textId="77777777" w:rsidR="002A47AA" w:rsidRPr="00973028" w:rsidRDefault="002A47AA" w:rsidP="002A47AA">
            <w:pPr>
              <w:spacing w:after="240"/>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2020</w:t>
            </w:r>
          </w:p>
        </w:tc>
      </w:tr>
      <w:tr w:rsidR="00F5441D" w:rsidRPr="00973028" w14:paraId="03F6AE28" w14:textId="77777777" w:rsidTr="00F5441D">
        <w:trPr>
          <w:trHeight w:val="300"/>
        </w:trPr>
        <w:tc>
          <w:tcPr>
            <w:tcW w:w="3480" w:type="dxa"/>
            <w:vMerge/>
            <w:tcBorders>
              <w:top w:val="single" w:sz="8" w:space="0" w:color="auto"/>
              <w:left w:val="single" w:sz="8" w:space="0" w:color="auto"/>
              <w:bottom w:val="single" w:sz="4" w:space="0" w:color="auto"/>
              <w:right w:val="single" w:sz="4" w:space="0" w:color="auto"/>
            </w:tcBorders>
            <w:shd w:val="clear" w:color="auto" w:fill="9D2235" w:themeFill="accent1"/>
            <w:vAlign w:val="center"/>
            <w:hideMark/>
          </w:tcPr>
          <w:p w14:paraId="5F1D501C" w14:textId="77777777" w:rsidR="002A47AA" w:rsidRPr="00973028" w:rsidRDefault="002A47AA" w:rsidP="002A47AA">
            <w:pPr>
              <w:spacing w:after="240"/>
              <w:rPr>
                <w:rFonts w:ascii="Calibri" w:eastAsia="Times New Roman" w:hAnsi="Calibri" w:cs="Calibri"/>
                <w:b/>
                <w:bCs/>
                <w:color w:val="FFFFFF" w:themeColor="background1"/>
                <w:sz w:val="20"/>
                <w:szCs w:val="20"/>
                <w:lang w:eastAsia="es-ES"/>
              </w:rPr>
            </w:pPr>
          </w:p>
        </w:tc>
        <w:tc>
          <w:tcPr>
            <w:tcW w:w="890" w:type="dxa"/>
            <w:tcBorders>
              <w:top w:val="nil"/>
              <w:left w:val="nil"/>
              <w:bottom w:val="single" w:sz="4" w:space="0" w:color="auto"/>
              <w:right w:val="single" w:sz="4" w:space="0" w:color="auto"/>
            </w:tcBorders>
            <w:shd w:val="clear" w:color="auto" w:fill="9D2235" w:themeFill="accent1"/>
            <w:noWrap/>
            <w:vAlign w:val="bottom"/>
            <w:hideMark/>
          </w:tcPr>
          <w:p w14:paraId="02972B00" w14:textId="77777777" w:rsidR="002A47AA" w:rsidRPr="00973028" w:rsidRDefault="002A47AA" w:rsidP="002A47AA">
            <w:pPr>
              <w:spacing w:after="240"/>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Absoluto</w:t>
            </w:r>
          </w:p>
        </w:tc>
        <w:tc>
          <w:tcPr>
            <w:tcW w:w="588" w:type="dxa"/>
            <w:tcBorders>
              <w:top w:val="nil"/>
              <w:left w:val="nil"/>
              <w:bottom w:val="single" w:sz="4" w:space="0" w:color="auto"/>
              <w:right w:val="single" w:sz="4" w:space="0" w:color="auto"/>
            </w:tcBorders>
            <w:shd w:val="clear" w:color="auto" w:fill="9D2235" w:themeFill="accent1"/>
            <w:noWrap/>
            <w:vAlign w:val="bottom"/>
            <w:hideMark/>
          </w:tcPr>
          <w:p w14:paraId="7C5956E5" w14:textId="77777777" w:rsidR="002A47AA" w:rsidRPr="00973028" w:rsidRDefault="002A47AA" w:rsidP="002A47AA">
            <w:pPr>
              <w:spacing w:after="240"/>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w:t>
            </w:r>
          </w:p>
        </w:tc>
        <w:tc>
          <w:tcPr>
            <w:tcW w:w="890" w:type="dxa"/>
            <w:tcBorders>
              <w:top w:val="nil"/>
              <w:left w:val="nil"/>
              <w:bottom w:val="single" w:sz="4" w:space="0" w:color="auto"/>
              <w:right w:val="single" w:sz="4" w:space="0" w:color="auto"/>
            </w:tcBorders>
            <w:shd w:val="clear" w:color="auto" w:fill="9D2235" w:themeFill="accent1"/>
            <w:noWrap/>
            <w:vAlign w:val="bottom"/>
            <w:hideMark/>
          </w:tcPr>
          <w:p w14:paraId="0A677C5E" w14:textId="77777777" w:rsidR="002A47AA" w:rsidRPr="00973028" w:rsidRDefault="002A47AA" w:rsidP="002A47AA">
            <w:pPr>
              <w:spacing w:after="240"/>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Absoluto</w:t>
            </w:r>
          </w:p>
        </w:tc>
        <w:tc>
          <w:tcPr>
            <w:tcW w:w="588" w:type="dxa"/>
            <w:tcBorders>
              <w:top w:val="nil"/>
              <w:left w:val="nil"/>
              <w:bottom w:val="single" w:sz="4" w:space="0" w:color="auto"/>
              <w:right w:val="single" w:sz="4" w:space="0" w:color="auto"/>
            </w:tcBorders>
            <w:shd w:val="clear" w:color="auto" w:fill="9D2235" w:themeFill="accent1"/>
            <w:noWrap/>
            <w:vAlign w:val="bottom"/>
            <w:hideMark/>
          </w:tcPr>
          <w:p w14:paraId="3F1ADF37" w14:textId="77777777" w:rsidR="002A47AA" w:rsidRPr="00973028" w:rsidRDefault="002A47AA" w:rsidP="002A47AA">
            <w:pPr>
              <w:spacing w:after="240"/>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w:t>
            </w:r>
          </w:p>
        </w:tc>
        <w:tc>
          <w:tcPr>
            <w:tcW w:w="890" w:type="dxa"/>
            <w:tcBorders>
              <w:top w:val="nil"/>
              <w:left w:val="nil"/>
              <w:bottom w:val="single" w:sz="4" w:space="0" w:color="auto"/>
              <w:right w:val="single" w:sz="4" w:space="0" w:color="auto"/>
            </w:tcBorders>
            <w:shd w:val="clear" w:color="auto" w:fill="9D2235" w:themeFill="accent1"/>
            <w:noWrap/>
            <w:vAlign w:val="bottom"/>
            <w:hideMark/>
          </w:tcPr>
          <w:p w14:paraId="04F21C3F" w14:textId="77777777" w:rsidR="002A47AA" w:rsidRPr="00973028" w:rsidRDefault="002A47AA" w:rsidP="002A47AA">
            <w:pPr>
              <w:spacing w:after="240"/>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Absoluto</w:t>
            </w:r>
          </w:p>
        </w:tc>
        <w:tc>
          <w:tcPr>
            <w:tcW w:w="588" w:type="dxa"/>
            <w:tcBorders>
              <w:top w:val="nil"/>
              <w:left w:val="nil"/>
              <w:bottom w:val="single" w:sz="4" w:space="0" w:color="auto"/>
              <w:right w:val="single" w:sz="4" w:space="0" w:color="auto"/>
            </w:tcBorders>
            <w:shd w:val="clear" w:color="auto" w:fill="9D2235" w:themeFill="accent1"/>
            <w:noWrap/>
            <w:vAlign w:val="bottom"/>
            <w:hideMark/>
          </w:tcPr>
          <w:p w14:paraId="57325981" w14:textId="77777777" w:rsidR="002A47AA" w:rsidRPr="00973028" w:rsidRDefault="002A47AA" w:rsidP="002A47AA">
            <w:pPr>
              <w:spacing w:after="240"/>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w:t>
            </w:r>
          </w:p>
        </w:tc>
        <w:tc>
          <w:tcPr>
            <w:tcW w:w="890" w:type="dxa"/>
            <w:tcBorders>
              <w:top w:val="nil"/>
              <w:left w:val="nil"/>
              <w:bottom w:val="single" w:sz="4" w:space="0" w:color="auto"/>
              <w:right w:val="single" w:sz="4" w:space="0" w:color="auto"/>
            </w:tcBorders>
            <w:shd w:val="clear" w:color="auto" w:fill="9D2235" w:themeFill="accent1"/>
            <w:noWrap/>
            <w:vAlign w:val="bottom"/>
            <w:hideMark/>
          </w:tcPr>
          <w:p w14:paraId="41A081AE" w14:textId="77777777" w:rsidR="002A47AA" w:rsidRPr="00973028" w:rsidRDefault="002A47AA" w:rsidP="002A47AA">
            <w:pPr>
              <w:spacing w:after="240"/>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Absoluto</w:t>
            </w:r>
          </w:p>
        </w:tc>
        <w:tc>
          <w:tcPr>
            <w:tcW w:w="400" w:type="dxa"/>
            <w:tcBorders>
              <w:top w:val="nil"/>
              <w:left w:val="nil"/>
              <w:bottom w:val="single" w:sz="4" w:space="0" w:color="auto"/>
              <w:right w:val="single" w:sz="8" w:space="0" w:color="auto"/>
            </w:tcBorders>
            <w:shd w:val="clear" w:color="auto" w:fill="9D2235" w:themeFill="accent1"/>
            <w:noWrap/>
            <w:vAlign w:val="bottom"/>
            <w:hideMark/>
          </w:tcPr>
          <w:p w14:paraId="459BC58E" w14:textId="77777777" w:rsidR="002A47AA" w:rsidRPr="00973028" w:rsidRDefault="002A47AA" w:rsidP="002A47AA">
            <w:pPr>
              <w:spacing w:after="240"/>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w:t>
            </w:r>
          </w:p>
        </w:tc>
      </w:tr>
      <w:tr w:rsidR="00F5441D" w:rsidRPr="00973028" w14:paraId="49791F31" w14:textId="77777777" w:rsidTr="002D3AF5">
        <w:trPr>
          <w:trHeight w:hRule="exact" w:val="454"/>
        </w:trPr>
        <w:tc>
          <w:tcPr>
            <w:tcW w:w="3480" w:type="dxa"/>
            <w:tcBorders>
              <w:top w:val="nil"/>
              <w:left w:val="single" w:sz="8" w:space="0" w:color="auto"/>
              <w:bottom w:val="single" w:sz="4" w:space="0" w:color="auto"/>
              <w:right w:val="single" w:sz="4" w:space="0" w:color="auto"/>
            </w:tcBorders>
            <w:shd w:val="clear" w:color="000000" w:fill="FFFFFF"/>
            <w:noWrap/>
            <w:vAlign w:val="bottom"/>
            <w:hideMark/>
          </w:tcPr>
          <w:p w14:paraId="2983F8A5" w14:textId="77777777" w:rsidR="002A47AA" w:rsidRPr="00973028" w:rsidRDefault="002A47AA" w:rsidP="002A47AA">
            <w:pPr>
              <w:spacing w:after="240"/>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Contratación pública</w:t>
            </w:r>
          </w:p>
        </w:tc>
        <w:tc>
          <w:tcPr>
            <w:tcW w:w="890" w:type="dxa"/>
            <w:tcBorders>
              <w:top w:val="nil"/>
              <w:left w:val="nil"/>
              <w:bottom w:val="single" w:sz="4" w:space="0" w:color="auto"/>
              <w:right w:val="single" w:sz="4" w:space="0" w:color="auto"/>
            </w:tcBorders>
            <w:shd w:val="clear" w:color="000000" w:fill="FFFFFF"/>
            <w:noWrap/>
            <w:vAlign w:val="bottom"/>
            <w:hideMark/>
          </w:tcPr>
          <w:p w14:paraId="46E689B0"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12</w:t>
            </w:r>
          </w:p>
        </w:tc>
        <w:tc>
          <w:tcPr>
            <w:tcW w:w="588" w:type="dxa"/>
            <w:tcBorders>
              <w:top w:val="nil"/>
              <w:left w:val="nil"/>
              <w:bottom w:val="single" w:sz="4" w:space="0" w:color="auto"/>
              <w:right w:val="single" w:sz="4" w:space="0" w:color="auto"/>
            </w:tcBorders>
            <w:shd w:val="clear" w:color="000000" w:fill="FFFFFF"/>
            <w:noWrap/>
            <w:vAlign w:val="bottom"/>
            <w:hideMark/>
          </w:tcPr>
          <w:p w14:paraId="153D042D"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34%</w:t>
            </w:r>
          </w:p>
        </w:tc>
        <w:tc>
          <w:tcPr>
            <w:tcW w:w="890" w:type="dxa"/>
            <w:tcBorders>
              <w:top w:val="nil"/>
              <w:left w:val="nil"/>
              <w:bottom w:val="single" w:sz="4" w:space="0" w:color="auto"/>
              <w:right w:val="single" w:sz="4" w:space="0" w:color="auto"/>
            </w:tcBorders>
            <w:shd w:val="clear" w:color="000000" w:fill="FFFFFF"/>
            <w:noWrap/>
            <w:vAlign w:val="bottom"/>
            <w:hideMark/>
          </w:tcPr>
          <w:p w14:paraId="60D5E0A7"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57</w:t>
            </w:r>
          </w:p>
        </w:tc>
        <w:tc>
          <w:tcPr>
            <w:tcW w:w="588" w:type="dxa"/>
            <w:tcBorders>
              <w:top w:val="nil"/>
              <w:left w:val="nil"/>
              <w:bottom w:val="single" w:sz="4" w:space="0" w:color="auto"/>
              <w:right w:val="single" w:sz="4" w:space="0" w:color="auto"/>
            </w:tcBorders>
            <w:shd w:val="clear" w:color="000000" w:fill="FFFFFF"/>
            <w:noWrap/>
            <w:vAlign w:val="bottom"/>
            <w:hideMark/>
          </w:tcPr>
          <w:p w14:paraId="08184A40"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31%</w:t>
            </w:r>
          </w:p>
        </w:tc>
        <w:tc>
          <w:tcPr>
            <w:tcW w:w="890" w:type="dxa"/>
            <w:tcBorders>
              <w:top w:val="nil"/>
              <w:left w:val="nil"/>
              <w:bottom w:val="single" w:sz="4" w:space="0" w:color="auto"/>
              <w:right w:val="single" w:sz="4" w:space="0" w:color="auto"/>
            </w:tcBorders>
            <w:shd w:val="clear" w:color="000000" w:fill="FFFFFF"/>
            <w:noWrap/>
            <w:vAlign w:val="bottom"/>
            <w:hideMark/>
          </w:tcPr>
          <w:p w14:paraId="26E53C17"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42</w:t>
            </w:r>
          </w:p>
        </w:tc>
        <w:tc>
          <w:tcPr>
            <w:tcW w:w="588" w:type="dxa"/>
            <w:tcBorders>
              <w:top w:val="nil"/>
              <w:left w:val="nil"/>
              <w:bottom w:val="single" w:sz="4" w:space="0" w:color="auto"/>
              <w:right w:val="single" w:sz="4" w:space="0" w:color="auto"/>
            </w:tcBorders>
            <w:shd w:val="clear" w:color="000000" w:fill="FFFFFF"/>
            <w:noWrap/>
            <w:vAlign w:val="bottom"/>
            <w:hideMark/>
          </w:tcPr>
          <w:p w14:paraId="433EF2BB"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25%</w:t>
            </w:r>
          </w:p>
        </w:tc>
        <w:tc>
          <w:tcPr>
            <w:tcW w:w="890" w:type="dxa"/>
            <w:tcBorders>
              <w:top w:val="nil"/>
              <w:left w:val="nil"/>
              <w:bottom w:val="single" w:sz="4" w:space="0" w:color="auto"/>
              <w:right w:val="single" w:sz="4" w:space="0" w:color="auto"/>
            </w:tcBorders>
            <w:shd w:val="clear" w:color="000000" w:fill="FFFFFF"/>
            <w:noWrap/>
            <w:vAlign w:val="bottom"/>
            <w:hideMark/>
          </w:tcPr>
          <w:p w14:paraId="60F2C87F"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72</w:t>
            </w:r>
          </w:p>
        </w:tc>
        <w:tc>
          <w:tcPr>
            <w:tcW w:w="400" w:type="dxa"/>
            <w:tcBorders>
              <w:top w:val="nil"/>
              <w:left w:val="nil"/>
              <w:bottom w:val="single" w:sz="4" w:space="0" w:color="auto"/>
              <w:right w:val="single" w:sz="8" w:space="0" w:color="auto"/>
            </w:tcBorders>
            <w:shd w:val="clear" w:color="000000" w:fill="FFFFFF"/>
            <w:noWrap/>
            <w:vAlign w:val="bottom"/>
            <w:hideMark/>
          </w:tcPr>
          <w:p w14:paraId="5D02A4CC"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32%</w:t>
            </w:r>
          </w:p>
        </w:tc>
      </w:tr>
      <w:tr w:rsidR="00F5441D" w:rsidRPr="00973028" w14:paraId="6223EA10" w14:textId="77777777" w:rsidTr="002D3AF5">
        <w:trPr>
          <w:trHeight w:hRule="exact" w:val="454"/>
        </w:trPr>
        <w:tc>
          <w:tcPr>
            <w:tcW w:w="3480" w:type="dxa"/>
            <w:tcBorders>
              <w:top w:val="nil"/>
              <w:left w:val="single" w:sz="8" w:space="0" w:color="auto"/>
              <w:bottom w:val="single" w:sz="4" w:space="0" w:color="auto"/>
              <w:right w:val="single" w:sz="4" w:space="0" w:color="auto"/>
            </w:tcBorders>
            <w:shd w:val="clear" w:color="auto" w:fill="auto"/>
            <w:noWrap/>
            <w:vAlign w:val="bottom"/>
            <w:hideMark/>
          </w:tcPr>
          <w:p w14:paraId="46AE8905" w14:textId="77777777" w:rsidR="002A47AA" w:rsidRPr="00973028" w:rsidRDefault="002A47AA" w:rsidP="002A47AA">
            <w:pPr>
              <w:spacing w:after="240"/>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Concesiones</w:t>
            </w:r>
          </w:p>
        </w:tc>
        <w:tc>
          <w:tcPr>
            <w:tcW w:w="890" w:type="dxa"/>
            <w:tcBorders>
              <w:top w:val="nil"/>
              <w:left w:val="nil"/>
              <w:bottom w:val="single" w:sz="4" w:space="0" w:color="auto"/>
              <w:right w:val="single" w:sz="4" w:space="0" w:color="auto"/>
            </w:tcBorders>
            <w:shd w:val="clear" w:color="auto" w:fill="auto"/>
            <w:noWrap/>
            <w:vAlign w:val="bottom"/>
            <w:hideMark/>
          </w:tcPr>
          <w:p w14:paraId="30CB6613"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3</w:t>
            </w:r>
          </w:p>
        </w:tc>
        <w:tc>
          <w:tcPr>
            <w:tcW w:w="588" w:type="dxa"/>
            <w:tcBorders>
              <w:top w:val="nil"/>
              <w:left w:val="nil"/>
              <w:bottom w:val="single" w:sz="4" w:space="0" w:color="auto"/>
              <w:right w:val="single" w:sz="4" w:space="0" w:color="auto"/>
            </w:tcBorders>
            <w:shd w:val="clear" w:color="auto" w:fill="auto"/>
            <w:noWrap/>
            <w:vAlign w:val="bottom"/>
            <w:hideMark/>
          </w:tcPr>
          <w:p w14:paraId="0617B7E7"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9%</w:t>
            </w:r>
          </w:p>
        </w:tc>
        <w:tc>
          <w:tcPr>
            <w:tcW w:w="890" w:type="dxa"/>
            <w:tcBorders>
              <w:top w:val="nil"/>
              <w:left w:val="nil"/>
              <w:bottom w:val="single" w:sz="4" w:space="0" w:color="auto"/>
              <w:right w:val="single" w:sz="4" w:space="0" w:color="auto"/>
            </w:tcBorders>
            <w:shd w:val="clear" w:color="auto" w:fill="auto"/>
            <w:noWrap/>
            <w:vAlign w:val="bottom"/>
            <w:hideMark/>
          </w:tcPr>
          <w:p w14:paraId="56F6D9F4"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6</w:t>
            </w:r>
          </w:p>
        </w:tc>
        <w:tc>
          <w:tcPr>
            <w:tcW w:w="588" w:type="dxa"/>
            <w:tcBorders>
              <w:top w:val="nil"/>
              <w:left w:val="nil"/>
              <w:bottom w:val="single" w:sz="4" w:space="0" w:color="auto"/>
              <w:right w:val="single" w:sz="4" w:space="0" w:color="auto"/>
            </w:tcBorders>
            <w:shd w:val="clear" w:color="auto" w:fill="auto"/>
            <w:noWrap/>
            <w:vAlign w:val="bottom"/>
            <w:hideMark/>
          </w:tcPr>
          <w:p w14:paraId="571458F4"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3%</w:t>
            </w:r>
          </w:p>
        </w:tc>
        <w:tc>
          <w:tcPr>
            <w:tcW w:w="890" w:type="dxa"/>
            <w:tcBorders>
              <w:top w:val="nil"/>
              <w:left w:val="nil"/>
              <w:bottom w:val="single" w:sz="4" w:space="0" w:color="auto"/>
              <w:right w:val="single" w:sz="4" w:space="0" w:color="auto"/>
            </w:tcBorders>
            <w:shd w:val="clear" w:color="auto" w:fill="auto"/>
            <w:noWrap/>
            <w:vAlign w:val="bottom"/>
            <w:hideMark/>
          </w:tcPr>
          <w:p w14:paraId="42A57763"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8</w:t>
            </w:r>
          </w:p>
        </w:tc>
        <w:tc>
          <w:tcPr>
            <w:tcW w:w="588" w:type="dxa"/>
            <w:tcBorders>
              <w:top w:val="nil"/>
              <w:left w:val="nil"/>
              <w:bottom w:val="single" w:sz="4" w:space="0" w:color="auto"/>
              <w:right w:val="single" w:sz="4" w:space="0" w:color="auto"/>
            </w:tcBorders>
            <w:shd w:val="clear" w:color="auto" w:fill="auto"/>
            <w:noWrap/>
            <w:vAlign w:val="bottom"/>
            <w:hideMark/>
          </w:tcPr>
          <w:p w14:paraId="60E1D646"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5%</w:t>
            </w:r>
          </w:p>
        </w:tc>
        <w:tc>
          <w:tcPr>
            <w:tcW w:w="890" w:type="dxa"/>
            <w:tcBorders>
              <w:top w:val="nil"/>
              <w:left w:val="nil"/>
              <w:bottom w:val="single" w:sz="4" w:space="0" w:color="auto"/>
              <w:right w:val="single" w:sz="4" w:space="0" w:color="auto"/>
            </w:tcBorders>
            <w:shd w:val="clear" w:color="auto" w:fill="auto"/>
            <w:noWrap/>
            <w:vAlign w:val="bottom"/>
            <w:hideMark/>
          </w:tcPr>
          <w:p w14:paraId="52E615F1"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11</w:t>
            </w:r>
          </w:p>
        </w:tc>
        <w:tc>
          <w:tcPr>
            <w:tcW w:w="400" w:type="dxa"/>
            <w:tcBorders>
              <w:top w:val="nil"/>
              <w:left w:val="nil"/>
              <w:bottom w:val="single" w:sz="4" w:space="0" w:color="auto"/>
              <w:right w:val="single" w:sz="8" w:space="0" w:color="auto"/>
            </w:tcBorders>
            <w:shd w:val="clear" w:color="auto" w:fill="auto"/>
            <w:noWrap/>
            <w:vAlign w:val="bottom"/>
            <w:hideMark/>
          </w:tcPr>
          <w:p w14:paraId="5FE4A893"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5%</w:t>
            </w:r>
          </w:p>
        </w:tc>
      </w:tr>
      <w:tr w:rsidR="00F5441D" w:rsidRPr="00973028" w14:paraId="31C8A256" w14:textId="77777777" w:rsidTr="002D3AF5">
        <w:trPr>
          <w:trHeight w:hRule="exact" w:val="454"/>
        </w:trPr>
        <w:tc>
          <w:tcPr>
            <w:tcW w:w="3480" w:type="dxa"/>
            <w:tcBorders>
              <w:top w:val="nil"/>
              <w:left w:val="single" w:sz="8" w:space="0" w:color="auto"/>
              <w:bottom w:val="single" w:sz="4" w:space="0" w:color="auto"/>
              <w:right w:val="single" w:sz="4" w:space="0" w:color="auto"/>
            </w:tcBorders>
            <w:shd w:val="clear" w:color="auto" w:fill="auto"/>
            <w:noWrap/>
            <w:vAlign w:val="bottom"/>
            <w:hideMark/>
          </w:tcPr>
          <w:p w14:paraId="16D75FC7" w14:textId="77777777" w:rsidR="002A47AA" w:rsidRPr="00973028" w:rsidRDefault="002A47AA" w:rsidP="002A47AA">
            <w:pPr>
              <w:spacing w:after="240"/>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Obras</w:t>
            </w:r>
          </w:p>
        </w:tc>
        <w:tc>
          <w:tcPr>
            <w:tcW w:w="890" w:type="dxa"/>
            <w:tcBorders>
              <w:top w:val="nil"/>
              <w:left w:val="nil"/>
              <w:bottom w:val="single" w:sz="4" w:space="0" w:color="auto"/>
              <w:right w:val="single" w:sz="4" w:space="0" w:color="auto"/>
            </w:tcBorders>
            <w:shd w:val="clear" w:color="auto" w:fill="auto"/>
            <w:noWrap/>
            <w:vAlign w:val="bottom"/>
            <w:hideMark/>
          </w:tcPr>
          <w:p w14:paraId="5F820159"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w:t>
            </w:r>
          </w:p>
        </w:tc>
        <w:tc>
          <w:tcPr>
            <w:tcW w:w="588" w:type="dxa"/>
            <w:tcBorders>
              <w:top w:val="nil"/>
              <w:left w:val="nil"/>
              <w:bottom w:val="single" w:sz="4" w:space="0" w:color="auto"/>
              <w:right w:val="single" w:sz="4" w:space="0" w:color="auto"/>
            </w:tcBorders>
            <w:shd w:val="clear" w:color="auto" w:fill="auto"/>
            <w:noWrap/>
            <w:vAlign w:val="bottom"/>
            <w:hideMark/>
          </w:tcPr>
          <w:p w14:paraId="197AAC0B"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6%</w:t>
            </w:r>
          </w:p>
        </w:tc>
        <w:tc>
          <w:tcPr>
            <w:tcW w:w="890" w:type="dxa"/>
            <w:tcBorders>
              <w:top w:val="nil"/>
              <w:left w:val="nil"/>
              <w:bottom w:val="single" w:sz="4" w:space="0" w:color="auto"/>
              <w:right w:val="single" w:sz="4" w:space="0" w:color="auto"/>
            </w:tcBorders>
            <w:shd w:val="clear" w:color="auto" w:fill="auto"/>
            <w:noWrap/>
            <w:vAlign w:val="bottom"/>
            <w:hideMark/>
          </w:tcPr>
          <w:p w14:paraId="1226ED61"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17</w:t>
            </w:r>
          </w:p>
        </w:tc>
        <w:tc>
          <w:tcPr>
            <w:tcW w:w="588" w:type="dxa"/>
            <w:tcBorders>
              <w:top w:val="nil"/>
              <w:left w:val="nil"/>
              <w:bottom w:val="single" w:sz="4" w:space="0" w:color="auto"/>
              <w:right w:val="single" w:sz="4" w:space="0" w:color="auto"/>
            </w:tcBorders>
            <w:shd w:val="clear" w:color="auto" w:fill="auto"/>
            <w:noWrap/>
            <w:vAlign w:val="bottom"/>
            <w:hideMark/>
          </w:tcPr>
          <w:p w14:paraId="7A6D4B5F"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9%</w:t>
            </w:r>
          </w:p>
        </w:tc>
        <w:tc>
          <w:tcPr>
            <w:tcW w:w="890" w:type="dxa"/>
            <w:tcBorders>
              <w:top w:val="nil"/>
              <w:left w:val="nil"/>
              <w:bottom w:val="single" w:sz="4" w:space="0" w:color="auto"/>
              <w:right w:val="single" w:sz="4" w:space="0" w:color="auto"/>
            </w:tcBorders>
            <w:shd w:val="clear" w:color="auto" w:fill="auto"/>
            <w:noWrap/>
            <w:vAlign w:val="bottom"/>
            <w:hideMark/>
          </w:tcPr>
          <w:p w14:paraId="4DF17100"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6</w:t>
            </w:r>
          </w:p>
        </w:tc>
        <w:tc>
          <w:tcPr>
            <w:tcW w:w="588" w:type="dxa"/>
            <w:tcBorders>
              <w:top w:val="nil"/>
              <w:left w:val="nil"/>
              <w:bottom w:val="single" w:sz="4" w:space="0" w:color="auto"/>
              <w:right w:val="single" w:sz="4" w:space="0" w:color="auto"/>
            </w:tcBorders>
            <w:shd w:val="clear" w:color="auto" w:fill="auto"/>
            <w:noWrap/>
            <w:vAlign w:val="bottom"/>
            <w:hideMark/>
          </w:tcPr>
          <w:p w14:paraId="4288DFA5"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4%</w:t>
            </w:r>
          </w:p>
        </w:tc>
        <w:tc>
          <w:tcPr>
            <w:tcW w:w="890" w:type="dxa"/>
            <w:tcBorders>
              <w:top w:val="nil"/>
              <w:left w:val="nil"/>
              <w:bottom w:val="single" w:sz="4" w:space="0" w:color="auto"/>
              <w:right w:val="single" w:sz="4" w:space="0" w:color="auto"/>
            </w:tcBorders>
            <w:shd w:val="clear" w:color="auto" w:fill="auto"/>
            <w:noWrap/>
            <w:vAlign w:val="bottom"/>
            <w:hideMark/>
          </w:tcPr>
          <w:p w14:paraId="17F8A432"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5</w:t>
            </w:r>
          </w:p>
        </w:tc>
        <w:tc>
          <w:tcPr>
            <w:tcW w:w="400" w:type="dxa"/>
            <w:tcBorders>
              <w:top w:val="nil"/>
              <w:left w:val="nil"/>
              <w:bottom w:val="single" w:sz="4" w:space="0" w:color="auto"/>
              <w:right w:val="single" w:sz="8" w:space="0" w:color="auto"/>
            </w:tcBorders>
            <w:shd w:val="clear" w:color="auto" w:fill="auto"/>
            <w:noWrap/>
            <w:vAlign w:val="bottom"/>
            <w:hideMark/>
          </w:tcPr>
          <w:p w14:paraId="38BFD12E"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w:t>
            </w:r>
          </w:p>
        </w:tc>
      </w:tr>
      <w:tr w:rsidR="00F5441D" w:rsidRPr="00973028" w14:paraId="2014CC38" w14:textId="77777777" w:rsidTr="002D3AF5">
        <w:trPr>
          <w:trHeight w:hRule="exact" w:val="454"/>
        </w:trPr>
        <w:tc>
          <w:tcPr>
            <w:tcW w:w="3480" w:type="dxa"/>
            <w:tcBorders>
              <w:top w:val="nil"/>
              <w:left w:val="single" w:sz="8" w:space="0" w:color="auto"/>
              <w:bottom w:val="single" w:sz="4" w:space="0" w:color="auto"/>
              <w:right w:val="single" w:sz="4" w:space="0" w:color="auto"/>
            </w:tcBorders>
            <w:shd w:val="clear" w:color="auto" w:fill="auto"/>
            <w:noWrap/>
            <w:vAlign w:val="bottom"/>
            <w:hideMark/>
          </w:tcPr>
          <w:p w14:paraId="790881CC" w14:textId="77777777" w:rsidR="002A47AA" w:rsidRPr="00973028" w:rsidRDefault="002A47AA" w:rsidP="002A47AA">
            <w:pPr>
              <w:spacing w:after="240"/>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Suministros</w:t>
            </w:r>
          </w:p>
        </w:tc>
        <w:tc>
          <w:tcPr>
            <w:tcW w:w="890" w:type="dxa"/>
            <w:tcBorders>
              <w:top w:val="nil"/>
              <w:left w:val="nil"/>
              <w:bottom w:val="single" w:sz="4" w:space="0" w:color="auto"/>
              <w:right w:val="single" w:sz="4" w:space="0" w:color="auto"/>
            </w:tcBorders>
            <w:shd w:val="clear" w:color="auto" w:fill="auto"/>
            <w:noWrap/>
            <w:vAlign w:val="bottom"/>
            <w:hideMark/>
          </w:tcPr>
          <w:p w14:paraId="56687707"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588" w:type="dxa"/>
            <w:tcBorders>
              <w:top w:val="nil"/>
              <w:left w:val="nil"/>
              <w:bottom w:val="single" w:sz="4" w:space="0" w:color="auto"/>
              <w:right w:val="single" w:sz="4" w:space="0" w:color="auto"/>
            </w:tcBorders>
            <w:shd w:val="clear" w:color="auto" w:fill="auto"/>
            <w:noWrap/>
            <w:vAlign w:val="bottom"/>
            <w:hideMark/>
          </w:tcPr>
          <w:p w14:paraId="00AB3491"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890" w:type="dxa"/>
            <w:tcBorders>
              <w:top w:val="nil"/>
              <w:left w:val="nil"/>
              <w:bottom w:val="single" w:sz="4" w:space="0" w:color="auto"/>
              <w:right w:val="single" w:sz="4" w:space="0" w:color="auto"/>
            </w:tcBorders>
            <w:shd w:val="clear" w:color="auto" w:fill="auto"/>
            <w:noWrap/>
            <w:vAlign w:val="bottom"/>
            <w:hideMark/>
          </w:tcPr>
          <w:p w14:paraId="430C5D2B"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6</w:t>
            </w:r>
          </w:p>
        </w:tc>
        <w:tc>
          <w:tcPr>
            <w:tcW w:w="588" w:type="dxa"/>
            <w:tcBorders>
              <w:top w:val="nil"/>
              <w:left w:val="nil"/>
              <w:bottom w:val="single" w:sz="4" w:space="0" w:color="auto"/>
              <w:right w:val="single" w:sz="4" w:space="0" w:color="auto"/>
            </w:tcBorders>
            <w:shd w:val="clear" w:color="auto" w:fill="auto"/>
            <w:noWrap/>
            <w:vAlign w:val="bottom"/>
            <w:hideMark/>
          </w:tcPr>
          <w:p w14:paraId="4C5F00D4"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3%</w:t>
            </w:r>
          </w:p>
        </w:tc>
        <w:tc>
          <w:tcPr>
            <w:tcW w:w="890" w:type="dxa"/>
            <w:tcBorders>
              <w:top w:val="nil"/>
              <w:left w:val="nil"/>
              <w:bottom w:val="single" w:sz="4" w:space="0" w:color="auto"/>
              <w:right w:val="single" w:sz="4" w:space="0" w:color="auto"/>
            </w:tcBorders>
            <w:shd w:val="clear" w:color="auto" w:fill="auto"/>
            <w:noWrap/>
            <w:vAlign w:val="bottom"/>
            <w:hideMark/>
          </w:tcPr>
          <w:p w14:paraId="73AFB1E2"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w:t>
            </w:r>
          </w:p>
        </w:tc>
        <w:tc>
          <w:tcPr>
            <w:tcW w:w="588" w:type="dxa"/>
            <w:tcBorders>
              <w:top w:val="nil"/>
              <w:left w:val="nil"/>
              <w:bottom w:val="single" w:sz="4" w:space="0" w:color="auto"/>
              <w:right w:val="single" w:sz="4" w:space="0" w:color="auto"/>
            </w:tcBorders>
            <w:shd w:val="clear" w:color="auto" w:fill="auto"/>
            <w:noWrap/>
            <w:vAlign w:val="bottom"/>
            <w:hideMark/>
          </w:tcPr>
          <w:p w14:paraId="36482862"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w:t>
            </w:r>
          </w:p>
        </w:tc>
        <w:tc>
          <w:tcPr>
            <w:tcW w:w="890" w:type="dxa"/>
            <w:tcBorders>
              <w:top w:val="nil"/>
              <w:left w:val="nil"/>
              <w:bottom w:val="single" w:sz="4" w:space="0" w:color="auto"/>
              <w:right w:val="single" w:sz="4" w:space="0" w:color="auto"/>
            </w:tcBorders>
            <w:shd w:val="clear" w:color="auto" w:fill="auto"/>
            <w:noWrap/>
            <w:vAlign w:val="bottom"/>
            <w:hideMark/>
          </w:tcPr>
          <w:p w14:paraId="0942060E"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7</w:t>
            </w:r>
          </w:p>
        </w:tc>
        <w:tc>
          <w:tcPr>
            <w:tcW w:w="400" w:type="dxa"/>
            <w:tcBorders>
              <w:top w:val="nil"/>
              <w:left w:val="nil"/>
              <w:bottom w:val="single" w:sz="4" w:space="0" w:color="auto"/>
              <w:right w:val="single" w:sz="8" w:space="0" w:color="auto"/>
            </w:tcBorders>
            <w:shd w:val="clear" w:color="auto" w:fill="auto"/>
            <w:noWrap/>
            <w:vAlign w:val="bottom"/>
            <w:hideMark/>
          </w:tcPr>
          <w:p w14:paraId="44EF0161"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3%</w:t>
            </w:r>
          </w:p>
        </w:tc>
      </w:tr>
      <w:tr w:rsidR="00F5441D" w:rsidRPr="00973028" w14:paraId="5DD76208" w14:textId="77777777" w:rsidTr="002D3AF5">
        <w:trPr>
          <w:trHeight w:hRule="exact" w:val="454"/>
        </w:trPr>
        <w:tc>
          <w:tcPr>
            <w:tcW w:w="3480" w:type="dxa"/>
            <w:tcBorders>
              <w:top w:val="nil"/>
              <w:left w:val="single" w:sz="8" w:space="0" w:color="auto"/>
              <w:bottom w:val="single" w:sz="4" w:space="0" w:color="auto"/>
              <w:right w:val="single" w:sz="4" w:space="0" w:color="auto"/>
            </w:tcBorders>
            <w:shd w:val="clear" w:color="auto" w:fill="auto"/>
            <w:noWrap/>
            <w:vAlign w:val="bottom"/>
            <w:hideMark/>
          </w:tcPr>
          <w:p w14:paraId="58EB3BFC" w14:textId="77777777" w:rsidR="002A47AA" w:rsidRPr="00973028" w:rsidRDefault="002A47AA" w:rsidP="002A47AA">
            <w:pPr>
              <w:spacing w:after="240"/>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Servicios</w:t>
            </w:r>
          </w:p>
        </w:tc>
        <w:tc>
          <w:tcPr>
            <w:tcW w:w="890" w:type="dxa"/>
            <w:tcBorders>
              <w:top w:val="nil"/>
              <w:left w:val="nil"/>
              <w:bottom w:val="single" w:sz="4" w:space="0" w:color="auto"/>
              <w:right w:val="single" w:sz="4" w:space="0" w:color="auto"/>
            </w:tcBorders>
            <w:shd w:val="clear" w:color="auto" w:fill="auto"/>
            <w:noWrap/>
            <w:vAlign w:val="bottom"/>
            <w:hideMark/>
          </w:tcPr>
          <w:p w14:paraId="536922DD"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7</w:t>
            </w:r>
          </w:p>
        </w:tc>
        <w:tc>
          <w:tcPr>
            <w:tcW w:w="588" w:type="dxa"/>
            <w:tcBorders>
              <w:top w:val="nil"/>
              <w:left w:val="nil"/>
              <w:bottom w:val="single" w:sz="4" w:space="0" w:color="auto"/>
              <w:right w:val="single" w:sz="4" w:space="0" w:color="auto"/>
            </w:tcBorders>
            <w:shd w:val="clear" w:color="auto" w:fill="auto"/>
            <w:noWrap/>
            <w:vAlign w:val="bottom"/>
            <w:hideMark/>
          </w:tcPr>
          <w:p w14:paraId="036B5CD8"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20%</w:t>
            </w:r>
          </w:p>
        </w:tc>
        <w:tc>
          <w:tcPr>
            <w:tcW w:w="890" w:type="dxa"/>
            <w:tcBorders>
              <w:top w:val="nil"/>
              <w:left w:val="nil"/>
              <w:bottom w:val="single" w:sz="4" w:space="0" w:color="auto"/>
              <w:right w:val="single" w:sz="4" w:space="0" w:color="auto"/>
            </w:tcBorders>
            <w:shd w:val="clear" w:color="auto" w:fill="auto"/>
            <w:noWrap/>
            <w:vAlign w:val="bottom"/>
            <w:hideMark/>
          </w:tcPr>
          <w:p w14:paraId="48D574CE"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28</w:t>
            </w:r>
          </w:p>
        </w:tc>
        <w:tc>
          <w:tcPr>
            <w:tcW w:w="588" w:type="dxa"/>
            <w:tcBorders>
              <w:top w:val="nil"/>
              <w:left w:val="nil"/>
              <w:bottom w:val="single" w:sz="4" w:space="0" w:color="auto"/>
              <w:right w:val="single" w:sz="4" w:space="0" w:color="auto"/>
            </w:tcBorders>
            <w:shd w:val="clear" w:color="auto" w:fill="auto"/>
            <w:noWrap/>
            <w:vAlign w:val="bottom"/>
            <w:hideMark/>
          </w:tcPr>
          <w:p w14:paraId="3FEECE5D"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15%</w:t>
            </w:r>
          </w:p>
        </w:tc>
        <w:tc>
          <w:tcPr>
            <w:tcW w:w="890" w:type="dxa"/>
            <w:tcBorders>
              <w:top w:val="nil"/>
              <w:left w:val="nil"/>
              <w:bottom w:val="single" w:sz="4" w:space="0" w:color="auto"/>
              <w:right w:val="single" w:sz="4" w:space="0" w:color="auto"/>
            </w:tcBorders>
            <w:shd w:val="clear" w:color="auto" w:fill="auto"/>
            <w:noWrap/>
            <w:vAlign w:val="bottom"/>
            <w:hideMark/>
          </w:tcPr>
          <w:p w14:paraId="476FA338"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27</w:t>
            </w:r>
          </w:p>
        </w:tc>
        <w:tc>
          <w:tcPr>
            <w:tcW w:w="588" w:type="dxa"/>
            <w:tcBorders>
              <w:top w:val="nil"/>
              <w:left w:val="nil"/>
              <w:bottom w:val="single" w:sz="4" w:space="0" w:color="auto"/>
              <w:right w:val="single" w:sz="4" w:space="0" w:color="auto"/>
            </w:tcBorders>
            <w:shd w:val="clear" w:color="auto" w:fill="auto"/>
            <w:noWrap/>
            <w:vAlign w:val="bottom"/>
            <w:hideMark/>
          </w:tcPr>
          <w:p w14:paraId="20D58897"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16%</w:t>
            </w:r>
          </w:p>
        </w:tc>
        <w:tc>
          <w:tcPr>
            <w:tcW w:w="890" w:type="dxa"/>
            <w:tcBorders>
              <w:top w:val="nil"/>
              <w:left w:val="nil"/>
              <w:bottom w:val="single" w:sz="4" w:space="0" w:color="auto"/>
              <w:right w:val="single" w:sz="4" w:space="0" w:color="auto"/>
            </w:tcBorders>
            <w:shd w:val="clear" w:color="auto" w:fill="auto"/>
            <w:noWrap/>
            <w:vAlign w:val="bottom"/>
            <w:hideMark/>
          </w:tcPr>
          <w:p w14:paraId="3AE5DC40"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42</w:t>
            </w:r>
          </w:p>
        </w:tc>
        <w:tc>
          <w:tcPr>
            <w:tcW w:w="400" w:type="dxa"/>
            <w:tcBorders>
              <w:top w:val="nil"/>
              <w:left w:val="nil"/>
              <w:bottom w:val="single" w:sz="4" w:space="0" w:color="auto"/>
              <w:right w:val="single" w:sz="8" w:space="0" w:color="auto"/>
            </w:tcBorders>
            <w:shd w:val="clear" w:color="auto" w:fill="auto"/>
            <w:noWrap/>
            <w:vAlign w:val="bottom"/>
            <w:hideMark/>
          </w:tcPr>
          <w:p w14:paraId="1F3F6376"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19%</w:t>
            </w:r>
          </w:p>
        </w:tc>
      </w:tr>
      <w:tr w:rsidR="00F5441D" w:rsidRPr="00973028" w14:paraId="088B7B62" w14:textId="77777777" w:rsidTr="002D3AF5">
        <w:trPr>
          <w:trHeight w:hRule="exact" w:val="454"/>
        </w:trPr>
        <w:tc>
          <w:tcPr>
            <w:tcW w:w="3480" w:type="dxa"/>
            <w:tcBorders>
              <w:top w:val="nil"/>
              <w:left w:val="single" w:sz="8" w:space="0" w:color="auto"/>
              <w:bottom w:val="single" w:sz="4" w:space="0" w:color="auto"/>
              <w:right w:val="single" w:sz="4" w:space="0" w:color="auto"/>
            </w:tcBorders>
            <w:shd w:val="clear" w:color="auto" w:fill="auto"/>
            <w:noWrap/>
            <w:vAlign w:val="bottom"/>
            <w:hideMark/>
          </w:tcPr>
          <w:p w14:paraId="2AD8C7A4" w14:textId="77777777" w:rsidR="002A47AA" w:rsidRPr="00973028" w:rsidRDefault="002A47AA" w:rsidP="002A47AA">
            <w:pPr>
              <w:spacing w:after="240"/>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Otros</w:t>
            </w:r>
          </w:p>
        </w:tc>
        <w:tc>
          <w:tcPr>
            <w:tcW w:w="890" w:type="dxa"/>
            <w:tcBorders>
              <w:top w:val="nil"/>
              <w:left w:val="nil"/>
              <w:bottom w:val="single" w:sz="4" w:space="0" w:color="auto"/>
              <w:right w:val="single" w:sz="4" w:space="0" w:color="auto"/>
            </w:tcBorders>
            <w:shd w:val="clear" w:color="auto" w:fill="auto"/>
            <w:noWrap/>
            <w:vAlign w:val="bottom"/>
            <w:hideMark/>
          </w:tcPr>
          <w:p w14:paraId="596FA649"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588" w:type="dxa"/>
            <w:tcBorders>
              <w:top w:val="nil"/>
              <w:left w:val="nil"/>
              <w:bottom w:val="single" w:sz="4" w:space="0" w:color="auto"/>
              <w:right w:val="single" w:sz="4" w:space="0" w:color="auto"/>
            </w:tcBorders>
            <w:shd w:val="clear" w:color="auto" w:fill="auto"/>
            <w:noWrap/>
            <w:vAlign w:val="bottom"/>
            <w:hideMark/>
          </w:tcPr>
          <w:p w14:paraId="2B4B11D7"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890" w:type="dxa"/>
            <w:tcBorders>
              <w:top w:val="nil"/>
              <w:left w:val="nil"/>
              <w:bottom w:val="single" w:sz="4" w:space="0" w:color="auto"/>
              <w:right w:val="single" w:sz="4" w:space="0" w:color="auto"/>
            </w:tcBorders>
            <w:shd w:val="clear" w:color="auto" w:fill="auto"/>
            <w:noWrap/>
            <w:vAlign w:val="bottom"/>
            <w:hideMark/>
          </w:tcPr>
          <w:p w14:paraId="79F83E58"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588" w:type="dxa"/>
            <w:tcBorders>
              <w:top w:val="nil"/>
              <w:left w:val="nil"/>
              <w:bottom w:val="single" w:sz="4" w:space="0" w:color="auto"/>
              <w:right w:val="single" w:sz="4" w:space="0" w:color="auto"/>
            </w:tcBorders>
            <w:shd w:val="clear" w:color="auto" w:fill="auto"/>
            <w:noWrap/>
            <w:vAlign w:val="bottom"/>
            <w:hideMark/>
          </w:tcPr>
          <w:p w14:paraId="437C9C9F"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890" w:type="dxa"/>
            <w:tcBorders>
              <w:top w:val="nil"/>
              <w:left w:val="nil"/>
              <w:bottom w:val="single" w:sz="4" w:space="0" w:color="auto"/>
              <w:right w:val="single" w:sz="4" w:space="0" w:color="auto"/>
            </w:tcBorders>
            <w:shd w:val="clear" w:color="auto" w:fill="auto"/>
            <w:noWrap/>
            <w:vAlign w:val="bottom"/>
            <w:hideMark/>
          </w:tcPr>
          <w:p w14:paraId="1E9153E9"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588" w:type="dxa"/>
            <w:tcBorders>
              <w:top w:val="nil"/>
              <w:left w:val="nil"/>
              <w:bottom w:val="single" w:sz="4" w:space="0" w:color="auto"/>
              <w:right w:val="single" w:sz="4" w:space="0" w:color="auto"/>
            </w:tcBorders>
            <w:shd w:val="clear" w:color="auto" w:fill="auto"/>
            <w:noWrap/>
            <w:vAlign w:val="bottom"/>
            <w:hideMark/>
          </w:tcPr>
          <w:p w14:paraId="484CC472"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890" w:type="dxa"/>
            <w:tcBorders>
              <w:top w:val="nil"/>
              <w:left w:val="nil"/>
              <w:bottom w:val="single" w:sz="4" w:space="0" w:color="auto"/>
              <w:right w:val="single" w:sz="4" w:space="0" w:color="auto"/>
            </w:tcBorders>
            <w:shd w:val="clear" w:color="auto" w:fill="auto"/>
            <w:noWrap/>
            <w:vAlign w:val="bottom"/>
            <w:hideMark/>
          </w:tcPr>
          <w:p w14:paraId="44192919"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7</w:t>
            </w:r>
          </w:p>
        </w:tc>
        <w:tc>
          <w:tcPr>
            <w:tcW w:w="400" w:type="dxa"/>
            <w:tcBorders>
              <w:top w:val="nil"/>
              <w:left w:val="nil"/>
              <w:bottom w:val="single" w:sz="4" w:space="0" w:color="auto"/>
              <w:right w:val="single" w:sz="8" w:space="0" w:color="auto"/>
            </w:tcBorders>
            <w:shd w:val="clear" w:color="auto" w:fill="auto"/>
            <w:noWrap/>
            <w:vAlign w:val="bottom"/>
            <w:hideMark/>
          </w:tcPr>
          <w:p w14:paraId="144A7C33"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3%</w:t>
            </w:r>
          </w:p>
        </w:tc>
      </w:tr>
      <w:tr w:rsidR="00F5441D" w:rsidRPr="00973028" w14:paraId="0BE8BC51" w14:textId="77777777" w:rsidTr="002D3AF5">
        <w:trPr>
          <w:trHeight w:hRule="exact" w:val="454"/>
        </w:trPr>
        <w:tc>
          <w:tcPr>
            <w:tcW w:w="3480" w:type="dxa"/>
            <w:tcBorders>
              <w:top w:val="nil"/>
              <w:left w:val="single" w:sz="8" w:space="0" w:color="auto"/>
              <w:bottom w:val="single" w:sz="4" w:space="0" w:color="auto"/>
              <w:right w:val="single" w:sz="4" w:space="0" w:color="auto"/>
            </w:tcBorders>
            <w:shd w:val="clear" w:color="000000" w:fill="FFFFFF"/>
            <w:noWrap/>
            <w:vAlign w:val="bottom"/>
            <w:hideMark/>
          </w:tcPr>
          <w:p w14:paraId="6A0923AF" w14:textId="77777777" w:rsidR="002A47AA" w:rsidRPr="00973028" w:rsidRDefault="002A47AA" w:rsidP="002A47AA">
            <w:pPr>
              <w:spacing w:after="240"/>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Gestión de Activos/Patrimonio</w:t>
            </w:r>
          </w:p>
        </w:tc>
        <w:tc>
          <w:tcPr>
            <w:tcW w:w="890" w:type="dxa"/>
            <w:tcBorders>
              <w:top w:val="nil"/>
              <w:left w:val="nil"/>
              <w:bottom w:val="single" w:sz="4" w:space="0" w:color="auto"/>
              <w:right w:val="single" w:sz="4" w:space="0" w:color="auto"/>
            </w:tcBorders>
            <w:shd w:val="clear" w:color="000000" w:fill="FFFFFF"/>
            <w:noWrap/>
            <w:vAlign w:val="bottom"/>
            <w:hideMark/>
          </w:tcPr>
          <w:p w14:paraId="7BAADC8B"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4</w:t>
            </w:r>
          </w:p>
        </w:tc>
        <w:tc>
          <w:tcPr>
            <w:tcW w:w="588" w:type="dxa"/>
            <w:tcBorders>
              <w:top w:val="nil"/>
              <w:left w:val="nil"/>
              <w:bottom w:val="single" w:sz="4" w:space="0" w:color="auto"/>
              <w:right w:val="single" w:sz="4" w:space="0" w:color="auto"/>
            </w:tcBorders>
            <w:shd w:val="clear" w:color="000000" w:fill="FFFFFF"/>
            <w:noWrap/>
            <w:vAlign w:val="bottom"/>
            <w:hideMark/>
          </w:tcPr>
          <w:p w14:paraId="64DBB6E2"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11%</w:t>
            </w:r>
          </w:p>
        </w:tc>
        <w:tc>
          <w:tcPr>
            <w:tcW w:w="890" w:type="dxa"/>
            <w:tcBorders>
              <w:top w:val="nil"/>
              <w:left w:val="nil"/>
              <w:bottom w:val="single" w:sz="4" w:space="0" w:color="auto"/>
              <w:right w:val="single" w:sz="4" w:space="0" w:color="auto"/>
            </w:tcBorders>
            <w:shd w:val="clear" w:color="000000" w:fill="FFFFFF"/>
            <w:noWrap/>
            <w:vAlign w:val="bottom"/>
            <w:hideMark/>
          </w:tcPr>
          <w:p w14:paraId="5C03D5A4"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18</w:t>
            </w:r>
          </w:p>
        </w:tc>
        <w:tc>
          <w:tcPr>
            <w:tcW w:w="588" w:type="dxa"/>
            <w:tcBorders>
              <w:top w:val="nil"/>
              <w:left w:val="nil"/>
              <w:bottom w:val="single" w:sz="4" w:space="0" w:color="auto"/>
              <w:right w:val="single" w:sz="4" w:space="0" w:color="auto"/>
            </w:tcBorders>
            <w:shd w:val="clear" w:color="000000" w:fill="FFFFFF"/>
            <w:noWrap/>
            <w:vAlign w:val="bottom"/>
            <w:hideMark/>
          </w:tcPr>
          <w:p w14:paraId="1A27D0BE"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10%</w:t>
            </w:r>
          </w:p>
        </w:tc>
        <w:tc>
          <w:tcPr>
            <w:tcW w:w="890" w:type="dxa"/>
            <w:tcBorders>
              <w:top w:val="nil"/>
              <w:left w:val="nil"/>
              <w:bottom w:val="single" w:sz="4" w:space="0" w:color="auto"/>
              <w:right w:val="single" w:sz="4" w:space="0" w:color="auto"/>
            </w:tcBorders>
            <w:shd w:val="clear" w:color="000000" w:fill="FFFFFF"/>
            <w:noWrap/>
            <w:vAlign w:val="bottom"/>
            <w:hideMark/>
          </w:tcPr>
          <w:p w14:paraId="047FCC8A"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7</w:t>
            </w:r>
          </w:p>
        </w:tc>
        <w:tc>
          <w:tcPr>
            <w:tcW w:w="588" w:type="dxa"/>
            <w:tcBorders>
              <w:top w:val="nil"/>
              <w:left w:val="nil"/>
              <w:bottom w:val="single" w:sz="4" w:space="0" w:color="auto"/>
              <w:right w:val="single" w:sz="4" w:space="0" w:color="auto"/>
            </w:tcBorders>
            <w:shd w:val="clear" w:color="000000" w:fill="FFFFFF"/>
            <w:noWrap/>
            <w:vAlign w:val="bottom"/>
            <w:hideMark/>
          </w:tcPr>
          <w:p w14:paraId="35D6707F"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4%</w:t>
            </w:r>
          </w:p>
        </w:tc>
        <w:tc>
          <w:tcPr>
            <w:tcW w:w="890" w:type="dxa"/>
            <w:tcBorders>
              <w:top w:val="nil"/>
              <w:left w:val="nil"/>
              <w:bottom w:val="single" w:sz="4" w:space="0" w:color="auto"/>
              <w:right w:val="single" w:sz="4" w:space="0" w:color="auto"/>
            </w:tcBorders>
            <w:shd w:val="clear" w:color="000000" w:fill="FFFFFF"/>
            <w:noWrap/>
            <w:vAlign w:val="bottom"/>
            <w:hideMark/>
          </w:tcPr>
          <w:p w14:paraId="7EA691F9"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9</w:t>
            </w:r>
          </w:p>
        </w:tc>
        <w:tc>
          <w:tcPr>
            <w:tcW w:w="400" w:type="dxa"/>
            <w:tcBorders>
              <w:top w:val="nil"/>
              <w:left w:val="nil"/>
              <w:bottom w:val="single" w:sz="4" w:space="0" w:color="auto"/>
              <w:right w:val="single" w:sz="8" w:space="0" w:color="auto"/>
            </w:tcBorders>
            <w:shd w:val="clear" w:color="000000" w:fill="FFFFFF"/>
            <w:noWrap/>
            <w:vAlign w:val="bottom"/>
            <w:hideMark/>
          </w:tcPr>
          <w:p w14:paraId="573AF57E"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4%</w:t>
            </w:r>
          </w:p>
        </w:tc>
      </w:tr>
      <w:tr w:rsidR="00F5441D" w:rsidRPr="00973028" w14:paraId="173FAE5F" w14:textId="77777777" w:rsidTr="002D3AF5">
        <w:trPr>
          <w:trHeight w:hRule="exact" w:val="454"/>
        </w:trPr>
        <w:tc>
          <w:tcPr>
            <w:tcW w:w="3480" w:type="dxa"/>
            <w:tcBorders>
              <w:top w:val="nil"/>
              <w:left w:val="single" w:sz="8" w:space="0" w:color="auto"/>
              <w:bottom w:val="single" w:sz="4" w:space="0" w:color="auto"/>
              <w:right w:val="single" w:sz="4" w:space="0" w:color="auto"/>
            </w:tcBorders>
            <w:shd w:val="clear" w:color="000000" w:fill="FFFFFF"/>
            <w:noWrap/>
            <w:vAlign w:val="bottom"/>
            <w:hideMark/>
          </w:tcPr>
          <w:p w14:paraId="7A8D2539" w14:textId="77777777" w:rsidR="002A47AA" w:rsidRPr="00973028" w:rsidRDefault="002A47AA" w:rsidP="002A47AA">
            <w:pPr>
              <w:spacing w:after="240"/>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Subvenciones</w:t>
            </w:r>
          </w:p>
        </w:tc>
        <w:tc>
          <w:tcPr>
            <w:tcW w:w="890" w:type="dxa"/>
            <w:tcBorders>
              <w:top w:val="nil"/>
              <w:left w:val="nil"/>
              <w:bottom w:val="single" w:sz="4" w:space="0" w:color="auto"/>
              <w:right w:val="single" w:sz="4" w:space="0" w:color="auto"/>
            </w:tcBorders>
            <w:shd w:val="clear" w:color="000000" w:fill="FFFFFF"/>
            <w:noWrap/>
            <w:vAlign w:val="bottom"/>
            <w:hideMark/>
          </w:tcPr>
          <w:p w14:paraId="13D9E595"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6</w:t>
            </w:r>
          </w:p>
        </w:tc>
        <w:tc>
          <w:tcPr>
            <w:tcW w:w="588" w:type="dxa"/>
            <w:tcBorders>
              <w:top w:val="nil"/>
              <w:left w:val="nil"/>
              <w:bottom w:val="single" w:sz="4" w:space="0" w:color="auto"/>
              <w:right w:val="single" w:sz="4" w:space="0" w:color="auto"/>
            </w:tcBorders>
            <w:shd w:val="clear" w:color="000000" w:fill="FFFFFF"/>
            <w:noWrap/>
            <w:vAlign w:val="bottom"/>
            <w:hideMark/>
          </w:tcPr>
          <w:p w14:paraId="294951EF"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17%</w:t>
            </w:r>
          </w:p>
        </w:tc>
        <w:tc>
          <w:tcPr>
            <w:tcW w:w="890" w:type="dxa"/>
            <w:tcBorders>
              <w:top w:val="nil"/>
              <w:left w:val="nil"/>
              <w:bottom w:val="single" w:sz="4" w:space="0" w:color="auto"/>
              <w:right w:val="single" w:sz="4" w:space="0" w:color="auto"/>
            </w:tcBorders>
            <w:shd w:val="clear" w:color="000000" w:fill="FFFFFF"/>
            <w:noWrap/>
            <w:vAlign w:val="bottom"/>
            <w:hideMark/>
          </w:tcPr>
          <w:p w14:paraId="7CD8F844"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16</w:t>
            </w:r>
          </w:p>
        </w:tc>
        <w:tc>
          <w:tcPr>
            <w:tcW w:w="588" w:type="dxa"/>
            <w:tcBorders>
              <w:top w:val="nil"/>
              <w:left w:val="nil"/>
              <w:bottom w:val="single" w:sz="4" w:space="0" w:color="auto"/>
              <w:right w:val="single" w:sz="4" w:space="0" w:color="auto"/>
            </w:tcBorders>
            <w:shd w:val="clear" w:color="000000" w:fill="FFFFFF"/>
            <w:noWrap/>
            <w:vAlign w:val="bottom"/>
            <w:hideMark/>
          </w:tcPr>
          <w:p w14:paraId="2AB93C9E"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9%</w:t>
            </w:r>
          </w:p>
        </w:tc>
        <w:tc>
          <w:tcPr>
            <w:tcW w:w="890" w:type="dxa"/>
            <w:tcBorders>
              <w:top w:val="nil"/>
              <w:left w:val="nil"/>
              <w:bottom w:val="single" w:sz="4" w:space="0" w:color="auto"/>
              <w:right w:val="single" w:sz="4" w:space="0" w:color="auto"/>
            </w:tcBorders>
            <w:shd w:val="clear" w:color="000000" w:fill="FFFFFF"/>
            <w:noWrap/>
            <w:vAlign w:val="bottom"/>
            <w:hideMark/>
          </w:tcPr>
          <w:p w14:paraId="1F57533D"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7</w:t>
            </w:r>
          </w:p>
        </w:tc>
        <w:tc>
          <w:tcPr>
            <w:tcW w:w="588" w:type="dxa"/>
            <w:tcBorders>
              <w:top w:val="nil"/>
              <w:left w:val="nil"/>
              <w:bottom w:val="single" w:sz="4" w:space="0" w:color="auto"/>
              <w:right w:val="single" w:sz="4" w:space="0" w:color="auto"/>
            </w:tcBorders>
            <w:shd w:val="clear" w:color="000000" w:fill="FFFFFF"/>
            <w:noWrap/>
            <w:vAlign w:val="bottom"/>
            <w:hideMark/>
          </w:tcPr>
          <w:p w14:paraId="74211CD4"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4%</w:t>
            </w:r>
          </w:p>
        </w:tc>
        <w:tc>
          <w:tcPr>
            <w:tcW w:w="890" w:type="dxa"/>
            <w:tcBorders>
              <w:top w:val="nil"/>
              <w:left w:val="nil"/>
              <w:bottom w:val="single" w:sz="4" w:space="0" w:color="auto"/>
              <w:right w:val="single" w:sz="4" w:space="0" w:color="auto"/>
            </w:tcBorders>
            <w:shd w:val="clear" w:color="000000" w:fill="FFFFFF"/>
            <w:noWrap/>
            <w:vAlign w:val="bottom"/>
            <w:hideMark/>
          </w:tcPr>
          <w:p w14:paraId="355BF0C5"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26</w:t>
            </w:r>
          </w:p>
        </w:tc>
        <w:tc>
          <w:tcPr>
            <w:tcW w:w="400" w:type="dxa"/>
            <w:tcBorders>
              <w:top w:val="nil"/>
              <w:left w:val="nil"/>
              <w:bottom w:val="single" w:sz="4" w:space="0" w:color="auto"/>
              <w:right w:val="single" w:sz="8" w:space="0" w:color="auto"/>
            </w:tcBorders>
            <w:shd w:val="clear" w:color="000000" w:fill="FFFFFF"/>
            <w:noWrap/>
            <w:vAlign w:val="bottom"/>
            <w:hideMark/>
          </w:tcPr>
          <w:p w14:paraId="233083DE"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12%</w:t>
            </w:r>
          </w:p>
        </w:tc>
      </w:tr>
      <w:tr w:rsidR="00F5441D" w:rsidRPr="00973028" w14:paraId="26341F85" w14:textId="77777777" w:rsidTr="002D3AF5">
        <w:trPr>
          <w:trHeight w:hRule="exact" w:val="454"/>
        </w:trPr>
        <w:tc>
          <w:tcPr>
            <w:tcW w:w="3480" w:type="dxa"/>
            <w:tcBorders>
              <w:top w:val="nil"/>
              <w:left w:val="single" w:sz="8" w:space="0" w:color="auto"/>
              <w:bottom w:val="single" w:sz="4" w:space="0" w:color="auto"/>
              <w:right w:val="single" w:sz="4" w:space="0" w:color="auto"/>
            </w:tcBorders>
            <w:shd w:val="clear" w:color="000000" w:fill="FFFFFF"/>
            <w:noWrap/>
            <w:vAlign w:val="bottom"/>
            <w:hideMark/>
          </w:tcPr>
          <w:p w14:paraId="01113A5F" w14:textId="77777777" w:rsidR="002A47AA" w:rsidRPr="00973028" w:rsidRDefault="002A47AA" w:rsidP="002A47AA">
            <w:pPr>
              <w:spacing w:after="240"/>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Gestión de RR.HH.</w:t>
            </w:r>
          </w:p>
        </w:tc>
        <w:tc>
          <w:tcPr>
            <w:tcW w:w="890" w:type="dxa"/>
            <w:tcBorders>
              <w:top w:val="nil"/>
              <w:left w:val="nil"/>
              <w:bottom w:val="single" w:sz="4" w:space="0" w:color="auto"/>
              <w:right w:val="single" w:sz="4" w:space="0" w:color="auto"/>
            </w:tcBorders>
            <w:shd w:val="clear" w:color="000000" w:fill="FFFFFF"/>
            <w:noWrap/>
            <w:vAlign w:val="bottom"/>
            <w:hideMark/>
          </w:tcPr>
          <w:p w14:paraId="0CF90969"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8</w:t>
            </w:r>
          </w:p>
        </w:tc>
        <w:tc>
          <w:tcPr>
            <w:tcW w:w="588" w:type="dxa"/>
            <w:tcBorders>
              <w:top w:val="nil"/>
              <w:left w:val="nil"/>
              <w:bottom w:val="single" w:sz="4" w:space="0" w:color="auto"/>
              <w:right w:val="single" w:sz="4" w:space="0" w:color="auto"/>
            </w:tcBorders>
            <w:shd w:val="clear" w:color="000000" w:fill="FFFFFF"/>
            <w:noWrap/>
            <w:vAlign w:val="bottom"/>
            <w:hideMark/>
          </w:tcPr>
          <w:p w14:paraId="48EAABC8"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23%</w:t>
            </w:r>
          </w:p>
        </w:tc>
        <w:tc>
          <w:tcPr>
            <w:tcW w:w="890" w:type="dxa"/>
            <w:tcBorders>
              <w:top w:val="nil"/>
              <w:left w:val="nil"/>
              <w:bottom w:val="single" w:sz="4" w:space="0" w:color="auto"/>
              <w:right w:val="single" w:sz="4" w:space="0" w:color="auto"/>
            </w:tcBorders>
            <w:shd w:val="clear" w:color="000000" w:fill="FFFFFF"/>
            <w:noWrap/>
            <w:vAlign w:val="bottom"/>
            <w:hideMark/>
          </w:tcPr>
          <w:p w14:paraId="6DCCE431"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64</w:t>
            </w:r>
          </w:p>
        </w:tc>
        <w:tc>
          <w:tcPr>
            <w:tcW w:w="588" w:type="dxa"/>
            <w:tcBorders>
              <w:top w:val="nil"/>
              <w:left w:val="nil"/>
              <w:bottom w:val="single" w:sz="4" w:space="0" w:color="auto"/>
              <w:right w:val="single" w:sz="4" w:space="0" w:color="auto"/>
            </w:tcBorders>
            <w:shd w:val="clear" w:color="000000" w:fill="FFFFFF"/>
            <w:noWrap/>
            <w:vAlign w:val="bottom"/>
            <w:hideMark/>
          </w:tcPr>
          <w:p w14:paraId="685B2DB9"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35%</w:t>
            </w:r>
          </w:p>
        </w:tc>
        <w:tc>
          <w:tcPr>
            <w:tcW w:w="890" w:type="dxa"/>
            <w:tcBorders>
              <w:top w:val="nil"/>
              <w:left w:val="nil"/>
              <w:bottom w:val="single" w:sz="4" w:space="0" w:color="auto"/>
              <w:right w:val="single" w:sz="4" w:space="0" w:color="auto"/>
            </w:tcBorders>
            <w:shd w:val="clear" w:color="000000" w:fill="FFFFFF"/>
            <w:noWrap/>
            <w:vAlign w:val="bottom"/>
            <w:hideMark/>
          </w:tcPr>
          <w:p w14:paraId="0CF61137"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68</w:t>
            </w:r>
          </w:p>
        </w:tc>
        <w:tc>
          <w:tcPr>
            <w:tcW w:w="588" w:type="dxa"/>
            <w:tcBorders>
              <w:top w:val="nil"/>
              <w:left w:val="nil"/>
              <w:bottom w:val="single" w:sz="4" w:space="0" w:color="auto"/>
              <w:right w:val="single" w:sz="4" w:space="0" w:color="auto"/>
            </w:tcBorders>
            <w:shd w:val="clear" w:color="000000" w:fill="FFFFFF"/>
            <w:noWrap/>
            <w:vAlign w:val="bottom"/>
            <w:hideMark/>
          </w:tcPr>
          <w:p w14:paraId="56FF19E2"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40%</w:t>
            </w:r>
          </w:p>
        </w:tc>
        <w:tc>
          <w:tcPr>
            <w:tcW w:w="890" w:type="dxa"/>
            <w:tcBorders>
              <w:top w:val="nil"/>
              <w:left w:val="nil"/>
              <w:bottom w:val="single" w:sz="4" w:space="0" w:color="auto"/>
              <w:right w:val="single" w:sz="4" w:space="0" w:color="auto"/>
            </w:tcBorders>
            <w:shd w:val="clear" w:color="000000" w:fill="FFFFFF"/>
            <w:noWrap/>
            <w:vAlign w:val="bottom"/>
            <w:hideMark/>
          </w:tcPr>
          <w:p w14:paraId="1390E811"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64</w:t>
            </w:r>
          </w:p>
        </w:tc>
        <w:tc>
          <w:tcPr>
            <w:tcW w:w="400" w:type="dxa"/>
            <w:tcBorders>
              <w:top w:val="nil"/>
              <w:left w:val="nil"/>
              <w:bottom w:val="single" w:sz="4" w:space="0" w:color="auto"/>
              <w:right w:val="single" w:sz="8" w:space="0" w:color="auto"/>
            </w:tcBorders>
            <w:shd w:val="clear" w:color="000000" w:fill="FFFFFF"/>
            <w:noWrap/>
            <w:vAlign w:val="bottom"/>
            <w:hideMark/>
          </w:tcPr>
          <w:p w14:paraId="39239C68"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28%</w:t>
            </w:r>
          </w:p>
        </w:tc>
      </w:tr>
      <w:tr w:rsidR="00F5441D" w:rsidRPr="00973028" w14:paraId="0410A060" w14:textId="77777777" w:rsidTr="002D3AF5">
        <w:trPr>
          <w:trHeight w:hRule="exact" w:val="454"/>
        </w:trPr>
        <w:tc>
          <w:tcPr>
            <w:tcW w:w="3480" w:type="dxa"/>
            <w:tcBorders>
              <w:top w:val="nil"/>
              <w:left w:val="single" w:sz="8" w:space="0" w:color="auto"/>
              <w:bottom w:val="single" w:sz="4" w:space="0" w:color="auto"/>
              <w:right w:val="single" w:sz="4" w:space="0" w:color="auto"/>
            </w:tcBorders>
            <w:shd w:val="clear" w:color="000000" w:fill="FFFFFF"/>
            <w:noWrap/>
            <w:vAlign w:val="bottom"/>
            <w:hideMark/>
          </w:tcPr>
          <w:p w14:paraId="38A9EDB6" w14:textId="77777777" w:rsidR="002A47AA" w:rsidRPr="00973028" w:rsidRDefault="002A47AA" w:rsidP="002A47AA">
            <w:pPr>
              <w:spacing w:after="240"/>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Procedimientos Selectivos</w:t>
            </w:r>
          </w:p>
        </w:tc>
        <w:tc>
          <w:tcPr>
            <w:tcW w:w="890" w:type="dxa"/>
            <w:tcBorders>
              <w:top w:val="nil"/>
              <w:left w:val="nil"/>
              <w:bottom w:val="single" w:sz="4" w:space="0" w:color="auto"/>
              <w:right w:val="single" w:sz="4" w:space="0" w:color="auto"/>
            </w:tcBorders>
            <w:shd w:val="clear" w:color="000000" w:fill="FFFFFF"/>
            <w:noWrap/>
            <w:vAlign w:val="bottom"/>
            <w:hideMark/>
          </w:tcPr>
          <w:p w14:paraId="6A112207"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5</w:t>
            </w:r>
          </w:p>
        </w:tc>
        <w:tc>
          <w:tcPr>
            <w:tcW w:w="588" w:type="dxa"/>
            <w:tcBorders>
              <w:top w:val="nil"/>
              <w:left w:val="nil"/>
              <w:bottom w:val="single" w:sz="4" w:space="0" w:color="auto"/>
              <w:right w:val="single" w:sz="4" w:space="0" w:color="auto"/>
            </w:tcBorders>
            <w:shd w:val="clear" w:color="000000" w:fill="FFFFFF"/>
            <w:noWrap/>
            <w:vAlign w:val="bottom"/>
            <w:hideMark/>
          </w:tcPr>
          <w:p w14:paraId="2E534840"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14%</w:t>
            </w:r>
          </w:p>
        </w:tc>
        <w:tc>
          <w:tcPr>
            <w:tcW w:w="890" w:type="dxa"/>
            <w:tcBorders>
              <w:top w:val="nil"/>
              <w:left w:val="nil"/>
              <w:bottom w:val="single" w:sz="4" w:space="0" w:color="auto"/>
              <w:right w:val="single" w:sz="4" w:space="0" w:color="auto"/>
            </w:tcBorders>
            <w:shd w:val="clear" w:color="000000" w:fill="FFFFFF"/>
            <w:noWrap/>
            <w:vAlign w:val="bottom"/>
            <w:hideMark/>
          </w:tcPr>
          <w:p w14:paraId="4C0793B2"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33</w:t>
            </w:r>
          </w:p>
        </w:tc>
        <w:tc>
          <w:tcPr>
            <w:tcW w:w="588" w:type="dxa"/>
            <w:tcBorders>
              <w:top w:val="nil"/>
              <w:left w:val="nil"/>
              <w:bottom w:val="single" w:sz="4" w:space="0" w:color="auto"/>
              <w:right w:val="single" w:sz="4" w:space="0" w:color="auto"/>
            </w:tcBorders>
            <w:shd w:val="clear" w:color="000000" w:fill="FFFFFF"/>
            <w:noWrap/>
            <w:vAlign w:val="bottom"/>
            <w:hideMark/>
          </w:tcPr>
          <w:p w14:paraId="59B9E256"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18%</w:t>
            </w:r>
          </w:p>
        </w:tc>
        <w:tc>
          <w:tcPr>
            <w:tcW w:w="890" w:type="dxa"/>
            <w:tcBorders>
              <w:top w:val="nil"/>
              <w:left w:val="nil"/>
              <w:bottom w:val="single" w:sz="4" w:space="0" w:color="auto"/>
              <w:right w:val="single" w:sz="4" w:space="0" w:color="auto"/>
            </w:tcBorders>
            <w:shd w:val="clear" w:color="000000" w:fill="FFFFFF"/>
            <w:noWrap/>
            <w:vAlign w:val="bottom"/>
            <w:hideMark/>
          </w:tcPr>
          <w:p w14:paraId="4B2CF2CE"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47</w:t>
            </w:r>
          </w:p>
        </w:tc>
        <w:tc>
          <w:tcPr>
            <w:tcW w:w="588" w:type="dxa"/>
            <w:tcBorders>
              <w:top w:val="nil"/>
              <w:left w:val="nil"/>
              <w:bottom w:val="single" w:sz="4" w:space="0" w:color="auto"/>
              <w:right w:val="single" w:sz="4" w:space="0" w:color="auto"/>
            </w:tcBorders>
            <w:shd w:val="clear" w:color="000000" w:fill="FFFFFF"/>
            <w:noWrap/>
            <w:vAlign w:val="bottom"/>
            <w:hideMark/>
          </w:tcPr>
          <w:p w14:paraId="166BA274"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28%</w:t>
            </w:r>
          </w:p>
        </w:tc>
        <w:tc>
          <w:tcPr>
            <w:tcW w:w="890" w:type="dxa"/>
            <w:tcBorders>
              <w:top w:val="nil"/>
              <w:left w:val="nil"/>
              <w:bottom w:val="single" w:sz="4" w:space="0" w:color="auto"/>
              <w:right w:val="single" w:sz="4" w:space="0" w:color="auto"/>
            </w:tcBorders>
            <w:shd w:val="clear" w:color="000000" w:fill="FFFFFF"/>
            <w:noWrap/>
            <w:vAlign w:val="bottom"/>
            <w:hideMark/>
          </w:tcPr>
          <w:p w14:paraId="3A43F8E8"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22</w:t>
            </w:r>
          </w:p>
        </w:tc>
        <w:tc>
          <w:tcPr>
            <w:tcW w:w="400" w:type="dxa"/>
            <w:tcBorders>
              <w:top w:val="nil"/>
              <w:left w:val="nil"/>
              <w:bottom w:val="single" w:sz="4" w:space="0" w:color="auto"/>
              <w:right w:val="single" w:sz="8" w:space="0" w:color="auto"/>
            </w:tcBorders>
            <w:shd w:val="clear" w:color="000000" w:fill="FFFFFF"/>
            <w:noWrap/>
            <w:vAlign w:val="bottom"/>
            <w:hideMark/>
          </w:tcPr>
          <w:p w14:paraId="5CB0C208"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10%</w:t>
            </w:r>
          </w:p>
        </w:tc>
      </w:tr>
      <w:tr w:rsidR="00F5441D" w:rsidRPr="00973028" w14:paraId="2052C447" w14:textId="77777777" w:rsidTr="002D3AF5">
        <w:trPr>
          <w:trHeight w:hRule="exact" w:val="454"/>
        </w:trPr>
        <w:tc>
          <w:tcPr>
            <w:tcW w:w="3480" w:type="dxa"/>
            <w:tcBorders>
              <w:top w:val="nil"/>
              <w:left w:val="single" w:sz="8" w:space="0" w:color="auto"/>
              <w:bottom w:val="single" w:sz="4" w:space="0" w:color="auto"/>
              <w:right w:val="single" w:sz="4" w:space="0" w:color="auto"/>
            </w:tcBorders>
            <w:shd w:val="clear" w:color="000000" w:fill="FFFFFF"/>
            <w:noWrap/>
            <w:vAlign w:val="bottom"/>
            <w:hideMark/>
          </w:tcPr>
          <w:p w14:paraId="0CE532D5" w14:textId="77777777" w:rsidR="002A47AA" w:rsidRPr="00973028" w:rsidRDefault="002A47AA" w:rsidP="002A47AA">
            <w:pPr>
              <w:spacing w:after="240"/>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Procedimientos de Provisión</w:t>
            </w:r>
          </w:p>
        </w:tc>
        <w:tc>
          <w:tcPr>
            <w:tcW w:w="890" w:type="dxa"/>
            <w:tcBorders>
              <w:top w:val="nil"/>
              <w:left w:val="nil"/>
              <w:bottom w:val="single" w:sz="4" w:space="0" w:color="auto"/>
              <w:right w:val="single" w:sz="4" w:space="0" w:color="auto"/>
            </w:tcBorders>
            <w:shd w:val="clear" w:color="000000" w:fill="FFFFFF"/>
            <w:noWrap/>
            <w:vAlign w:val="bottom"/>
            <w:hideMark/>
          </w:tcPr>
          <w:p w14:paraId="4FDBD272"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w:t>
            </w:r>
          </w:p>
        </w:tc>
        <w:tc>
          <w:tcPr>
            <w:tcW w:w="588" w:type="dxa"/>
            <w:tcBorders>
              <w:top w:val="nil"/>
              <w:left w:val="nil"/>
              <w:bottom w:val="single" w:sz="4" w:space="0" w:color="auto"/>
              <w:right w:val="single" w:sz="4" w:space="0" w:color="auto"/>
            </w:tcBorders>
            <w:shd w:val="clear" w:color="000000" w:fill="FFFFFF"/>
            <w:noWrap/>
            <w:vAlign w:val="bottom"/>
            <w:hideMark/>
          </w:tcPr>
          <w:p w14:paraId="3F253AAD"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3%</w:t>
            </w:r>
          </w:p>
        </w:tc>
        <w:tc>
          <w:tcPr>
            <w:tcW w:w="890" w:type="dxa"/>
            <w:tcBorders>
              <w:top w:val="nil"/>
              <w:left w:val="nil"/>
              <w:bottom w:val="single" w:sz="4" w:space="0" w:color="auto"/>
              <w:right w:val="single" w:sz="4" w:space="0" w:color="auto"/>
            </w:tcBorders>
            <w:shd w:val="clear" w:color="000000" w:fill="FFFFFF"/>
            <w:noWrap/>
            <w:vAlign w:val="bottom"/>
            <w:hideMark/>
          </w:tcPr>
          <w:p w14:paraId="1248E1D5"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8</w:t>
            </w:r>
          </w:p>
        </w:tc>
        <w:tc>
          <w:tcPr>
            <w:tcW w:w="588" w:type="dxa"/>
            <w:tcBorders>
              <w:top w:val="nil"/>
              <w:left w:val="nil"/>
              <w:bottom w:val="single" w:sz="4" w:space="0" w:color="auto"/>
              <w:right w:val="single" w:sz="4" w:space="0" w:color="auto"/>
            </w:tcBorders>
            <w:shd w:val="clear" w:color="000000" w:fill="FFFFFF"/>
            <w:noWrap/>
            <w:vAlign w:val="bottom"/>
            <w:hideMark/>
          </w:tcPr>
          <w:p w14:paraId="110C59D6"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4%</w:t>
            </w:r>
          </w:p>
        </w:tc>
        <w:tc>
          <w:tcPr>
            <w:tcW w:w="890" w:type="dxa"/>
            <w:tcBorders>
              <w:top w:val="nil"/>
              <w:left w:val="nil"/>
              <w:bottom w:val="single" w:sz="4" w:space="0" w:color="auto"/>
              <w:right w:val="single" w:sz="4" w:space="0" w:color="auto"/>
            </w:tcBorders>
            <w:shd w:val="clear" w:color="000000" w:fill="FFFFFF"/>
            <w:noWrap/>
            <w:vAlign w:val="bottom"/>
            <w:hideMark/>
          </w:tcPr>
          <w:p w14:paraId="21DF15B9"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6</w:t>
            </w:r>
          </w:p>
        </w:tc>
        <w:tc>
          <w:tcPr>
            <w:tcW w:w="588" w:type="dxa"/>
            <w:tcBorders>
              <w:top w:val="nil"/>
              <w:left w:val="nil"/>
              <w:bottom w:val="single" w:sz="4" w:space="0" w:color="auto"/>
              <w:right w:val="single" w:sz="4" w:space="0" w:color="auto"/>
            </w:tcBorders>
            <w:shd w:val="clear" w:color="000000" w:fill="FFFFFF"/>
            <w:noWrap/>
            <w:vAlign w:val="bottom"/>
            <w:hideMark/>
          </w:tcPr>
          <w:p w14:paraId="06512FC7"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4%</w:t>
            </w:r>
          </w:p>
        </w:tc>
        <w:tc>
          <w:tcPr>
            <w:tcW w:w="890" w:type="dxa"/>
            <w:tcBorders>
              <w:top w:val="nil"/>
              <w:left w:val="nil"/>
              <w:bottom w:val="single" w:sz="4" w:space="0" w:color="auto"/>
              <w:right w:val="single" w:sz="4" w:space="0" w:color="auto"/>
            </w:tcBorders>
            <w:shd w:val="clear" w:color="000000" w:fill="FFFFFF"/>
            <w:noWrap/>
            <w:vAlign w:val="bottom"/>
            <w:hideMark/>
          </w:tcPr>
          <w:p w14:paraId="73A2A966"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18</w:t>
            </w:r>
          </w:p>
        </w:tc>
        <w:tc>
          <w:tcPr>
            <w:tcW w:w="400" w:type="dxa"/>
            <w:tcBorders>
              <w:top w:val="nil"/>
              <w:left w:val="nil"/>
              <w:bottom w:val="single" w:sz="4" w:space="0" w:color="auto"/>
              <w:right w:val="single" w:sz="8" w:space="0" w:color="auto"/>
            </w:tcBorders>
            <w:shd w:val="clear" w:color="000000" w:fill="FFFFFF"/>
            <w:noWrap/>
            <w:vAlign w:val="bottom"/>
            <w:hideMark/>
          </w:tcPr>
          <w:p w14:paraId="4249B287"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8%</w:t>
            </w:r>
          </w:p>
        </w:tc>
      </w:tr>
      <w:tr w:rsidR="00F5441D" w:rsidRPr="00973028" w14:paraId="4B11D0C5" w14:textId="77777777" w:rsidTr="002D3AF5">
        <w:trPr>
          <w:trHeight w:hRule="exact" w:val="454"/>
        </w:trPr>
        <w:tc>
          <w:tcPr>
            <w:tcW w:w="3480" w:type="dxa"/>
            <w:tcBorders>
              <w:top w:val="nil"/>
              <w:left w:val="single" w:sz="8" w:space="0" w:color="auto"/>
              <w:bottom w:val="single" w:sz="4" w:space="0" w:color="auto"/>
              <w:right w:val="single" w:sz="4" w:space="0" w:color="auto"/>
            </w:tcBorders>
            <w:shd w:val="clear" w:color="000000" w:fill="FFFFFF"/>
            <w:noWrap/>
            <w:vAlign w:val="bottom"/>
            <w:hideMark/>
          </w:tcPr>
          <w:p w14:paraId="2240AC77" w14:textId="77777777" w:rsidR="002A47AA" w:rsidRPr="00973028" w:rsidRDefault="002A47AA" w:rsidP="002A47AA">
            <w:pPr>
              <w:spacing w:after="240"/>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Derechos/Deberes/Incompatibilidades</w:t>
            </w:r>
          </w:p>
        </w:tc>
        <w:tc>
          <w:tcPr>
            <w:tcW w:w="890" w:type="dxa"/>
            <w:tcBorders>
              <w:top w:val="nil"/>
              <w:left w:val="nil"/>
              <w:bottom w:val="single" w:sz="4" w:space="0" w:color="auto"/>
              <w:right w:val="single" w:sz="4" w:space="0" w:color="auto"/>
            </w:tcBorders>
            <w:shd w:val="clear" w:color="000000" w:fill="FFFFFF"/>
            <w:noWrap/>
            <w:vAlign w:val="bottom"/>
            <w:hideMark/>
          </w:tcPr>
          <w:p w14:paraId="26250E73"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w:t>
            </w:r>
          </w:p>
        </w:tc>
        <w:tc>
          <w:tcPr>
            <w:tcW w:w="588" w:type="dxa"/>
            <w:tcBorders>
              <w:top w:val="nil"/>
              <w:left w:val="nil"/>
              <w:bottom w:val="single" w:sz="4" w:space="0" w:color="auto"/>
              <w:right w:val="single" w:sz="4" w:space="0" w:color="auto"/>
            </w:tcBorders>
            <w:shd w:val="clear" w:color="000000" w:fill="FFFFFF"/>
            <w:noWrap/>
            <w:vAlign w:val="bottom"/>
            <w:hideMark/>
          </w:tcPr>
          <w:p w14:paraId="76A8149C"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6%</w:t>
            </w:r>
          </w:p>
        </w:tc>
        <w:tc>
          <w:tcPr>
            <w:tcW w:w="890" w:type="dxa"/>
            <w:tcBorders>
              <w:top w:val="nil"/>
              <w:left w:val="nil"/>
              <w:bottom w:val="single" w:sz="4" w:space="0" w:color="auto"/>
              <w:right w:val="single" w:sz="4" w:space="0" w:color="auto"/>
            </w:tcBorders>
            <w:shd w:val="clear" w:color="000000" w:fill="FFFFFF"/>
            <w:noWrap/>
            <w:vAlign w:val="bottom"/>
            <w:hideMark/>
          </w:tcPr>
          <w:p w14:paraId="292BA5C6"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21</w:t>
            </w:r>
          </w:p>
        </w:tc>
        <w:tc>
          <w:tcPr>
            <w:tcW w:w="588" w:type="dxa"/>
            <w:tcBorders>
              <w:top w:val="nil"/>
              <w:left w:val="nil"/>
              <w:bottom w:val="single" w:sz="4" w:space="0" w:color="auto"/>
              <w:right w:val="single" w:sz="4" w:space="0" w:color="auto"/>
            </w:tcBorders>
            <w:shd w:val="clear" w:color="000000" w:fill="FFFFFF"/>
            <w:noWrap/>
            <w:vAlign w:val="bottom"/>
            <w:hideMark/>
          </w:tcPr>
          <w:p w14:paraId="0A837593"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12%</w:t>
            </w:r>
          </w:p>
        </w:tc>
        <w:tc>
          <w:tcPr>
            <w:tcW w:w="890" w:type="dxa"/>
            <w:tcBorders>
              <w:top w:val="nil"/>
              <w:left w:val="nil"/>
              <w:bottom w:val="single" w:sz="4" w:space="0" w:color="auto"/>
              <w:right w:val="single" w:sz="4" w:space="0" w:color="auto"/>
            </w:tcBorders>
            <w:shd w:val="clear" w:color="000000" w:fill="FFFFFF"/>
            <w:noWrap/>
            <w:vAlign w:val="bottom"/>
            <w:hideMark/>
          </w:tcPr>
          <w:p w14:paraId="7042374E"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15</w:t>
            </w:r>
          </w:p>
        </w:tc>
        <w:tc>
          <w:tcPr>
            <w:tcW w:w="588" w:type="dxa"/>
            <w:tcBorders>
              <w:top w:val="nil"/>
              <w:left w:val="nil"/>
              <w:bottom w:val="single" w:sz="4" w:space="0" w:color="auto"/>
              <w:right w:val="single" w:sz="4" w:space="0" w:color="auto"/>
            </w:tcBorders>
            <w:shd w:val="clear" w:color="000000" w:fill="FFFFFF"/>
            <w:noWrap/>
            <w:vAlign w:val="bottom"/>
            <w:hideMark/>
          </w:tcPr>
          <w:p w14:paraId="3750A04D"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9%</w:t>
            </w:r>
          </w:p>
        </w:tc>
        <w:tc>
          <w:tcPr>
            <w:tcW w:w="890" w:type="dxa"/>
            <w:tcBorders>
              <w:top w:val="nil"/>
              <w:left w:val="nil"/>
              <w:bottom w:val="single" w:sz="4" w:space="0" w:color="auto"/>
              <w:right w:val="single" w:sz="4" w:space="0" w:color="auto"/>
            </w:tcBorders>
            <w:shd w:val="clear" w:color="000000" w:fill="FFFFFF"/>
            <w:noWrap/>
            <w:vAlign w:val="bottom"/>
            <w:hideMark/>
          </w:tcPr>
          <w:p w14:paraId="2B227248"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16</w:t>
            </w:r>
          </w:p>
        </w:tc>
        <w:tc>
          <w:tcPr>
            <w:tcW w:w="400" w:type="dxa"/>
            <w:tcBorders>
              <w:top w:val="nil"/>
              <w:left w:val="nil"/>
              <w:bottom w:val="single" w:sz="4" w:space="0" w:color="auto"/>
              <w:right w:val="single" w:sz="8" w:space="0" w:color="auto"/>
            </w:tcBorders>
            <w:shd w:val="clear" w:color="000000" w:fill="FFFFFF"/>
            <w:noWrap/>
            <w:vAlign w:val="bottom"/>
            <w:hideMark/>
          </w:tcPr>
          <w:p w14:paraId="6386F27F"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7%</w:t>
            </w:r>
          </w:p>
        </w:tc>
      </w:tr>
      <w:tr w:rsidR="00F5441D" w:rsidRPr="00973028" w14:paraId="2AD482EC" w14:textId="77777777" w:rsidTr="002D3AF5">
        <w:trPr>
          <w:trHeight w:hRule="exact" w:val="454"/>
        </w:trPr>
        <w:tc>
          <w:tcPr>
            <w:tcW w:w="3480" w:type="dxa"/>
            <w:tcBorders>
              <w:top w:val="nil"/>
              <w:left w:val="single" w:sz="8" w:space="0" w:color="auto"/>
              <w:bottom w:val="single" w:sz="4" w:space="0" w:color="auto"/>
              <w:right w:val="single" w:sz="4" w:space="0" w:color="auto"/>
            </w:tcBorders>
            <w:shd w:val="clear" w:color="000000" w:fill="FFFFFF"/>
            <w:noWrap/>
            <w:vAlign w:val="bottom"/>
            <w:hideMark/>
          </w:tcPr>
          <w:p w14:paraId="0582FF38" w14:textId="77777777" w:rsidR="002A47AA" w:rsidRPr="00973028" w:rsidRDefault="002A47AA" w:rsidP="002A47AA">
            <w:pPr>
              <w:spacing w:after="240"/>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lastRenderedPageBreak/>
              <w:t>Otros</w:t>
            </w:r>
          </w:p>
        </w:tc>
        <w:tc>
          <w:tcPr>
            <w:tcW w:w="890" w:type="dxa"/>
            <w:tcBorders>
              <w:top w:val="nil"/>
              <w:left w:val="nil"/>
              <w:bottom w:val="single" w:sz="4" w:space="0" w:color="auto"/>
              <w:right w:val="single" w:sz="4" w:space="0" w:color="auto"/>
            </w:tcBorders>
            <w:shd w:val="clear" w:color="000000" w:fill="FFFFFF"/>
            <w:noWrap/>
            <w:vAlign w:val="bottom"/>
            <w:hideMark/>
          </w:tcPr>
          <w:p w14:paraId="0D85BF2B"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588" w:type="dxa"/>
            <w:tcBorders>
              <w:top w:val="nil"/>
              <w:left w:val="nil"/>
              <w:bottom w:val="single" w:sz="4" w:space="0" w:color="auto"/>
              <w:right w:val="single" w:sz="4" w:space="0" w:color="auto"/>
            </w:tcBorders>
            <w:shd w:val="clear" w:color="000000" w:fill="FFFFFF"/>
            <w:noWrap/>
            <w:vAlign w:val="bottom"/>
            <w:hideMark/>
          </w:tcPr>
          <w:p w14:paraId="5F039475"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890" w:type="dxa"/>
            <w:tcBorders>
              <w:top w:val="nil"/>
              <w:left w:val="nil"/>
              <w:bottom w:val="single" w:sz="4" w:space="0" w:color="auto"/>
              <w:right w:val="single" w:sz="4" w:space="0" w:color="auto"/>
            </w:tcBorders>
            <w:shd w:val="clear" w:color="000000" w:fill="FFFFFF"/>
            <w:noWrap/>
            <w:vAlign w:val="bottom"/>
            <w:hideMark/>
          </w:tcPr>
          <w:p w14:paraId="2763436B"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w:t>
            </w:r>
          </w:p>
        </w:tc>
        <w:tc>
          <w:tcPr>
            <w:tcW w:w="588" w:type="dxa"/>
            <w:tcBorders>
              <w:top w:val="nil"/>
              <w:left w:val="nil"/>
              <w:bottom w:val="single" w:sz="4" w:space="0" w:color="auto"/>
              <w:right w:val="single" w:sz="4" w:space="0" w:color="auto"/>
            </w:tcBorders>
            <w:shd w:val="clear" w:color="000000" w:fill="FFFFFF"/>
            <w:noWrap/>
            <w:vAlign w:val="bottom"/>
            <w:hideMark/>
          </w:tcPr>
          <w:p w14:paraId="261E1D77"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w:t>
            </w:r>
          </w:p>
        </w:tc>
        <w:tc>
          <w:tcPr>
            <w:tcW w:w="890" w:type="dxa"/>
            <w:tcBorders>
              <w:top w:val="nil"/>
              <w:left w:val="nil"/>
              <w:bottom w:val="single" w:sz="4" w:space="0" w:color="auto"/>
              <w:right w:val="single" w:sz="4" w:space="0" w:color="auto"/>
            </w:tcBorders>
            <w:shd w:val="clear" w:color="000000" w:fill="FFFFFF"/>
            <w:noWrap/>
            <w:vAlign w:val="bottom"/>
            <w:hideMark/>
          </w:tcPr>
          <w:p w14:paraId="6C5D1D8B"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588" w:type="dxa"/>
            <w:tcBorders>
              <w:top w:val="nil"/>
              <w:left w:val="nil"/>
              <w:bottom w:val="single" w:sz="4" w:space="0" w:color="auto"/>
              <w:right w:val="single" w:sz="4" w:space="0" w:color="auto"/>
            </w:tcBorders>
            <w:shd w:val="clear" w:color="000000" w:fill="FFFFFF"/>
            <w:noWrap/>
            <w:vAlign w:val="bottom"/>
            <w:hideMark/>
          </w:tcPr>
          <w:p w14:paraId="4B4349FE"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890" w:type="dxa"/>
            <w:tcBorders>
              <w:top w:val="nil"/>
              <w:left w:val="nil"/>
              <w:bottom w:val="single" w:sz="4" w:space="0" w:color="auto"/>
              <w:right w:val="single" w:sz="4" w:space="0" w:color="auto"/>
            </w:tcBorders>
            <w:shd w:val="clear" w:color="000000" w:fill="FFFFFF"/>
            <w:noWrap/>
            <w:vAlign w:val="bottom"/>
            <w:hideMark/>
          </w:tcPr>
          <w:p w14:paraId="6F7A6FB6"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8</w:t>
            </w:r>
          </w:p>
        </w:tc>
        <w:tc>
          <w:tcPr>
            <w:tcW w:w="400" w:type="dxa"/>
            <w:tcBorders>
              <w:top w:val="nil"/>
              <w:left w:val="nil"/>
              <w:bottom w:val="single" w:sz="4" w:space="0" w:color="auto"/>
              <w:right w:val="single" w:sz="8" w:space="0" w:color="auto"/>
            </w:tcBorders>
            <w:shd w:val="clear" w:color="000000" w:fill="FFFFFF"/>
            <w:noWrap/>
            <w:vAlign w:val="bottom"/>
            <w:hideMark/>
          </w:tcPr>
          <w:p w14:paraId="471C7C2C"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4%</w:t>
            </w:r>
          </w:p>
        </w:tc>
      </w:tr>
      <w:tr w:rsidR="00F5441D" w:rsidRPr="00973028" w14:paraId="1525D3F3" w14:textId="77777777" w:rsidTr="002D3AF5">
        <w:trPr>
          <w:trHeight w:hRule="exact" w:val="454"/>
        </w:trPr>
        <w:tc>
          <w:tcPr>
            <w:tcW w:w="3480" w:type="dxa"/>
            <w:tcBorders>
              <w:top w:val="nil"/>
              <w:left w:val="single" w:sz="8" w:space="0" w:color="auto"/>
              <w:bottom w:val="single" w:sz="4" w:space="0" w:color="auto"/>
              <w:right w:val="single" w:sz="4" w:space="0" w:color="auto"/>
            </w:tcBorders>
            <w:shd w:val="clear" w:color="000000" w:fill="FFFFFF"/>
            <w:noWrap/>
            <w:vAlign w:val="bottom"/>
            <w:hideMark/>
          </w:tcPr>
          <w:p w14:paraId="35AF5088" w14:textId="7A7BAFC3" w:rsidR="002A47AA" w:rsidRPr="00973028" w:rsidRDefault="002A47AA" w:rsidP="002A47AA">
            <w:pPr>
              <w:spacing w:after="240"/>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Urbanismo/Medio Ambiente</w:t>
            </w:r>
          </w:p>
        </w:tc>
        <w:tc>
          <w:tcPr>
            <w:tcW w:w="890" w:type="dxa"/>
            <w:tcBorders>
              <w:top w:val="nil"/>
              <w:left w:val="nil"/>
              <w:bottom w:val="single" w:sz="4" w:space="0" w:color="auto"/>
              <w:right w:val="single" w:sz="4" w:space="0" w:color="auto"/>
            </w:tcBorders>
            <w:shd w:val="clear" w:color="000000" w:fill="FFFFFF"/>
            <w:noWrap/>
            <w:vAlign w:val="bottom"/>
            <w:hideMark/>
          </w:tcPr>
          <w:p w14:paraId="21B13F1C"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2</w:t>
            </w:r>
          </w:p>
        </w:tc>
        <w:tc>
          <w:tcPr>
            <w:tcW w:w="588" w:type="dxa"/>
            <w:tcBorders>
              <w:top w:val="nil"/>
              <w:left w:val="nil"/>
              <w:bottom w:val="single" w:sz="4" w:space="0" w:color="auto"/>
              <w:right w:val="single" w:sz="4" w:space="0" w:color="auto"/>
            </w:tcBorders>
            <w:shd w:val="clear" w:color="000000" w:fill="FFFFFF"/>
            <w:noWrap/>
            <w:vAlign w:val="bottom"/>
            <w:hideMark/>
          </w:tcPr>
          <w:p w14:paraId="27CED683"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6%</w:t>
            </w:r>
          </w:p>
        </w:tc>
        <w:tc>
          <w:tcPr>
            <w:tcW w:w="890" w:type="dxa"/>
            <w:tcBorders>
              <w:top w:val="nil"/>
              <w:left w:val="nil"/>
              <w:bottom w:val="single" w:sz="4" w:space="0" w:color="auto"/>
              <w:right w:val="single" w:sz="4" w:space="0" w:color="auto"/>
            </w:tcBorders>
            <w:shd w:val="clear" w:color="000000" w:fill="FFFFFF"/>
            <w:noWrap/>
            <w:vAlign w:val="bottom"/>
            <w:hideMark/>
          </w:tcPr>
          <w:p w14:paraId="4508220D"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13</w:t>
            </w:r>
          </w:p>
        </w:tc>
        <w:tc>
          <w:tcPr>
            <w:tcW w:w="588" w:type="dxa"/>
            <w:tcBorders>
              <w:top w:val="nil"/>
              <w:left w:val="nil"/>
              <w:bottom w:val="single" w:sz="4" w:space="0" w:color="auto"/>
              <w:right w:val="single" w:sz="4" w:space="0" w:color="auto"/>
            </w:tcBorders>
            <w:shd w:val="clear" w:color="000000" w:fill="FFFFFF"/>
            <w:noWrap/>
            <w:vAlign w:val="bottom"/>
            <w:hideMark/>
          </w:tcPr>
          <w:p w14:paraId="640F2AFB"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7%</w:t>
            </w:r>
          </w:p>
        </w:tc>
        <w:tc>
          <w:tcPr>
            <w:tcW w:w="890" w:type="dxa"/>
            <w:tcBorders>
              <w:top w:val="nil"/>
              <w:left w:val="nil"/>
              <w:bottom w:val="single" w:sz="4" w:space="0" w:color="auto"/>
              <w:right w:val="single" w:sz="4" w:space="0" w:color="auto"/>
            </w:tcBorders>
            <w:shd w:val="clear" w:color="000000" w:fill="FFFFFF"/>
            <w:noWrap/>
            <w:vAlign w:val="bottom"/>
            <w:hideMark/>
          </w:tcPr>
          <w:p w14:paraId="34F0CC5B"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17</w:t>
            </w:r>
          </w:p>
        </w:tc>
        <w:tc>
          <w:tcPr>
            <w:tcW w:w="588" w:type="dxa"/>
            <w:tcBorders>
              <w:top w:val="nil"/>
              <w:left w:val="nil"/>
              <w:bottom w:val="single" w:sz="4" w:space="0" w:color="auto"/>
              <w:right w:val="single" w:sz="4" w:space="0" w:color="auto"/>
            </w:tcBorders>
            <w:shd w:val="clear" w:color="000000" w:fill="FFFFFF"/>
            <w:noWrap/>
            <w:vAlign w:val="bottom"/>
            <w:hideMark/>
          </w:tcPr>
          <w:p w14:paraId="14DC8B7D"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10%</w:t>
            </w:r>
          </w:p>
        </w:tc>
        <w:tc>
          <w:tcPr>
            <w:tcW w:w="890" w:type="dxa"/>
            <w:tcBorders>
              <w:top w:val="nil"/>
              <w:left w:val="nil"/>
              <w:bottom w:val="single" w:sz="4" w:space="0" w:color="auto"/>
              <w:right w:val="single" w:sz="4" w:space="0" w:color="auto"/>
            </w:tcBorders>
            <w:shd w:val="clear" w:color="000000" w:fill="FFFFFF"/>
            <w:noWrap/>
            <w:vAlign w:val="bottom"/>
            <w:hideMark/>
          </w:tcPr>
          <w:p w14:paraId="6BDFF860"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22</w:t>
            </w:r>
          </w:p>
        </w:tc>
        <w:tc>
          <w:tcPr>
            <w:tcW w:w="400" w:type="dxa"/>
            <w:tcBorders>
              <w:top w:val="nil"/>
              <w:left w:val="nil"/>
              <w:bottom w:val="single" w:sz="4" w:space="0" w:color="auto"/>
              <w:right w:val="single" w:sz="8" w:space="0" w:color="auto"/>
            </w:tcBorders>
            <w:shd w:val="clear" w:color="000000" w:fill="FFFFFF"/>
            <w:noWrap/>
            <w:vAlign w:val="bottom"/>
            <w:hideMark/>
          </w:tcPr>
          <w:p w14:paraId="0A485D09"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10%</w:t>
            </w:r>
          </w:p>
        </w:tc>
      </w:tr>
      <w:tr w:rsidR="00F5441D" w:rsidRPr="00973028" w14:paraId="45E599C4" w14:textId="77777777" w:rsidTr="002D3AF5">
        <w:trPr>
          <w:trHeight w:hRule="exact" w:val="454"/>
        </w:trPr>
        <w:tc>
          <w:tcPr>
            <w:tcW w:w="3480" w:type="dxa"/>
            <w:tcBorders>
              <w:top w:val="nil"/>
              <w:left w:val="single" w:sz="8" w:space="0" w:color="auto"/>
              <w:bottom w:val="single" w:sz="4" w:space="0" w:color="auto"/>
              <w:right w:val="single" w:sz="4" w:space="0" w:color="auto"/>
            </w:tcBorders>
            <w:shd w:val="clear" w:color="000000" w:fill="FFFFFF"/>
            <w:noWrap/>
            <w:vAlign w:val="bottom"/>
            <w:hideMark/>
          </w:tcPr>
          <w:p w14:paraId="6740D529" w14:textId="77777777" w:rsidR="002A47AA" w:rsidRPr="00973028" w:rsidRDefault="002A47AA" w:rsidP="002A47AA">
            <w:pPr>
              <w:spacing w:after="240"/>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Uso indebido de recursos públicos</w:t>
            </w:r>
          </w:p>
        </w:tc>
        <w:tc>
          <w:tcPr>
            <w:tcW w:w="890" w:type="dxa"/>
            <w:tcBorders>
              <w:top w:val="nil"/>
              <w:left w:val="nil"/>
              <w:bottom w:val="single" w:sz="4" w:space="0" w:color="auto"/>
              <w:right w:val="single" w:sz="4" w:space="0" w:color="auto"/>
            </w:tcBorders>
            <w:shd w:val="clear" w:color="000000" w:fill="FFFFFF"/>
            <w:noWrap/>
            <w:vAlign w:val="bottom"/>
            <w:hideMark/>
          </w:tcPr>
          <w:p w14:paraId="3D3E7577"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3</w:t>
            </w:r>
          </w:p>
        </w:tc>
        <w:tc>
          <w:tcPr>
            <w:tcW w:w="588" w:type="dxa"/>
            <w:tcBorders>
              <w:top w:val="nil"/>
              <w:left w:val="nil"/>
              <w:bottom w:val="single" w:sz="4" w:space="0" w:color="auto"/>
              <w:right w:val="single" w:sz="4" w:space="0" w:color="auto"/>
            </w:tcBorders>
            <w:shd w:val="clear" w:color="000000" w:fill="FFFFFF"/>
            <w:noWrap/>
            <w:vAlign w:val="bottom"/>
            <w:hideMark/>
          </w:tcPr>
          <w:p w14:paraId="202D1B77"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9%</w:t>
            </w:r>
          </w:p>
        </w:tc>
        <w:tc>
          <w:tcPr>
            <w:tcW w:w="890" w:type="dxa"/>
            <w:tcBorders>
              <w:top w:val="nil"/>
              <w:left w:val="nil"/>
              <w:bottom w:val="single" w:sz="4" w:space="0" w:color="auto"/>
              <w:right w:val="single" w:sz="4" w:space="0" w:color="auto"/>
            </w:tcBorders>
            <w:shd w:val="clear" w:color="000000" w:fill="FFFFFF"/>
            <w:noWrap/>
            <w:vAlign w:val="bottom"/>
            <w:hideMark/>
          </w:tcPr>
          <w:p w14:paraId="7D8377C6"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13</w:t>
            </w:r>
          </w:p>
        </w:tc>
        <w:tc>
          <w:tcPr>
            <w:tcW w:w="588" w:type="dxa"/>
            <w:tcBorders>
              <w:top w:val="nil"/>
              <w:left w:val="nil"/>
              <w:bottom w:val="single" w:sz="4" w:space="0" w:color="auto"/>
              <w:right w:val="single" w:sz="4" w:space="0" w:color="auto"/>
            </w:tcBorders>
            <w:shd w:val="clear" w:color="000000" w:fill="FFFFFF"/>
            <w:noWrap/>
            <w:vAlign w:val="bottom"/>
            <w:hideMark/>
          </w:tcPr>
          <w:p w14:paraId="3796D513"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7%</w:t>
            </w:r>
          </w:p>
        </w:tc>
        <w:tc>
          <w:tcPr>
            <w:tcW w:w="890" w:type="dxa"/>
            <w:tcBorders>
              <w:top w:val="nil"/>
              <w:left w:val="nil"/>
              <w:bottom w:val="single" w:sz="4" w:space="0" w:color="auto"/>
              <w:right w:val="single" w:sz="4" w:space="0" w:color="auto"/>
            </w:tcBorders>
            <w:shd w:val="clear" w:color="000000" w:fill="FFFFFF"/>
            <w:noWrap/>
            <w:vAlign w:val="bottom"/>
            <w:hideMark/>
          </w:tcPr>
          <w:p w14:paraId="30791458"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27</w:t>
            </w:r>
          </w:p>
        </w:tc>
        <w:tc>
          <w:tcPr>
            <w:tcW w:w="588" w:type="dxa"/>
            <w:tcBorders>
              <w:top w:val="nil"/>
              <w:left w:val="nil"/>
              <w:bottom w:val="single" w:sz="4" w:space="0" w:color="auto"/>
              <w:right w:val="single" w:sz="4" w:space="0" w:color="auto"/>
            </w:tcBorders>
            <w:shd w:val="clear" w:color="000000" w:fill="FFFFFF"/>
            <w:noWrap/>
            <w:vAlign w:val="bottom"/>
            <w:hideMark/>
          </w:tcPr>
          <w:p w14:paraId="300E30A9"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16%</w:t>
            </w:r>
          </w:p>
        </w:tc>
        <w:tc>
          <w:tcPr>
            <w:tcW w:w="890" w:type="dxa"/>
            <w:tcBorders>
              <w:top w:val="nil"/>
              <w:left w:val="nil"/>
              <w:bottom w:val="single" w:sz="4" w:space="0" w:color="auto"/>
              <w:right w:val="single" w:sz="4" w:space="0" w:color="auto"/>
            </w:tcBorders>
            <w:shd w:val="clear" w:color="000000" w:fill="FFFFFF"/>
            <w:noWrap/>
            <w:vAlign w:val="bottom"/>
            <w:hideMark/>
          </w:tcPr>
          <w:p w14:paraId="2B6DA22E"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w:t>
            </w:r>
          </w:p>
        </w:tc>
        <w:tc>
          <w:tcPr>
            <w:tcW w:w="400" w:type="dxa"/>
            <w:tcBorders>
              <w:top w:val="nil"/>
              <w:left w:val="nil"/>
              <w:bottom w:val="single" w:sz="4" w:space="0" w:color="auto"/>
              <w:right w:val="single" w:sz="8" w:space="0" w:color="auto"/>
            </w:tcBorders>
            <w:shd w:val="clear" w:color="000000" w:fill="FFFFFF"/>
            <w:noWrap/>
            <w:vAlign w:val="bottom"/>
            <w:hideMark/>
          </w:tcPr>
          <w:p w14:paraId="27F38FEF"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0%</w:t>
            </w:r>
          </w:p>
        </w:tc>
      </w:tr>
      <w:tr w:rsidR="00F5441D" w:rsidRPr="00973028" w14:paraId="28FB3F3F" w14:textId="77777777" w:rsidTr="002D3AF5">
        <w:trPr>
          <w:trHeight w:hRule="exact" w:val="454"/>
        </w:trPr>
        <w:tc>
          <w:tcPr>
            <w:tcW w:w="3480" w:type="dxa"/>
            <w:tcBorders>
              <w:top w:val="nil"/>
              <w:left w:val="single" w:sz="8" w:space="0" w:color="auto"/>
              <w:bottom w:val="single" w:sz="4" w:space="0" w:color="auto"/>
              <w:right w:val="single" w:sz="4" w:space="0" w:color="auto"/>
            </w:tcBorders>
            <w:shd w:val="clear" w:color="000000" w:fill="FFFFFF"/>
            <w:noWrap/>
            <w:vAlign w:val="bottom"/>
            <w:hideMark/>
          </w:tcPr>
          <w:p w14:paraId="1448DB28" w14:textId="77777777" w:rsidR="002A47AA" w:rsidRPr="00973028" w:rsidRDefault="002A47AA" w:rsidP="002A47AA">
            <w:pPr>
              <w:spacing w:after="240"/>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Otros</w:t>
            </w:r>
          </w:p>
        </w:tc>
        <w:tc>
          <w:tcPr>
            <w:tcW w:w="890" w:type="dxa"/>
            <w:tcBorders>
              <w:top w:val="nil"/>
              <w:left w:val="nil"/>
              <w:bottom w:val="single" w:sz="4" w:space="0" w:color="auto"/>
              <w:right w:val="single" w:sz="4" w:space="0" w:color="auto"/>
            </w:tcBorders>
            <w:shd w:val="clear" w:color="000000" w:fill="FFFFFF"/>
            <w:noWrap/>
            <w:vAlign w:val="bottom"/>
            <w:hideMark/>
          </w:tcPr>
          <w:p w14:paraId="4A0C5709"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0</w:t>
            </w:r>
          </w:p>
        </w:tc>
        <w:tc>
          <w:tcPr>
            <w:tcW w:w="588" w:type="dxa"/>
            <w:tcBorders>
              <w:top w:val="nil"/>
              <w:left w:val="nil"/>
              <w:bottom w:val="single" w:sz="4" w:space="0" w:color="auto"/>
              <w:right w:val="single" w:sz="4" w:space="0" w:color="auto"/>
            </w:tcBorders>
            <w:shd w:val="clear" w:color="000000" w:fill="FFFFFF"/>
            <w:noWrap/>
            <w:vAlign w:val="bottom"/>
            <w:hideMark/>
          </w:tcPr>
          <w:p w14:paraId="5673D560"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0%</w:t>
            </w:r>
          </w:p>
        </w:tc>
        <w:tc>
          <w:tcPr>
            <w:tcW w:w="890" w:type="dxa"/>
            <w:tcBorders>
              <w:top w:val="nil"/>
              <w:left w:val="nil"/>
              <w:bottom w:val="single" w:sz="4" w:space="0" w:color="auto"/>
              <w:right w:val="single" w:sz="4" w:space="0" w:color="auto"/>
            </w:tcBorders>
            <w:shd w:val="clear" w:color="000000" w:fill="FFFFFF"/>
            <w:noWrap/>
            <w:vAlign w:val="bottom"/>
            <w:hideMark/>
          </w:tcPr>
          <w:p w14:paraId="34CDAD4D"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0</w:t>
            </w:r>
          </w:p>
        </w:tc>
        <w:tc>
          <w:tcPr>
            <w:tcW w:w="588" w:type="dxa"/>
            <w:tcBorders>
              <w:top w:val="nil"/>
              <w:left w:val="nil"/>
              <w:bottom w:val="single" w:sz="4" w:space="0" w:color="auto"/>
              <w:right w:val="single" w:sz="4" w:space="0" w:color="auto"/>
            </w:tcBorders>
            <w:shd w:val="clear" w:color="000000" w:fill="FFFFFF"/>
            <w:noWrap/>
            <w:vAlign w:val="bottom"/>
            <w:hideMark/>
          </w:tcPr>
          <w:p w14:paraId="517E2C40"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0%</w:t>
            </w:r>
          </w:p>
        </w:tc>
        <w:tc>
          <w:tcPr>
            <w:tcW w:w="890" w:type="dxa"/>
            <w:tcBorders>
              <w:top w:val="nil"/>
              <w:left w:val="nil"/>
              <w:bottom w:val="single" w:sz="4" w:space="0" w:color="auto"/>
              <w:right w:val="single" w:sz="4" w:space="0" w:color="auto"/>
            </w:tcBorders>
            <w:shd w:val="clear" w:color="000000" w:fill="FFFFFF"/>
            <w:noWrap/>
            <w:vAlign w:val="bottom"/>
            <w:hideMark/>
          </w:tcPr>
          <w:p w14:paraId="707485D0"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0</w:t>
            </w:r>
          </w:p>
        </w:tc>
        <w:tc>
          <w:tcPr>
            <w:tcW w:w="588" w:type="dxa"/>
            <w:tcBorders>
              <w:top w:val="nil"/>
              <w:left w:val="nil"/>
              <w:bottom w:val="single" w:sz="4" w:space="0" w:color="auto"/>
              <w:right w:val="single" w:sz="4" w:space="0" w:color="auto"/>
            </w:tcBorders>
            <w:shd w:val="clear" w:color="000000" w:fill="FFFFFF"/>
            <w:noWrap/>
            <w:vAlign w:val="bottom"/>
            <w:hideMark/>
          </w:tcPr>
          <w:p w14:paraId="413E725A"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0%</w:t>
            </w:r>
          </w:p>
        </w:tc>
        <w:tc>
          <w:tcPr>
            <w:tcW w:w="890" w:type="dxa"/>
            <w:tcBorders>
              <w:top w:val="nil"/>
              <w:left w:val="nil"/>
              <w:bottom w:val="single" w:sz="4" w:space="0" w:color="auto"/>
              <w:right w:val="single" w:sz="4" w:space="0" w:color="auto"/>
            </w:tcBorders>
            <w:shd w:val="clear" w:color="000000" w:fill="FFFFFF"/>
            <w:noWrap/>
            <w:vAlign w:val="bottom"/>
            <w:hideMark/>
          </w:tcPr>
          <w:p w14:paraId="13B5AEDB"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32</w:t>
            </w:r>
          </w:p>
        </w:tc>
        <w:tc>
          <w:tcPr>
            <w:tcW w:w="400" w:type="dxa"/>
            <w:tcBorders>
              <w:top w:val="nil"/>
              <w:left w:val="nil"/>
              <w:bottom w:val="single" w:sz="4" w:space="0" w:color="auto"/>
              <w:right w:val="single" w:sz="8" w:space="0" w:color="auto"/>
            </w:tcBorders>
            <w:shd w:val="clear" w:color="000000" w:fill="FFFFFF"/>
            <w:noWrap/>
            <w:vAlign w:val="bottom"/>
            <w:hideMark/>
          </w:tcPr>
          <w:p w14:paraId="3C01B7F6"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14%</w:t>
            </w:r>
          </w:p>
        </w:tc>
      </w:tr>
      <w:tr w:rsidR="00F5441D" w:rsidRPr="00973028" w14:paraId="2D7D3F9F" w14:textId="77777777" w:rsidTr="00F5441D">
        <w:trPr>
          <w:trHeight w:val="130"/>
        </w:trPr>
        <w:tc>
          <w:tcPr>
            <w:tcW w:w="3480" w:type="dxa"/>
            <w:tcBorders>
              <w:top w:val="nil"/>
              <w:left w:val="single" w:sz="8" w:space="0" w:color="auto"/>
              <w:bottom w:val="single" w:sz="8" w:space="0" w:color="auto"/>
              <w:right w:val="single" w:sz="4" w:space="0" w:color="auto"/>
            </w:tcBorders>
            <w:shd w:val="clear" w:color="auto" w:fill="D9D9D9" w:themeFill="background1" w:themeFillShade="D9"/>
            <w:noWrap/>
            <w:vAlign w:val="bottom"/>
            <w:hideMark/>
          </w:tcPr>
          <w:p w14:paraId="49B6166C" w14:textId="77777777" w:rsidR="002A47AA" w:rsidRPr="00973028" w:rsidRDefault="002A47AA" w:rsidP="002A47AA">
            <w:pPr>
              <w:spacing w:after="240"/>
              <w:jc w:val="right"/>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TOTAL</w:t>
            </w:r>
          </w:p>
        </w:tc>
        <w:tc>
          <w:tcPr>
            <w:tcW w:w="890" w:type="dxa"/>
            <w:tcBorders>
              <w:top w:val="nil"/>
              <w:left w:val="nil"/>
              <w:bottom w:val="single" w:sz="8" w:space="0" w:color="auto"/>
              <w:right w:val="single" w:sz="4" w:space="0" w:color="auto"/>
            </w:tcBorders>
            <w:shd w:val="clear" w:color="auto" w:fill="D9D9D9" w:themeFill="background1" w:themeFillShade="D9"/>
            <w:noWrap/>
            <w:vAlign w:val="bottom"/>
            <w:hideMark/>
          </w:tcPr>
          <w:p w14:paraId="69871276"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35</w:t>
            </w:r>
          </w:p>
        </w:tc>
        <w:tc>
          <w:tcPr>
            <w:tcW w:w="588" w:type="dxa"/>
            <w:tcBorders>
              <w:top w:val="nil"/>
              <w:left w:val="nil"/>
              <w:bottom w:val="single" w:sz="8" w:space="0" w:color="auto"/>
              <w:right w:val="single" w:sz="4" w:space="0" w:color="auto"/>
            </w:tcBorders>
            <w:shd w:val="clear" w:color="auto" w:fill="D9D9D9" w:themeFill="background1" w:themeFillShade="D9"/>
            <w:noWrap/>
            <w:vAlign w:val="bottom"/>
            <w:hideMark/>
          </w:tcPr>
          <w:p w14:paraId="7DDC21EA"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100%</w:t>
            </w:r>
          </w:p>
        </w:tc>
        <w:tc>
          <w:tcPr>
            <w:tcW w:w="890" w:type="dxa"/>
            <w:tcBorders>
              <w:top w:val="nil"/>
              <w:left w:val="nil"/>
              <w:bottom w:val="single" w:sz="8" w:space="0" w:color="auto"/>
              <w:right w:val="single" w:sz="4" w:space="0" w:color="auto"/>
            </w:tcBorders>
            <w:shd w:val="clear" w:color="auto" w:fill="D9D9D9" w:themeFill="background1" w:themeFillShade="D9"/>
            <w:noWrap/>
            <w:vAlign w:val="bottom"/>
            <w:hideMark/>
          </w:tcPr>
          <w:p w14:paraId="010E012D"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181</w:t>
            </w:r>
          </w:p>
        </w:tc>
        <w:tc>
          <w:tcPr>
            <w:tcW w:w="588" w:type="dxa"/>
            <w:tcBorders>
              <w:top w:val="nil"/>
              <w:left w:val="nil"/>
              <w:bottom w:val="single" w:sz="8" w:space="0" w:color="auto"/>
              <w:right w:val="single" w:sz="4" w:space="0" w:color="auto"/>
            </w:tcBorders>
            <w:shd w:val="clear" w:color="auto" w:fill="D9D9D9" w:themeFill="background1" w:themeFillShade="D9"/>
            <w:noWrap/>
            <w:vAlign w:val="bottom"/>
            <w:hideMark/>
          </w:tcPr>
          <w:p w14:paraId="114FD5DF"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100%</w:t>
            </w:r>
          </w:p>
        </w:tc>
        <w:tc>
          <w:tcPr>
            <w:tcW w:w="890" w:type="dxa"/>
            <w:tcBorders>
              <w:top w:val="nil"/>
              <w:left w:val="nil"/>
              <w:bottom w:val="single" w:sz="8" w:space="0" w:color="auto"/>
              <w:right w:val="single" w:sz="4" w:space="0" w:color="auto"/>
            </w:tcBorders>
            <w:shd w:val="clear" w:color="auto" w:fill="D9D9D9" w:themeFill="background1" w:themeFillShade="D9"/>
            <w:noWrap/>
            <w:vAlign w:val="bottom"/>
            <w:hideMark/>
          </w:tcPr>
          <w:p w14:paraId="3ECC7A2B"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168</w:t>
            </w:r>
          </w:p>
        </w:tc>
        <w:tc>
          <w:tcPr>
            <w:tcW w:w="588" w:type="dxa"/>
            <w:tcBorders>
              <w:top w:val="nil"/>
              <w:left w:val="nil"/>
              <w:bottom w:val="single" w:sz="8" w:space="0" w:color="auto"/>
              <w:right w:val="single" w:sz="4" w:space="0" w:color="auto"/>
            </w:tcBorders>
            <w:shd w:val="clear" w:color="auto" w:fill="D9D9D9" w:themeFill="background1" w:themeFillShade="D9"/>
            <w:noWrap/>
            <w:vAlign w:val="bottom"/>
            <w:hideMark/>
          </w:tcPr>
          <w:p w14:paraId="4577A4C4"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100%</w:t>
            </w:r>
          </w:p>
        </w:tc>
        <w:tc>
          <w:tcPr>
            <w:tcW w:w="890" w:type="dxa"/>
            <w:tcBorders>
              <w:top w:val="nil"/>
              <w:left w:val="nil"/>
              <w:bottom w:val="single" w:sz="8" w:space="0" w:color="auto"/>
              <w:right w:val="single" w:sz="4" w:space="0" w:color="auto"/>
            </w:tcBorders>
            <w:shd w:val="clear" w:color="auto" w:fill="D9D9D9" w:themeFill="background1" w:themeFillShade="D9"/>
            <w:noWrap/>
            <w:vAlign w:val="bottom"/>
            <w:hideMark/>
          </w:tcPr>
          <w:p w14:paraId="19F8CCF8" w14:textId="77777777" w:rsidR="002A47AA" w:rsidRPr="00973028" w:rsidRDefault="002A47AA" w:rsidP="002A47AA">
            <w:pPr>
              <w:spacing w:after="240"/>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226</w:t>
            </w:r>
          </w:p>
        </w:tc>
        <w:tc>
          <w:tcPr>
            <w:tcW w:w="400" w:type="dxa"/>
            <w:tcBorders>
              <w:top w:val="nil"/>
              <w:left w:val="nil"/>
              <w:bottom w:val="single" w:sz="8" w:space="0" w:color="auto"/>
              <w:right w:val="single" w:sz="8" w:space="0" w:color="auto"/>
            </w:tcBorders>
            <w:shd w:val="clear" w:color="auto" w:fill="D9D9D9" w:themeFill="background1" w:themeFillShade="D9"/>
            <w:noWrap/>
            <w:vAlign w:val="bottom"/>
            <w:hideMark/>
          </w:tcPr>
          <w:p w14:paraId="78DC10CB" w14:textId="77777777" w:rsidR="002A47AA" w:rsidRPr="00973028" w:rsidRDefault="002A47AA" w:rsidP="002A47AA">
            <w:pPr>
              <w:spacing w:after="240"/>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100%</w:t>
            </w:r>
          </w:p>
        </w:tc>
      </w:tr>
    </w:tbl>
    <w:p w14:paraId="1536381A" w14:textId="77777777" w:rsidR="002A47AA" w:rsidRPr="00973028" w:rsidRDefault="002A47AA" w:rsidP="002A47AA">
      <w:pPr>
        <w:spacing w:after="240" w:line="276" w:lineRule="auto"/>
        <w:jc w:val="center"/>
        <w:rPr>
          <w:rFonts w:ascii="Arial" w:hAnsi="Arial"/>
          <w:b/>
          <w:sz w:val="21"/>
          <w:szCs w:val="21"/>
        </w:rPr>
      </w:pPr>
    </w:p>
    <w:p w14:paraId="1AA488D9" w14:textId="0EF2D6AA" w:rsidR="006D54A8" w:rsidRPr="00973028" w:rsidRDefault="00160A47" w:rsidP="006D54A8">
      <w:pPr>
        <w:keepNext/>
        <w:spacing w:after="240" w:line="276" w:lineRule="auto"/>
        <w:jc w:val="center"/>
      </w:pPr>
      <w:r>
        <w:rPr>
          <w:noProof/>
        </w:rPr>
        <w:drawing>
          <wp:inline distT="0" distB="0" distL="0" distR="0" wp14:anchorId="1521F354" wp14:editId="78B5E5B3">
            <wp:extent cx="5400040" cy="3456940"/>
            <wp:effectExtent l="0" t="0" r="10160" b="10160"/>
            <wp:docPr id="284" name="Gráfico 284">
              <a:extLst xmlns:a="http://schemas.openxmlformats.org/drawingml/2006/main">
                <a:ext uri="{FF2B5EF4-FFF2-40B4-BE49-F238E27FC236}">
                  <a16:creationId xmlns:a16="http://schemas.microsoft.com/office/drawing/2014/main" id="{9C4F8575-D127-47B4-B0FB-9893F22A8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C12F112" w14:textId="71D078A0" w:rsidR="002A47AA" w:rsidRPr="00973028" w:rsidRDefault="006D54A8" w:rsidP="006D54A8">
      <w:pPr>
        <w:pStyle w:val="Descripcin"/>
        <w:jc w:val="center"/>
        <w:rPr>
          <w:rFonts w:ascii="Arial" w:hAnsi="Arial" w:cs="Arial"/>
          <w:smallCaps w:val="0"/>
          <w:sz w:val="16"/>
          <w:szCs w:val="20"/>
        </w:rPr>
      </w:pPr>
      <w:bookmarkStart w:id="61" w:name="_Toc67646401"/>
      <w:r w:rsidRPr="00973028">
        <w:rPr>
          <w:rFonts w:ascii="Arial" w:hAnsi="Arial" w:cs="Arial"/>
          <w:smallCaps w:val="0"/>
          <w:color w:val="9D2235" w:themeColor="accent1"/>
          <w:sz w:val="16"/>
          <w:szCs w:val="20"/>
        </w:rPr>
        <w:t xml:space="preserve">Gráfico </w:t>
      </w:r>
      <w:r w:rsidRPr="00973028">
        <w:rPr>
          <w:rFonts w:ascii="Arial" w:hAnsi="Arial" w:cs="Arial"/>
          <w:smallCaps w:val="0"/>
          <w:color w:val="9D2235" w:themeColor="accent1"/>
          <w:sz w:val="16"/>
          <w:szCs w:val="20"/>
        </w:rPr>
        <w:fldChar w:fldCharType="begin"/>
      </w:r>
      <w:r w:rsidRPr="00973028">
        <w:rPr>
          <w:rFonts w:ascii="Arial" w:hAnsi="Arial" w:cs="Arial"/>
          <w:smallCaps w:val="0"/>
          <w:color w:val="9D2235" w:themeColor="accent1"/>
          <w:sz w:val="16"/>
          <w:szCs w:val="20"/>
        </w:rPr>
        <w:instrText xml:space="preserve"> SEQ Gráfico \* ARABIC </w:instrText>
      </w:r>
      <w:r w:rsidRPr="00973028">
        <w:rPr>
          <w:rFonts w:ascii="Arial" w:hAnsi="Arial" w:cs="Arial"/>
          <w:smallCaps w:val="0"/>
          <w:color w:val="9D2235" w:themeColor="accent1"/>
          <w:sz w:val="16"/>
          <w:szCs w:val="20"/>
        </w:rPr>
        <w:fldChar w:fldCharType="separate"/>
      </w:r>
      <w:r w:rsidR="00000D1F">
        <w:rPr>
          <w:rFonts w:ascii="Arial" w:hAnsi="Arial" w:cs="Arial"/>
          <w:smallCaps w:val="0"/>
          <w:noProof/>
          <w:color w:val="9D2235" w:themeColor="accent1"/>
          <w:sz w:val="16"/>
          <w:szCs w:val="20"/>
        </w:rPr>
        <w:t>5</w:t>
      </w:r>
      <w:r w:rsidRPr="00973028">
        <w:rPr>
          <w:rFonts w:ascii="Arial" w:hAnsi="Arial" w:cs="Arial"/>
          <w:smallCaps w:val="0"/>
          <w:color w:val="9D2235" w:themeColor="accent1"/>
          <w:sz w:val="16"/>
          <w:szCs w:val="20"/>
        </w:rPr>
        <w:fldChar w:fldCharType="end"/>
      </w:r>
      <w:r w:rsidR="00876C89">
        <w:rPr>
          <w:rFonts w:ascii="Arial" w:hAnsi="Arial" w:cs="Arial"/>
          <w:smallCaps w:val="0"/>
          <w:color w:val="9D2235" w:themeColor="accent1"/>
          <w:sz w:val="16"/>
          <w:szCs w:val="20"/>
        </w:rPr>
        <w:t>.</w:t>
      </w:r>
      <w:r w:rsidRPr="00973028">
        <w:rPr>
          <w:rFonts w:ascii="Arial" w:hAnsi="Arial" w:cs="Arial"/>
          <w:smallCaps w:val="0"/>
          <w:color w:val="9D2235" w:themeColor="accent1"/>
          <w:sz w:val="16"/>
          <w:szCs w:val="20"/>
        </w:rPr>
        <w:t xml:space="preserve"> </w:t>
      </w:r>
      <w:r w:rsidRPr="00973028">
        <w:rPr>
          <w:rFonts w:ascii="Arial" w:hAnsi="Arial" w:cs="Arial"/>
          <w:smallCaps w:val="0"/>
          <w:sz w:val="16"/>
          <w:szCs w:val="20"/>
        </w:rPr>
        <w:t>Denuncias presentadas según el ámbito material.</w:t>
      </w:r>
      <w:bookmarkEnd w:id="61"/>
    </w:p>
    <w:p w14:paraId="5532C5F3" w14:textId="77777777" w:rsidR="002A47AA" w:rsidRPr="00973028" w:rsidRDefault="002A47AA" w:rsidP="002A47AA">
      <w:pPr>
        <w:spacing w:after="240" w:line="276" w:lineRule="auto"/>
        <w:jc w:val="both"/>
        <w:rPr>
          <w:rFonts w:ascii="Arial" w:hAnsi="Arial"/>
          <w:sz w:val="21"/>
          <w:szCs w:val="21"/>
        </w:rPr>
      </w:pPr>
    </w:p>
    <w:p w14:paraId="75DEB9DB" w14:textId="77777777" w:rsidR="00620189" w:rsidRPr="00973028" w:rsidRDefault="002A47AA" w:rsidP="002A47AA">
      <w:pPr>
        <w:spacing w:after="240" w:line="276" w:lineRule="auto"/>
        <w:jc w:val="both"/>
        <w:rPr>
          <w:rFonts w:ascii="Arial" w:hAnsi="Arial"/>
          <w:sz w:val="21"/>
          <w:szCs w:val="21"/>
        </w:rPr>
      </w:pPr>
      <w:r w:rsidRPr="00973028">
        <w:rPr>
          <w:rFonts w:ascii="Arial" w:hAnsi="Arial"/>
          <w:sz w:val="21"/>
          <w:szCs w:val="21"/>
        </w:rPr>
        <w:t>Las categorías más importantes por ámbito material de nuevo en 2020 vuelven a ser la contratación pública y los recursos humanos. En términos absolutos y relativos gana peso la contratación pública, que representa el 32% del total de denuncias, con un incremento de 7 puntos porcentuales y con 30 denuncias más presentadas en términos absolutos respecto al 2019. En segundo lugar, la materia de recursos humanos aglutina el 28% de las denuncias, con una reducción en términos porcentuales de 12 puntos, aunque en términos absolutos sólo se han minorado en 4 denuncias respecto al año anterior.</w:t>
      </w:r>
    </w:p>
    <w:p w14:paraId="4106D54D" w14:textId="211320D1"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El resto de las materias poseen unos valores de dispersión de entre el 4 y el 10% del total de denuncias.</w:t>
      </w:r>
    </w:p>
    <w:p w14:paraId="4145B0DC" w14:textId="7C8CEEC8"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 xml:space="preserve">La categoría “Otros” ha supuesto en 2020 un 14% del total de denuncias presentadas. En dicha categoría se han incluido mayoritariamente denuncias sobre ámbitos de actuación no contemplados en la Ley 11/2016, y relativos a las competencias de otras administraciones </w:t>
      </w:r>
      <w:r w:rsidRPr="00973028">
        <w:rPr>
          <w:rFonts w:ascii="Arial" w:hAnsi="Arial"/>
          <w:sz w:val="21"/>
          <w:szCs w:val="21"/>
        </w:rPr>
        <w:lastRenderedPageBreak/>
        <w:t>públicas asimismo no relacionadas en el ámbito subjetivo de la Agencia tasado en el art. 3 de dicha norma.</w:t>
      </w:r>
    </w:p>
    <w:p w14:paraId="299ED1A6" w14:textId="67E1C03F"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62" w:name="_Toc67646245"/>
      <w:r w:rsidRPr="00973028">
        <w:rPr>
          <w:rFonts w:ascii="Arial" w:eastAsia="Times New Roman" w:hAnsi="Arial" w:cs="Arial"/>
          <w:b/>
          <w:color w:val="9D2235"/>
          <w:sz w:val="28"/>
          <w:szCs w:val="28"/>
        </w:rPr>
        <w:t>Denuncias presentadas según la tipología, condición o naturaleza del comunicante</w:t>
      </w:r>
      <w:bookmarkEnd w:id="62"/>
    </w:p>
    <w:p w14:paraId="6A5456CC"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 xml:space="preserve">En el presente apartado se distingue entre el volumen de denunciantes que presenta denuncia anónima y el volumen que lo realiza mediante identificación. </w:t>
      </w:r>
    </w:p>
    <w:p w14:paraId="59F84E1F"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Dentro de la primera de estas dos categorías, personas identificadas, se ha procedido a realizar un desglose en atención al carácter de persona física o jurídica y, dentro de ambos grupos, se ha realizado una subdivisión entre diferentes categorías de especial relevancia, especialmente por la intensidad del nexo que une a cada una de dichas personas con la actividad administrativa denunciada.</w:t>
      </w:r>
    </w:p>
    <w:p w14:paraId="073C731B" w14:textId="2FB31DA6" w:rsidR="002A47AA" w:rsidRDefault="002A47AA" w:rsidP="002A47AA">
      <w:pPr>
        <w:spacing w:after="240" w:line="276" w:lineRule="auto"/>
        <w:jc w:val="both"/>
        <w:rPr>
          <w:rFonts w:ascii="Arial" w:hAnsi="Arial"/>
          <w:sz w:val="21"/>
          <w:szCs w:val="21"/>
        </w:rPr>
      </w:pPr>
      <w:r w:rsidRPr="00973028">
        <w:rPr>
          <w:rFonts w:ascii="Arial" w:hAnsi="Arial"/>
          <w:sz w:val="21"/>
          <w:szCs w:val="21"/>
        </w:rPr>
        <w:t>La primera sección de la tabla que se muestra a continuación contempla las categorías correspondientes a personas físicas en general, mientras que la segunda parte de la tabla contempla la clasificación por tipos de entidades con personalidad jurídica, además se incluye el porcentaje de denuncias presentadas de forma anónima.</w:t>
      </w:r>
    </w:p>
    <w:p w14:paraId="0585410D" w14:textId="77777777" w:rsidR="005156A0" w:rsidRPr="00973028" w:rsidRDefault="005156A0" w:rsidP="002A47AA">
      <w:pPr>
        <w:spacing w:after="240" w:line="276" w:lineRule="auto"/>
        <w:jc w:val="both"/>
        <w:rPr>
          <w:rFonts w:ascii="Arial" w:hAnsi="Arial"/>
          <w:sz w:val="21"/>
          <w:szCs w:val="21"/>
        </w:rPr>
      </w:pPr>
    </w:p>
    <w:p w14:paraId="5CD37875" w14:textId="2893EE8E" w:rsidR="006D54A8" w:rsidRPr="00973028" w:rsidRDefault="006D54A8" w:rsidP="006D54A8">
      <w:pPr>
        <w:pStyle w:val="Descripcin"/>
        <w:keepNext/>
        <w:rPr>
          <w:rFonts w:ascii="Arial" w:hAnsi="Arial" w:cs="Arial"/>
          <w:smallCaps w:val="0"/>
          <w:sz w:val="18"/>
          <w:szCs w:val="20"/>
        </w:rPr>
      </w:pPr>
      <w:bookmarkStart w:id="63" w:name="_Toc67646347"/>
      <w:r w:rsidRPr="00973028">
        <w:rPr>
          <w:rFonts w:ascii="Arial" w:hAnsi="Arial" w:cs="Arial"/>
          <w:smallCaps w:val="0"/>
          <w:color w:val="9D2235" w:themeColor="accent1"/>
          <w:sz w:val="18"/>
          <w:szCs w:val="20"/>
        </w:rPr>
        <w:t xml:space="preserve">Tabla </w:t>
      </w:r>
      <w:r w:rsidRPr="00973028">
        <w:rPr>
          <w:rFonts w:ascii="Arial" w:hAnsi="Arial" w:cs="Arial"/>
          <w:smallCaps w:val="0"/>
          <w:color w:val="9D2235" w:themeColor="accent1"/>
          <w:sz w:val="18"/>
          <w:szCs w:val="20"/>
        </w:rPr>
        <w:fldChar w:fldCharType="begin"/>
      </w:r>
      <w:r w:rsidRPr="00973028">
        <w:rPr>
          <w:rFonts w:ascii="Arial" w:hAnsi="Arial" w:cs="Arial"/>
          <w:smallCaps w:val="0"/>
          <w:color w:val="9D2235" w:themeColor="accent1"/>
          <w:sz w:val="18"/>
          <w:szCs w:val="20"/>
        </w:rPr>
        <w:instrText xml:space="preserve"> SEQ Tabla \* ARABIC </w:instrText>
      </w:r>
      <w:r w:rsidRPr="00973028">
        <w:rPr>
          <w:rFonts w:ascii="Arial" w:hAnsi="Arial" w:cs="Arial"/>
          <w:smallCaps w:val="0"/>
          <w:color w:val="9D2235" w:themeColor="accent1"/>
          <w:sz w:val="18"/>
          <w:szCs w:val="20"/>
        </w:rPr>
        <w:fldChar w:fldCharType="separate"/>
      </w:r>
      <w:r w:rsidR="00ED7F0D">
        <w:rPr>
          <w:rFonts w:ascii="Arial" w:hAnsi="Arial" w:cs="Arial"/>
          <w:smallCaps w:val="0"/>
          <w:noProof/>
          <w:color w:val="9D2235" w:themeColor="accent1"/>
          <w:sz w:val="18"/>
          <w:szCs w:val="20"/>
        </w:rPr>
        <w:t>10</w:t>
      </w:r>
      <w:r w:rsidRPr="00973028">
        <w:rPr>
          <w:rFonts w:ascii="Arial" w:hAnsi="Arial" w:cs="Arial"/>
          <w:smallCaps w:val="0"/>
          <w:color w:val="9D2235" w:themeColor="accent1"/>
          <w:sz w:val="18"/>
          <w:szCs w:val="20"/>
        </w:rPr>
        <w:fldChar w:fldCharType="end"/>
      </w:r>
      <w:r w:rsidR="00C61126">
        <w:rPr>
          <w:rFonts w:ascii="Arial" w:hAnsi="Arial" w:cs="Arial"/>
          <w:smallCaps w:val="0"/>
          <w:color w:val="9D2235" w:themeColor="accent1"/>
          <w:sz w:val="18"/>
          <w:szCs w:val="20"/>
        </w:rPr>
        <w:t>.</w:t>
      </w:r>
      <w:r w:rsidRPr="00973028">
        <w:rPr>
          <w:rFonts w:ascii="Arial" w:hAnsi="Arial" w:cs="Arial"/>
          <w:smallCaps w:val="0"/>
          <w:color w:val="9D2235" w:themeColor="accent1"/>
          <w:sz w:val="18"/>
          <w:szCs w:val="20"/>
        </w:rPr>
        <w:t xml:space="preserve"> </w:t>
      </w:r>
      <w:r w:rsidRPr="00973028">
        <w:rPr>
          <w:rFonts w:ascii="Arial" w:hAnsi="Arial" w:cs="Arial"/>
          <w:smallCaps w:val="0"/>
          <w:sz w:val="18"/>
          <w:szCs w:val="20"/>
        </w:rPr>
        <w:t>Denuncias presentadas según la tipología, condición o naturaleza del comunicante</w:t>
      </w:r>
      <w:bookmarkEnd w:id="63"/>
    </w:p>
    <w:tbl>
      <w:tblPr>
        <w:tblW w:w="8495" w:type="dxa"/>
        <w:tblInd w:w="80" w:type="dxa"/>
        <w:tblLayout w:type="fixed"/>
        <w:tblCellMar>
          <w:left w:w="70" w:type="dxa"/>
          <w:right w:w="70" w:type="dxa"/>
        </w:tblCellMar>
        <w:tblLook w:val="04A0" w:firstRow="1" w:lastRow="0" w:firstColumn="1" w:lastColumn="0" w:noHBand="0" w:noVBand="1"/>
      </w:tblPr>
      <w:tblGrid>
        <w:gridCol w:w="2144"/>
        <w:gridCol w:w="681"/>
        <w:gridCol w:w="851"/>
        <w:gridCol w:w="709"/>
        <w:gridCol w:w="850"/>
        <w:gridCol w:w="709"/>
        <w:gridCol w:w="850"/>
        <w:gridCol w:w="709"/>
        <w:gridCol w:w="992"/>
      </w:tblGrid>
      <w:tr w:rsidR="008145AC" w:rsidRPr="00973028" w14:paraId="0D8B5422" w14:textId="77777777" w:rsidTr="00FD7950">
        <w:trPr>
          <w:trHeight w:hRule="exact" w:val="454"/>
        </w:trPr>
        <w:tc>
          <w:tcPr>
            <w:tcW w:w="2144" w:type="dxa"/>
            <w:tcBorders>
              <w:top w:val="single" w:sz="8" w:space="0" w:color="auto"/>
              <w:left w:val="single" w:sz="8" w:space="0" w:color="auto"/>
              <w:bottom w:val="single" w:sz="4" w:space="0" w:color="auto"/>
              <w:right w:val="single" w:sz="4" w:space="0" w:color="auto"/>
            </w:tcBorders>
            <w:shd w:val="clear" w:color="auto" w:fill="9D2235" w:themeFill="accent1"/>
            <w:noWrap/>
            <w:vAlign w:val="center"/>
            <w:hideMark/>
          </w:tcPr>
          <w:p w14:paraId="015C3EBA" w14:textId="77777777" w:rsidR="002C0DE6" w:rsidRPr="000F4B9E" w:rsidRDefault="002C0DE6" w:rsidP="002A4453">
            <w:pPr>
              <w:rPr>
                <w:rFonts w:ascii="Arial" w:eastAsia="Times New Roman" w:hAnsi="Arial" w:cs="Arial"/>
                <w:b/>
                <w:bCs/>
                <w:color w:val="FFFFFF" w:themeColor="background1"/>
                <w:sz w:val="18"/>
                <w:szCs w:val="18"/>
                <w:lang w:eastAsia="es-ES"/>
              </w:rPr>
            </w:pPr>
            <w:r w:rsidRPr="000F4B9E">
              <w:rPr>
                <w:rFonts w:ascii="Arial" w:eastAsia="Times New Roman" w:hAnsi="Arial" w:cs="Arial"/>
                <w:b/>
                <w:bCs/>
                <w:color w:val="FFFFFF" w:themeColor="background1"/>
                <w:sz w:val="18"/>
                <w:szCs w:val="18"/>
                <w:lang w:eastAsia="es-ES"/>
              </w:rPr>
              <w:t> </w:t>
            </w:r>
          </w:p>
        </w:tc>
        <w:tc>
          <w:tcPr>
            <w:tcW w:w="681" w:type="dxa"/>
            <w:tcBorders>
              <w:top w:val="single" w:sz="8" w:space="0" w:color="auto"/>
              <w:left w:val="nil"/>
              <w:bottom w:val="single" w:sz="4" w:space="0" w:color="auto"/>
              <w:right w:val="single" w:sz="4" w:space="0" w:color="auto"/>
            </w:tcBorders>
            <w:shd w:val="clear" w:color="auto" w:fill="9D2235" w:themeFill="accent1"/>
            <w:noWrap/>
            <w:vAlign w:val="bottom"/>
            <w:hideMark/>
          </w:tcPr>
          <w:p w14:paraId="4ADF0437"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2017</w:t>
            </w:r>
          </w:p>
        </w:tc>
        <w:tc>
          <w:tcPr>
            <w:tcW w:w="851" w:type="dxa"/>
            <w:tcBorders>
              <w:top w:val="single" w:sz="8" w:space="0" w:color="auto"/>
              <w:left w:val="nil"/>
              <w:bottom w:val="single" w:sz="4" w:space="0" w:color="auto"/>
              <w:right w:val="single" w:sz="4" w:space="0" w:color="auto"/>
            </w:tcBorders>
            <w:shd w:val="clear" w:color="auto" w:fill="9D2235" w:themeFill="accent1"/>
            <w:noWrap/>
            <w:vAlign w:val="bottom"/>
            <w:hideMark/>
          </w:tcPr>
          <w:p w14:paraId="68B196FC"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2017%</w:t>
            </w:r>
          </w:p>
        </w:tc>
        <w:tc>
          <w:tcPr>
            <w:tcW w:w="709" w:type="dxa"/>
            <w:tcBorders>
              <w:top w:val="single" w:sz="8" w:space="0" w:color="auto"/>
              <w:left w:val="nil"/>
              <w:bottom w:val="single" w:sz="4" w:space="0" w:color="auto"/>
              <w:right w:val="single" w:sz="4" w:space="0" w:color="auto"/>
            </w:tcBorders>
            <w:shd w:val="clear" w:color="auto" w:fill="9D2235" w:themeFill="accent1"/>
            <w:noWrap/>
            <w:vAlign w:val="bottom"/>
            <w:hideMark/>
          </w:tcPr>
          <w:p w14:paraId="7FFA2127"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2018</w:t>
            </w:r>
          </w:p>
        </w:tc>
        <w:tc>
          <w:tcPr>
            <w:tcW w:w="850" w:type="dxa"/>
            <w:tcBorders>
              <w:top w:val="single" w:sz="8" w:space="0" w:color="auto"/>
              <w:left w:val="nil"/>
              <w:bottom w:val="single" w:sz="4" w:space="0" w:color="auto"/>
              <w:right w:val="single" w:sz="4" w:space="0" w:color="auto"/>
            </w:tcBorders>
            <w:shd w:val="clear" w:color="auto" w:fill="9D2235" w:themeFill="accent1"/>
            <w:noWrap/>
            <w:vAlign w:val="bottom"/>
            <w:hideMark/>
          </w:tcPr>
          <w:p w14:paraId="39D6CCAE"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2018%</w:t>
            </w:r>
          </w:p>
        </w:tc>
        <w:tc>
          <w:tcPr>
            <w:tcW w:w="709" w:type="dxa"/>
            <w:tcBorders>
              <w:top w:val="single" w:sz="8" w:space="0" w:color="auto"/>
              <w:left w:val="nil"/>
              <w:bottom w:val="single" w:sz="4" w:space="0" w:color="auto"/>
              <w:right w:val="single" w:sz="4" w:space="0" w:color="auto"/>
            </w:tcBorders>
            <w:shd w:val="clear" w:color="auto" w:fill="9D2235" w:themeFill="accent1"/>
            <w:noWrap/>
            <w:vAlign w:val="bottom"/>
            <w:hideMark/>
          </w:tcPr>
          <w:p w14:paraId="0076FE44"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2019</w:t>
            </w:r>
          </w:p>
        </w:tc>
        <w:tc>
          <w:tcPr>
            <w:tcW w:w="850" w:type="dxa"/>
            <w:tcBorders>
              <w:top w:val="single" w:sz="8" w:space="0" w:color="auto"/>
              <w:left w:val="nil"/>
              <w:bottom w:val="single" w:sz="4" w:space="0" w:color="auto"/>
              <w:right w:val="single" w:sz="4" w:space="0" w:color="auto"/>
            </w:tcBorders>
            <w:shd w:val="clear" w:color="auto" w:fill="9D2235" w:themeFill="accent1"/>
            <w:noWrap/>
            <w:vAlign w:val="bottom"/>
            <w:hideMark/>
          </w:tcPr>
          <w:p w14:paraId="70051C04"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2019%</w:t>
            </w:r>
          </w:p>
        </w:tc>
        <w:tc>
          <w:tcPr>
            <w:tcW w:w="709" w:type="dxa"/>
            <w:tcBorders>
              <w:top w:val="single" w:sz="8" w:space="0" w:color="auto"/>
              <w:left w:val="nil"/>
              <w:bottom w:val="single" w:sz="4" w:space="0" w:color="auto"/>
              <w:right w:val="single" w:sz="4" w:space="0" w:color="auto"/>
            </w:tcBorders>
            <w:shd w:val="clear" w:color="auto" w:fill="9D2235" w:themeFill="accent1"/>
            <w:noWrap/>
            <w:vAlign w:val="bottom"/>
            <w:hideMark/>
          </w:tcPr>
          <w:p w14:paraId="0F10B0D4"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2020</w:t>
            </w:r>
          </w:p>
        </w:tc>
        <w:tc>
          <w:tcPr>
            <w:tcW w:w="992" w:type="dxa"/>
            <w:tcBorders>
              <w:top w:val="single" w:sz="8" w:space="0" w:color="auto"/>
              <w:left w:val="nil"/>
              <w:bottom w:val="single" w:sz="4" w:space="0" w:color="auto"/>
              <w:right w:val="single" w:sz="8" w:space="0" w:color="auto"/>
            </w:tcBorders>
            <w:shd w:val="clear" w:color="auto" w:fill="9D2235" w:themeFill="accent1"/>
            <w:noWrap/>
            <w:vAlign w:val="bottom"/>
            <w:hideMark/>
          </w:tcPr>
          <w:p w14:paraId="0E5C7F46"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2020%</w:t>
            </w:r>
          </w:p>
        </w:tc>
      </w:tr>
      <w:tr w:rsidR="002C0DE6" w:rsidRPr="00973028" w14:paraId="426D0D44" w14:textId="77777777" w:rsidTr="00FD7950">
        <w:trPr>
          <w:trHeight w:hRule="exact" w:val="454"/>
        </w:trPr>
        <w:tc>
          <w:tcPr>
            <w:tcW w:w="2144" w:type="dxa"/>
            <w:tcBorders>
              <w:top w:val="nil"/>
              <w:left w:val="single" w:sz="8" w:space="0" w:color="auto"/>
              <w:bottom w:val="single" w:sz="4" w:space="0" w:color="auto"/>
              <w:right w:val="single" w:sz="4" w:space="0" w:color="auto"/>
            </w:tcBorders>
            <w:shd w:val="clear" w:color="auto" w:fill="auto"/>
            <w:noWrap/>
            <w:vAlign w:val="bottom"/>
            <w:hideMark/>
          </w:tcPr>
          <w:p w14:paraId="35275C91" w14:textId="77777777" w:rsidR="002C0DE6" w:rsidRPr="000F4B9E" w:rsidRDefault="002C0DE6" w:rsidP="002A4453">
            <w:pPr>
              <w:rPr>
                <w:rFonts w:ascii="Arial" w:eastAsia="Times New Roman" w:hAnsi="Arial" w:cs="Arial"/>
                <w:color w:val="000000"/>
                <w:sz w:val="18"/>
                <w:szCs w:val="18"/>
                <w:lang w:eastAsia="es-ES"/>
              </w:rPr>
            </w:pPr>
            <w:r w:rsidRPr="000F4B9E">
              <w:rPr>
                <w:rFonts w:ascii="Arial" w:eastAsia="Times New Roman" w:hAnsi="Arial" w:cs="Arial"/>
                <w:color w:val="000000"/>
                <w:sz w:val="18"/>
                <w:szCs w:val="18"/>
                <w:lang w:eastAsia="es-ES"/>
              </w:rPr>
              <w:t>Cargo político</w:t>
            </w:r>
          </w:p>
        </w:tc>
        <w:tc>
          <w:tcPr>
            <w:tcW w:w="681" w:type="dxa"/>
            <w:tcBorders>
              <w:top w:val="nil"/>
              <w:left w:val="nil"/>
              <w:bottom w:val="single" w:sz="4" w:space="0" w:color="auto"/>
              <w:right w:val="single" w:sz="4" w:space="0" w:color="auto"/>
            </w:tcBorders>
            <w:shd w:val="clear" w:color="auto" w:fill="auto"/>
            <w:noWrap/>
            <w:vAlign w:val="bottom"/>
            <w:hideMark/>
          </w:tcPr>
          <w:p w14:paraId="4216F3B4"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w:t>
            </w:r>
          </w:p>
        </w:tc>
        <w:tc>
          <w:tcPr>
            <w:tcW w:w="851" w:type="dxa"/>
            <w:tcBorders>
              <w:top w:val="nil"/>
              <w:left w:val="nil"/>
              <w:bottom w:val="single" w:sz="4" w:space="0" w:color="auto"/>
              <w:right w:val="single" w:sz="4" w:space="0" w:color="auto"/>
            </w:tcBorders>
            <w:shd w:val="clear" w:color="auto" w:fill="auto"/>
            <w:noWrap/>
            <w:vAlign w:val="bottom"/>
            <w:hideMark/>
          </w:tcPr>
          <w:p w14:paraId="05900FBE"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5,71%</w:t>
            </w:r>
          </w:p>
        </w:tc>
        <w:tc>
          <w:tcPr>
            <w:tcW w:w="709" w:type="dxa"/>
            <w:tcBorders>
              <w:top w:val="nil"/>
              <w:left w:val="nil"/>
              <w:bottom w:val="single" w:sz="4" w:space="0" w:color="auto"/>
              <w:right w:val="single" w:sz="4" w:space="0" w:color="auto"/>
            </w:tcBorders>
            <w:shd w:val="clear" w:color="auto" w:fill="auto"/>
            <w:noWrap/>
            <w:vAlign w:val="bottom"/>
            <w:hideMark/>
          </w:tcPr>
          <w:p w14:paraId="02B8AD37"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18</w:t>
            </w:r>
          </w:p>
        </w:tc>
        <w:tc>
          <w:tcPr>
            <w:tcW w:w="850" w:type="dxa"/>
            <w:tcBorders>
              <w:top w:val="nil"/>
              <w:left w:val="nil"/>
              <w:bottom w:val="single" w:sz="4" w:space="0" w:color="auto"/>
              <w:right w:val="single" w:sz="4" w:space="0" w:color="auto"/>
            </w:tcBorders>
            <w:shd w:val="clear" w:color="auto" w:fill="auto"/>
            <w:noWrap/>
            <w:vAlign w:val="bottom"/>
            <w:hideMark/>
          </w:tcPr>
          <w:p w14:paraId="01D9CB82"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9,94%</w:t>
            </w:r>
          </w:p>
        </w:tc>
        <w:tc>
          <w:tcPr>
            <w:tcW w:w="709" w:type="dxa"/>
            <w:tcBorders>
              <w:top w:val="nil"/>
              <w:left w:val="nil"/>
              <w:bottom w:val="single" w:sz="4" w:space="0" w:color="auto"/>
              <w:right w:val="single" w:sz="4" w:space="0" w:color="auto"/>
            </w:tcBorders>
            <w:shd w:val="clear" w:color="auto" w:fill="auto"/>
            <w:noWrap/>
            <w:vAlign w:val="bottom"/>
            <w:hideMark/>
          </w:tcPr>
          <w:p w14:paraId="1B60FA5F"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11</w:t>
            </w:r>
          </w:p>
        </w:tc>
        <w:tc>
          <w:tcPr>
            <w:tcW w:w="850" w:type="dxa"/>
            <w:tcBorders>
              <w:top w:val="nil"/>
              <w:left w:val="nil"/>
              <w:bottom w:val="single" w:sz="4" w:space="0" w:color="auto"/>
              <w:right w:val="single" w:sz="4" w:space="0" w:color="auto"/>
            </w:tcBorders>
            <w:shd w:val="clear" w:color="auto" w:fill="auto"/>
            <w:noWrap/>
            <w:vAlign w:val="bottom"/>
            <w:hideMark/>
          </w:tcPr>
          <w:p w14:paraId="7271C534"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6,55%</w:t>
            </w:r>
          </w:p>
        </w:tc>
        <w:tc>
          <w:tcPr>
            <w:tcW w:w="709" w:type="dxa"/>
            <w:tcBorders>
              <w:top w:val="nil"/>
              <w:left w:val="nil"/>
              <w:bottom w:val="single" w:sz="4" w:space="0" w:color="auto"/>
              <w:right w:val="single" w:sz="4" w:space="0" w:color="auto"/>
            </w:tcBorders>
            <w:shd w:val="clear" w:color="auto" w:fill="auto"/>
            <w:noWrap/>
            <w:vAlign w:val="bottom"/>
            <w:hideMark/>
          </w:tcPr>
          <w:p w14:paraId="11A74505"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13</w:t>
            </w:r>
          </w:p>
        </w:tc>
        <w:tc>
          <w:tcPr>
            <w:tcW w:w="992" w:type="dxa"/>
            <w:tcBorders>
              <w:top w:val="nil"/>
              <w:left w:val="nil"/>
              <w:bottom w:val="single" w:sz="4" w:space="0" w:color="auto"/>
              <w:right w:val="single" w:sz="8" w:space="0" w:color="auto"/>
            </w:tcBorders>
            <w:shd w:val="clear" w:color="auto" w:fill="auto"/>
            <w:noWrap/>
            <w:vAlign w:val="bottom"/>
            <w:hideMark/>
          </w:tcPr>
          <w:p w14:paraId="590F7E4C"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5,75%</w:t>
            </w:r>
          </w:p>
        </w:tc>
      </w:tr>
      <w:tr w:rsidR="002C0DE6" w:rsidRPr="00973028" w14:paraId="24A2461E" w14:textId="77777777" w:rsidTr="00FD7950">
        <w:trPr>
          <w:trHeight w:hRule="exact" w:val="454"/>
        </w:trPr>
        <w:tc>
          <w:tcPr>
            <w:tcW w:w="2144" w:type="dxa"/>
            <w:tcBorders>
              <w:top w:val="nil"/>
              <w:left w:val="single" w:sz="8" w:space="0" w:color="auto"/>
              <w:bottom w:val="single" w:sz="4" w:space="0" w:color="auto"/>
              <w:right w:val="single" w:sz="4" w:space="0" w:color="auto"/>
            </w:tcBorders>
            <w:shd w:val="clear" w:color="auto" w:fill="auto"/>
            <w:noWrap/>
            <w:vAlign w:val="bottom"/>
            <w:hideMark/>
          </w:tcPr>
          <w:p w14:paraId="6CA2B381" w14:textId="77777777" w:rsidR="002C0DE6" w:rsidRPr="000F4B9E" w:rsidRDefault="002C0DE6" w:rsidP="002A4453">
            <w:pPr>
              <w:rPr>
                <w:rFonts w:ascii="Arial" w:eastAsia="Times New Roman" w:hAnsi="Arial" w:cs="Arial"/>
                <w:color w:val="000000"/>
                <w:sz w:val="18"/>
                <w:szCs w:val="18"/>
                <w:lang w:eastAsia="es-ES"/>
              </w:rPr>
            </w:pPr>
            <w:r w:rsidRPr="000F4B9E">
              <w:rPr>
                <w:rFonts w:ascii="Arial" w:eastAsia="Times New Roman" w:hAnsi="Arial" w:cs="Arial"/>
                <w:color w:val="000000"/>
                <w:sz w:val="18"/>
                <w:szCs w:val="18"/>
                <w:lang w:eastAsia="es-ES"/>
              </w:rPr>
              <w:t>Empleado público</w:t>
            </w:r>
          </w:p>
        </w:tc>
        <w:tc>
          <w:tcPr>
            <w:tcW w:w="681" w:type="dxa"/>
            <w:tcBorders>
              <w:top w:val="nil"/>
              <w:left w:val="nil"/>
              <w:bottom w:val="single" w:sz="4" w:space="0" w:color="auto"/>
              <w:right w:val="single" w:sz="4" w:space="0" w:color="auto"/>
            </w:tcBorders>
            <w:shd w:val="clear" w:color="auto" w:fill="auto"/>
            <w:noWrap/>
            <w:vAlign w:val="bottom"/>
            <w:hideMark/>
          </w:tcPr>
          <w:p w14:paraId="38CD58D8"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23</w:t>
            </w:r>
          </w:p>
        </w:tc>
        <w:tc>
          <w:tcPr>
            <w:tcW w:w="851" w:type="dxa"/>
            <w:tcBorders>
              <w:top w:val="nil"/>
              <w:left w:val="nil"/>
              <w:bottom w:val="single" w:sz="4" w:space="0" w:color="auto"/>
              <w:right w:val="single" w:sz="4" w:space="0" w:color="auto"/>
            </w:tcBorders>
            <w:shd w:val="clear" w:color="auto" w:fill="auto"/>
            <w:noWrap/>
            <w:vAlign w:val="bottom"/>
            <w:hideMark/>
          </w:tcPr>
          <w:p w14:paraId="38D62F69"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65,71%</w:t>
            </w:r>
          </w:p>
        </w:tc>
        <w:tc>
          <w:tcPr>
            <w:tcW w:w="709" w:type="dxa"/>
            <w:tcBorders>
              <w:top w:val="nil"/>
              <w:left w:val="nil"/>
              <w:bottom w:val="single" w:sz="4" w:space="0" w:color="auto"/>
              <w:right w:val="single" w:sz="4" w:space="0" w:color="auto"/>
            </w:tcBorders>
            <w:shd w:val="clear" w:color="auto" w:fill="auto"/>
            <w:noWrap/>
            <w:vAlign w:val="bottom"/>
            <w:hideMark/>
          </w:tcPr>
          <w:p w14:paraId="0BE599ED"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28</w:t>
            </w:r>
          </w:p>
        </w:tc>
        <w:tc>
          <w:tcPr>
            <w:tcW w:w="850" w:type="dxa"/>
            <w:tcBorders>
              <w:top w:val="nil"/>
              <w:left w:val="nil"/>
              <w:bottom w:val="single" w:sz="4" w:space="0" w:color="auto"/>
              <w:right w:val="single" w:sz="4" w:space="0" w:color="auto"/>
            </w:tcBorders>
            <w:shd w:val="clear" w:color="auto" w:fill="auto"/>
            <w:noWrap/>
            <w:vAlign w:val="bottom"/>
            <w:hideMark/>
          </w:tcPr>
          <w:p w14:paraId="024ED738"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15,47%</w:t>
            </w:r>
          </w:p>
        </w:tc>
        <w:tc>
          <w:tcPr>
            <w:tcW w:w="709" w:type="dxa"/>
            <w:tcBorders>
              <w:top w:val="nil"/>
              <w:left w:val="nil"/>
              <w:bottom w:val="single" w:sz="4" w:space="0" w:color="auto"/>
              <w:right w:val="single" w:sz="4" w:space="0" w:color="auto"/>
            </w:tcBorders>
            <w:shd w:val="clear" w:color="auto" w:fill="auto"/>
            <w:noWrap/>
            <w:vAlign w:val="bottom"/>
            <w:hideMark/>
          </w:tcPr>
          <w:p w14:paraId="25A322B6"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18</w:t>
            </w:r>
          </w:p>
        </w:tc>
        <w:tc>
          <w:tcPr>
            <w:tcW w:w="850" w:type="dxa"/>
            <w:tcBorders>
              <w:top w:val="nil"/>
              <w:left w:val="nil"/>
              <w:bottom w:val="single" w:sz="4" w:space="0" w:color="auto"/>
              <w:right w:val="single" w:sz="4" w:space="0" w:color="auto"/>
            </w:tcBorders>
            <w:shd w:val="clear" w:color="auto" w:fill="auto"/>
            <w:noWrap/>
            <w:vAlign w:val="bottom"/>
            <w:hideMark/>
          </w:tcPr>
          <w:p w14:paraId="7E776FC4"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10,71%</w:t>
            </w:r>
          </w:p>
        </w:tc>
        <w:tc>
          <w:tcPr>
            <w:tcW w:w="709" w:type="dxa"/>
            <w:tcBorders>
              <w:top w:val="nil"/>
              <w:left w:val="nil"/>
              <w:bottom w:val="single" w:sz="4" w:space="0" w:color="auto"/>
              <w:right w:val="single" w:sz="4" w:space="0" w:color="auto"/>
            </w:tcBorders>
            <w:shd w:val="clear" w:color="auto" w:fill="auto"/>
            <w:noWrap/>
            <w:vAlign w:val="bottom"/>
            <w:hideMark/>
          </w:tcPr>
          <w:p w14:paraId="4707A644"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59</w:t>
            </w:r>
          </w:p>
        </w:tc>
        <w:tc>
          <w:tcPr>
            <w:tcW w:w="992" w:type="dxa"/>
            <w:tcBorders>
              <w:top w:val="nil"/>
              <w:left w:val="nil"/>
              <w:bottom w:val="single" w:sz="4" w:space="0" w:color="auto"/>
              <w:right w:val="single" w:sz="8" w:space="0" w:color="auto"/>
            </w:tcBorders>
            <w:shd w:val="clear" w:color="auto" w:fill="auto"/>
            <w:noWrap/>
            <w:vAlign w:val="bottom"/>
            <w:hideMark/>
          </w:tcPr>
          <w:p w14:paraId="0B82667B"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26,11%</w:t>
            </w:r>
          </w:p>
        </w:tc>
      </w:tr>
      <w:tr w:rsidR="002C0DE6" w:rsidRPr="00973028" w14:paraId="6B8CF31B" w14:textId="77777777" w:rsidTr="00FD7950">
        <w:trPr>
          <w:trHeight w:hRule="exact" w:val="454"/>
        </w:trPr>
        <w:tc>
          <w:tcPr>
            <w:tcW w:w="2144" w:type="dxa"/>
            <w:tcBorders>
              <w:top w:val="nil"/>
              <w:left w:val="single" w:sz="8" w:space="0" w:color="auto"/>
              <w:bottom w:val="single" w:sz="4" w:space="0" w:color="auto"/>
              <w:right w:val="single" w:sz="4" w:space="0" w:color="auto"/>
            </w:tcBorders>
            <w:shd w:val="clear" w:color="auto" w:fill="auto"/>
            <w:noWrap/>
            <w:vAlign w:val="bottom"/>
            <w:hideMark/>
          </w:tcPr>
          <w:p w14:paraId="0068A0AE" w14:textId="77777777" w:rsidR="002C0DE6" w:rsidRPr="000F4B9E" w:rsidRDefault="002C0DE6" w:rsidP="002A4453">
            <w:pPr>
              <w:rPr>
                <w:rFonts w:ascii="Arial" w:eastAsia="Times New Roman" w:hAnsi="Arial" w:cs="Arial"/>
                <w:color w:val="000000"/>
                <w:sz w:val="18"/>
                <w:szCs w:val="18"/>
                <w:lang w:eastAsia="es-ES"/>
              </w:rPr>
            </w:pPr>
            <w:r w:rsidRPr="000F4B9E">
              <w:rPr>
                <w:rFonts w:ascii="Arial" w:eastAsia="Times New Roman" w:hAnsi="Arial" w:cs="Arial"/>
                <w:color w:val="000000"/>
                <w:sz w:val="18"/>
                <w:szCs w:val="18"/>
                <w:lang w:eastAsia="es-ES"/>
              </w:rPr>
              <w:t>Particular</w:t>
            </w:r>
          </w:p>
        </w:tc>
        <w:tc>
          <w:tcPr>
            <w:tcW w:w="681" w:type="dxa"/>
            <w:tcBorders>
              <w:top w:val="nil"/>
              <w:left w:val="nil"/>
              <w:bottom w:val="single" w:sz="4" w:space="0" w:color="auto"/>
              <w:right w:val="single" w:sz="4" w:space="0" w:color="auto"/>
            </w:tcBorders>
            <w:shd w:val="clear" w:color="auto" w:fill="auto"/>
            <w:noWrap/>
            <w:vAlign w:val="bottom"/>
            <w:hideMark/>
          </w:tcPr>
          <w:p w14:paraId="48E8D408"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5</w:t>
            </w:r>
          </w:p>
        </w:tc>
        <w:tc>
          <w:tcPr>
            <w:tcW w:w="851" w:type="dxa"/>
            <w:tcBorders>
              <w:top w:val="nil"/>
              <w:left w:val="nil"/>
              <w:bottom w:val="single" w:sz="4" w:space="0" w:color="auto"/>
              <w:right w:val="single" w:sz="4" w:space="0" w:color="auto"/>
            </w:tcBorders>
            <w:shd w:val="clear" w:color="auto" w:fill="auto"/>
            <w:noWrap/>
            <w:vAlign w:val="bottom"/>
            <w:hideMark/>
          </w:tcPr>
          <w:p w14:paraId="271AFFD1"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14,29%</w:t>
            </w:r>
          </w:p>
        </w:tc>
        <w:tc>
          <w:tcPr>
            <w:tcW w:w="709" w:type="dxa"/>
            <w:tcBorders>
              <w:top w:val="nil"/>
              <w:left w:val="nil"/>
              <w:bottom w:val="single" w:sz="4" w:space="0" w:color="auto"/>
              <w:right w:val="single" w:sz="4" w:space="0" w:color="auto"/>
            </w:tcBorders>
            <w:shd w:val="clear" w:color="auto" w:fill="auto"/>
            <w:noWrap/>
            <w:vAlign w:val="bottom"/>
            <w:hideMark/>
          </w:tcPr>
          <w:p w14:paraId="51D4ACAC"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29</w:t>
            </w:r>
          </w:p>
        </w:tc>
        <w:tc>
          <w:tcPr>
            <w:tcW w:w="850" w:type="dxa"/>
            <w:tcBorders>
              <w:top w:val="nil"/>
              <w:left w:val="nil"/>
              <w:bottom w:val="single" w:sz="4" w:space="0" w:color="auto"/>
              <w:right w:val="single" w:sz="4" w:space="0" w:color="auto"/>
            </w:tcBorders>
            <w:shd w:val="clear" w:color="auto" w:fill="auto"/>
            <w:noWrap/>
            <w:vAlign w:val="bottom"/>
            <w:hideMark/>
          </w:tcPr>
          <w:p w14:paraId="66F121B7"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16,02%</w:t>
            </w:r>
          </w:p>
        </w:tc>
        <w:tc>
          <w:tcPr>
            <w:tcW w:w="709" w:type="dxa"/>
            <w:tcBorders>
              <w:top w:val="nil"/>
              <w:left w:val="nil"/>
              <w:bottom w:val="single" w:sz="4" w:space="0" w:color="auto"/>
              <w:right w:val="single" w:sz="4" w:space="0" w:color="auto"/>
            </w:tcBorders>
            <w:shd w:val="clear" w:color="auto" w:fill="auto"/>
            <w:noWrap/>
            <w:vAlign w:val="bottom"/>
            <w:hideMark/>
          </w:tcPr>
          <w:p w14:paraId="4BA76483"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45</w:t>
            </w:r>
          </w:p>
        </w:tc>
        <w:tc>
          <w:tcPr>
            <w:tcW w:w="850" w:type="dxa"/>
            <w:tcBorders>
              <w:top w:val="nil"/>
              <w:left w:val="nil"/>
              <w:bottom w:val="single" w:sz="4" w:space="0" w:color="auto"/>
              <w:right w:val="single" w:sz="4" w:space="0" w:color="auto"/>
            </w:tcBorders>
            <w:shd w:val="clear" w:color="auto" w:fill="auto"/>
            <w:noWrap/>
            <w:vAlign w:val="bottom"/>
            <w:hideMark/>
          </w:tcPr>
          <w:p w14:paraId="6FC7D92B"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26,79%</w:t>
            </w:r>
          </w:p>
        </w:tc>
        <w:tc>
          <w:tcPr>
            <w:tcW w:w="709" w:type="dxa"/>
            <w:tcBorders>
              <w:top w:val="nil"/>
              <w:left w:val="nil"/>
              <w:bottom w:val="single" w:sz="4" w:space="0" w:color="auto"/>
              <w:right w:val="single" w:sz="4" w:space="0" w:color="auto"/>
            </w:tcBorders>
            <w:shd w:val="clear" w:color="auto" w:fill="auto"/>
            <w:noWrap/>
            <w:vAlign w:val="bottom"/>
            <w:hideMark/>
          </w:tcPr>
          <w:p w14:paraId="60E32FD2"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48</w:t>
            </w:r>
          </w:p>
        </w:tc>
        <w:tc>
          <w:tcPr>
            <w:tcW w:w="992" w:type="dxa"/>
            <w:tcBorders>
              <w:top w:val="nil"/>
              <w:left w:val="nil"/>
              <w:bottom w:val="single" w:sz="4" w:space="0" w:color="auto"/>
              <w:right w:val="single" w:sz="8" w:space="0" w:color="auto"/>
            </w:tcBorders>
            <w:shd w:val="clear" w:color="auto" w:fill="auto"/>
            <w:noWrap/>
            <w:vAlign w:val="bottom"/>
            <w:hideMark/>
          </w:tcPr>
          <w:p w14:paraId="06AE6608"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21,24%</w:t>
            </w:r>
          </w:p>
        </w:tc>
      </w:tr>
      <w:tr w:rsidR="002C0DE6" w:rsidRPr="00973028" w14:paraId="6B9089B9" w14:textId="77777777" w:rsidTr="00FD7950">
        <w:trPr>
          <w:trHeight w:hRule="exact" w:val="454"/>
        </w:trPr>
        <w:tc>
          <w:tcPr>
            <w:tcW w:w="2144" w:type="dxa"/>
            <w:tcBorders>
              <w:top w:val="nil"/>
              <w:left w:val="single" w:sz="8" w:space="0" w:color="auto"/>
              <w:bottom w:val="single" w:sz="4" w:space="0" w:color="auto"/>
              <w:right w:val="single" w:sz="4" w:space="0" w:color="auto"/>
            </w:tcBorders>
            <w:shd w:val="clear" w:color="000000" w:fill="D1C6C0"/>
            <w:noWrap/>
            <w:vAlign w:val="bottom"/>
            <w:hideMark/>
          </w:tcPr>
          <w:p w14:paraId="1957477A" w14:textId="77777777" w:rsidR="002C0DE6" w:rsidRPr="000F4B9E" w:rsidRDefault="002C0DE6" w:rsidP="002A4453">
            <w:pPr>
              <w:rPr>
                <w:rFonts w:ascii="Arial" w:eastAsia="Times New Roman" w:hAnsi="Arial" w:cs="Arial"/>
                <w:b/>
                <w:bCs/>
                <w:color w:val="000000"/>
                <w:sz w:val="18"/>
                <w:szCs w:val="18"/>
                <w:lang w:eastAsia="es-ES"/>
              </w:rPr>
            </w:pPr>
            <w:r w:rsidRPr="000F4B9E">
              <w:rPr>
                <w:rFonts w:ascii="Arial" w:eastAsia="Times New Roman" w:hAnsi="Arial" w:cs="Arial"/>
                <w:b/>
                <w:bCs/>
                <w:color w:val="000000"/>
                <w:sz w:val="18"/>
                <w:szCs w:val="18"/>
                <w:lang w:eastAsia="es-ES"/>
              </w:rPr>
              <w:t>Persona física</w:t>
            </w:r>
          </w:p>
        </w:tc>
        <w:tc>
          <w:tcPr>
            <w:tcW w:w="681" w:type="dxa"/>
            <w:tcBorders>
              <w:top w:val="nil"/>
              <w:left w:val="nil"/>
              <w:bottom w:val="single" w:sz="4" w:space="0" w:color="auto"/>
              <w:right w:val="single" w:sz="4" w:space="0" w:color="auto"/>
            </w:tcBorders>
            <w:shd w:val="clear" w:color="000000" w:fill="D1C6C0"/>
            <w:noWrap/>
            <w:vAlign w:val="bottom"/>
            <w:hideMark/>
          </w:tcPr>
          <w:p w14:paraId="445DBFC1"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30</w:t>
            </w:r>
          </w:p>
        </w:tc>
        <w:tc>
          <w:tcPr>
            <w:tcW w:w="851" w:type="dxa"/>
            <w:tcBorders>
              <w:top w:val="nil"/>
              <w:left w:val="nil"/>
              <w:bottom w:val="single" w:sz="4" w:space="0" w:color="auto"/>
              <w:right w:val="single" w:sz="4" w:space="0" w:color="auto"/>
            </w:tcBorders>
            <w:shd w:val="clear" w:color="000000" w:fill="D1C6C0"/>
            <w:noWrap/>
            <w:vAlign w:val="bottom"/>
            <w:hideMark/>
          </w:tcPr>
          <w:p w14:paraId="5B921DF0"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85,71%</w:t>
            </w:r>
          </w:p>
        </w:tc>
        <w:tc>
          <w:tcPr>
            <w:tcW w:w="709" w:type="dxa"/>
            <w:tcBorders>
              <w:top w:val="nil"/>
              <w:left w:val="nil"/>
              <w:bottom w:val="single" w:sz="4" w:space="0" w:color="auto"/>
              <w:right w:val="single" w:sz="4" w:space="0" w:color="auto"/>
            </w:tcBorders>
            <w:shd w:val="clear" w:color="000000" w:fill="D1C6C0"/>
            <w:noWrap/>
            <w:vAlign w:val="bottom"/>
            <w:hideMark/>
          </w:tcPr>
          <w:p w14:paraId="0F935D54"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75</w:t>
            </w:r>
          </w:p>
        </w:tc>
        <w:tc>
          <w:tcPr>
            <w:tcW w:w="850" w:type="dxa"/>
            <w:tcBorders>
              <w:top w:val="nil"/>
              <w:left w:val="nil"/>
              <w:bottom w:val="single" w:sz="4" w:space="0" w:color="auto"/>
              <w:right w:val="single" w:sz="4" w:space="0" w:color="auto"/>
            </w:tcBorders>
            <w:shd w:val="clear" w:color="000000" w:fill="D1C6C0"/>
            <w:noWrap/>
            <w:vAlign w:val="bottom"/>
            <w:hideMark/>
          </w:tcPr>
          <w:p w14:paraId="23700A87"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41,44%</w:t>
            </w:r>
          </w:p>
        </w:tc>
        <w:tc>
          <w:tcPr>
            <w:tcW w:w="709" w:type="dxa"/>
            <w:tcBorders>
              <w:top w:val="nil"/>
              <w:left w:val="nil"/>
              <w:bottom w:val="single" w:sz="4" w:space="0" w:color="auto"/>
              <w:right w:val="single" w:sz="4" w:space="0" w:color="auto"/>
            </w:tcBorders>
            <w:shd w:val="clear" w:color="000000" w:fill="D1C6C0"/>
            <w:noWrap/>
            <w:vAlign w:val="bottom"/>
            <w:hideMark/>
          </w:tcPr>
          <w:p w14:paraId="1C509A90"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74</w:t>
            </w:r>
          </w:p>
        </w:tc>
        <w:tc>
          <w:tcPr>
            <w:tcW w:w="850" w:type="dxa"/>
            <w:tcBorders>
              <w:top w:val="nil"/>
              <w:left w:val="nil"/>
              <w:bottom w:val="single" w:sz="4" w:space="0" w:color="auto"/>
              <w:right w:val="single" w:sz="4" w:space="0" w:color="auto"/>
            </w:tcBorders>
            <w:shd w:val="clear" w:color="000000" w:fill="D1C6C0"/>
            <w:noWrap/>
            <w:vAlign w:val="bottom"/>
            <w:hideMark/>
          </w:tcPr>
          <w:p w14:paraId="5B463EA8"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44,05%</w:t>
            </w:r>
          </w:p>
        </w:tc>
        <w:tc>
          <w:tcPr>
            <w:tcW w:w="709" w:type="dxa"/>
            <w:tcBorders>
              <w:top w:val="nil"/>
              <w:left w:val="nil"/>
              <w:bottom w:val="single" w:sz="4" w:space="0" w:color="auto"/>
              <w:right w:val="single" w:sz="4" w:space="0" w:color="auto"/>
            </w:tcBorders>
            <w:shd w:val="clear" w:color="000000" w:fill="D1C6C0"/>
            <w:noWrap/>
            <w:vAlign w:val="bottom"/>
            <w:hideMark/>
          </w:tcPr>
          <w:p w14:paraId="30DEA3A6"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120</w:t>
            </w:r>
          </w:p>
        </w:tc>
        <w:tc>
          <w:tcPr>
            <w:tcW w:w="992" w:type="dxa"/>
            <w:tcBorders>
              <w:top w:val="nil"/>
              <w:left w:val="nil"/>
              <w:bottom w:val="single" w:sz="4" w:space="0" w:color="auto"/>
              <w:right w:val="single" w:sz="8" w:space="0" w:color="auto"/>
            </w:tcBorders>
            <w:shd w:val="clear" w:color="000000" w:fill="D1C6C0"/>
            <w:noWrap/>
            <w:vAlign w:val="bottom"/>
            <w:hideMark/>
          </w:tcPr>
          <w:p w14:paraId="6838F15E"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53,10%</w:t>
            </w:r>
          </w:p>
        </w:tc>
      </w:tr>
      <w:tr w:rsidR="002C0DE6" w:rsidRPr="00973028" w14:paraId="3ADBD0A7" w14:textId="77777777" w:rsidTr="00FD7950">
        <w:trPr>
          <w:trHeight w:hRule="exact" w:val="454"/>
        </w:trPr>
        <w:tc>
          <w:tcPr>
            <w:tcW w:w="2144" w:type="dxa"/>
            <w:tcBorders>
              <w:top w:val="nil"/>
              <w:left w:val="single" w:sz="8" w:space="0" w:color="auto"/>
              <w:bottom w:val="single" w:sz="4" w:space="0" w:color="auto"/>
              <w:right w:val="single" w:sz="4" w:space="0" w:color="auto"/>
            </w:tcBorders>
            <w:shd w:val="clear" w:color="auto" w:fill="auto"/>
            <w:noWrap/>
            <w:vAlign w:val="bottom"/>
            <w:hideMark/>
          </w:tcPr>
          <w:p w14:paraId="23007199" w14:textId="77777777" w:rsidR="002C0DE6" w:rsidRPr="000F4B9E" w:rsidRDefault="002C0DE6" w:rsidP="002A4453">
            <w:pPr>
              <w:rPr>
                <w:rFonts w:ascii="Arial" w:eastAsia="Times New Roman" w:hAnsi="Arial" w:cs="Arial"/>
                <w:color w:val="000000"/>
                <w:sz w:val="18"/>
                <w:szCs w:val="18"/>
                <w:lang w:eastAsia="es-ES"/>
              </w:rPr>
            </w:pPr>
            <w:r w:rsidRPr="000F4B9E">
              <w:rPr>
                <w:rFonts w:ascii="Arial" w:eastAsia="Times New Roman" w:hAnsi="Arial" w:cs="Arial"/>
                <w:color w:val="000000"/>
                <w:sz w:val="18"/>
                <w:szCs w:val="18"/>
                <w:lang w:eastAsia="es-ES"/>
              </w:rPr>
              <w:t>Asociaciones - ONG</w:t>
            </w:r>
          </w:p>
        </w:tc>
        <w:tc>
          <w:tcPr>
            <w:tcW w:w="681" w:type="dxa"/>
            <w:tcBorders>
              <w:top w:val="nil"/>
              <w:left w:val="nil"/>
              <w:bottom w:val="single" w:sz="4" w:space="0" w:color="auto"/>
              <w:right w:val="single" w:sz="4" w:space="0" w:color="auto"/>
            </w:tcBorders>
            <w:shd w:val="clear" w:color="auto" w:fill="auto"/>
            <w:noWrap/>
            <w:vAlign w:val="bottom"/>
            <w:hideMark/>
          </w:tcPr>
          <w:p w14:paraId="6312C9EE"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w:t>
            </w:r>
          </w:p>
        </w:tc>
        <w:tc>
          <w:tcPr>
            <w:tcW w:w="851" w:type="dxa"/>
            <w:tcBorders>
              <w:top w:val="nil"/>
              <w:left w:val="nil"/>
              <w:bottom w:val="single" w:sz="4" w:space="0" w:color="auto"/>
              <w:right w:val="single" w:sz="4" w:space="0" w:color="auto"/>
            </w:tcBorders>
            <w:shd w:val="clear" w:color="auto" w:fill="auto"/>
            <w:noWrap/>
            <w:vAlign w:val="bottom"/>
            <w:hideMark/>
          </w:tcPr>
          <w:p w14:paraId="62D99703"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2,86%</w:t>
            </w:r>
          </w:p>
        </w:tc>
        <w:tc>
          <w:tcPr>
            <w:tcW w:w="709" w:type="dxa"/>
            <w:tcBorders>
              <w:top w:val="nil"/>
              <w:left w:val="nil"/>
              <w:bottom w:val="single" w:sz="4" w:space="0" w:color="auto"/>
              <w:right w:val="single" w:sz="4" w:space="0" w:color="auto"/>
            </w:tcBorders>
            <w:shd w:val="clear" w:color="auto" w:fill="auto"/>
            <w:noWrap/>
            <w:vAlign w:val="bottom"/>
            <w:hideMark/>
          </w:tcPr>
          <w:p w14:paraId="508328FA"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w:t>
            </w:r>
          </w:p>
        </w:tc>
        <w:tc>
          <w:tcPr>
            <w:tcW w:w="850" w:type="dxa"/>
            <w:tcBorders>
              <w:top w:val="nil"/>
              <w:left w:val="nil"/>
              <w:bottom w:val="single" w:sz="4" w:space="0" w:color="auto"/>
              <w:right w:val="single" w:sz="4" w:space="0" w:color="auto"/>
            </w:tcBorders>
            <w:shd w:val="clear" w:color="auto" w:fill="auto"/>
            <w:noWrap/>
            <w:vAlign w:val="bottom"/>
            <w:hideMark/>
          </w:tcPr>
          <w:p w14:paraId="52C7E552"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0,55%</w:t>
            </w:r>
          </w:p>
        </w:tc>
        <w:tc>
          <w:tcPr>
            <w:tcW w:w="709" w:type="dxa"/>
            <w:tcBorders>
              <w:top w:val="nil"/>
              <w:left w:val="nil"/>
              <w:bottom w:val="single" w:sz="4" w:space="0" w:color="auto"/>
              <w:right w:val="single" w:sz="4" w:space="0" w:color="auto"/>
            </w:tcBorders>
            <w:shd w:val="clear" w:color="auto" w:fill="auto"/>
            <w:noWrap/>
            <w:vAlign w:val="bottom"/>
            <w:hideMark/>
          </w:tcPr>
          <w:p w14:paraId="59B56736"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w:t>
            </w:r>
          </w:p>
        </w:tc>
        <w:tc>
          <w:tcPr>
            <w:tcW w:w="850" w:type="dxa"/>
            <w:tcBorders>
              <w:top w:val="nil"/>
              <w:left w:val="nil"/>
              <w:bottom w:val="single" w:sz="4" w:space="0" w:color="auto"/>
              <w:right w:val="single" w:sz="4" w:space="0" w:color="auto"/>
            </w:tcBorders>
            <w:shd w:val="clear" w:color="auto" w:fill="auto"/>
            <w:noWrap/>
            <w:vAlign w:val="bottom"/>
            <w:hideMark/>
          </w:tcPr>
          <w:p w14:paraId="1F455617"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0,60%</w:t>
            </w:r>
          </w:p>
        </w:tc>
        <w:tc>
          <w:tcPr>
            <w:tcW w:w="709" w:type="dxa"/>
            <w:tcBorders>
              <w:top w:val="nil"/>
              <w:left w:val="nil"/>
              <w:bottom w:val="single" w:sz="4" w:space="0" w:color="auto"/>
              <w:right w:val="single" w:sz="4" w:space="0" w:color="auto"/>
            </w:tcBorders>
            <w:shd w:val="clear" w:color="auto" w:fill="auto"/>
            <w:noWrap/>
            <w:vAlign w:val="bottom"/>
            <w:hideMark/>
          </w:tcPr>
          <w:p w14:paraId="4204712B"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4</w:t>
            </w:r>
          </w:p>
        </w:tc>
        <w:tc>
          <w:tcPr>
            <w:tcW w:w="992" w:type="dxa"/>
            <w:tcBorders>
              <w:top w:val="nil"/>
              <w:left w:val="nil"/>
              <w:bottom w:val="single" w:sz="4" w:space="0" w:color="auto"/>
              <w:right w:val="single" w:sz="8" w:space="0" w:color="auto"/>
            </w:tcBorders>
            <w:shd w:val="clear" w:color="auto" w:fill="auto"/>
            <w:noWrap/>
            <w:vAlign w:val="bottom"/>
            <w:hideMark/>
          </w:tcPr>
          <w:p w14:paraId="3F765D08"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1,77%</w:t>
            </w:r>
          </w:p>
        </w:tc>
      </w:tr>
      <w:tr w:rsidR="002C0DE6" w:rsidRPr="00973028" w14:paraId="7DDCE1A9" w14:textId="77777777" w:rsidTr="00FD7950">
        <w:trPr>
          <w:trHeight w:hRule="exact" w:val="454"/>
        </w:trPr>
        <w:tc>
          <w:tcPr>
            <w:tcW w:w="2144" w:type="dxa"/>
            <w:tcBorders>
              <w:top w:val="nil"/>
              <w:left w:val="single" w:sz="8" w:space="0" w:color="auto"/>
              <w:bottom w:val="single" w:sz="4" w:space="0" w:color="auto"/>
              <w:right w:val="single" w:sz="4" w:space="0" w:color="auto"/>
            </w:tcBorders>
            <w:shd w:val="clear" w:color="auto" w:fill="auto"/>
            <w:noWrap/>
            <w:vAlign w:val="bottom"/>
            <w:hideMark/>
          </w:tcPr>
          <w:p w14:paraId="1DE05ADB" w14:textId="77777777" w:rsidR="002C0DE6" w:rsidRPr="000F4B9E" w:rsidRDefault="002C0DE6" w:rsidP="002A4453">
            <w:pPr>
              <w:rPr>
                <w:rFonts w:ascii="Arial" w:eastAsia="Times New Roman" w:hAnsi="Arial" w:cs="Arial"/>
                <w:color w:val="000000"/>
                <w:sz w:val="18"/>
                <w:szCs w:val="18"/>
                <w:lang w:eastAsia="es-ES"/>
              </w:rPr>
            </w:pPr>
            <w:r w:rsidRPr="000F4B9E">
              <w:rPr>
                <w:rFonts w:ascii="Arial" w:eastAsia="Times New Roman" w:hAnsi="Arial" w:cs="Arial"/>
                <w:color w:val="000000"/>
                <w:sz w:val="18"/>
                <w:szCs w:val="18"/>
                <w:lang w:eastAsia="es-ES"/>
              </w:rPr>
              <w:t>Instituciones</w:t>
            </w:r>
          </w:p>
        </w:tc>
        <w:tc>
          <w:tcPr>
            <w:tcW w:w="681" w:type="dxa"/>
            <w:tcBorders>
              <w:top w:val="nil"/>
              <w:left w:val="nil"/>
              <w:bottom w:val="single" w:sz="4" w:space="0" w:color="auto"/>
              <w:right w:val="single" w:sz="4" w:space="0" w:color="auto"/>
            </w:tcBorders>
            <w:shd w:val="clear" w:color="auto" w:fill="auto"/>
            <w:noWrap/>
            <w:vAlign w:val="bottom"/>
            <w:hideMark/>
          </w:tcPr>
          <w:p w14:paraId="430A4246"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851" w:type="dxa"/>
            <w:tcBorders>
              <w:top w:val="nil"/>
              <w:left w:val="nil"/>
              <w:bottom w:val="single" w:sz="4" w:space="0" w:color="auto"/>
              <w:right w:val="single" w:sz="4" w:space="0" w:color="auto"/>
            </w:tcBorders>
            <w:shd w:val="clear" w:color="auto" w:fill="auto"/>
            <w:noWrap/>
            <w:vAlign w:val="bottom"/>
            <w:hideMark/>
          </w:tcPr>
          <w:p w14:paraId="7B9D528A"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0,00%</w:t>
            </w:r>
          </w:p>
        </w:tc>
        <w:tc>
          <w:tcPr>
            <w:tcW w:w="709" w:type="dxa"/>
            <w:tcBorders>
              <w:top w:val="nil"/>
              <w:left w:val="nil"/>
              <w:bottom w:val="single" w:sz="4" w:space="0" w:color="auto"/>
              <w:right w:val="single" w:sz="4" w:space="0" w:color="auto"/>
            </w:tcBorders>
            <w:shd w:val="clear" w:color="auto" w:fill="auto"/>
            <w:noWrap/>
            <w:vAlign w:val="bottom"/>
            <w:hideMark/>
          </w:tcPr>
          <w:p w14:paraId="5D74738A"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3</w:t>
            </w:r>
          </w:p>
        </w:tc>
        <w:tc>
          <w:tcPr>
            <w:tcW w:w="850" w:type="dxa"/>
            <w:tcBorders>
              <w:top w:val="nil"/>
              <w:left w:val="nil"/>
              <w:bottom w:val="single" w:sz="4" w:space="0" w:color="auto"/>
              <w:right w:val="single" w:sz="4" w:space="0" w:color="auto"/>
            </w:tcBorders>
            <w:shd w:val="clear" w:color="auto" w:fill="auto"/>
            <w:noWrap/>
            <w:vAlign w:val="bottom"/>
            <w:hideMark/>
          </w:tcPr>
          <w:p w14:paraId="57815544"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1,66%</w:t>
            </w:r>
          </w:p>
        </w:tc>
        <w:tc>
          <w:tcPr>
            <w:tcW w:w="709" w:type="dxa"/>
            <w:tcBorders>
              <w:top w:val="nil"/>
              <w:left w:val="nil"/>
              <w:bottom w:val="single" w:sz="4" w:space="0" w:color="auto"/>
              <w:right w:val="single" w:sz="4" w:space="0" w:color="auto"/>
            </w:tcBorders>
            <w:shd w:val="clear" w:color="auto" w:fill="auto"/>
            <w:noWrap/>
            <w:vAlign w:val="bottom"/>
            <w:hideMark/>
          </w:tcPr>
          <w:p w14:paraId="17B0ED45"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850" w:type="dxa"/>
            <w:tcBorders>
              <w:top w:val="nil"/>
              <w:left w:val="nil"/>
              <w:bottom w:val="single" w:sz="4" w:space="0" w:color="auto"/>
              <w:right w:val="single" w:sz="4" w:space="0" w:color="auto"/>
            </w:tcBorders>
            <w:shd w:val="clear" w:color="auto" w:fill="auto"/>
            <w:noWrap/>
            <w:vAlign w:val="bottom"/>
            <w:hideMark/>
          </w:tcPr>
          <w:p w14:paraId="798B2231"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0,00%</w:t>
            </w:r>
          </w:p>
        </w:tc>
        <w:tc>
          <w:tcPr>
            <w:tcW w:w="709" w:type="dxa"/>
            <w:tcBorders>
              <w:top w:val="nil"/>
              <w:left w:val="nil"/>
              <w:bottom w:val="single" w:sz="4" w:space="0" w:color="auto"/>
              <w:right w:val="single" w:sz="4" w:space="0" w:color="auto"/>
            </w:tcBorders>
            <w:shd w:val="clear" w:color="auto" w:fill="auto"/>
            <w:noWrap/>
            <w:vAlign w:val="bottom"/>
            <w:hideMark/>
          </w:tcPr>
          <w:p w14:paraId="69AB9F7E"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3</w:t>
            </w:r>
          </w:p>
        </w:tc>
        <w:tc>
          <w:tcPr>
            <w:tcW w:w="992" w:type="dxa"/>
            <w:tcBorders>
              <w:top w:val="nil"/>
              <w:left w:val="nil"/>
              <w:bottom w:val="single" w:sz="4" w:space="0" w:color="auto"/>
              <w:right w:val="single" w:sz="8" w:space="0" w:color="auto"/>
            </w:tcBorders>
            <w:shd w:val="clear" w:color="auto" w:fill="auto"/>
            <w:noWrap/>
            <w:vAlign w:val="bottom"/>
            <w:hideMark/>
          </w:tcPr>
          <w:p w14:paraId="7812A1FA"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1,33%</w:t>
            </w:r>
          </w:p>
        </w:tc>
      </w:tr>
      <w:tr w:rsidR="002C0DE6" w:rsidRPr="00973028" w14:paraId="44D09297" w14:textId="77777777" w:rsidTr="00FD7950">
        <w:trPr>
          <w:trHeight w:hRule="exact" w:val="454"/>
        </w:trPr>
        <w:tc>
          <w:tcPr>
            <w:tcW w:w="2144" w:type="dxa"/>
            <w:tcBorders>
              <w:top w:val="nil"/>
              <w:left w:val="single" w:sz="8" w:space="0" w:color="auto"/>
              <w:bottom w:val="single" w:sz="4" w:space="0" w:color="auto"/>
              <w:right w:val="single" w:sz="4" w:space="0" w:color="auto"/>
            </w:tcBorders>
            <w:shd w:val="clear" w:color="auto" w:fill="auto"/>
            <w:noWrap/>
            <w:vAlign w:val="bottom"/>
            <w:hideMark/>
          </w:tcPr>
          <w:p w14:paraId="1DCA1BB0" w14:textId="77777777" w:rsidR="002C0DE6" w:rsidRPr="000F4B9E" w:rsidRDefault="002C0DE6" w:rsidP="002A4453">
            <w:pPr>
              <w:rPr>
                <w:rFonts w:ascii="Arial" w:eastAsia="Times New Roman" w:hAnsi="Arial" w:cs="Arial"/>
                <w:color w:val="000000"/>
                <w:sz w:val="18"/>
                <w:szCs w:val="18"/>
                <w:lang w:eastAsia="es-ES"/>
              </w:rPr>
            </w:pPr>
            <w:r w:rsidRPr="000F4B9E">
              <w:rPr>
                <w:rFonts w:ascii="Arial" w:eastAsia="Times New Roman" w:hAnsi="Arial" w:cs="Arial"/>
                <w:color w:val="000000"/>
                <w:sz w:val="18"/>
                <w:szCs w:val="18"/>
                <w:lang w:eastAsia="es-ES"/>
              </w:rPr>
              <w:t>Empresas</w:t>
            </w:r>
          </w:p>
        </w:tc>
        <w:tc>
          <w:tcPr>
            <w:tcW w:w="681" w:type="dxa"/>
            <w:tcBorders>
              <w:top w:val="nil"/>
              <w:left w:val="nil"/>
              <w:bottom w:val="single" w:sz="4" w:space="0" w:color="auto"/>
              <w:right w:val="single" w:sz="4" w:space="0" w:color="auto"/>
            </w:tcBorders>
            <w:shd w:val="clear" w:color="auto" w:fill="auto"/>
            <w:noWrap/>
            <w:vAlign w:val="bottom"/>
            <w:hideMark/>
          </w:tcPr>
          <w:p w14:paraId="6D94FC30"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w:t>
            </w:r>
          </w:p>
        </w:tc>
        <w:tc>
          <w:tcPr>
            <w:tcW w:w="851" w:type="dxa"/>
            <w:tcBorders>
              <w:top w:val="nil"/>
              <w:left w:val="nil"/>
              <w:bottom w:val="single" w:sz="4" w:space="0" w:color="auto"/>
              <w:right w:val="single" w:sz="4" w:space="0" w:color="auto"/>
            </w:tcBorders>
            <w:shd w:val="clear" w:color="auto" w:fill="auto"/>
            <w:noWrap/>
            <w:vAlign w:val="bottom"/>
            <w:hideMark/>
          </w:tcPr>
          <w:p w14:paraId="079BA1B2"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2,86%</w:t>
            </w:r>
          </w:p>
        </w:tc>
        <w:tc>
          <w:tcPr>
            <w:tcW w:w="709" w:type="dxa"/>
            <w:tcBorders>
              <w:top w:val="nil"/>
              <w:left w:val="nil"/>
              <w:bottom w:val="single" w:sz="4" w:space="0" w:color="auto"/>
              <w:right w:val="single" w:sz="4" w:space="0" w:color="auto"/>
            </w:tcBorders>
            <w:shd w:val="clear" w:color="auto" w:fill="auto"/>
            <w:noWrap/>
            <w:vAlign w:val="bottom"/>
            <w:hideMark/>
          </w:tcPr>
          <w:p w14:paraId="7896DEA3"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850" w:type="dxa"/>
            <w:tcBorders>
              <w:top w:val="nil"/>
              <w:left w:val="nil"/>
              <w:bottom w:val="single" w:sz="4" w:space="0" w:color="auto"/>
              <w:right w:val="single" w:sz="4" w:space="0" w:color="auto"/>
            </w:tcBorders>
            <w:shd w:val="clear" w:color="auto" w:fill="auto"/>
            <w:noWrap/>
            <w:vAlign w:val="bottom"/>
            <w:hideMark/>
          </w:tcPr>
          <w:p w14:paraId="4EE7FD2A"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0,00%</w:t>
            </w:r>
          </w:p>
        </w:tc>
        <w:tc>
          <w:tcPr>
            <w:tcW w:w="709" w:type="dxa"/>
            <w:tcBorders>
              <w:top w:val="nil"/>
              <w:left w:val="nil"/>
              <w:bottom w:val="single" w:sz="4" w:space="0" w:color="auto"/>
              <w:right w:val="single" w:sz="4" w:space="0" w:color="auto"/>
            </w:tcBorders>
            <w:shd w:val="clear" w:color="auto" w:fill="auto"/>
            <w:noWrap/>
            <w:vAlign w:val="bottom"/>
            <w:hideMark/>
          </w:tcPr>
          <w:p w14:paraId="34E8081B"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850" w:type="dxa"/>
            <w:tcBorders>
              <w:top w:val="nil"/>
              <w:left w:val="nil"/>
              <w:bottom w:val="single" w:sz="4" w:space="0" w:color="auto"/>
              <w:right w:val="single" w:sz="4" w:space="0" w:color="auto"/>
            </w:tcBorders>
            <w:shd w:val="clear" w:color="auto" w:fill="auto"/>
            <w:noWrap/>
            <w:vAlign w:val="bottom"/>
            <w:hideMark/>
          </w:tcPr>
          <w:p w14:paraId="448BB11A"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0,00%</w:t>
            </w:r>
          </w:p>
        </w:tc>
        <w:tc>
          <w:tcPr>
            <w:tcW w:w="709" w:type="dxa"/>
            <w:tcBorders>
              <w:top w:val="nil"/>
              <w:left w:val="nil"/>
              <w:bottom w:val="single" w:sz="4" w:space="0" w:color="auto"/>
              <w:right w:val="single" w:sz="4" w:space="0" w:color="auto"/>
            </w:tcBorders>
            <w:shd w:val="clear" w:color="auto" w:fill="auto"/>
            <w:noWrap/>
            <w:vAlign w:val="bottom"/>
            <w:hideMark/>
          </w:tcPr>
          <w:p w14:paraId="3E15FC40"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w:t>
            </w:r>
          </w:p>
        </w:tc>
        <w:tc>
          <w:tcPr>
            <w:tcW w:w="992" w:type="dxa"/>
            <w:tcBorders>
              <w:top w:val="nil"/>
              <w:left w:val="nil"/>
              <w:bottom w:val="single" w:sz="4" w:space="0" w:color="auto"/>
              <w:right w:val="single" w:sz="8" w:space="0" w:color="auto"/>
            </w:tcBorders>
            <w:shd w:val="clear" w:color="auto" w:fill="auto"/>
            <w:noWrap/>
            <w:vAlign w:val="bottom"/>
            <w:hideMark/>
          </w:tcPr>
          <w:p w14:paraId="6C7AF9DD"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0,44%</w:t>
            </w:r>
          </w:p>
        </w:tc>
      </w:tr>
      <w:tr w:rsidR="002C0DE6" w:rsidRPr="00973028" w14:paraId="4CDB1082" w14:textId="77777777" w:rsidTr="00FD7950">
        <w:trPr>
          <w:trHeight w:hRule="exact" w:val="454"/>
        </w:trPr>
        <w:tc>
          <w:tcPr>
            <w:tcW w:w="2144" w:type="dxa"/>
            <w:tcBorders>
              <w:top w:val="nil"/>
              <w:left w:val="single" w:sz="8" w:space="0" w:color="auto"/>
              <w:bottom w:val="single" w:sz="4" w:space="0" w:color="auto"/>
              <w:right w:val="single" w:sz="4" w:space="0" w:color="auto"/>
            </w:tcBorders>
            <w:shd w:val="clear" w:color="auto" w:fill="auto"/>
            <w:noWrap/>
            <w:vAlign w:val="bottom"/>
            <w:hideMark/>
          </w:tcPr>
          <w:p w14:paraId="109475B6" w14:textId="77777777" w:rsidR="002C0DE6" w:rsidRPr="000F4B9E" w:rsidRDefault="002C0DE6" w:rsidP="002A4453">
            <w:pPr>
              <w:rPr>
                <w:rFonts w:ascii="Arial" w:eastAsia="Times New Roman" w:hAnsi="Arial" w:cs="Arial"/>
                <w:color w:val="000000"/>
                <w:sz w:val="18"/>
                <w:szCs w:val="18"/>
                <w:lang w:eastAsia="es-ES"/>
              </w:rPr>
            </w:pPr>
            <w:r w:rsidRPr="000F4B9E">
              <w:rPr>
                <w:rFonts w:ascii="Arial" w:eastAsia="Times New Roman" w:hAnsi="Arial" w:cs="Arial"/>
                <w:color w:val="000000"/>
                <w:sz w:val="18"/>
                <w:szCs w:val="18"/>
                <w:lang w:eastAsia="es-ES"/>
              </w:rPr>
              <w:t>Colegios profesionales</w:t>
            </w:r>
          </w:p>
        </w:tc>
        <w:tc>
          <w:tcPr>
            <w:tcW w:w="681" w:type="dxa"/>
            <w:tcBorders>
              <w:top w:val="nil"/>
              <w:left w:val="nil"/>
              <w:bottom w:val="single" w:sz="4" w:space="0" w:color="auto"/>
              <w:right w:val="single" w:sz="4" w:space="0" w:color="auto"/>
            </w:tcBorders>
            <w:shd w:val="clear" w:color="auto" w:fill="auto"/>
            <w:noWrap/>
            <w:vAlign w:val="bottom"/>
            <w:hideMark/>
          </w:tcPr>
          <w:p w14:paraId="2A748C34"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851" w:type="dxa"/>
            <w:tcBorders>
              <w:top w:val="nil"/>
              <w:left w:val="nil"/>
              <w:bottom w:val="single" w:sz="4" w:space="0" w:color="auto"/>
              <w:right w:val="single" w:sz="4" w:space="0" w:color="auto"/>
            </w:tcBorders>
            <w:shd w:val="clear" w:color="auto" w:fill="auto"/>
            <w:noWrap/>
            <w:vAlign w:val="bottom"/>
            <w:hideMark/>
          </w:tcPr>
          <w:p w14:paraId="54336C80"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0,00%</w:t>
            </w:r>
          </w:p>
        </w:tc>
        <w:tc>
          <w:tcPr>
            <w:tcW w:w="709" w:type="dxa"/>
            <w:tcBorders>
              <w:top w:val="nil"/>
              <w:left w:val="nil"/>
              <w:bottom w:val="single" w:sz="4" w:space="0" w:color="auto"/>
              <w:right w:val="single" w:sz="4" w:space="0" w:color="auto"/>
            </w:tcBorders>
            <w:shd w:val="clear" w:color="auto" w:fill="auto"/>
            <w:noWrap/>
            <w:vAlign w:val="bottom"/>
            <w:hideMark/>
          </w:tcPr>
          <w:p w14:paraId="53D63A86"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850" w:type="dxa"/>
            <w:tcBorders>
              <w:top w:val="nil"/>
              <w:left w:val="nil"/>
              <w:bottom w:val="single" w:sz="4" w:space="0" w:color="auto"/>
              <w:right w:val="single" w:sz="4" w:space="0" w:color="auto"/>
            </w:tcBorders>
            <w:shd w:val="clear" w:color="auto" w:fill="auto"/>
            <w:noWrap/>
            <w:vAlign w:val="bottom"/>
            <w:hideMark/>
          </w:tcPr>
          <w:p w14:paraId="5C900038"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0,00%</w:t>
            </w:r>
          </w:p>
        </w:tc>
        <w:tc>
          <w:tcPr>
            <w:tcW w:w="709" w:type="dxa"/>
            <w:tcBorders>
              <w:top w:val="nil"/>
              <w:left w:val="nil"/>
              <w:bottom w:val="single" w:sz="4" w:space="0" w:color="auto"/>
              <w:right w:val="single" w:sz="4" w:space="0" w:color="auto"/>
            </w:tcBorders>
            <w:shd w:val="clear" w:color="auto" w:fill="auto"/>
            <w:noWrap/>
            <w:vAlign w:val="bottom"/>
            <w:hideMark/>
          </w:tcPr>
          <w:p w14:paraId="1B654082"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850" w:type="dxa"/>
            <w:tcBorders>
              <w:top w:val="nil"/>
              <w:left w:val="nil"/>
              <w:bottom w:val="single" w:sz="4" w:space="0" w:color="auto"/>
              <w:right w:val="single" w:sz="4" w:space="0" w:color="auto"/>
            </w:tcBorders>
            <w:shd w:val="clear" w:color="auto" w:fill="auto"/>
            <w:noWrap/>
            <w:vAlign w:val="bottom"/>
            <w:hideMark/>
          </w:tcPr>
          <w:p w14:paraId="16687EBD"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0,00%</w:t>
            </w:r>
          </w:p>
        </w:tc>
        <w:tc>
          <w:tcPr>
            <w:tcW w:w="709" w:type="dxa"/>
            <w:tcBorders>
              <w:top w:val="nil"/>
              <w:left w:val="nil"/>
              <w:bottom w:val="single" w:sz="4" w:space="0" w:color="auto"/>
              <w:right w:val="single" w:sz="4" w:space="0" w:color="auto"/>
            </w:tcBorders>
            <w:shd w:val="clear" w:color="auto" w:fill="auto"/>
            <w:noWrap/>
            <w:vAlign w:val="bottom"/>
            <w:hideMark/>
          </w:tcPr>
          <w:p w14:paraId="41D2E563"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w:t>
            </w:r>
          </w:p>
        </w:tc>
        <w:tc>
          <w:tcPr>
            <w:tcW w:w="992" w:type="dxa"/>
            <w:tcBorders>
              <w:top w:val="nil"/>
              <w:left w:val="nil"/>
              <w:bottom w:val="single" w:sz="4" w:space="0" w:color="auto"/>
              <w:right w:val="single" w:sz="8" w:space="0" w:color="auto"/>
            </w:tcBorders>
            <w:shd w:val="clear" w:color="auto" w:fill="auto"/>
            <w:noWrap/>
            <w:vAlign w:val="bottom"/>
            <w:hideMark/>
          </w:tcPr>
          <w:p w14:paraId="52B6E0CE"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0,44%</w:t>
            </w:r>
          </w:p>
        </w:tc>
      </w:tr>
      <w:tr w:rsidR="002C0DE6" w:rsidRPr="00973028" w14:paraId="6A0E2503" w14:textId="77777777" w:rsidTr="00FD7950">
        <w:trPr>
          <w:trHeight w:hRule="exact" w:val="454"/>
        </w:trPr>
        <w:tc>
          <w:tcPr>
            <w:tcW w:w="2144" w:type="dxa"/>
            <w:tcBorders>
              <w:top w:val="nil"/>
              <w:left w:val="single" w:sz="8" w:space="0" w:color="auto"/>
              <w:bottom w:val="single" w:sz="4" w:space="0" w:color="auto"/>
              <w:right w:val="single" w:sz="4" w:space="0" w:color="auto"/>
            </w:tcBorders>
            <w:shd w:val="clear" w:color="auto" w:fill="auto"/>
            <w:noWrap/>
            <w:vAlign w:val="bottom"/>
            <w:hideMark/>
          </w:tcPr>
          <w:p w14:paraId="0B15249F" w14:textId="77777777" w:rsidR="002C0DE6" w:rsidRPr="000F4B9E" w:rsidRDefault="002C0DE6" w:rsidP="002A4453">
            <w:pPr>
              <w:rPr>
                <w:rFonts w:ascii="Arial" w:eastAsia="Times New Roman" w:hAnsi="Arial" w:cs="Arial"/>
                <w:color w:val="000000"/>
                <w:sz w:val="18"/>
                <w:szCs w:val="18"/>
                <w:lang w:eastAsia="es-ES"/>
              </w:rPr>
            </w:pPr>
            <w:r w:rsidRPr="000F4B9E">
              <w:rPr>
                <w:rFonts w:ascii="Arial" w:eastAsia="Times New Roman" w:hAnsi="Arial" w:cs="Arial"/>
                <w:color w:val="000000"/>
                <w:sz w:val="18"/>
                <w:szCs w:val="18"/>
                <w:lang w:eastAsia="es-ES"/>
              </w:rPr>
              <w:t>Sindicatos</w:t>
            </w:r>
          </w:p>
        </w:tc>
        <w:tc>
          <w:tcPr>
            <w:tcW w:w="681" w:type="dxa"/>
            <w:tcBorders>
              <w:top w:val="nil"/>
              <w:left w:val="nil"/>
              <w:bottom w:val="single" w:sz="4" w:space="0" w:color="auto"/>
              <w:right w:val="single" w:sz="4" w:space="0" w:color="auto"/>
            </w:tcBorders>
            <w:shd w:val="clear" w:color="auto" w:fill="auto"/>
            <w:noWrap/>
            <w:vAlign w:val="bottom"/>
            <w:hideMark/>
          </w:tcPr>
          <w:p w14:paraId="452A8FA0"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w:t>
            </w:r>
          </w:p>
        </w:tc>
        <w:tc>
          <w:tcPr>
            <w:tcW w:w="851" w:type="dxa"/>
            <w:tcBorders>
              <w:top w:val="nil"/>
              <w:left w:val="nil"/>
              <w:bottom w:val="single" w:sz="4" w:space="0" w:color="auto"/>
              <w:right w:val="single" w:sz="4" w:space="0" w:color="auto"/>
            </w:tcBorders>
            <w:shd w:val="clear" w:color="auto" w:fill="auto"/>
            <w:noWrap/>
            <w:vAlign w:val="bottom"/>
            <w:hideMark/>
          </w:tcPr>
          <w:p w14:paraId="0CD4B8E2"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2,86%</w:t>
            </w:r>
          </w:p>
        </w:tc>
        <w:tc>
          <w:tcPr>
            <w:tcW w:w="709" w:type="dxa"/>
            <w:tcBorders>
              <w:top w:val="nil"/>
              <w:left w:val="nil"/>
              <w:bottom w:val="single" w:sz="4" w:space="0" w:color="auto"/>
              <w:right w:val="single" w:sz="4" w:space="0" w:color="auto"/>
            </w:tcBorders>
            <w:shd w:val="clear" w:color="auto" w:fill="auto"/>
            <w:noWrap/>
            <w:vAlign w:val="bottom"/>
            <w:hideMark/>
          </w:tcPr>
          <w:p w14:paraId="57C55BB7"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6</w:t>
            </w:r>
          </w:p>
        </w:tc>
        <w:tc>
          <w:tcPr>
            <w:tcW w:w="850" w:type="dxa"/>
            <w:tcBorders>
              <w:top w:val="nil"/>
              <w:left w:val="nil"/>
              <w:bottom w:val="single" w:sz="4" w:space="0" w:color="auto"/>
              <w:right w:val="single" w:sz="4" w:space="0" w:color="auto"/>
            </w:tcBorders>
            <w:shd w:val="clear" w:color="auto" w:fill="auto"/>
            <w:noWrap/>
            <w:vAlign w:val="bottom"/>
            <w:hideMark/>
          </w:tcPr>
          <w:p w14:paraId="495C5C5D"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3,31%</w:t>
            </w:r>
          </w:p>
        </w:tc>
        <w:tc>
          <w:tcPr>
            <w:tcW w:w="709" w:type="dxa"/>
            <w:tcBorders>
              <w:top w:val="nil"/>
              <w:left w:val="nil"/>
              <w:bottom w:val="single" w:sz="4" w:space="0" w:color="auto"/>
              <w:right w:val="single" w:sz="4" w:space="0" w:color="auto"/>
            </w:tcBorders>
            <w:shd w:val="clear" w:color="auto" w:fill="auto"/>
            <w:noWrap/>
            <w:vAlign w:val="bottom"/>
            <w:hideMark/>
          </w:tcPr>
          <w:p w14:paraId="7750304D"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w:t>
            </w:r>
          </w:p>
        </w:tc>
        <w:tc>
          <w:tcPr>
            <w:tcW w:w="850" w:type="dxa"/>
            <w:tcBorders>
              <w:top w:val="nil"/>
              <w:left w:val="nil"/>
              <w:bottom w:val="single" w:sz="4" w:space="0" w:color="auto"/>
              <w:right w:val="single" w:sz="4" w:space="0" w:color="auto"/>
            </w:tcBorders>
            <w:shd w:val="clear" w:color="auto" w:fill="auto"/>
            <w:noWrap/>
            <w:vAlign w:val="bottom"/>
            <w:hideMark/>
          </w:tcPr>
          <w:p w14:paraId="5A59F5FA"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1,19%</w:t>
            </w:r>
          </w:p>
        </w:tc>
        <w:tc>
          <w:tcPr>
            <w:tcW w:w="709" w:type="dxa"/>
            <w:tcBorders>
              <w:top w:val="nil"/>
              <w:left w:val="nil"/>
              <w:bottom w:val="single" w:sz="4" w:space="0" w:color="auto"/>
              <w:right w:val="single" w:sz="4" w:space="0" w:color="auto"/>
            </w:tcBorders>
            <w:shd w:val="clear" w:color="auto" w:fill="auto"/>
            <w:noWrap/>
            <w:vAlign w:val="bottom"/>
            <w:hideMark/>
          </w:tcPr>
          <w:p w14:paraId="483E6956"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w:t>
            </w:r>
          </w:p>
        </w:tc>
        <w:tc>
          <w:tcPr>
            <w:tcW w:w="992" w:type="dxa"/>
            <w:tcBorders>
              <w:top w:val="nil"/>
              <w:left w:val="nil"/>
              <w:bottom w:val="single" w:sz="4" w:space="0" w:color="auto"/>
              <w:right w:val="single" w:sz="8" w:space="0" w:color="auto"/>
            </w:tcBorders>
            <w:shd w:val="clear" w:color="auto" w:fill="auto"/>
            <w:noWrap/>
            <w:vAlign w:val="bottom"/>
            <w:hideMark/>
          </w:tcPr>
          <w:p w14:paraId="1D5BE934"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0,88%</w:t>
            </w:r>
          </w:p>
        </w:tc>
      </w:tr>
      <w:tr w:rsidR="002C0DE6" w:rsidRPr="00973028" w14:paraId="583BAC86" w14:textId="77777777" w:rsidTr="00FD7950">
        <w:trPr>
          <w:trHeight w:hRule="exact" w:val="454"/>
        </w:trPr>
        <w:tc>
          <w:tcPr>
            <w:tcW w:w="2144" w:type="dxa"/>
            <w:tcBorders>
              <w:top w:val="nil"/>
              <w:left w:val="single" w:sz="8" w:space="0" w:color="auto"/>
              <w:bottom w:val="single" w:sz="4" w:space="0" w:color="auto"/>
              <w:right w:val="single" w:sz="4" w:space="0" w:color="auto"/>
            </w:tcBorders>
            <w:shd w:val="clear" w:color="auto" w:fill="auto"/>
            <w:noWrap/>
            <w:vAlign w:val="bottom"/>
            <w:hideMark/>
          </w:tcPr>
          <w:p w14:paraId="3BAEDBFA" w14:textId="77777777" w:rsidR="002C0DE6" w:rsidRPr="000F4B9E" w:rsidRDefault="002C0DE6" w:rsidP="002A4453">
            <w:pPr>
              <w:rPr>
                <w:rFonts w:ascii="Arial" w:eastAsia="Times New Roman" w:hAnsi="Arial" w:cs="Arial"/>
                <w:color w:val="000000"/>
                <w:sz w:val="18"/>
                <w:szCs w:val="18"/>
                <w:lang w:eastAsia="es-ES"/>
              </w:rPr>
            </w:pPr>
            <w:r w:rsidRPr="000F4B9E">
              <w:rPr>
                <w:rFonts w:ascii="Arial" w:eastAsia="Times New Roman" w:hAnsi="Arial" w:cs="Arial"/>
                <w:color w:val="000000"/>
                <w:sz w:val="18"/>
                <w:szCs w:val="18"/>
                <w:lang w:eastAsia="es-ES"/>
              </w:rPr>
              <w:t>Grupos Políticos</w:t>
            </w:r>
          </w:p>
        </w:tc>
        <w:tc>
          <w:tcPr>
            <w:tcW w:w="681" w:type="dxa"/>
            <w:tcBorders>
              <w:top w:val="nil"/>
              <w:left w:val="nil"/>
              <w:bottom w:val="single" w:sz="4" w:space="0" w:color="auto"/>
              <w:right w:val="single" w:sz="4" w:space="0" w:color="auto"/>
            </w:tcBorders>
            <w:shd w:val="clear" w:color="auto" w:fill="auto"/>
            <w:noWrap/>
            <w:vAlign w:val="bottom"/>
            <w:hideMark/>
          </w:tcPr>
          <w:p w14:paraId="3E39D146"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851" w:type="dxa"/>
            <w:tcBorders>
              <w:top w:val="nil"/>
              <w:left w:val="nil"/>
              <w:bottom w:val="single" w:sz="4" w:space="0" w:color="auto"/>
              <w:right w:val="single" w:sz="4" w:space="0" w:color="auto"/>
            </w:tcBorders>
            <w:shd w:val="clear" w:color="auto" w:fill="auto"/>
            <w:noWrap/>
            <w:vAlign w:val="bottom"/>
            <w:hideMark/>
          </w:tcPr>
          <w:p w14:paraId="4B1E40E6"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0,00%</w:t>
            </w:r>
          </w:p>
        </w:tc>
        <w:tc>
          <w:tcPr>
            <w:tcW w:w="709" w:type="dxa"/>
            <w:tcBorders>
              <w:top w:val="nil"/>
              <w:left w:val="nil"/>
              <w:bottom w:val="single" w:sz="4" w:space="0" w:color="auto"/>
              <w:right w:val="single" w:sz="4" w:space="0" w:color="auto"/>
            </w:tcBorders>
            <w:shd w:val="clear" w:color="auto" w:fill="auto"/>
            <w:noWrap/>
            <w:vAlign w:val="bottom"/>
            <w:hideMark/>
          </w:tcPr>
          <w:p w14:paraId="62AC828E"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4</w:t>
            </w:r>
          </w:p>
        </w:tc>
        <w:tc>
          <w:tcPr>
            <w:tcW w:w="850" w:type="dxa"/>
            <w:tcBorders>
              <w:top w:val="nil"/>
              <w:left w:val="nil"/>
              <w:bottom w:val="single" w:sz="4" w:space="0" w:color="auto"/>
              <w:right w:val="single" w:sz="4" w:space="0" w:color="auto"/>
            </w:tcBorders>
            <w:shd w:val="clear" w:color="auto" w:fill="auto"/>
            <w:noWrap/>
            <w:vAlign w:val="bottom"/>
            <w:hideMark/>
          </w:tcPr>
          <w:p w14:paraId="0F197AF9"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2,21%</w:t>
            </w:r>
          </w:p>
        </w:tc>
        <w:tc>
          <w:tcPr>
            <w:tcW w:w="709" w:type="dxa"/>
            <w:tcBorders>
              <w:top w:val="nil"/>
              <w:left w:val="nil"/>
              <w:bottom w:val="single" w:sz="4" w:space="0" w:color="auto"/>
              <w:right w:val="single" w:sz="4" w:space="0" w:color="auto"/>
            </w:tcBorders>
            <w:shd w:val="clear" w:color="auto" w:fill="auto"/>
            <w:noWrap/>
            <w:vAlign w:val="bottom"/>
            <w:hideMark/>
          </w:tcPr>
          <w:p w14:paraId="5F8F5FD2"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5</w:t>
            </w:r>
          </w:p>
        </w:tc>
        <w:tc>
          <w:tcPr>
            <w:tcW w:w="850" w:type="dxa"/>
            <w:tcBorders>
              <w:top w:val="nil"/>
              <w:left w:val="nil"/>
              <w:bottom w:val="single" w:sz="4" w:space="0" w:color="auto"/>
              <w:right w:val="single" w:sz="4" w:space="0" w:color="auto"/>
            </w:tcBorders>
            <w:shd w:val="clear" w:color="auto" w:fill="auto"/>
            <w:noWrap/>
            <w:vAlign w:val="bottom"/>
            <w:hideMark/>
          </w:tcPr>
          <w:p w14:paraId="1A5BF26D"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2,98%</w:t>
            </w:r>
          </w:p>
        </w:tc>
        <w:tc>
          <w:tcPr>
            <w:tcW w:w="709" w:type="dxa"/>
            <w:tcBorders>
              <w:top w:val="nil"/>
              <w:left w:val="nil"/>
              <w:bottom w:val="single" w:sz="4" w:space="0" w:color="auto"/>
              <w:right w:val="single" w:sz="4" w:space="0" w:color="auto"/>
            </w:tcBorders>
            <w:shd w:val="clear" w:color="auto" w:fill="auto"/>
            <w:noWrap/>
            <w:vAlign w:val="bottom"/>
            <w:hideMark/>
          </w:tcPr>
          <w:p w14:paraId="54701218"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4</w:t>
            </w:r>
          </w:p>
        </w:tc>
        <w:tc>
          <w:tcPr>
            <w:tcW w:w="992" w:type="dxa"/>
            <w:tcBorders>
              <w:top w:val="nil"/>
              <w:left w:val="nil"/>
              <w:bottom w:val="single" w:sz="4" w:space="0" w:color="auto"/>
              <w:right w:val="single" w:sz="8" w:space="0" w:color="auto"/>
            </w:tcBorders>
            <w:shd w:val="clear" w:color="auto" w:fill="auto"/>
            <w:noWrap/>
            <w:vAlign w:val="bottom"/>
            <w:hideMark/>
          </w:tcPr>
          <w:p w14:paraId="6A72FC08"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1,77%</w:t>
            </w:r>
          </w:p>
        </w:tc>
      </w:tr>
      <w:tr w:rsidR="002C0DE6" w:rsidRPr="00973028" w14:paraId="466E07CC" w14:textId="77777777" w:rsidTr="00FD7950">
        <w:trPr>
          <w:trHeight w:hRule="exact" w:val="454"/>
        </w:trPr>
        <w:tc>
          <w:tcPr>
            <w:tcW w:w="2144" w:type="dxa"/>
            <w:tcBorders>
              <w:top w:val="nil"/>
              <w:left w:val="single" w:sz="8" w:space="0" w:color="auto"/>
              <w:bottom w:val="single" w:sz="4" w:space="0" w:color="auto"/>
              <w:right w:val="single" w:sz="4" w:space="0" w:color="auto"/>
            </w:tcBorders>
            <w:shd w:val="clear" w:color="000000" w:fill="D1C6C0"/>
            <w:noWrap/>
            <w:vAlign w:val="bottom"/>
            <w:hideMark/>
          </w:tcPr>
          <w:p w14:paraId="045686EC" w14:textId="77777777" w:rsidR="002C0DE6" w:rsidRPr="000F4B9E" w:rsidRDefault="002C0DE6" w:rsidP="002A4453">
            <w:pPr>
              <w:rPr>
                <w:rFonts w:ascii="Arial" w:eastAsia="Times New Roman" w:hAnsi="Arial" w:cs="Arial"/>
                <w:b/>
                <w:bCs/>
                <w:color w:val="000000"/>
                <w:sz w:val="18"/>
                <w:szCs w:val="18"/>
                <w:lang w:eastAsia="es-ES"/>
              </w:rPr>
            </w:pPr>
            <w:r w:rsidRPr="000F4B9E">
              <w:rPr>
                <w:rFonts w:ascii="Arial" w:eastAsia="Times New Roman" w:hAnsi="Arial" w:cs="Arial"/>
                <w:b/>
                <w:bCs/>
                <w:color w:val="000000"/>
                <w:sz w:val="18"/>
                <w:szCs w:val="18"/>
                <w:lang w:eastAsia="es-ES"/>
              </w:rPr>
              <w:t>Persona jurídica</w:t>
            </w:r>
          </w:p>
        </w:tc>
        <w:tc>
          <w:tcPr>
            <w:tcW w:w="681" w:type="dxa"/>
            <w:tcBorders>
              <w:top w:val="nil"/>
              <w:left w:val="nil"/>
              <w:bottom w:val="single" w:sz="4" w:space="0" w:color="auto"/>
              <w:right w:val="single" w:sz="4" w:space="0" w:color="auto"/>
            </w:tcBorders>
            <w:shd w:val="clear" w:color="000000" w:fill="D1C6C0"/>
            <w:noWrap/>
            <w:vAlign w:val="bottom"/>
            <w:hideMark/>
          </w:tcPr>
          <w:p w14:paraId="0682B0FA"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3</w:t>
            </w:r>
          </w:p>
        </w:tc>
        <w:tc>
          <w:tcPr>
            <w:tcW w:w="851" w:type="dxa"/>
            <w:tcBorders>
              <w:top w:val="nil"/>
              <w:left w:val="nil"/>
              <w:bottom w:val="single" w:sz="4" w:space="0" w:color="auto"/>
              <w:right w:val="single" w:sz="4" w:space="0" w:color="auto"/>
            </w:tcBorders>
            <w:shd w:val="clear" w:color="000000" w:fill="D1C6C0"/>
            <w:noWrap/>
            <w:vAlign w:val="bottom"/>
            <w:hideMark/>
          </w:tcPr>
          <w:p w14:paraId="5ECC24DC"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8,57%</w:t>
            </w:r>
          </w:p>
        </w:tc>
        <w:tc>
          <w:tcPr>
            <w:tcW w:w="709" w:type="dxa"/>
            <w:tcBorders>
              <w:top w:val="nil"/>
              <w:left w:val="nil"/>
              <w:bottom w:val="single" w:sz="4" w:space="0" w:color="auto"/>
              <w:right w:val="single" w:sz="4" w:space="0" w:color="auto"/>
            </w:tcBorders>
            <w:shd w:val="clear" w:color="000000" w:fill="D1C6C0"/>
            <w:noWrap/>
            <w:vAlign w:val="bottom"/>
            <w:hideMark/>
          </w:tcPr>
          <w:p w14:paraId="58AEF50C"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14</w:t>
            </w:r>
          </w:p>
        </w:tc>
        <w:tc>
          <w:tcPr>
            <w:tcW w:w="850" w:type="dxa"/>
            <w:tcBorders>
              <w:top w:val="nil"/>
              <w:left w:val="nil"/>
              <w:bottom w:val="single" w:sz="4" w:space="0" w:color="auto"/>
              <w:right w:val="single" w:sz="4" w:space="0" w:color="auto"/>
            </w:tcBorders>
            <w:shd w:val="clear" w:color="000000" w:fill="D1C6C0"/>
            <w:noWrap/>
            <w:vAlign w:val="bottom"/>
            <w:hideMark/>
          </w:tcPr>
          <w:p w14:paraId="4AFBA121"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7,73%</w:t>
            </w:r>
          </w:p>
        </w:tc>
        <w:tc>
          <w:tcPr>
            <w:tcW w:w="709" w:type="dxa"/>
            <w:tcBorders>
              <w:top w:val="nil"/>
              <w:left w:val="nil"/>
              <w:bottom w:val="single" w:sz="4" w:space="0" w:color="auto"/>
              <w:right w:val="single" w:sz="4" w:space="0" w:color="auto"/>
            </w:tcBorders>
            <w:shd w:val="clear" w:color="000000" w:fill="D1C6C0"/>
            <w:noWrap/>
            <w:vAlign w:val="bottom"/>
            <w:hideMark/>
          </w:tcPr>
          <w:p w14:paraId="32614BAD"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8</w:t>
            </w:r>
          </w:p>
        </w:tc>
        <w:tc>
          <w:tcPr>
            <w:tcW w:w="850" w:type="dxa"/>
            <w:tcBorders>
              <w:top w:val="nil"/>
              <w:left w:val="nil"/>
              <w:bottom w:val="single" w:sz="4" w:space="0" w:color="auto"/>
              <w:right w:val="single" w:sz="4" w:space="0" w:color="auto"/>
            </w:tcBorders>
            <w:shd w:val="clear" w:color="000000" w:fill="D1C6C0"/>
            <w:noWrap/>
            <w:vAlign w:val="bottom"/>
            <w:hideMark/>
          </w:tcPr>
          <w:p w14:paraId="59A0F9C6"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4,76%</w:t>
            </w:r>
          </w:p>
        </w:tc>
        <w:tc>
          <w:tcPr>
            <w:tcW w:w="709" w:type="dxa"/>
            <w:tcBorders>
              <w:top w:val="nil"/>
              <w:left w:val="nil"/>
              <w:bottom w:val="single" w:sz="4" w:space="0" w:color="auto"/>
              <w:right w:val="single" w:sz="4" w:space="0" w:color="auto"/>
            </w:tcBorders>
            <w:shd w:val="clear" w:color="000000" w:fill="D1C6C0"/>
            <w:noWrap/>
            <w:vAlign w:val="bottom"/>
            <w:hideMark/>
          </w:tcPr>
          <w:p w14:paraId="0F9AF72D"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15</w:t>
            </w:r>
          </w:p>
        </w:tc>
        <w:tc>
          <w:tcPr>
            <w:tcW w:w="992" w:type="dxa"/>
            <w:tcBorders>
              <w:top w:val="nil"/>
              <w:left w:val="nil"/>
              <w:bottom w:val="single" w:sz="4" w:space="0" w:color="auto"/>
              <w:right w:val="single" w:sz="8" w:space="0" w:color="auto"/>
            </w:tcBorders>
            <w:shd w:val="clear" w:color="000000" w:fill="D1C6C0"/>
            <w:noWrap/>
            <w:vAlign w:val="bottom"/>
            <w:hideMark/>
          </w:tcPr>
          <w:p w14:paraId="47092F72"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6,64%</w:t>
            </w:r>
          </w:p>
        </w:tc>
      </w:tr>
      <w:tr w:rsidR="002C0DE6" w:rsidRPr="00973028" w14:paraId="2AE278BC" w14:textId="77777777" w:rsidTr="00FD7950">
        <w:trPr>
          <w:trHeight w:hRule="exact" w:val="454"/>
        </w:trPr>
        <w:tc>
          <w:tcPr>
            <w:tcW w:w="2144" w:type="dxa"/>
            <w:tcBorders>
              <w:top w:val="nil"/>
              <w:left w:val="single" w:sz="8" w:space="0" w:color="auto"/>
              <w:bottom w:val="single" w:sz="4" w:space="0" w:color="auto"/>
              <w:right w:val="single" w:sz="4" w:space="0" w:color="auto"/>
            </w:tcBorders>
            <w:shd w:val="clear" w:color="000000" w:fill="CE9FA1"/>
            <w:noWrap/>
            <w:vAlign w:val="bottom"/>
            <w:hideMark/>
          </w:tcPr>
          <w:p w14:paraId="062DFFB8" w14:textId="77777777" w:rsidR="002C0DE6" w:rsidRPr="000F4B9E" w:rsidRDefault="002C0DE6" w:rsidP="002A4453">
            <w:pPr>
              <w:rPr>
                <w:rFonts w:ascii="Arial" w:eastAsia="Times New Roman" w:hAnsi="Arial" w:cs="Arial"/>
                <w:b/>
                <w:bCs/>
                <w:color w:val="000000"/>
                <w:sz w:val="18"/>
                <w:szCs w:val="18"/>
                <w:lang w:eastAsia="es-ES"/>
              </w:rPr>
            </w:pPr>
            <w:r w:rsidRPr="000F4B9E">
              <w:rPr>
                <w:rFonts w:ascii="Arial" w:eastAsia="Times New Roman" w:hAnsi="Arial" w:cs="Arial"/>
                <w:b/>
                <w:bCs/>
                <w:color w:val="000000"/>
                <w:sz w:val="18"/>
                <w:szCs w:val="18"/>
                <w:lang w:eastAsia="es-ES"/>
              </w:rPr>
              <w:t>Anónimos</w:t>
            </w:r>
          </w:p>
        </w:tc>
        <w:tc>
          <w:tcPr>
            <w:tcW w:w="681" w:type="dxa"/>
            <w:tcBorders>
              <w:top w:val="nil"/>
              <w:left w:val="nil"/>
              <w:bottom w:val="single" w:sz="4" w:space="0" w:color="auto"/>
              <w:right w:val="single" w:sz="4" w:space="0" w:color="auto"/>
            </w:tcBorders>
            <w:shd w:val="clear" w:color="000000" w:fill="CE9FA1"/>
            <w:noWrap/>
            <w:vAlign w:val="bottom"/>
            <w:hideMark/>
          </w:tcPr>
          <w:p w14:paraId="2DB7EAD2"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2</w:t>
            </w:r>
          </w:p>
        </w:tc>
        <w:tc>
          <w:tcPr>
            <w:tcW w:w="851" w:type="dxa"/>
            <w:tcBorders>
              <w:top w:val="nil"/>
              <w:left w:val="nil"/>
              <w:bottom w:val="single" w:sz="4" w:space="0" w:color="auto"/>
              <w:right w:val="single" w:sz="4" w:space="0" w:color="auto"/>
            </w:tcBorders>
            <w:shd w:val="clear" w:color="000000" w:fill="CE9FA1"/>
            <w:noWrap/>
            <w:vAlign w:val="bottom"/>
            <w:hideMark/>
          </w:tcPr>
          <w:p w14:paraId="03B83DE1"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5,71%</w:t>
            </w:r>
          </w:p>
        </w:tc>
        <w:tc>
          <w:tcPr>
            <w:tcW w:w="709" w:type="dxa"/>
            <w:tcBorders>
              <w:top w:val="nil"/>
              <w:left w:val="nil"/>
              <w:bottom w:val="single" w:sz="4" w:space="0" w:color="auto"/>
              <w:right w:val="single" w:sz="4" w:space="0" w:color="auto"/>
            </w:tcBorders>
            <w:shd w:val="clear" w:color="000000" w:fill="CE9FA1"/>
            <w:noWrap/>
            <w:vAlign w:val="bottom"/>
            <w:hideMark/>
          </w:tcPr>
          <w:p w14:paraId="4E2A8E12"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92</w:t>
            </w:r>
          </w:p>
        </w:tc>
        <w:tc>
          <w:tcPr>
            <w:tcW w:w="850" w:type="dxa"/>
            <w:tcBorders>
              <w:top w:val="nil"/>
              <w:left w:val="nil"/>
              <w:bottom w:val="single" w:sz="4" w:space="0" w:color="auto"/>
              <w:right w:val="single" w:sz="4" w:space="0" w:color="auto"/>
            </w:tcBorders>
            <w:shd w:val="clear" w:color="000000" w:fill="CE9FA1"/>
            <w:noWrap/>
            <w:vAlign w:val="bottom"/>
            <w:hideMark/>
          </w:tcPr>
          <w:p w14:paraId="51991E42"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50,83%</w:t>
            </w:r>
          </w:p>
        </w:tc>
        <w:tc>
          <w:tcPr>
            <w:tcW w:w="709" w:type="dxa"/>
            <w:tcBorders>
              <w:top w:val="nil"/>
              <w:left w:val="nil"/>
              <w:bottom w:val="single" w:sz="4" w:space="0" w:color="auto"/>
              <w:right w:val="single" w:sz="4" w:space="0" w:color="auto"/>
            </w:tcBorders>
            <w:shd w:val="clear" w:color="000000" w:fill="CE9FA1"/>
            <w:noWrap/>
            <w:vAlign w:val="bottom"/>
            <w:hideMark/>
          </w:tcPr>
          <w:p w14:paraId="7A2A9C05"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86</w:t>
            </w:r>
          </w:p>
        </w:tc>
        <w:tc>
          <w:tcPr>
            <w:tcW w:w="850" w:type="dxa"/>
            <w:tcBorders>
              <w:top w:val="nil"/>
              <w:left w:val="nil"/>
              <w:bottom w:val="single" w:sz="4" w:space="0" w:color="auto"/>
              <w:right w:val="single" w:sz="4" w:space="0" w:color="auto"/>
            </w:tcBorders>
            <w:shd w:val="clear" w:color="000000" w:fill="CE9FA1"/>
            <w:noWrap/>
            <w:vAlign w:val="bottom"/>
            <w:hideMark/>
          </w:tcPr>
          <w:p w14:paraId="4FB0680C"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51,19%</w:t>
            </w:r>
          </w:p>
        </w:tc>
        <w:tc>
          <w:tcPr>
            <w:tcW w:w="709" w:type="dxa"/>
            <w:tcBorders>
              <w:top w:val="nil"/>
              <w:left w:val="nil"/>
              <w:bottom w:val="single" w:sz="4" w:space="0" w:color="auto"/>
              <w:right w:val="single" w:sz="4" w:space="0" w:color="auto"/>
            </w:tcBorders>
            <w:shd w:val="clear" w:color="000000" w:fill="CE9FA1"/>
            <w:noWrap/>
            <w:vAlign w:val="bottom"/>
            <w:hideMark/>
          </w:tcPr>
          <w:p w14:paraId="3D94747E"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91</w:t>
            </w:r>
          </w:p>
        </w:tc>
        <w:tc>
          <w:tcPr>
            <w:tcW w:w="992" w:type="dxa"/>
            <w:tcBorders>
              <w:top w:val="nil"/>
              <w:left w:val="nil"/>
              <w:bottom w:val="single" w:sz="4" w:space="0" w:color="auto"/>
              <w:right w:val="single" w:sz="8" w:space="0" w:color="auto"/>
            </w:tcBorders>
            <w:shd w:val="clear" w:color="000000" w:fill="CE9FA1"/>
            <w:noWrap/>
            <w:vAlign w:val="bottom"/>
            <w:hideMark/>
          </w:tcPr>
          <w:p w14:paraId="0345E157"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40,27%</w:t>
            </w:r>
          </w:p>
        </w:tc>
      </w:tr>
      <w:tr w:rsidR="002C0DE6" w:rsidRPr="00973028" w14:paraId="2627A156" w14:textId="77777777" w:rsidTr="00FD7950">
        <w:trPr>
          <w:trHeight w:hRule="exact" w:val="454"/>
        </w:trPr>
        <w:tc>
          <w:tcPr>
            <w:tcW w:w="2144" w:type="dxa"/>
            <w:tcBorders>
              <w:top w:val="nil"/>
              <w:left w:val="single" w:sz="8" w:space="0" w:color="auto"/>
              <w:bottom w:val="single" w:sz="8" w:space="0" w:color="auto"/>
              <w:right w:val="single" w:sz="4" w:space="0" w:color="auto"/>
            </w:tcBorders>
            <w:shd w:val="clear" w:color="auto" w:fill="D9D9D9" w:themeFill="background1" w:themeFillShade="D9"/>
            <w:noWrap/>
            <w:vAlign w:val="bottom"/>
            <w:hideMark/>
          </w:tcPr>
          <w:p w14:paraId="4D3E8BA1" w14:textId="77777777" w:rsidR="002C0DE6" w:rsidRPr="000F4B9E" w:rsidRDefault="002C0DE6" w:rsidP="002A4453">
            <w:pPr>
              <w:jc w:val="right"/>
              <w:rPr>
                <w:rFonts w:ascii="Arial" w:eastAsia="Times New Roman" w:hAnsi="Arial" w:cs="Arial"/>
                <w:b/>
                <w:bCs/>
                <w:color w:val="000000"/>
                <w:sz w:val="18"/>
                <w:szCs w:val="18"/>
                <w:lang w:eastAsia="es-ES"/>
              </w:rPr>
            </w:pPr>
            <w:r w:rsidRPr="000F4B9E">
              <w:rPr>
                <w:rFonts w:ascii="Arial" w:eastAsia="Times New Roman" w:hAnsi="Arial" w:cs="Arial"/>
                <w:b/>
                <w:bCs/>
                <w:color w:val="000000"/>
                <w:sz w:val="18"/>
                <w:szCs w:val="18"/>
                <w:lang w:eastAsia="es-ES"/>
              </w:rPr>
              <w:t>TOTAL</w:t>
            </w:r>
          </w:p>
        </w:tc>
        <w:tc>
          <w:tcPr>
            <w:tcW w:w="681" w:type="dxa"/>
            <w:tcBorders>
              <w:top w:val="nil"/>
              <w:left w:val="nil"/>
              <w:bottom w:val="single" w:sz="8" w:space="0" w:color="auto"/>
              <w:right w:val="single" w:sz="4" w:space="0" w:color="auto"/>
            </w:tcBorders>
            <w:shd w:val="clear" w:color="auto" w:fill="D9D9D9" w:themeFill="background1" w:themeFillShade="D9"/>
            <w:noWrap/>
            <w:vAlign w:val="bottom"/>
            <w:hideMark/>
          </w:tcPr>
          <w:p w14:paraId="737F8D55"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35</w:t>
            </w:r>
          </w:p>
        </w:tc>
        <w:tc>
          <w:tcPr>
            <w:tcW w:w="851" w:type="dxa"/>
            <w:tcBorders>
              <w:top w:val="nil"/>
              <w:left w:val="nil"/>
              <w:bottom w:val="single" w:sz="8" w:space="0" w:color="auto"/>
              <w:right w:val="single" w:sz="4" w:space="0" w:color="auto"/>
            </w:tcBorders>
            <w:shd w:val="clear" w:color="auto" w:fill="D9D9D9" w:themeFill="background1" w:themeFillShade="D9"/>
            <w:noWrap/>
            <w:vAlign w:val="bottom"/>
            <w:hideMark/>
          </w:tcPr>
          <w:p w14:paraId="7F5DDAA7"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100,00%</w:t>
            </w:r>
          </w:p>
        </w:tc>
        <w:tc>
          <w:tcPr>
            <w:tcW w:w="709" w:type="dxa"/>
            <w:tcBorders>
              <w:top w:val="nil"/>
              <w:left w:val="nil"/>
              <w:bottom w:val="single" w:sz="8" w:space="0" w:color="auto"/>
              <w:right w:val="single" w:sz="4" w:space="0" w:color="auto"/>
            </w:tcBorders>
            <w:shd w:val="clear" w:color="auto" w:fill="D9D9D9" w:themeFill="background1" w:themeFillShade="D9"/>
            <w:noWrap/>
            <w:vAlign w:val="bottom"/>
            <w:hideMark/>
          </w:tcPr>
          <w:p w14:paraId="4E9A44B5"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181</w:t>
            </w:r>
          </w:p>
        </w:tc>
        <w:tc>
          <w:tcPr>
            <w:tcW w:w="850" w:type="dxa"/>
            <w:tcBorders>
              <w:top w:val="nil"/>
              <w:left w:val="nil"/>
              <w:bottom w:val="single" w:sz="8" w:space="0" w:color="auto"/>
              <w:right w:val="single" w:sz="4" w:space="0" w:color="auto"/>
            </w:tcBorders>
            <w:shd w:val="clear" w:color="auto" w:fill="D9D9D9" w:themeFill="background1" w:themeFillShade="D9"/>
            <w:noWrap/>
            <w:vAlign w:val="bottom"/>
            <w:hideMark/>
          </w:tcPr>
          <w:p w14:paraId="0F4AC054"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100,00%</w:t>
            </w:r>
          </w:p>
        </w:tc>
        <w:tc>
          <w:tcPr>
            <w:tcW w:w="709" w:type="dxa"/>
            <w:tcBorders>
              <w:top w:val="nil"/>
              <w:left w:val="nil"/>
              <w:bottom w:val="single" w:sz="8" w:space="0" w:color="auto"/>
              <w:right w:val="single" w:sz="4" w:space="0" w:color="auto"/>
            </w:tcBorders>
            <w:shd w:val="clear" w:color="auto" w:fill="D9D9D9" w:themeFill="background1" w:themeFillShade="D9"/>
            <w:noWrap/>
            <w:vAlign w:val="bottom"/>
            <w:hideMark/>
          </w:tcPr>
          <w:p w14:paraId="41C1118F"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168</w:t>
            </w:r>
          </w:p>
        </w:tc>
        <w:tc>
          <w:tcPr>
            <w:tcW w:w="850" w:type="dxa"/>
            <w:tcBorders>
              <w:top w:val="nil"/>
              <w:left w:val="nil"/>
              <w:bottom w:val="single" w:sz="8" w:space="0" w:color="auto"/>
              <w:right w:val="single" w:sz="4" w:space="0" w:color="auto"/>
            </w:tcBorders>
            <w:shd w:val="clear" w:color="auto" w:fill="D9D9D9" w:themeFill="background1" w:themeFillShade="D9"/>
            <w:noWrap/>
            <w:vAlign w:val="bottom"/>
            <w:hideMark/>
          </w:tcPr>
          <w:p w14:paraId="26CB79E3"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100,00%</w:t>
            </w:r>
          </w:p>
        </w:tc>
        <w:tc>
          <w:tcPr>
            <w:tcW w:w="709" w:type="dxa"/>
            <w:tcBorders>
              <w:top w:val="nil"/>
              <w:left w:val="nil"/>
              <w:bottom w:val="single" w:sz="8" w:space="0" w:color="auto"/>
              <w:right w:val="single" w:sz="4" w:space="0" w:color="auto"/>
            </w:tcBorders>
            <w:shd w:val="clear" w:color="auto" w:fill="D9D9D9" w:themeFill="background1" w:themeFillShade="D9"/>
            <w:noWrap/>
            <w:vAlign w:val="bottom"/>
            <w:hideMark/>
          </w:tcPr>
          <w:p w14:paraId="670FB242"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226</w:t>
            </w:r>
          </w:p>
        </w:tc>
        <w:tc>
          <w:tcPr>
            <w:tcW w:w="992" w:type="dxa"/>
            <w:tcBorders>
              <w:top w:val="nil"/>
              <w:left w:val="nil"/>
              <w:bottom w:val="single" w:sz="8" w:space="0" w:color="auto"/>
              <w:right w:val="single" w:sz="8" w:space="0" w:color="auto"/>
            </w:tcBorders>
            <w:shd w:val="clear" w:color="auto" w:fill="D9D9D9" w:themeFill="background1" w:themeFillShade="D9"/>
            <w:noWrap/>
            <w:vAlign w:val="bottom"/>
            <w:hideMark/>
          </w:tcPr>
          <w:p w14:paraId="6036820A"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100,00%</w:t>
            </w:r>
          </w:p>
        </w:tc>
      </w:tr>
    </w:tbl>
    <w:p w14:paraId="5D4D2498" w14:textId="77777777" w:rsidR="002A47AA" w:rsidRPr="00973028" w:rsidRDefault="002A47AA" w:rsidP="002A47AA">
      <w:pPr>
        <w:spacing w:after="240" w:line="276" w:lineRule="auto"/>
        <w:ind w:left="-284" w:right="-285"/>
        <w:jc w:val="center"/>
        <w:rPr>
          <w:rFonts w:ascii="Arial" w:hAnsi="Arial"/>
          <w:b/>
          <w:sz w:val="21"/>
          <w:szCs w:val="21"/>
        </w:rPr>
      </w:pPr>
    </w:p>
    <w:p w14:paraId="7381BDD2" w14:textId="77777777" w:rsidR="002A47AA" w:rsidRPr="00973028" w:rsidRDefault="002A47AA" w:rsidP="002A47AA">
      <w:pPr>
        <w:spacing w:after="240" w:line="276" w:lineRule="auto"/>
        <w:ind w:left="-284" w:right="-285"/>
        <w:jc w:val="center"/>
        <w:rPr>
          <w:rFonts w:ascii="Arial" w:hAnsi="Arial"/>
          <w:b/>
          <w:sz w:val="21"/>
          <w:szCs w:val="21"/>
        </w:rPr>
      </w:pPr>
    </w:p>
    <w:p w14:paraId="0187741D" w14:textId="3785CDA0" w:rsidR="006D54A8" w:rsidRPr="005156A0" w:rsidRDefault="00C61126" w:rsidP="006D54A8">
      <w:pPr>
        <w:keepNext/>
        <w:spacing w:after="240" w:line="276" w:lineRule="auto"/>
        <w:jc w:val="center"/>
        <w:rPr>
          <w14:shadow w14:blurRad="50800" w14:dist="38100" w14:dir="2700000" w14:sx="100000" w14:sy="100000" w14:kx="0" w14:ky="0" w14:algn="tl">
            <w14:srgbClr w14:val="000000">
              <w14:alpha w14:val="60000"/>
            </w14:srgbClr>
          </w14:shadow>
        </w:rPr>
      </w:pPr>
      <w:r>
        <w:rPr>
          <w:noProof/>
        </w:rPr>
        <w:drawing>
          <wp:inline distT="0" distB="0" distL="0" distR="0" wp14:anchorId="232E3C1B" wp14:editId="70D04CA6">
            <wp:extent cx="5400040" cy="3898900"/>
            <wp:effectExtent l="0" t="0" r="10160" b="6350"/>
            <wp:docPr id="285" name="Gráfico 285">
              <a:extLst xmlns:a="http://schemas.openxmlformats.org/drawingml/2006/main">
                <a:ext uri="{FF2B5EF4-FFF2-40B4-BE49-F238E27FC236}">
                  <a16:creationId xmlns:a16="http://schemas.microsoft.com/office/drawing/2014/main" id="{A0BDE7FC-38D3-4EB5-B877-8C5D4453DC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43B0102" w14:textId="70B844BE" w:rsidR="002A47AA" w:rsidRPr="00973028" w:rsidRDefault="006D54A8" w:rsidP="006D54A8">
      <w:pPr>
        <w:pStyle w:val="Descripcin"/>
        <w:jc w:val="center"/>
        <w:rPr>
          <w:rFonts w:ascii="Arial" w:hAnsi="Arial" w:cs="Arial"/>
          <w:smallCaps w:val="0"/>
          <w:noProof/>
          <w:sz w:val="16"/>
          <w:szCs w:val="16"/>
          <w:lang w:eastAsia="es-ES"/>
        </w:rPr>
      </w:pPr>
      <w:bookmarkStart w:id="64" w:name="_Toc67646402"/>
      <w:r w:rsidRPr="00973028">
        <w:rPr>
          <w:rFonts w:ascii="Arial" w:hAnsi="Arial" w:cs="Arial"/>
          <w:smallCaps w:val="0"/>
          <w:color w:val="9D2235" w:themeColor="accent1"/>
          <w:sz w:val="16"/>
          <w:szCs w:val="16"/>
        </w:rPr>
        <w:t xml:space="preserve">Gráfico </w:t>
      </w:r>
      <w:r w:rsidRPr="00973028">
        <w:rPr>
          <w:rFonts w:ascii="Arial" w:hAnsi="Arial" w:cs="Arial"/>
          <w:smallCaps w:val="0"/>
          <w:color w:val="9D2235" w:themeColor="accent1"/>
          <w:sz w:val="16"/>
          <w:szCs w:val="16"/>
        </w:rPr>
        <w:fldChar w:fldCharType="begin"/>
      </w:r>
      <w:r w:rsidRPr="00973028">
        <w:rPr>
          <w:rFonts w:ascii="Arial" w:hAnsi="Arial" w:cs="Arial"/>
          <w:smallCaps w:val="0"/>
          <w:color w:val="9D2235" w:themeColor="accent1"/>
          <w:sz w:val="16"/>
          <w:szCs w:val="16"/>
        </w:rPr>
        <w:instrText xml:space="preserve"> SEQ Gráfico \* ARABIC </w:instrText>
      </w:r>
      <w:r w:rsidRPr="00973028">
        <w:rPr>
          <w:rFonts w:ascii="Arial" w:hAnsi="Arial" w:cs="Arial"/>
          <w:smallCaps w:val="0"/>
          <w:color w:val="9D2235" w:themeColor="accent1"/>
          <w:sz w:val="16"/>
          <w:szCs w:val="16"/>
        </w:rPr>
        <w:fldChar w:fldCharType="separate"/>
      </w:r>
      <w:r w:rsidR="00000D1F">
        <w:rPr>
          <w:rFonts w:ascii="Arial" w:hAnsi="Arial" w:cs="Arial"/>
          <w:smallCaps w:val="0"/>
          <w:noProof/>
          <w:color w:val="9D2235" w:themeColor="accent1"/>
          <w:sz w:val="16"/>
          <w:szCs w:val="16"/>
        </w:rPr>
        <w:t>6</w:t>
      </w:r>
      <w:r w:rsidRPr="00973028">
        <w:rPr>
          <w:rFonts w:ascii="Arial" w:hAnsi="Arial" w:cs="Arial"/>
          <w:smallCaps w:val="0"/>
          <w:color w:val="9D2235" w:themeColor="accent1"/>
          <w:sz w:val="16"/>
          <w:szCs w:val="16"/>
        </w:rPr>
        <w:fldChar w:fldCharType="end"/>
      </w:r>
      <w:r w:rsidR="00B00F7A">
        <w:rPr>
          <w:rFonts w:ascii="Arial" w:hAnsi="Arial" w:cs="Arial"/>
          <w:smallCaps w:val="0"/>
          <w:color w:val="9D2235" w:themeColor="accent1"/>
          <w:sz w:val="16"/>
          <w:szCs w:val="16"/>
        </w:rPr>
        <w:t>.</w:t>
      </w:r>
      <w:r w:rsidRPr="00973028">
        <w:rPr>
          <w:rFonts w:ascii="Arial" w:hAnsi="Arial" w:cs="Arial"/>
          <w:smallCaps w:val="0"/>
          <w:color w:val="9D2235" w:themeColor="accent1"/>
          <w:sz w:val="16"/>
          <w:szCs w:val="16"/>
        </w:rPr>
        <w:t xml:space="preserve"> </w:t>
      </w:r>
      <w:r w:rsidRPr="00973028">
        <w:rPr>
          <w:rFonts w:ascii="Arial" w:hAnsi="Arial" w:cs="Arial"/>
          <w:smallCaps w:val="0"/>
          <w:sz w:val="16"/>
          <w:szCs w:val="16"/>
        </w:rPr>
        <w:t>Denuncias presentadas según la tipología, condición o naturaleza del comunicante.</w:t>
      </w:r>
      <w:bookmarkEnd w:id="64"/>
    </w:p>
    <w:p w14:paraId="06A27C27" w14:textId="77777777" w:rsidR="002A47AA" w:rsidRPr="00973028" w:rsidRDefault="002A47AA" w:rsidP="002A47AA">
      <w:pPr>
        <w:spacing w:after="240" w:line="276" w:lineRule="auto"/>
        <w:jc w:val="center"/>
        <w:rPr>
          <w:rFonts w:ascii="Arial" w:hAnsi="Arial"/>
          <w:b/>
          <w:sz w:val="21"/>
          <w:szCs w:val="21"/>
        </w:rPr>
      </w:pPr>
    </w:p>
    <w:p w14:paraId="22819027"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De los datos incluidos en las tablas anteriores se puede observar que en 2020 el 40,27 % del total de denuncias se han presentado anónimas, porcentaje que ha disminuido respecto los dos años precedentes que se situaban por encima del 50% en ambos casos.</w:t>
      </w:r>
    </w:p>
    <w:p w14:paraId="18705E82" w14:textId="45CC20EE"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De las denuncias identificadas, el 53,10% han sido presentadas por personas físicas, representando un incremento de casi 9 puntos porcentuales respecto a 2019, y dentro de estas, el 26,11% de las denuncias presentadas corresponden con empleados públicos. Las denuncias presentadas por personas jurídicas identificadas representan el 6,64% del total frente al 4,74% que representaban en 2019.</w:t>
      </w:r>
    </w:p>
    <w:p w14:paraId="064ED7EB" w14:textId="409E60CE"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65" w:name="_Toc67646246"/>
      <w:r w:rsidRPr="00973028">
        <w:rPr>
          <w:rFonts w:ascii="Arial" w:eastAsia="Times New Roman" w:hAnsi="Arial" w:cs="Arial"/>
          <w:b/>
          <w:color w:val="9D2235"/>
          <w:sz w:val="28"/>
          <w:szCs w:val="28"/>
        </w:rPr>
        <w:t>Denuncias de personas físicas clasificadas por género</w:t>
      </w:r>
      <w:bookmarkEnd w:id="65"/>
    </w:p>
    <w:p w14:paraId="2891976A" w14:textId="10B3E9F5"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Siguiendo con la tradición establecida en las anteriores memorias de la Agencia, se finaliza la exposición de datos de relevancia estadística realizando un breve análisis de la distribución de las denuncias según el género del denunciante, en aquellos supuestos en los que se ha podido identificar el mismo.</w:t>
      </w:r>
    </w:p>
    <w:p w14:paraId="33A557E6" w14:textId="77777777" w:rsidR="002A47AA" w:rsidRPr="00973028" w:rsidRDefault="002A47AA" w:rsidP="002A47AA">
      <w:pPr>
        <w:spacing w:after="240" w:line="276" w:lineRule="auto"/>
        <w:ind w:left="-284" w:right="-285"/>
        <w:jc w:val="center"/>
        <w:rPr>
          <w:rFonts w:ascii="Arial" w:hAnsi="Arial"/>
          <w:b/>
          <w:sz w:val="21"/>
          <w:szCs w:val="21"/>
        </w:rPr>
      </w:pPr>
    </w:p>
    <w:p w14:paraId="4D2C1B2F" w14:textId="5C615D8F" w:rsidR="006D54A8" w:rsidRPr="00973028" w:rsidRDefault="006D54A8" w:rsidP="006D54A8">
      <w:pPr>
        <w:pStyle w:val="Descripcin"/>
        <w:keepNext/>
        <w:rPr>
          <w:rFonts w:ascii="Arial" w:hAnsi="Arial" w:cs="Arial"/>
          <w:smallCaps w:val="0"/>
          <w:sz w:val="18"/>
          <w:szCs w:val="18"/>
        </w:rPr>
      </w:pPr>
      <w:bookmarkStart w:id="66" w:name="_Toc67646348"/>
      <w:r w:rsidRPr="00973028">
        <w:rPr>
          <w:rFonts w:ascii="Arial" w:hAnsi="Arial" w:cs="Arial"/>
          <w:smallCaps w:val="0"/>
          <w:color w:val="9D2235" w:themeColor="accent1"/>
          <w:sz w:val="18"/>
          <w:szCs w:val="18"/>
        </w:rPr>
        <w:t xml:space="preserve">Tabla </w:t>
      </w:r>
      <w:r w:rsidRPr="00973028">
        <w:rPr>
          <w:rFonts w:ascii="Arial" w:hAnsi="Arial" w:cs="Arial"/>
          <w:smallCaps w:val="0"/>
          <w:color w:val="9D2235" w:themeColor="accent1"/>
          <w:sz w:val="18"/>
          <w:szCs w:val="18"/>
        </w:rPr>
        <w:fldChar w:fldCharType="begin"/>
      </w:r>
      <w:r w:rsidRPr="00973028">
        <w:rPr>
          <w:rFonts w:ascii="Arial" w:hAnsi="Arial" w:cs="Arial"/>
          <w:smallCaps w:val="0"/>
          <w:color w:val="9D2235" w:themeColor="accent1"/>
          <w:sz w:val="18"/>
          <w:szCs w:val="18"/>
        </w:rPr>
        <w:instrText xml:space="preserve"> SEQ Tabla \* ARABIC </w:instrText>
      </w:r>
      <w:r w:rsidRPr="00973028">
        <w:rPr>
          <w:rFonts w:ascii="Arial" w:hAnsi="Arial" w:cs="Arial"/>
          <w:smallCaps w:val="0"/>
          <w:color w:val="9D2235" w:themeColor="accent1"/>
          <w:sz w:val="18"/>
          <w:szCs w:val="18"/>
        </w:rPr>
        <w:fldChar w:fldCharType="separate"/>
      </w:r>
      <w:r w:rsidR="00ED7F0D">
        <w:rPr>
          <w:rFonts w:ascii="Arial" w:hAnsi="Arial" w:cs="Arial"/>
          <w:smallCaps w:val="0"/>
          <w:noProof/>
          <w:color w:val="9D2235" w:themeColor="accent1"/>
          <w:sz w:val="18"/>
          <w:szCs w:val="18"/>
        </w:rPr>
        <w:t>11</w:t>
      </w:r>
      <w:r w:rsidRPr="00973028">
        <w:rPr>
          <w:rFonts w:ascii="Arial" w:hAnsi="Arial" w:cs="Arial"/>
          <w:smallCaps w:val="0"/>
          <w:color w:val="9D2235" w:themeColor="accent1"/>
          <w:sz w:val="18"/>
          <w:szCs w:val="18"/>
        </w:rPr>
        <w:fldChar w:fldCharType="end"/>
      </w:r>
      <w:r w:rsidR="00B00F7A">
        <w:rPr>
          <w:rFonts w:ascii="Arial" w:hAnsi="Arial" w:cs="Arial"/>
          <w:smallCaps w:val="0"/>
          <w:color w:val="9D2235" w:themeColor="accent1"/>
          <w:sz w:val="18"/>
          <w:szCs w:val="18"/>
        </w:rPr>
        <w:t>.</w:t>
      </w:r>
      <w:r w:rsidRPr="00973028">
        <w:rPr>
          <w:rFonts w:ascii="Arial" w:hAnsi="Arial" w:cs="Arial"/>
          <w:smallCaps w:val="0"/>
          <w:color w:val="9D2235" w:themeColor="accent1"/>
          <w:sz w:val="18"/>
          <w:szCs w:val="18"/>
        </w:rPr>
        <w:t xml:space="preserve"> </w:t>
      </w:r>
      <w:r w:rsidRPr="00973028">
        <w:rPr>
          <w:rFonts w:ascii="Arial" w:hAnsi="Arial" w:cs="Arial"/>
          <w:smallCaps w:val="0"/>
          <w:sz w:val="18"/>
          <w:szCs w:val="18"/>
        </w:rPr>
        <w:t>Denuncias de personas físicas clasificadas por género</w:t>
      </w:r>
      <w:bookmarkEnd w:id="66"/>
    </w:p>
    <w:tbl>
      <w:tblPr>
        <w:tblW w:w="5000" w:type="pct"/>
        <w:tblCellMar>
          <w:left w:w="70" w:type="dxa"/>
          <w:right w:w="70" w:type="dxa"/>
        </w:tblCellMar>
        <w:tblLook w:val="04A0" w:firstRow="1" w:lastRow="0" w:firstColumn="1" w:lastColumn="0" w:noHBand="0" w:noVBand="1"/>
      </w:tblPr>
      <w:tblGrid>
        <w:gridCol w:w="2185"/>
        <w:gridCol w:w="872"/>
        <w:gridCol w:w="584"/>
        <w:gridCol w:w="872"/>
        <w:gridCol w:w="584"/>
        <w:gridCol w:w="872"/>
        <w:gridCol w:w="584"/>
        <w:gridCol w:w="1020"/>
        <w:gridCol w:w="911"/>
      </w:tblGrid>
      <w:tr w:rsidR="008145AC" w:rsidRPr="00973028" w14:paraId="72FB8663" w14:textId="77777777" w:rsidTr="000F4B9E">
        <w:trPr>
          <w:trHeight w:val="300"/>
        </w:trPr>
        <w:tc>
          <w:tcPr>
            <w:tcW w:w="1288" w:type="pct"/>
            <w:vMerge w:val="restart"/>
            <w:tcBorders>
              <w:top w:val="single" w:sz="8" w:space="0" w:color="auto"/>
              <w:left w:val="single" w:sz="8" w:space="0" w:color="auto"/>
              <w:bottom w:val="single" w:sz="4" w:space="0" w:color="auto"/>
              <w:right w:val="single" w:sz="4" w:space="0" w:color="auto"/>
            </w:tcBorders>
            <w:shd w:val="clear" w:color="auto" w:fill="9D2235" w:themeFill="accent1"/>
            <w:noWrap/>
            <w:vAlign w:val="center"/>
            <w:hideMark/>
          </w:tcPr>
          <w:p w14:paraId="4E03E4DA" w14:textId="77777777" w:rsidR="002C0DE6" w:rsidRPr="000F4B9E" w:rsidRDefault="002C0DE6" w:rsidP="002A4453">
            <w:pPr>
              <w:rPr>
                <w:rFonts w:eastAsia="Times New Roman" w:cstheme="minorHAnsi"/>
                <w:b/>
                <w:bCs/>
                <w:color w:val="FFFFFF" w:themeColor="background1"/>
                <w:sz w:val="18"/>
                <w:szCs w:val="18"/>
                <w:lang w:eastAsia="es-ES"/>
              </w:rPr>
            </w:pPr>
            <w:r w:rsidRPr="000F4B9E">
              <w:rPr>
                <w:rFonts w:eastAsia="Times New Roman" w:cstheme="minorHAnsi"/>
                <w:b/>
                <w:bCs/>
                <w:color w:val="FFFFFF" w:themeColor="background1"/>
                <w:sz w:val="18"/>
                <w:szCs w:val="18"/>
                <w:lang w:eastAsia="es-ES"/>
              </w:rPr>
              <w:t>GÉNERO PERSONA FÍSICA</w:t>
            </w:r>
          </w:p>
        </w:tc>
        <w:tc>
          <w:tcPr>
            <w:tcW w:w="858"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066F5FA2"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2017</w:t>
            </w:r>
          </w:p>
        </w:tc>
        <w:tc>
          <w:tcPr>
            <w:tcW w:w="858"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79B4748F"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2018</w:t>
            </w:r>
          </w:p>
        </w:tc>
        <w:tc>
          <w:tcPr>
            <w:tcW w:w="858"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1AE88052"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2019</w:t>
            </w:r>
          </w:p>
        </w:tc>
        <w:tc>
          <w:tcPr>
            <w:tcW w:w="1138" w:type="pct"/>
            <w:gridSpan w:val="2"/>
            <w:tcBorders>
              <w:top w:val="single" w:sz="8" w:space="0" w:color="auto"/>
              <w:left w:val="nil"/>
              <w:bottom w:val="single" w:sz="4" w:space="0" w:color="auto"/>
              <w:right w:val="single" w:sz="8" w:space="0" w:color="000000"/>
            </w:tcBorders>
            <w:shd w:val="clear" w:color="auto" w:fill="9D2235" w:themeFill="accent1"/>
            <w:noWrap/>
            <w:vAlign w:val="bottom"/>
            <w:hideMark/>
          </w:tcPr>
          <w:p w14:paraId="648F92B1"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2020</w:t>
            </w:r>
          </w:p>
        </w:tc>
      </w:tr>
      <w:tr w:rsidR="000F4B9E" w:rsidRPr="00973028" w14:paraId="3FDCF8B7" w14:textId="77777777" w:rsidTr="000F4B9E">
        <w:trPr>
          <w:trHeight w:val="300"/>
        </w:trPr>
        <w:tc>
          <w:tcPr>
            <w:tcW w:w="1288" w:type="pct"/>
            <w:vMerge/>
            <w:tcBorders>
              <w:top w:val="single" w:sz="8" w:space="0" w:color="auto"/>
              <w:left w:val="single" w:sz="8" w:space="0" w:color="auto"/>
              <w:bottom w:val="single" w:sz="4" w:space="0" w:color="auto"/>
              <w:right w:val="single" w:sz="4" w:space="0" w:color="auto"/>
            </w:tcBorders>
            <w:vAlign w:val="center"/>
            <w:hideMark/>
          </w:tcPr>
          <w:p w14:paraId="365F67FF" w14:textId="77777777" w:rsidR="002C0DE6" w:rsidRPr="000F4B9E" w:rsidRDefault="002C0DE6" w:rsidP="002A4453">
            <w:pPr>
              <w:rPr>
                <w:rFonts w:eastAsia="Times New Roman" w:cstheme="minorHAnsi"/>
                <w:b/>
                <w:bCs/>
                <w:color w:val="000000"/>
                <w:sz w:val="18"/>
                <w:szCs w:val="18"/>
                <w:lang w:eastAsia="es-ES"/>
              </w:rPr>
            </w:pPr>
          </w:p>
        </w:tc>
        <w:tc>
          <w:tcPr>
            <w:tcW w:w="514" w:type="pct"/>
            <w:tcBorders>
              <w:top w:val="nil"/>
              <w:left w:val="nil"/>
              <w:bottom w:val="single" w:sz="4" w:space="0" w:color="auto"/>
              <w:right w:val="single" w:sz="4" w:space="0" w:color="auto"/>
            </w:tcBorders>
            <w:shd w:val="clear" w:color="auto" w:fill="9D2235" w:themeFill="accent1"/>
            <w:noWrap/>
            <w:vAlign w:val="bottom"/>
            <w:hideMark/>
          </w:tcPr>
          <w:p w14:paraId="05256800" w14:textId="77777777" w:rsidR="002C0DE6" w:rsidRPr="00973028" w:rsidRDefault="002C0DE6" w:rsidP="002A4453">
            <w:pPr>
              <w:jc w:val="center"/>
              <w:rPr>
                <w:rFonts w:ascii="Calibri" w:eastAsia="Times New Roman" w:hAnsi="Calibri" w:cs="Calibri"/>
                <w:b/>
                <w:bCs/>
                <w:color w:val="FFFFFF" w:themeColor="background1"/>
                <w:sz w:val="18"/>
                <w:szCs w:val="18"/>
                <w:lang w:eastAsia="es-ES"/>
              </w:rPr>
            </w:pPr>
            <w:r w:rsidRPr="00973028">
              <w:rPr>
                <w:rFonts w:ascii="Calibri" w:eastAsia="Times New Roman" w:hAnsi="Calibri" w:cs="Calibri"/>
                <w:b/>
                <w:bCs/>
                <w:color w:val="FFFFFF" w:themeColor="background1"/>
                <w:sz w:val="18"/>
                <w:szCs w:val="18"/>
                <w:lang w:eastAsia="es-ES"/>
              </w:rPr>
              <w:t>Absoluto</w:t>
            </w:r>
          </w:p>
        </w:tc>
        <w:tc>
          <w:tcPr>
            <w:tcW w:w="344" w:type="pct"/>
            <w:tcBorders>
              <w:top w:val="nil"/>
              <w:left w:val="nil"/>
              <w:bottom w:val="single" w:sz="4" w:space="0" w:color="auto"/>
              <w:right w:val="single" w:sz="4" w:space="0" w:color="auto"/>
            </w:tcBorders>
            <w:shd w:val="clear" w:color="auto" w:fill="9D2235" w:themeFill="accent1"/>
            <w:noWrap/>
            <w:vAlign w:val="bottom"/>
            <w:hideMark/>
          </w:tcPr>
          <w:p w14:paraId="07136A9F" w14:textId="77777777" w:rsidR="002C0DE6" w:rsidRPr="00973028" w:rsidRDefault="002C0DE6" w:rsidP="002A4453">
            <w:pPr>
              <w:jc w:val="center"/>
              <w:rPr>
                <w:rFonts w:ascii="Calibri" w:eastAsia="Times New Roman" w:hAnsi="Calibri" w:cs="Calibri"/>
                <w:b/>
                <w:bCs/>
                <w:color w:val="FFFFFF" w:themeColor="background1"/>
                <w:sz w:val="18"/>
                <w:szCs w:val="18"/>
                <w:lang w:eastAsia="es-ES"/>
              </w:rPr>
            </w:pPr>
            <w:r w:rsidRPr="00973028">
              <w:rPr>
                <w:rFonts w:ascii="Calibri" w:eastAsia="Times New Roman" w:hAnsi="Calibri" w:cs="Calibri"/>
                <w:b/>
                <w:bCs/>
                <w:color w:val="FFFFFF" w:themeColor="background1"/>
                <w:sz w:val="18"/>
                <w:szCs w:val="18"/>
                <w:lang w:eastAsia="es-ES"/>
              </w:rPr>
              <w:t>%</w:t>
            </w:r>
          </w:p>
        </w:tc>
        <w:tc>
          <w:tcPr>
            <w:tcW w:w="514" w:type="pct"/>
            <w:tcBorders>
              <w:top w:val="nil"/>
              <w:left w:val="nil"/>
              <w:bottom w:val="single" w:sz="4" w:space="0" w:color="auto"/>
              <w:right w:val="single" w:sz="4" w:space="0" w:color="auto"/>
            </w:tcBorders>
            <w:shd w:val="clear" w:color="auto" w:fill="9D2235" w:themeFill="accent1"/>
            <w:noWrap/>
            <w:vAlign w:val="bottom"/>
            <w:hideMark/>
          </w:tcPr>
          <w:p w14:paraId="0EEE0618" w14:textId="77777777" w:rsidR="002C0DE6" w:rsidRPr="00973028" w:rsidRDefault="002C0DE6" w:rsidP="002A4453">
            <w:pPr>
              <w:jc w:val="center"/>
              <w:rPr>
                <w:rFonts w:ascii="Calibri" w:eastAsia="Times New Roman" w:hAnsi="Calibri" w:cs="Calibri"/>
                <w:b/>
                <w:bCs/>
                <w:color w:val="FFFFFF" w:themeColor="background1"/>
                <w:sz w:val="18"/>
                <w:szCs w:val="18"/>
                <w:lang w:eastAsia="es-ES"/>
              </w:rPr>
            </w:pPr>
            <w:r w:rsidRPr="00973028">
              <w:rPr>
                <w:rFonts w:ascii="Calibri" w:eastAsia="Times New Roman" w:hAnsi="Calibri" w:cs="Calibri"/>
                <w:b/>
                <w:bCs/>
                <w:color w:val="FFFFFF" w:themeColor="background1"/>
                <w:sz w:val="18"/>
                <w:szCs w:val="18"/>
                <w:lang w:eastAsia="es-ES"/>
              </w:rPr>
              <w:t>Absoluto</w:t>
            </w:r>
          </w:p>
        </w:tc>
        <w:tc>
          <w:tcPr>
            <w:tcW w:w="344" w:type="pct"/>
            <w:tcBorders>
              <w:top w:val="nil"/>
              <w:left w:val="nil"/>
              <w:bottom w:val="single" w:sz="4" w:space="0" w:color="auto"/>
              <w:right w:val="single" w:sz="4" w:space="0" w:color="auto"/>
            </w:tcBorders>
            <w:shd w:val="clear" w:color="auto" w:fill="9D2235" w:themeFill="accent1"/>
            <w:noWrap/>
            <w:vAlign w:val="bottom"/>
            <w:hideMark/>
          </w:tcPr>
          <w:p w14:paraId="5C6C8043" w14:textId="77777777" w:rsidR="002C0DE6" w:rsidRPr="00973028" w:rsidRDefault="002C0DE6" w:rsidP="002A4453">
            <w:pPr>
              <w:jc w:val="center"/>
              <w:rPr>
                <w:rFonts w:ascii="Calibri" w:eastAsia="Times New Roman" w:hAnsi="Calibri" w:cs="Calibri"/>
                <w:b/>
                <w:bCs/>
                <w:color w:val="FFFFFF" w:themeColor="background1"/>
                <w:sz w:val="18"/>
                <w:szCs w:val="18"/>
                <w:lang w:eastAsia="es-ES"/>
              </w:rPr>
            </w:pPr>
            <w:r w:rsidRPr="00973028">
              <w:rPr>
                <w:rFonts w:ascii="Calibri" w:eastAsia="Times New Roman" w:hAnsi="Calibri" w:cs="Calibri"/>
                <w:b/>
                <w:bCs/>
                <w:color w:val="FFFFFF" w:themeColor="background1"/>
                <w:sz w:val="18"/>
                <w:szCs w:val="18"/>
                <w:lang w:eastAsia="es-ES"/>
              </w:rPr>
              <w:t>%</w:t>
            </w:r>
          </w:p>
        </w:tc>
        <w:tc>
          <w:tcPr>
            <w:tcW w:w="514" w:type="pct"/>
            <w:tcBorders>
              <w:top w:val="nil"/>
              <w:left w:val="nil"/>
              <w:bottom w:val="single" w:sz="4" w:space="0" w:color="auto"/>
              <w:right w:val="single" w:sz="4" w:space="0" w:color="auto"/>
            </w:tcBorders>
            <w:shd w:val="clear" w:color="auto" w:fill="9D2235" w:themeFill="accent1"/>
            <w:noWrap/>
            <w:vAlign w:val="bottom"/>
            <w:hideMark/>
          </w:tcPr>
          <w:p w14:paraId="4981775C" w14:textId="77777777" w:rsidR="002C0DE6" w:rsidRPr="00973028" w:rsidRDefault="002C0DE6" w:rsidP="002A4453">
            <w:pPr>
              <w:jc w:val="center"/>
              <w:rPr>
                <w:rFonts w:ascii="Calibri" w:eastAsia="Times New Roman" w:hAnsi="Calibri" w:cs="Calibri"/>
                <w:b/>
                <w:bCs/>
                <w:color w:val="FFFFFF" w:themeColor="background1"/>
                <w:sz w:val="18"/>
                <w:szCs w:val="18"/>
                <w:lang w:eastAsia="es-ES"/>
              </w:rPr>
            </w:pPr>
            <w:r w:rsidRPr="00973028">
              <w:rPr>
                <w:rFonts w:ascii="Calibri" w:eastAsia="Times New Roman" w:hAnsi="Calibri" w:cs="Calibri"/>
                <w:b/>
                <w:bCs/>
                <w:color w:val="FFFFFF" w:themeColor="background1"/>
                <w:sz w:val="18"/>
                <w:szCs w:val="18"/>
                <w:lang w:eastAsia="es-ES"/>
              </w:rPr>
              <w:t>Absoluto</w:t>
            </w:r>
          </w:p>
        </w:tc>
        <w:tc>
          <w:tcPr>
            <w:tcW w:w="344" w:type="pct"/>
            <w:tcBorders>
              <w:top w:val="nil"/>
              <w:left w:val="nil"/>
              <w:bottom w:val="single" w:sz="4" w:space="0" w:color="auto"/>
              <w:right w:val="single" w:sz="4" w:space="0" w:color="auto"/>
            </w:tcBorders>
            <w:shd w:val="clear" w:color="auto" w:fill="9D2235" w:themeFill="accent1"/>
            <w:noWrap/>
            <w:vAlign w:val="bottom"/>
            <w:hideMark/>
          </w:tcPr>
          <w:p w14:paraId="06CCE947" w14:textId="77777777" w:rsidR="002C0DE6" w:rsidRPr="00973028" w:rsidRDefault="002C0DE6" w:rsidP="002A4453">
            <w:pPr>
              <w:jc w:val="center"/>
              <w:rPr>
                <w:rFonts w:ascii="Calibri" w:eastAsia="Times New Roman" w:hAnsi="Calibri" w:cs="Calibri"/>
                <w:b/>
                <w:bCs/>
                <w:color w:val="FFFFFF" w:themeColor="background1"/>
                <w:sz w:val="18"/>
                <w:szCs w:val="18"/>
                <w:lang w:eastAsia="es-ES"/>
              </w:rPr>
            </w:pPr>
            <w:r w:rsidRPr="00973028">
              <w:rPr>
                <w:rFonts w:ascii="Calibri" w:eastAsia="Times New Roman" w:hAnsi="Calibri" w:cs="Calibri"/>
                <w:b/>
                <w:bCs/>
                <w:color w:val="FFFFFF" w:themeColor="background1"/>
                <w:sz w:val="18"/>
                <w:szCs w:val="18"/>
                <w:lang w:eastAsia="es-ES"/>
              </w:rPr>
              <w:t>%</w:t>
            </w:r>
          </w:p>
        </w:tc>
        <w:tc>
          <w:tcPr>
            <w:tcW w:w="601" w:type="pct"/>
            <w:tcBorders>
              <w:top w:val="nil"/>
              <w:left w:val="nil"/>
              <w:bottom w:val="single" w:sz="4" w:space="0" w:color="auto"/>
              <w:right w:val="single" w:sz="4" w:space="0" w:color="auto"/>
            </w:tcBorders>
            <w:shd w:val="clear" w:color="auto" w:fill="9D2235" w:themeFill="accent1"/>
            <w:noWrap/>
            <w:vAlign w:val="bottom"/>
            <w:hideMark/>
          </w:tcPr>
          <w:p w14:paraId="7E1E0EFF" w14:textId="77777777" w:rsidR="002C0DE6" w:rsidRPr="00973028" w:rsidRDefault="002C0DE6" w:rsidP="002A4453">
            <w:pPr>
              <w:jc w:val="center"/>
              <w:rPr>
                <w:rFonts w:ascii="Calibri" w:eastAsia="Times New Roman" w:hAnsi="Calibri" w:cs="Calibri"/>
                <w:b/>
                <w:bCs/>
                <w:color w:val="FFFFFF" w:themeColor="background1"/>
                <w:sz w:val="18"/>
                <w:szCs w:val="18"/>
                <w:lang w:eastAsia="es-ES"/>
              </w:rPr>
            </w:pPr>
            <w:r w:rsidRPr="00973028">
              <w:rPr>
                <w:rFonts w:ascii="Calibri" w:eastAsia="Times New Roman" w:hAnsi="Calibri" w:cs="Calibri"/>
                <w:b/>
                <w:bCs/>
                <w:color w:val="FFFFFF" w:themeColor="background1"/>
                <w:sz w:val="18"/>
                <w:szCs w:val="18"/>
                <w:lang w:eastAsia="es-ES"/>
              </w:rPr>
              <w:t>Absoluto</w:t>
            </w:r>
          </w:p>
        </w:tc>
        <w:tc>
          <w:tcPr>
            <w:tcW w:w="536" w:type="pct"/>
            <w:tcBorders>
              <w:top w:val="nil"/>
              <w:left w:val="nil"/>
              <w:bottom w:val="single" w:sz="4" w:space="0" w:color="auto"/>
              <w:right w:val="single" w:sz="8" w:space="0" w:color="auto"/>
            </w:tcBorders>
            <w:shd w:val="clear" w:color="auto" w:fill="9D2235" w:themeFill="accent1"/>
            <w:noWrap/>
            <w:vAlign w:val="bottom"/>
            <w:hideMark/>
          </w:tcPr>
          <w:p w14:paraId="62325468" w14:textId="77777777" w:rsidR="002C0DE6" w:rsidRPr="00973028" w:rsidRDefault="002C0DE6" w:rsidP="002A4453">
            <w:pPr>
              <w:jc w:val="center"/>
              <w:rPr>
                <w:rFonts w:ascii="Calibri" w:eastAsia="Times New Roman" w:hAnsi="Calibri" w:cs="Calibri"/>
                <w:b/>
                <w:bCs/>
                <w:color w:val="FFFFFF" w:themeColor="background1"/>
                <w:sz w:val="18"/>
                <w:szCs w:val="18"/>
                <w:lang w:eastAsia="es-ES"/>
              </w:rPr>
            </w:pPr>
            <w:r w:rsidRPr="00973028">
              <w:rPr>
                <w:rFonts w:ascii="Calibri" w:eastAsia="Times New Roman" w:hAnsi="Calibri" w:cs="Calibri"/>
                <w:b/>
                <w:bCs/>
                <w:color w:val="FFFFFF" w:themeColor="background1"/>
                <w:sz w:val="18"/>
                <w:szCs w:val="18"/>
                <w:lang w:eastAsia="es-ES"/>
              </w:rPr>
              <w:t>%</w:t>
            </w:r>
          </w:p>
        </w:tc>
      </w:tr>
      <w:tr w:rsidR="000F4B9E" w:rsidRPr="00973028" w14:paraId="05DB18C0" w14:textId="77777777" w:rsidTr="000F4B9E">
        <w:trPr>
          <w:trHeight w:val="300"/>
        </w:trPr>
        <w:tc>
          <w:tcPr>
            <w:tcW w:w="1288" w:type="pct"/>
            <w:tcBorders>
              <w:top w:val="nil"/>
              <w:left w:val="single" w:sz="8" w:space="0" w:color="auto"/>
              <w:bottom w:val="single" w:sz="4" w:space="0" w:color="auto"/>
              <w:right w:val="single" w:sz="4" w:space="0" w:color="auto"/>
            </w:tcBorders>
            <w:shd w:val="clear" w:color="auto" w:fill="auto"/>
            <w:noWrap/>
            <w:vAlign w:val="bottom"/>
            <w:hideMark/>
          </w:tcPr>
          <w:p w14:paraId="1B3E63A4" w14:textId="77777777" w:rsidR="002C0DE6" w:rsidRPr="000F4B9E" w:rsidRDefault="002C0DE6" w:rsidP="002A4453">
            <w:pPr>
              <w:rPr>
                <w:rFonts w:eastAsia="Times New Roman" w:cstheme="minorHAnsi"/>
                <w:color w:val="000000"/>
                <w:sz w:val="18"/>
                <w:szCs w:val="18"/>
                <w:lang w:eastAsia="es-ES"/>
              </w:rPr>
            </w:pPr>
            <w:r w:rsidRPr="000F4B9E">
              <w:rPr>
                <w:rFonts w:eastAsia="Times New Roman" w:cstheme="minorHAnsi"/>
                <w:color w:val="000000"/>
                <w:sz w:val="18"/>
                <w:szCs w:val="18"/>
                <w:lang w:eastAsia="es-ES"/>
              </w:rPr>
              <w:t>Hombre</w:t>
            </w:r>
          </w:p>
        </w:tc>
        <w:tc>
          <w:tcPr>
            <w:tcW w:w="514" w:type="pct"/>
            <w:tcBorders>
              <w:top w:val="nil"/>
              <w:left w:val="nil"/>
              <w:bottom w:val="single" w:sz="4" w:space="0" w:color="auto"/>
              <w:right w:val="single" w:sz="4" w:space="0" w:color="auto"/>
            </w:tcBorders>
            <w:shd w:val="clear" w:color="auto" w:fill="auto"/>
            <w:noWrap/>
            <w:vAlign w:val="bottom"/>
            <w:hideMark/>
          </w:tcPr>
          <w:p w14:paraId="43815847"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29</w:t>
            </w:r>
          </w:p>
        </w:tc>
        <w:tc>
          <w:tcPr>
            <w:tcW w:w="344" w:type="pct"/>
            <w:tcBorders>
              <w:top w:val="nil"/>
              <w:left w:val="nil"/>
              <w:bottom w:val="single" w:sz="4" w:space="0" w:color="auto"/>
              <w:right w:val="single" w:sz="4" w:space="0" w:color="auto"/>
            </w:tcBorders>
            <w:shd w:val="clear" w:color="auto" w:fill="auto"/>
            <w:noWrap/>
            <w:vAlign w:val="bottom"/>
            <w:hideMark/>
          </w:tcPr>
          <w:p w14:paraId="5424837E"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100%</w:t>
            </w:r>
          </w:p>
        </w:tc>
        <w:tc>
          <w:tcPr>
            <w:tcW w:w="514" w:type="pct"/>
            <w:tcBorders>
              <w:top w:val="nil"/>
              <w:left w:val="nil"/>
              <w:bottom w:val="single" w:sz="4" w:space="0" w:color="auto"/>
              <w:right w:val="single" w:sz="4" w:space="0" w:color="auto"/>
            </w:tcBorders>
            <w:shd w:val="clear" w:color="auto" w:fill="auto"/>
            <w:noWrap/>
            <w:vAlign w:val="bottom"/>
            <w:hideMark/>
          </w:tcPr>
          <w:p w14:paraId="17D5619A"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57</w:t>
            </w:r>
          </w:p>
        </w:tc>
        <w:tc>
          <w:tcPr>
            <w:tcW w:w="344" w:type="pct"/>
            <w:tcBorders>
              <w:top w:val="nil"/>
              <w:left w:val="nil"/>
              <w:bottom w:val="single" w:sz="4" w:space="0" w:color="auto"/>
              <w:right w:val="single" w:sz="4" w:space="0" w:color="auto"/>
            </w:tcBorders>
            <w:shd w:val="clear" w:color="auto" w:fill="auto"/>
            <w:noWrap/>
            <w:vAlign w:val="bottom"/>
            <w:hideMark/>
          </w:tcPr>
          <w:p w14:paraId="700E08D7"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75%</w:t>
            </w:r>
          </w:p>
        </w:tc>
        <w:tc>
          <w:tcPr>
            <w:tcW w:w="514" w:type="pct"/>
            <w:tcBorders>
              <w:top w:val="nil"/>
              <w:left w:val="nil"/>
              <w:bottom w:val="single" w:sz="4" w:space="0" w:color="auto"/>
              <w:right w:val="single" w:sz="4" w:space="0" w:color="auto"/>
            </w:tcBorders>
            <w:shd w:val="clear" w:color="auto" w:fill="auto"/>
            <w:noWrap/>
            <w:vAlign w:val="bottom"/>
            <w:hideMark/>
          </w:tcPr>
          <w:p w14:paraId="65760D46"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59</w:t>
            </w:r>
          </w:p>
        </w:tc>
        <w:tc>
          <w:tcPr>
            <w:tcW w:w="344" w:type="pct"/>
            <w:tcBorders>
              <w:top w:val="nil"/>
              <w:left w:val="nil"/>
              <w:bottom w:val="single" w:sz="4" w:space="0" w:color="auto"/>
              <w:right w:val="single" w:sz="4" w:space="0" w:color="auto"/>
            </w:tcBorders>
            <w:shd w:val="clear" w:color="auto" w:fill="auto"/>
            <w:noWrap/>
            <w:vAlign w:val="bottom"/>
            <w:hideMark/>
          </w:tcPr>
          <w:p w14:paraId="7CE8294B"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73%</w:t>
            </w:r>
          </w:p>
        </w:tc>
        <w:tc>
          <w:tcPr>
            <w:tcW w:w="601" w:type="pct"/>
            <w:tcBorders>
              <w:top w:val="nil"/>
              <w:left w:val="nil"/>
              <w:bottom w:val="single" w:sz="4" w:space="0" w:color="auto"/>
              <w:right w:val="single" w:sz="4" w:space="0" w:color="auto"/>
            </w:tcBorders>
            <w:shd w:val="clear" w:color="auto" w:fill="auto"/>
            <w:noWrap/>
            <w:vAlign w:val="bottom"/>
            <w:hideMark/>
          </w:tcPr>
          <w:p w14:paraId="71850D8A"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99</w:t>
            </w:r>
          </w:p>
        </w:tc>
        <w:tc>
          <w:tcPr>
            <w:tcW w:w="536" w:type="pct"/>
            <w:tcBorders>
              <w:top w:val="nil"/>
              <w:left w:val="nil"/>
              <w:bottom w:val="single" w:sz="4" w:space="0" w:color="auto"/>
              <w:right w:val="single" w:sz="8" w:space="0" w:color="auto"/>
            </w:tcBorders>
            <w:shd w:val="clear" w:color="auto" w:fill="auto"/>
            <w:noWrap/>
            <w:vAlign w:val="bottom"/>
            <w:hideMark/>
          </w:tcPr>
          <w:p w14:paraId="18656B89"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82%</w:t>
            </w:r>
          </w:p>
        </w:tc>
      </w:tr>
      <w:tr w:rsidR="000F4B9E" w:rsidRPr="00973028" w14:paraId="027C945B" w14:textId="77777777" w:rsidTr="000F4B9E">
        <w:trPr>
          <w:trHeight w:val="300"/>
        </w:trPr>
        <w:tc>
          <w:tcPr>
            <w:tcW w:w="1288" w:type="pct"/>
            <w:tcBorders>
              <w:top w:val="nil"/>
              <w:left w:val="single" w:sz="8" w:space="0" w:color="auto"/>
              <w:bottom w:val="single" w:sz="4" w:space="0" w:color="auto"/>
              <w:right w:val="single" w:sz="4" w:space="0" w:color="auto"/>
            </w:tcBorders>
            <w:shd w:val="clear" w:color="auto" w:fill="auto"/>
            <w:noWrap/>
            <w:vAlign w:val="bottom"/>
            <w:hideMark/>
          </w:tcPr>
          <w:p w14:paraId="41513725" w14:textId="77777777" w:rsidR="002C0DE6" w:rsidRPr="000F4B9E" w:rsidRDefault="002C0DE6" w:rsidP="002A4453">
            <w:pPr>
              <w:rPr>
                <w:rFonts w:eastAsia="Times New Roman" w:cstheme="minorHAnsi"/>
                <w:color w:val="000000"/>
                <w:sz w:val="18"/>
                <w:szCs w:val="18"/>
                <w:lang w:eastAsia="es-ES"/>
              </w:rPr>
            </w:pPr>
            <w:r w:rsidRPr="000F4B9E">
              <w:rPr>
                <w:rFonts w:eastAsia="Times New Roman" w:cstheme="minorHAnsi"/>
                <w:color w:val="000000"/>
                <w:sz w:val="18"/>
                <w:szCs w:val="18"/>
                <w:lang w:eastAsia="es-ES"/>
              </w:rPr>
              <w:t>Mujer</w:t>
            </w:r>
          </w:p>
        </w:tc>
        <w:tc>
          <w:tcPr>
            <w:tcW w:w="514" w:type="pct"/>
            <w:tcBorders>
              <w:top w:val="nil"/>
              <w:left w:val="nil"/>
              <w:bottom w:val="single" w:sz="4" w:space="0" w:color="auto"/>
              <w:right w:val="single" w:sz="4" w:space="0" w:color="auto"/>
            </w:tcBorders>
            <w:shd w:val="clear" w:color="auto" w:fill="auto"/>
            <w:noWrap/>
            <w:vAlign w:val="bottom"/>
            <w:hideMark/>
          </w:tcPr>
          <w:p w14:paraId="63BD6586"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0</w:t>
            </w:r>
          </w:p>
        </w:tc>
        <w:tc>
          <w:tcPr>
            <w:tcW w:w="344" w:type="pct"/>
            <w:tcBorders>
              <w:top w:val="nil"/>
              <w:left w:val="nil"/>
              <w:bottom w:val="single" w:sz="4" w:space="0" w:color="auto"/>
              <w:right w:val="single" w:sz="4" w:space="0" w:color="auto"/>
            </w:tcBorders>
            <w:shd w:val="clear" w:color="auto" w:fill="auto"/>
            <w:noWrap/>
            <w:vAlign w:val="bottom"/>
            <w:hideMark/>
          </w:tcPr>
          <w:p w14:paraId="73ECB2C6"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0%</w:t>
            </w:r>
          </w:p>
        </w:tc>
        <w:tc>
          <w:tcPr>
            <w:tcW w:w="514" w:type="pct"/>
            <w:tcBorders>
              <w:top w:val="nil"/>
              <w:left w:val="nil"/>
              <w:bottom w:val="single" w:sz="4" w:space="0" w:color="auto"/>
              <w:right w:val="single" w:sz="4" w:space="0" w:color="auto"/>
            </w:tcBorders>
            <w:shd w:val="clear" w:color="auto" w:fill="auto"/>
            <w:noWrap/>
            <w:vAlign w:val="bottom"/>
            <w:hideMark/>
          </w:tcPr>
          <w:p w14:paraId="5A9341C0"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19</w:t>
            </w:r>
          </w:p>
        </w:tc>
        <w:tc>
          <w:tcPr>
            <w:tcW w:w="344" w:type="pct"/>
            <w:tcBorders>
              <w:top w:val="nil"/>
              <w:left w:val="nil"/>
              <w:bottom w:val="single" w:sz="4" w:space="0" w:color="auto"/>
              <w:right w:val="single" w:sz="4" w:space="0" w:color="auto"/>
            </w:tcBorders>
            <w:shd w:val="clear" w:color="auto" w:fill="auto"/>
            <w:noWrap/>
            <w:vAlign w:val="bottom"/>
            <w:hideMark/>
          </w:tcPr>
          <w:p w14:paraId="5E4E4B46"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25%</w:t>
            </w:r>
          </w:p>
        </w:tc>
        <w:tc>
          <w:tcPr>
            <w:tcW w:w="514" w:type="pct"/>
            <w:tcBorders>
              <w:top w:val="nil"/>
              <w:left w:val="nil"/>
              <w:bottom w:val="single" w:sz="4" w:space="0" w:color="auto"/>
              <w:right w:val="single" w:sz="4" w:space="0" w:color="auto"/>
            </w:tcBorders>
            <w:shd w:val="clear" w:color="auto" w:fill="auto"/>
            <w:noWrap/>
            <w:vAlign w:val="bottom"/>
            <w:hideMark/>
          </w:tcPr>
          <w:p w14:paraId="7CAAA52D"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22</w:t>
            </w:r>
          </w:p>
        </w:tc>
        <w:tc>
          <w:tcPr>
            <w:tcW w:w="344" w:type="pct"/>
            <w:tcBorders>
              <w:top w:val="nil"/>
              <w:left w:val="nil"/>
              <w:bottom w:val="single" w:sz="4" w:space="0" w:color="auto"/>
              <w:right w:val="single" w:sz="4" w:space="0" w:color="auto"/>
            </w:tcBorders>
            <w:shd w:val="clear" w:color="auto" w:fill="auto"/>
            <w:noWrap/>
            <w:vAlign w:val="bottom"/>
            <w:hideMark/>
          </w:tcPr>
          <w:p w14:paraId="398FAD01"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27%</w:t>
            </w:r>
          </w:p>
        </w:tc>
        <w:tc>
          <w:tcPr>
            <w:tcW w:w="601" w:type="pct"/>
            <w:tcBorders>
              <w:top w:val="nil"/>
              <w:left w:val="nil"/>
              <w:bottom w:val="single" w:sz="4" w:space="0" w:color="auto"/>
              <w:right w:val="single" w:sz="4" w:space="0" w:color="auto"/>
            </w:tcBorders>
            <w:shd w:val="clear" w:color="auto" w:fill="auto"/>
            <w:noWrap/>
            <w:vAlign w:val="bottom"/>
            <w:hideMark/>
          </w:tcPr>
          <w:p w14:paraId="57ECCA5E"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21</w:t>
            </w:r>
          </w:p>
        </w:tc>
        <w:tc>
          <w:tcPr>
            <w:tcW w:w="536" w:type="pct"/>
            <w:tcBorders>
              <w:top w:val="nil"/>
              <w:left w:val="nil"/>
              <w:bottom w:val="single" w:sz="4" w:space="0" w:color="auto"/>
              <w:right w:val="single" w:sz="8" w:space="0" w:color="auto"/>
            </w:tcBorders>
            <w:shd w:val="clear" w:color="auto" w:fill="auto"/>
            <w:noWrap/>
            <w:vAlign w:val="bottom"/>
            <w:hideMark/>
          </w:tcPr>
          <w:p w14:paraId="321C4B2C"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18%</w:t>
            </w:r>
          </w:p>
        </w:tc>
      </w:tr>
      <w:tr w:rsidR="000F4B9E" w:rsidRPr="00973028" w14:paraId="41F1FEA0" w14:textId="77777777" w:rsidTr="000F4B9E">
        <w:trPr>
          <w:trHeight w:val="300"/>
        </w:trPr>
        <w:tc>
          <w:tcPr>
            <w:tcW w:w="1288" w:type="pct"/>
            <w:tcBorders>
              <w:top w:val="nil"/>
              <w:left w:val="single" w:sz="8" w:space="0" w:color="auto"/>
              <w:bottom w:val="single" w:sz="8" w:space="0" w:color="auto"/>
              <w:right w:val="single" w:sz="4" w:space="0" w:color="auto"/>
            </w:tcBorders>
            <w:shd w:val="clear" w:color="auto" w:fill="D9D9D9" w:themeFill="background1" w:themeFillShade="D9"/>
            <w:noWrap/>
            <w:vAlign w:val="bottom"/>
            <w:hideMark/>
          </w:tcPr>
          <w:p w14:paraId="00541179" w14:textId="77777777" w:rsidR="002C0DE6" w:rsidRPr="000F4B9E" w:rsidRDefault="002C0DE6" w:rsidP="002A4453">
            <w:pPr>
              <w:jc w:val="right"/>
              <w:rPr>
                <w:rFonts w:eastAsia="Times New Roman" w:cstheme="minorHAnsi"/>
                <w:b/>
                <w:bCs/>
                <w:color w:val="000000"/>
                <w:sz w:val="18"/>
                <w:szCs w:val="18"/>
                <w:lang w:eastAsia="es-ES"/>
              </w:rPr>
            </w:pPr>
            <w:r w:rsidRPr="000F4B9E">
              <w:rPr>
                <w:rFonts w:eastAsia="Times New Roman" w:cstheme="minorHAnsi"/>
                <w:b/>
                <w:bCs/>
                <w:color w:val="000000"/>
                <w:sz w:val="18"/>
                <w:szCs w:val="18"/>
                <w:lang w:eastAsia="es-ES"/>
              </w:rPr>
              <w:t>TOTAL.</w:t>
            </w:r>
          </w:p>
        </w:tc>
        <w:tc>
          <w:tcPr>
            <w:tcW w:w="514" w:type="pct"/>
            <w:tcBorders>
              <w:top w:val="nil"/>
              <w:left w:val="nil"/>
              <w:bottom w:val="single" w:sz="8" w:space="0" w:color="auto"/>
              <w:right w:val="single" w:sz="4" w:space="0" w:color="auto"/>
            </w:tcBorders>
            <w:shd w:val="clear" w:color="auto" w:fill="D9D9D9" w:themeFill="background1" w:themeFillShade="D9"/>
            <w:noWrap/>
            <w:vAlign w:val="bottom"/>
            <w:hideMark/>
          </w:tcPr>
          <w:p w14:paraId="342EFB18" w14:textId="77777777" w:rsidR="002C0DE6" w:rsidRPr="00973028" w:rsidRDefault="002C0DE6" w:rsidP="002A4453">
            <w:pPr>
              <w:jc w:val="center"/>
              <w:rPr>
                <w:rFonts w:ascii="Calibri" w:eastAsia="Times New Roman" w:hAnsi="Calibri" w:cs="Calibri"/>
                <w:b/>
                <w:bCs/>
                <w:color w:val="000000"/>
                <w:sz w:val="18"/>
                <w:szCs w:val="18"/>
                <w:lang w:eastAsia="es-ES"/>
              </w:rPr>
            </w:pPr>
            <w:r w:rsidRPr="00973028">
              <w:rPr>
                <w:rFonts w:ascii="Calibri" w:eastAsia="Times New Roman" w:hAnsi="Calibri" w:cs="Calibri"/>
                <w:b/>
                <w:bCs/>
                <w:color w:val="000000"/>
                <w:sz w:val="18"/>
                <w:szCs w:val="18"/>
                <w:lang w:eastAsia="es-ES"/>
              </w:rPr>
              <w:t>29</w:t>
            </w:r>
          </w:p>
        </w:tc>
        <w:tc>
          <w:tcPr>
            <w:tcW w:w="344" w:type="pct"/>
            <w:tcBorders>
              <w:top w:val="nil"/>
              <w:left w:val="nil"/>
              <w:bottom w:val="single" w:sz="8" w:space="0" w:color="auto"/>
              <w:right w:val="single" w:sz="4" w:space="0" w:color="auto"/>
            </w:tcBorders>
            <w:shd w:val="clear" w:color="auto" w:fill="D9D9D9" w:themeFill="background1" w:themeFillShade="D9"/>
            <w:noWrap/>
            <w:vAlign w:val="bottom"/>
            <w:hideMark/>
          </w:tcPr>
          <w:p w14:paraId="096391AC" w14:textId="77777777" w:rsidR="002C0DE6" w:rsidRPr="00973028" w:rsidRDefault="002C0DE6" w:rsidP="002A4453">
            <w:pPr>
              <w:jc w:val="center"/>
              <w:rPr>
                <w:rFonts w:ascii="Calibri" w:eastAsia="Times New Roman" w:hAnsi="Calibri" w:cs="Calibri"/>
                <w:b/>
                <w:bCs/>
                <w:color w:val="000000"/>
                <w:sz w:val="18"/>
                <w:szCs w:val="18"/>
                <w:lang w:eastAsia="es-ES"/>
              </w:rPr>
            </w:pPr>
            <w:r w:rsidRPr="00973028">
              <w:rPr>
                <w:rFonts w:ascii="Calibri" w:eastAsia="Times New Roman" w:hAnsi="Calibri" w:cs="Calibri"/>
                <w:b/>
                <w:bCs/>
                <w:color w:val="000000"/>
                <w:sz w:val="18"/>
                <w:szCs w:val="18"/>
                <w:lang w:eastAsia="es-ES"/>
              </w:rPr>
              <w:t>100%</w:t>
            </w:r>
          </w:p>
        </w:tc>
        <w:tc>
          <w:tcPr>
            <w:tcW w:w="514" w:type="pct"/>
            <w:tcBorders>
              <w:top w:val="nil"/>
              <w:left w:val="nil"/>
              <w:bottom w:val="single" w:sz="8" w:space="0" w:color="auto"/>
              <w:right w:val="single" w:sz="4" w:space="0" w:color="auto"/>
            </w:tcBorders>
            <w:shd w:val="clear" w:color="auto" w:fill="D9D9D9" w:themeFill="background1" w:themeFillShade="D9"/>
            <w:noWrap/>
            <w:vAlign w:val="bottom"/>
            <w:hideMark/>
          </w:tcPr>
          <w:p w14:paraId="4BD8216A" w14:textId="77777777" w:rsidR="002C0DE6" w:rsidRPr="00973028" w:rsidRDefault="002C0DE6" w:rsidP="002A4453">
            <w:pPr>
              <w:jc w:val="center"/>
              <w:rPr>
                <w:rFonts w:ascii="Calibri" w:eastAsia="Times New Roman" w:hAnsi="Calibri" w:cs="Calibri"/>
                <w:b/>
                <w:bCs/>
                <w:color w:val="000000"/>
                <w:sz w:val="18"/>
                <w:szCs w:val="18"/>
                <w:lang w:eastAsia="es-ES"/>
              </w:rPr>
            </w:pPr>
            <w:r w:rsidRPr="00973028">
              <w:rPr>
                <w:rFonts w:ascii="Calibri" w:eastAsia="Times New Roman" w:hAnsi="Calibri" w:cs="Calibri"/>
                <w:b/>
                <w:bCs/>
                <w:color w:val="000000"/>
                <w:sz w:val="18"/>
                <w:szCs w:val="18"/>
                <w:lang w:eastAsia="es-ES"/>
              </w:rPr>
              <w:t>76</w:t>
            </w:r>
          </w:p>
        </w:tc>
        <w:tc>
          <w:tcPr>
            <w:tcW w:w="344" w:type="pct"/>
            <w:tcBorders>
              <w:top w:val="nil"/>
              <w:left w:val="nil"/>
              <w:bottom w:val="single" w:sz="8" w:space="0" w:color="auto"/>
              <w:right w:val="single" w:sz="4" w:space="0" w:color="auto"/>
            </w:tcBorders>
            <w:shd w:val="clear" w:color="auto" w:fill="D9D9D9" w:themeFill="background1" w:themeFillShade="D9"/>
            <w:noWrap/>
            <w:vAlign w:val="bottom"/>
            <w:hideMark/>
          </w:tcPr>
          <w:p w14:paraId="3D86C69C" w14:textId="77777777" w:rsidR="002C0DE6" w:rsidRPr="00973028" w:rsidRDefault="002C0DE6" w:rsidP="002A4453">
            <w:pPr>
              <w:jc w:val="center"/>
              <w:rPr>
                <w:rFonts w:ascii="Calibri" w:eastAsia="Times New Roman" w:hAnsi="Calibri" w:cs="Calibri"/>
                <w:b/>
                <w:bCs/>
                <w:color w:val="000000"/>
                <w:sz w:val="18"/>
                <w:szCs w:val="18"/>
                <w:lang w:eastAsia="es-ES"/>
              </w:rPr>
            </w:pPr>
            <w:r w:rsidRPr="00973028">
              <w:rPr>
                <w:rFonts w:ascii="Calibri" w:eastAsia="Times New Roman" w:hAnsi="Calibri" w:cs="Calibri"/>
                <w:b/>
                <w:bCs/>
                <w:color w:val="000000"/>
                <w:sz w:val="18"/>
                <w:szCs w:val="18"/>
                <w:lang w:eastAsia="es-ES"/>
              </w:rPr>
              <w:t>100%</w:t>
            </w:r>
          </w:p>
        </w:tc>
        <w:tc>
          <w:tcPr>
            <w:tcW w:w="514" w:type="pct"/>
            <w:tcBorders>
              <w:top w:val="nil"/>
              <w:left w:val="nil"/>
              <w:bottom w:val="single" w:sz="8" w:space="0" w:color="auto"/>
              <w:right w:val="single" w:sz="4" w:space="0" w:color="auto"/>
            </w:tcBorders>
            <w:shd w:val="clear" w:color="auto" w:fill="D9D9D9" w:themeFill="background1" w:themeFillShade="D9"/>
            <w:noWrap/>
            <w:vAlign w:val="bottom"/>
            <w:hideMark/>
          </w:tcPr>
          <w:p w14:paraId="767E261C" w14:textId="77777777" w:rsidR="002C0DE6" w:rsidRPr="00973028" w:rsidRDefault="002C0DE6" w:rsidP="002A4453">
            <w:pPr>
              <w:jc w:val="center"/>
              <w:rPr>
                <w:rFonts w:ascii="Calibri" w:eastAsia="Times New Roman" w:hAnsi="Calibri" w:cs="Calibri"/>
                <w:b/>
                <w:bCs/>
                <w:color w:val="000000"/>
                <w:sz w:val="18"/>
                <w:szCs w:val="18"/>
                <w:lang w:eastAsia="es-ES"/>
              </w:rPr>
            </w:pPr>
            <w:r w:rsidRPr="00973028">
              <w:rPr>
                <w:rFonts w:ascii="Calibri" w:eastAsia="Times New Roman" w:hAnsi="Calibri" w:cs="Calibri"/>
                <w:b/>
                <w:bCs/>
                <w:color w:val="000000"/>
                <w:sz w:val="18"/>
                <w:szCs w:val="18"/>
                <w:lang w:eastAsia="es-ES"/>
              </w:rPr>
              <w:t>81</w:t>
            </w:r>
          </w:p>
        </w:tc>
        <w:tc>
          <w:tcPr>
            <w:tcW w:w="344" w:type="pct"/>
            <w:tcBorders>
              <w:top w:val="nil"/>
              <w:left w:val="nil"/>
              <w:bottom w:val="single" w:sz="8" w:space="0" w:color="auto"/>
              <w:right w:val="single" w:sz="4" w:space="0" w:color="auto"/>
            </w:tcBorders>
            <w:shd w:val="clear" w:color="auto" w:fill="D9D9D9" w:themeFill="background1" w:themeFillShade="D9"/>
            <w:noWrap/>
            <w:vAlign w:val="bottom"/>
            <w:hideMark/>
          </w:tcPr>
          <w:p w14:paraId="6088FF66" w14:textId="77777777" w:rsidR="002C0DE6" w:rsidRPr="00973028" w:rsidRDefault="002C0DE6" w:rsidP="002A4453">
            <w:pPr>
              <w:jc w:val="center"/>
              <w:rPr>
                <w:rFonts w:ascii="Calibri" w:eastAsia="Times New Roman" w:hAnsi="Calibri" w:cs="Calibri"/>
                <w:b/>
                <w:bCs/>
                <w:color w:val="000000"/>
                <w:sz w:val="18"/>
                <w:szCs w:val="18"/>
                <w:lang w:eastAsia="es-ES"/>
              </w:rPr>
            </w:pPr>
            <w:r w:rsidRPr="00973028">
              <w:rPr>
                <w:rFonts w:ascii="Calibri" w:eastAsia="Times New Roman" w:hAnsi="Calibri" w:cs="Calibri"/>
                <w:b/>
                <w:bCs/>
                <w:color w:val="000000"/>
                <w:sz w:val="18"/>
                <w:szCs w:val="18"/>
                <w:lang w:eastAsia="es-ES"/>
              </w:rPr>
              <w:t>100%</w:t>
            </w:r>
          </w:p>
        </w:tc>
        <w:tc>
          <w:tcPr>
            <w:tcW w:w="601" w:type="pct"/>
            <w:tcBorders>
              <w:top w:val="nil"/>
              <w:left w:val="nil"/>
              <w:bottom w:val="single" w:sz="8" w:space="0" w:color="auto"/>
              <w:right w:val="single" w:sz="4" w:space="0" w:color="auto"/>
            </w:tcBorders>
            <w:shd w:val="clear" w:color="auto" w:fill="D9D9D9" w:themeFill="background1" w:themeFillShade="D9"/>
            <w:noWrap/>
            <w:vAlign w:val="bottom"/>
            <w:hideMark/>
          </w:tcPr>
          <w:p w14:paraId="02BAD662" w14:textId="77777777" w:rsidR="002C0DE6" w:rsidRPr="00973028" w:rsidRDefault="002C0DE6" w:rsidP="002A4453">
            <w:pPr>
              <w:jc w:val="center"/>
              <w:rPr>
                <w:rFonts w:ascii="Calibri" w:eastAsia="Times New Roman" w:hAnsi="Calibri" w:cs="Calibri"/>
                <w:b/>
                <w:bCs/>
                <w:color w:val="000000"/>
                <w:sz w:val="18"/>
                <w:szCs w:val="18"/>
                <w:lang w:eastAsia="es-ES"/>
              </w:rPr>
            </w:pPr>
            <w:r w:rsidRPr="00973028">
              <w:rPr>
                <w:rFonts w:ascii="Calibri" w:eastAsia="Times New Roman" w:hAnsi="Calibri" w:cs="Calibri"/>
                <w:b/>
                <w:bCs/>
                <w:color w:val="000000"/>
                <w:sz w:val="18"/>
                <w:szCs w:val="18"/>
                <w:lang w:eastAsia="es-ES"/>
              </w:rPr>
              <w:t>120</w:t>
            </w:r>
          </w:p>
        </w:tc>
        <w:tc>
          <w:tcPr>
            <w:tcW w:w="536" w:type="pct"/>
            <w:tcBorders>
              <w:top w:val="nil"/>
              <w:left w:val="nil"/>
              <w:bottom w:val="single" w:sz="8" w:space="0" w:color="auto"/>
              <w:right w:val="single" w:sz="8" w:space="0" w:color="auto"/>
            </w:tcBorders>
            <w:shd w:val="clear" w:color="auto" w:fill="D9D9D9" w:themeFill="background1" w:themeFillShade="D9"/>
            <w:noWrap/>
            <w:vAlign w:val="bottom"/>
            <w:hideMark/>
          </w:tcPr>
          <w:p w14:paraId="54BF1769" w14:textId="77777777" w:rsidR="002C0DE6" w:rsidRPr="00973028" w:rsidRDefault="002C0DE6" w:rsidP="002A4453">
            <w:pPr>
              <w:jc w:val="center"/>
              <w:rPr>
                <w:rFonts w:ascii="Calibri" w:eastAsia="Times New Roman" w:hAnsi="Calibri" w:cs="Calibri"/>
                <w:b/>
                <w:bCs/>
                <w:color w:val="000000"/>
                <w:sz w:val="18"/>
                <w:szCs w:val="18"/>
                <w:lang w:eastAsia="es-ES"/>
              </w:rPr>
            </w:pPr>
            <w:r w:rsidRPr="00973028">
              <w:rPr>
                <w:rFonts w:ascii="Calibri" w:eastAsia="Times New Roman" w:hAnsi="Calibri" w:cs="Calibri"/>
                <w:b/>
                <w:bCs/>
                <w:color w:val="000000"/>
                <w:sz w:val="18"/>
                <w:szCs w:val="18"/>
                <w:lang w:eastAsia="es-ES"/>
              </w:rPr>
              <w:t>100%</w:t>
            </w:r>
          </w:p>
        </w:tc>
      </w:tr>
    </w:tbl>
    <w:p w14:paraId="0FC38E94" w14:textId="77777777" w:rsidR="00B10A8B" w:rsidRPr="00973028" w:rsidRDefault="00B10A8B" w:rsidP="00A52EF7">
      <w:pPr>
        <w:keepNext/>
        <w:spacing w:after="240" w:line="276" w:lineRule="auto"/>
        <w:ind w:left="-426" w:right="-427"/>
        <w:jc w:val="center"/>
      </w:pPr>
    </w:p>
    <w:p w14:paraId="3520E634" w14:textId="236C60A0" w:rsidR="00A52EF7" w:rsidRPr="00973028" w:rsidRDefault="002C0DE6" w:rsidP="00A52EF7">
      <w:pPr>
        <w:keepNext/>
        <w:spacing w:after="240" w:line="276" w:lineRule="auto"/>
        <w:ind w:left="-426" w:right="-427"/>
        <w:jc w:val="center"/>
      </w:pPr>
      <w:r w:rsidRPr="00973028">
        <w:rPr>
          <w:noProof/>
        </w:rPr>
        <w:drawing>
          <wp:inline distT="0" distB="0" distL="0" distR="0" wp14:anchorId="3CC83752" wp14:editId="4A29DED1">
            <wp:extent cx="5400040" cy="4026089"/>
            <wp:effectExtent l="0" t="0" r="10160" b="12700"/>
            <wp:docPr id="90" name="Gráfico 90">
              <a:extLst xmlns:a="http://schemas.openxmlformats.org/drawingml/2006/main">
                <a:ext uri="{FF2B5EF4-FFF2-40B4-BE49-F238E27FC236}">
                  <a16:creationId xmlns:a16="http://schemas.microsoft.com/office/drawing/2014/main" id="{45ACB574-F8FE-4DC2-A1BC-AE4B82E14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80A6691" w14:textId="3B164938" w:rsidR="002A47AA" w:rsidRPr="00AD6E04" w:rsidRDefault="00A52EF7" w:rsidP="00A52EF7">
      <w:pPr>
        <w:pStyle w:val="Descripcin"/>
        <w:jc w:val="center"/>
        <w:rPr>
          <w:rFonts w:ascii="Arial" w:hAnsi="Arial" w:cs="Arial"/>
          <w:b w:val="0"/>
          <w:smallCaps w:val="0"/>
          <w:color w:val="FFFFFF" w:themeColor="background1"/>
          <w:sz w:val="16"/>
          <w:szCs w:val="20"/>
        </w:rPr>
      </w:pPr>
      <w:bookmarkStart w:id="67" w:name="_Toc67646403"/>
      <w:r w:rsidRPr="00973028">
        <w:rPr>
          <w:rFonts w:ascii="Arial" w:hAnsi="Arial" w:cs="Arial"/>
          <w:smallCaps w:val="0"/>
          <w:color w:val="9D2235" w:themeColor="accent1"/>
          <w:sz w:val="16"/>
          <w:szCs w:val="20"/>
        </w:rPr>
        <w:t xml:space="preserve">Gráfico </w:t>
      </w:r>
      <w:r w:rsidRPr="00973028">
        <w:rPr>
          <w:rFonts w:ascii="Arial" w:hAnsi="Arial" w:cs="Arial"/>
          <w:smallCaps w:val="0"/>
          <w:color w:val="9D2235" w:themeColor="accent1"/>
          <w:sz w:val="16"/>
          <w:szCs w:val="20"/>
        </w:rPr>
        <w:fldChar w:fldCharType="begin"/>
      </w:r>
      <w:r w:rsidRPr="00973028">
        <w:rPr>
          <w:rFonts w:ascii="Arial" w:hAnsi="Arial" w:cs="Arial"/>
          <w:smallCaps w:val="0"/>
          <w:color w:val="9D2235" w:themeColor="accent1"/>
          <w:sz w:val="16"/>
          <w:szCs w:val="20"/>
        </w:rPr>
        <w:instrText xml:space="preserve"> SEQ Gráfico \* ARABIC </w:instrText>
      </w:r>
      <w:r w:rsidRPr="00973028">
        <w:rPr>
          <w:rFonts w:ascii="Arial" w:hAnsi="Arial" w:cs="Arial"/>
          <w:smallCaps w:val="0"/>
          <w:color w:val="9D2235" w:themeColor="accent1"/>
          <w:sz w:val="16"/>
          <w:szCs w:val="20"/>
        </w:rPr>
        <w:fldChar w:fldCharType="separate"/>
      </w:r>
      <w:r w:rsidR="00000D1F">
        <w:rPr>
          <w:rFonts w:ascii="Arial" w:hAnsi="Arial" w:cs="Arial"/>
          <w:smallCaps w:val="0"/>
          <w:noProof/>
          <w:color w:val="9D2235" w:themeColor="accent1"/>
          <w:sz w:val="16"/>
          <w:szCs w:val="20"/>
        </w:rPr>
        <w:t>7</w:t>
      </w:r>
      <w:r w:rsidRPr="00973028">
        <w:rPr>
          <w:rFonts w:ascii="Arial" w:hAnsi="Arial" w:cs="Arial"/>
          <w:smallCaps w:val="0"/>
          <w:color w:val="9D2235" w:themeColor="accent1"/>
          <w:sz w:val="16"/>
          <w:szCs w:val="20"/>
        </w:rPr>
        <w:fldChar w:fldCharType="end"/>
      </w:r>
      <w:r w:rsidR="00B00F7A">
        <w:rPr>
          <w:rFonts w:ascii="Arial" w:hAnsi="Arial" w:cs="Arial"/>
          <w:smallCaps w:val="0"/>
          <w:sz w:val="16"/>
          <w:szCs w:val="20"/>
        </w:rPr>
        <w:t>.</w:t>
      </w:r>
      <w:r w:rsidRPr="00973028">
        <w:rPr>
          <w:rFonts w:ascii="Arial" w:hAnsi="Arial" w:cs="Arial"/>
          <w:smallCaps w:val="0"/>
          <w:sz w:val="16"/>
          <w:szCs w:val="20"/>
        </w:rPr>
        <w:t xml:space="preserve"> Denuncias de personas físicas clasificadas por género</w:t>
      </w:r>
      <w:bookmarkEnd w:id="67"/>
    </w:p>
    <w:p w14:paraId="220DA883" w14:textId="77777777" w:rsidR="002A47AA" w:rsidRPr="00973028" w:rsidRDefault="002A47AA" w:rsidP="002A47AA">
      <w:pPr>
        <w:spacing w:after="240" w:line="276" w:lineRule="auto"/>
        <w:ind w:left="-426" w:right="-427"/>
        <w:jc w:val="center"/>
        <w:rPr>
          <w:rFonts w:ascii="Arial" w:hAnsi="Arial"/>
          <w:sz w:val="21"/>
          <w:szCs w:val="21"/>
        </w:rPr>
      </w:pPr>
    </w:p>
    <w:p w14:paraId="6E01B1C4" w14:textId="276ACF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De dichos datos se deduce una minoración de porcentaje de personas denunciantes que identifican su género (mujeres), que ha pasado del 27% en 2019 al 18% en 2020, y en contrario se ha incrementado el porcentaje de representatividad del género hombre, de las denuncias que identifican género, pasando del 73% en 2019 al 82% en 2020.</w:t>
      </w:r>
    </w:p>
    <w:p w14:paraId="267F4470" w14:textId="678A686C" w:rsidR="00360DCC" w:rsidRPr="00973028" w:rsidRDefault="002A47AA" w:rsidP="00672ABA">
      <w:pPr>
        <w:pStyle w:val="Prrafodelista"/>
        <w:keepNext/>
        <w:numPr>
          <w:ilvl w:val="1"/>
          <w:numId w:val="24"/>
        </w:numPr>
        <w:suppressAutoHyphens/>
        <w:spacing w:before="360" w:after="240" w:line="276" w:lineRule="auto"/>
        <w:ind w:left="851" w:hanging="851"/>
        <w:jc w:val="both"/>
        <w:outlineLvl w:val="1"/>
        <w:rPr>
          <w:rFonts w:ascii="Arial" w:eastAsia="Times New Roman" w:hAnsi="Arial" w:cs="Arial"/>
          <w:b/>
          <w:color w:val="9D2235"/>
          <w:sz w:val="32"/>
          <w:szCs w:val="32"/>
        </w:rPr>
      </w:pPr>
      <w:bookmarkStart w:id="68" w:name="_Toc67646247"/>
      <w:r w:rsidRPr="00973028">
        <w:rPr>
          <w:rFonts w:ascii="Arial" w:eastAsia="Times New Roman" w:hAnsi="Arial" w:cs="Arial"/>
          <w:b/>
          <w:color w:val="9D2235"/>
          <w:sz w:val="32"/>
          <w:szCs w:val="32"/>
        </w:rPr>
        <w:lastRenderedPageBreak/>
        <w:t>Seguimiento de la gestión de los expedientes de investigación durante el año 2020 y evolución</w:t>
      </w:r>
      <w:bookmarkEnd w:id="68"/>
    </w:p>
    <w:p w14:paraId="02BBEDD0" w14:textId="3FAB378F" w:rsidR="002A47AA" w:rsidRPr="00973028" w:rsidRDefault="002A47AA" w:rsidP="002A47AA">
      <w:pPr>
        <w:spacing w:after="240" w:line="276" w:lineRule="auto"/>
        <w:jc w:val="both"/>
        <w:rPr>
          <w:rFonts w:ascii="Arial" w:hAnsi="Arial"/>
          <w:b/>
          <w:bCs/>
          <w:sz w:val="21"/>
          <w:szCs w:val="21"/>
        </w:rPr>
      </w:pPr>
      <w:r w:rsidRPr="00973028">
        <w:rPr>
          <w:rFonts w:ascii="Arial" w:hAnsi="Arial"/>
          <w:sz w:val="21"/>
          <w:szCs w:val="21"/>
        </w:rPr>
        <w:t>Durante el ejercicio 2020 se han abierto un total de 226 expedientes en la Dirección de Análisis e Investigación; desde el inicio de su actividad la Agencia ha iniciado un total de 609 expedientes, 35 en el ejercicio 2017, 181 en 2018, 168 en 2019 y 226 en el año 2020.</w:t>
      </w:r>
    </w:p>
    <w:p w14:paraId="31038750"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El estado de tramitación de los 610 expedientes abiertos desde el inicio de funcionamiento de la Agencia a fecha 31 de diciembre de 2020, es la que se muestra en la siguiente tabla:</w:t>
      </w:r>
    </w:p>
    <w:p w14:paraId="6F6ACF2B" w14:textId="77777777" w:rsidR="002A47AA" w:rsidRPr="00973028" w:rsidRDefault="002A47AA" w:rsidP="002A47AA">
      <w:pPr>
        <w:spacing w:after="240" w:line="276" w:lineRule="auto"/>
        <w:jc w:val="both"/>
        <w:rPr>
          <w:rFonts w:ascii="Arial" w:hAnsi="Arial"/>
          <w:sz w:val="21"/>
          <w:szCs w:val="21"/>
        </w:rPr>
      </w:pPr>
    </w:p>
    <w:p w14:paraId="1BF36117" w14:textId="1131B8A8" w:rsidR="00A52EF7" w:rsidRPr="00973028" w:rsidRDefault="00A52EF7" w:rsidP="00A52EF7">
      <w:pPr>
        <w:pStyle w:val="Descripcin"/>
        <w:keepNext/>
        <w:rPr>
          <w:rFonts w:ascii="Arial" w:hAnsi="Arial" w:cs="Arial"/>
          <w:smallCaps w:val="0"/>
          <w:sz w:val="18"/>
          <w:szCs w:val="20"/>
        </w:rPr>
      </w:pPr>
      <w:bookmarkStart w:id="69" w:name="_Toc67646349"/>
      <w:r w:rsidRPr="00973028">
        <w:rPr>
          <w:rFonts w:ascii="Arial" w:hAnsi="Arial" w:cs="Arial"/>
          <w:smallCaps w:val="0"/>
          <w:color w:val="9D2235" w:themeColor="accent1"/>
          <w:sz w:val="18"/>
          <w:szCs w:val="20"/>
        </w:rPr>
        <w:t xml:space="preserve">Tabla </w:t>
      </w:r>
      <w:r w:rsidRPr="00973028">
        <w:rPr>
          <w:rFonts w:ascii="Arial" w:hAnsi="Arial" w:cs="Arial"/>
          <w:smallCaps w:val="0"/>
          <w:color w:val="9D2235" w:themeColor="accent1"/>
          <w:sz w:val="18"/>
          <w:szCs w:val="20"/>
        </w:rPr>
        <w:fldChar w:fldCharType="begin"/>
      </w:r>
      <w:r w:rsidRPr="00973028">
        <w:rPr>
          <w:rFonts w:ascii="Arial" w:hAnsi="Arial" w:cs="Arial"/>
          <w:smallCaps w:val="0"/>
          <w:color w:val="9D2235" w:themeColor="accent1"/>
          <w:sz w:val="18"/>
          <w:szCs w:val="20"/>
        </w:rPr>
        <w:instrText xml:space="preserve"> SEQ Tabla \* ARABIC </w:instrText>
      </w:r>
      <w:r w:rsidRPr="00973028">
        <w:rPr>
          <w:rFonts w:ascii="Arial" w:hAnsi="Arial" w:cs="Arial"/>
          <w:smallCaps w:val="0"/>
          <w:color w:val="9D2235" w:themeColor="accent1"/>
          <w:sz w:val="18"/>
          <w:szCs w:val="20"/>
        </w:rPr>
        <w:fldChar w:fldCharType="separate"/>
      </w:r>
      <w:r w:rsidR="00ED7F0D">
        <w:rPr>
          <w:rFonts w:ascii="Arial" w:hAnsi="Arial" w:cs="Arial"/>
          <w:smallCaps w:val="0"/>
          <w:noProof/>
          <w:color w:val="9D2235" w:themeColor="accent1"/>
          <w:sz w:val="18"/>
          <w:szCs w:val="20"/>
        </w:rPr>
        <w:t>12</w:t>
      </w:r>
      <w:r w:rsidRPr="00973028">
        <w:rPr>
          <w:rFonts w:ascii="Arial" w:hAnsi="Arial" w:cs="Arial"/>
          <w:smallCaps w:val="0"/>
          <w:color w:val="9D2235" w:themeColor="accent1"/>
          <w:sz w:val="18"/>
          <w:szCs w:val="20"/>
        </w:rPr>
        <w:fldChar w:fldCharType="end"/>
      </w:r>
      <w:r w:rsidR="00B00F7A">
        <w:rPr>
          <w:rFonts w:ascii="Arial" w:hAnsi="Arial" w:cs="Arial"/>
          <w:smallCaps w:val="0"/>
          <w:color w:val="9D2235" w:themeColor="accent1"/>
          <w:sz w:val="18"/>
          <w:szCs w:val="20"/>
        </w:rPr>
        <w:t>.</w:t>
      </w:r>
      <w:r w:rsidRPr="00973028">
        <w:rPr>
          <w:rFonts w:ascii="Arial" w:hAnsi="Arial" w:cs="Arial"/>
          <w:smallCaps w:val="0"/>
          <w:color w:val="9D2235" w:themeColor="accent1"/>
          <w:sz w:val="18"/>
          <w:szCs w:val="20"/>
        </w:rPr>
        <w:t xml:space="preserve"> </w:t>
      </w:r>
      <w:r w:rsidRPr="00973028">
        <w:rPr>
          <w:rFonts w:ascii="Arial" w:hAnsi="Arial" w:cs="Arial"/>
          <w:smallCaps w:val="0"/>
          <w:sz w:val="18"/>
          <w:szCs w:val="20"/>
        </w:rPr>
        <w:t xml:space="preserve">Estado de </w:t>
      </w:r>
      <w:r w:rsidR="00FB2571" w:rsidRPr="00973028">
        <w:rPr>
          <w:rFonts w:ascii="Arial" w:hAnsi="Arial" w:cs="Arial"/>
          <w:smallCaps w:val="0"/>
          <w:sz w:val="18"/>
          <w:szCs w:val="20"/>
        </w:rPr>
        <w:t>s</w:t>
      </w:r>
      <w:r w:rsidRPr="00973028">
        <w:rPr>
          <w:rFonts w:ascii="Arial" w:hAnsi="Arial" w:cs="Arial"/>
          <w:smallCaps w:val="0"/>
          <w:sz w:val="18"/>
          <w:szCs w:val="20"/>
        </w:rPr>
        <w:t>ituación de los expedientes de análisis e investigación</w:t>
      </w:r>
      <w:bookmarkEnd w:id="69"/>
    </w:p>
    <w:tbl>
      <w:tblPr>
        <w:tblW w:w="8637" w:type="dxa"/>
        <w:tblInd w:w="80" w:type="dxa"/>
        <w:tblLayout w:type="fixed"/>
        <w:tblCellMar>
          <w:left w:w="70" w:type="dxa"/>
          <w:right w:w="70" w:type="dxa"/>
        </w:tblCellMar>
        <w:tblLook w:val="04A0" w:firstRow="1" w:lastRow="0" w:firstColumn="1" w:lastColumn="0" w:noHBand="0" w:noVBand="1"/>
      </w:tblPr>
      <w:tblGrid>
        <w:gridCol w:w="1721"/>
        <w:gridCol w:w="679"/>
        <w:gridCol w:w="709"/>
        <w:gridCol w:w="819"/>
        <w:gridCol w:w="740"/>
        <w:gridCol w:w="709"/>
        <w:gridCol w:w="567"/>
        <w:gridCol w:w="696"/>
        <w:gridCol w:w="721"/>
        <w:gridCol w:w="709"/>
        <w:gridCol w:w="567"/>
      </w:tblGrid>
      <w:tr w:rsidR="008145AC" w:rsidRPr="00973028" w14:paraId="45C6B13B" w14:textId="77777777" w:rsidTr="008145AC">
        <w:trPr>
          <w:trHeight w:val="300"/>
        </w:trPr>
        <w:tc>
          <w:tcPr>
            <w:tcW w:w="1721" w:type="dxa"/>
            <w:vMerge w:val="restart"/>
            <w:tcBorders>
              <w:top w:val="single" w:sz="8" w:space="0" w:color="auto"/>
              <w:left w:val="single" w:sz="8" w:space="0" w:color="auto"/>
              <w:bottom w:val="single" w:sz="4" w:space="0" w:color="auto"/>
              <w:right w:val="single" w:sz="4" w:space="0" w:color="auto"/>
            </w:tcBorders>
            <w:shd w:val="clear" w:color="auto" w:fill="9D2235" w:themeFill="accent1"/>
            <w:noWrap/>
            <w:vAlign w:val="center"/>
            <w:hideMark/>
          </w:tcPr>
          <w:p w14:paraId="01AB835C" w14:textId="77777777" w:rsidR="002C0DE6" w:rsidRPr="00973028" w:rsidRDefault="002C0DE6" w:rsidP="002A4453">
            <w:pP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ESTADO EXPEDIENTES</w:t>
            </w:r>
          </w:p>
        </w:tc>
        <w:tc>
          <w:tcPr>
            <w:tcW w:w="1388" w:type="dxa"/>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2BDB1BFE"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2017</w:t>
            </w:r>
          </w:p>
        </w:tc>
        <w:tc>
          <w:tcPr>
            <w:tcW w:w="1559" w:type="dxa"/>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0FCDA244"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2018</w:t>
            </w:r>
          </w:p>
        </w:tc>
        <w:tc>
          <w:tcPr>
            <w:tcW w:w="1276" w:type="dxa"/>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5ED6BDA7"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2019</w:t>
            </w:r>
          </w:p>
        </w:tc>
        <w:tc>
          <w:tcPr>
            <w:tcW w:w="1417" w:type="dxa"/>
            <w:gridSpan w:val="2"/>
            <w:tcBorders>
              <w:top w:val="single" w:sz="8" w:space="0" w:color="auto"/>
              <w:left w:val="nil"/>
              <w:bottom w:val="single" w:sz="4" w:space="0" w:color="auto"/>
              <w:right w:val="single" w:sz="8" w:space="0" w:color="000000"/>
            </w:tcBorders>
            <w:shd w:val="clear" w:color="auto" w:fill="9D2235" w:themeFill="accent1"/>
            <w:noWrap/>
            <w:vAlign w:val="bottom"/>
            <w:hideMark/>
          </w:tcPr>
          <w:p w14:paraId="6F369D49"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2020</w:t>
            </w:r>
          </w:p>
        </w:tc>
        <w:tc>
          <w:tcPr>
            <w:tcW w:w="1276" w:type="dxa"/>
            <w:gridSpan w:val="2"/>
            <w:tcBorders>
              <w:top w:val="single" w:sz="8" w:space="0" w:color="auto"/>
              <w:left w:val="single" w:sz="4" w:space="0" w:color="auto"/>
              <w:bottom w:val="single" w:sz="4" w:space="0" w:color="auto"/>
              <w:right w:val="single" w:sz="8" w:space="0" w:color="000000"/>
            </w:tcBorders>
            <w:shd w:val="clear" w:color="auto" w:fill="9D2235" w:themeFill="accent1"/>
            <w:noWrap/>
            <w:vAlign w:val="bottom"/>
            <w:hideMark/>
          </w:tcPr>
          <w:p w14:paraId="1D3CEFC2"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Total</w:t>
            </w:r>
          </w:p>
        </w:tc>
      </w:tr>
      <w:tr w:rsidR="008145AC" w:rsidRPr="00973028" w14:paraId="63D12E3F" w14:textId="77777777" w:rsidTr="008145AC">
        <w:trPr>
          <w:trHeight w:val="300"/>
        </w:trPr>
        <w:tc>
          <w:tcPr>
            <w:tcW w:w="1721" w:type="dxa"/>
            <w:vMerge/>
            <w:tcBorders>
              <w:top w:val="single" w:sz="8" w:space="0" w:color="auto"/>
              <w:left w:val="single" w:sz="8" w:space="0" w:color="auto"/>
              <w:bottom w:val="single" w:sz="4" w:space="0" w:color="auto"/>
              <w:right w:val="single" w:sz="4" w:space="0" w:color="auto"/>
            </w:tcBorders>
            <w:shd w:val="clear" w:color="auto" w:fill="9D2235" w:themeFill="accent1"/>
            <w:vAlign w:val="center"/>
            <w:hideMark/>
          </w:tcPr>
          <w:p w14:paraId="7289F068" w14:textId="77777777" w:rsidR="002C0DE6" w:rsidRPr="00973028" w:rsidRDefault="002C0DE6" w:rsidP="002A4453">
            <w:pPr>
              <w:rPr>
                <w:rFonts w:ascii="Calibri" w:eastAsia="Times New Roman" w:hAnsi="Calibri" w:cs="Calibri"/>
                <w:b/>
                <w:bCs/>
                <w:color w:val="FFFFFF" w:themeColor="background1"/>
                <w:sz w:val="20"/>
                <w:szCs w:val="20"/>
                <w:lang w:eastAsia="es-ES"/>
              </w:rPr>
            </w:pPr>
          </w:p>
        </w:tc>
        <w:tc>
          <w:tcPr>
            <w:tcW w:w="679" w:type="dxa"/>
            <w:tcBorders>
              <w:top w:val="nil"/>
              <w:left w:val="nil"/>
              <w:bottom w:val="single" w:sz="4" w:space="0" w:color="auto"/>
              <w:right w:val="single" w:sz="4" w:space="0" w:color="auto"/>
            </w:tcBorders>
            <w:shd w:val="clear" w:color="auto" w:fill="9D2235" w:themeFill="accent1"/>
            <w:noWrap/>
            <w:vAlign w:val="bottom"/>
            <w:hideMark/>
          </w:tcPr>
          <w:p w14:paraId="30D8CD07" w14:textId="77777777" w:rsidR="002C0DE6" w:rsidRPr="00973028" w:rsidRDefault="002C0DE6" w:rsidP="002A4453">
            <w:pPr>
              <w:jc w:val="center"/>
              <w:rPr>
                <w:rFonts w:ascii="Calibri" w:eastAsia="Times New Roman" w:hAnsi="Calibri" w:cs="Calibri"/>
                <w:b/>
                <w:bCs/>
                <w:color w:val="FFFFFF" w:themeColor="background1"/>
                <w:sz w:val="12"/>
                <w:szCs w:val="12"/>
                <w:lang w:eastAsia="es-ES"/>
              </w:rPr>
            </w:pPr>
            <w:r w:rsidRPr="00973028">
              <w:rPr>
                <w:rFonts w:ascii="Calibri" w:eastAsia="Times New Roman" w:hAnsi="Calibri" w:cs="Calibri"/>
                <w:b/>
                <w:bCs/>
                <w:color w:val="FFFFFF" w:themeColor="background1"/>
                <w:sz w:val="14"/>
                <w:szCs w:val="14"/>
                <w:lang w:eastAsia="es-ES"/>
              </w:rPr>
              <w:t>Absoluto</w:t>
            </w:r>
          </w:p>
        </w:tc>
        <w:tc>
          <w:tcPr>
            <w:tcW w:w="709" w:type="dxa"/>
            <w:tcBorders>
              <w:top w:val="nil"/>
              <w:left w:val="nil"/>
              <w:bottom w:val="single" w:sz="4" w:space="0" w:color="auto"/>
              <w:right w:val="single" w:sz="4" w:space="0" w:color="auto"/>
            </w:tcBorders>
            <w:shd w:val="clear" w:color="auto" w:fill="9D2235" w:themeFill="accent1"/>
            <w:noWrap/>
            <w:vAlign w:val="bottom"/>
            <w:hideMark/>
          </w:tcPr>
          <w:p w14:paraId="083E5A24" w14:textId="77777777" w:rsidR="002C0DE6" w:rsidRPr="00973028" w:rsidRDefault="002C0DE6" w:rsidP="002A4453">
            <w:pPr>
              <w:jc w:val="center"/>
              <w:rPr>
                <w:rFonts w:ascii="Calibri" w:eastAsia="Times New Roman" w:hAnsi="Calibri" w:cs="Calibri"/>
                <w:b/>
                <w:bCs/>
                <w:color w:val="FFFFFF" w:themeColor="background1"/>
                <w:sz w:val="12"/>
                <w:szCs w:val="12"/>
                <w:lang w:eastAsia="es-ES"/>
              </w:rPr>
            </w:pPr>
            <w:r w:rsidRPr="00973028">
              <w:rPr>
                <w:rFonts w:ascii="Calibri" w:eastAsia="Times New Roman" w:hAnsi="Calibri" w:cs="Calibri"/>
                <w:b/>
                <w:bCs/>
                <w:color w:val="FFFFFF" w:themeColor="background1"/>
                <w:sz w:val="12"/>
                <w:szCs w:val="12"/>
                <w:lang w:eastAsia="es-ES"/>
              </w:rPr>
              <w:t>%</w:t>
            </w:r>
          </w:p>
        </w:tc>
        <w:tc>
          <w:tcPr>
            <w:tcW w:w="819" w:type="dxa"/>
            <w:tcBorders>
              <w:top w:val="nil"/>
              <w:left w:val="nil"/>
              <w:bottom w:val="single" w:sz="4" w:space="0" w:color="auto"/>
              <w:right w:val="single" w:sz="4" w:space="0" w:color="auto"/>
            </w:tcBorders>
            <w:shd w:val="clear" w:color="auto" w:fill="9D2235" w:themeFill="accent1"/>
            <w:noWrap/>
            <w:vAlign w:val="bottom"/>
            <w:hideMark/>
          </w:tcPr>
          <w:p w14:paraId="5B14CD53" w14:textId="77777777" w:rsidR="002C0DE6" w:rsidRPr="00973028" w:rsidRDefault="002C0DE6" w:rsidP="002A4453">
            <w:pPr>
              <w:jc w:val="center"/>
              <w:rPr>
                <w:rFonts w:ascii="Calibri" w:eastAsia="Times New Roman" w:hAnsi="Calibri" w:cs="Calibri"/>
                <w:b/>
                <w:bCs/>
                <w:color w:val="FFFFFF" w:themeColor="background1"/>
                <w:sz w:val="12"/>
                <w:szCs w:val="12"/>
                <w:lang w:eastAsia="es-ES"/>
              </w:rPr>
            </w:pPr>
            <w:r w:rsidRPr="00973028">
              <w:rPr>
                <w:rFonts w:ascii="Calibri" w:eastAsia="Times New Roman" w:hAnsi="Calibri" w:cs="Calibri"/>
                <w:b/>
                <w:bCs/>
                <w:color w:val="FFFFFF" w:themeColor="background1"/>
                <w:sz w:val="14"/>
                <w:szCs w:val="14"/>
                <w:lang w:eastAsia="es-ES"/>
              </w:rPr>
              <w:t>Absoluto</w:t>
            </w:r>
          </w:p>
        </w:tc>
        <w:tc>
          <w:tcPr>
            <w:tcW w:w="740" w:type="dxa"/>
            <w:tcBorders>
              <w:top w:val="nil"/>
              <w:left w:val="nil"/>
              <w:bottom w:val="single" w:sz="4" w:space="0" w:color="auto"/>
              <w:right w:val="single" w:sz="4" w:space="0" w:color="auto"/>
            </w:tcBorders>
            <w:shd w:val="clear" w:color="auto" w:fill="9D2235" w:themeFill="accent1"/>
            <w:noWrap/>
            <w:vAlign w:val="bottom"/>
            <w:hideMark/>
          </w:tcPr>
          <w:p w14:paraId="4815D679" w14:textId="77777777" w:rsidR="002C0DE6" w:rsidRPr="00973028" w:rsidRDefault="002C0DE6" w:rsidP="002A4453">
            <w:pPr>
              <w:jc w:val="center"/>
              <w:rPr>
                <w:rFonts w:ascii="Calibri" w:eastAsia="Times New Roman" w:hAnsi="Calibri" w:cs="Calibri"/>
                <w:b/>
                <w:bCs/>
                <w:color w:val="FFFFFF" w:themeColor="background1"/>
                <w:sz w:val="12"/>
                <w:szCs w:val="12"/>
                <w:lang w:eastAsia="es-ES"/>
              </w:rPr>
            </w:pPr>
            <w:r w:rsidRPr="00973028">
              <w:rPr>
                <w:rFonts w:ascii="Calibri" w:eastAsia="Times New Roman" w:hAnsi="Calibri" w:cs="Calibri"/>
                <w:b/>
                <w:bCs/>
                <w:color w:val="FFFFFF" w:themeColor="background1"/>
                <w:sz w:val="12"/>
                <w:szCs w:val="12"/>
                <w:lang w:eastAsia="es-ES"/>
              </w:rPr>
              <w:t>%</w:t>
            </w:r>
          </w:p>
        </w:tc>
        <w:tc>
          <w:tcPr>
            <w:tcW w:w="709" w:type="dxa"/>
            <w:tcBorders>
              <w:top w:val="nil"/>
              <w:left w:val="nil"/>
              <w:bottom w:val="single" w:sz="4" w:space="0" w:color="auto"/>
              <w:right w:val="single" w:sz="4" w:space="0" w:color="auto"/>
            </w:tcBorders>
            <w:shd w:val="clear" w:color="auto" w:fill="9D2235" w:themeFill="accent1"/>
            <w:noWrap/>
            <w:vAlign w:val="bottom"/>
            <w:hideMark/>
          </w:tcPr>
          <w:p w14:paraId="08D1BA53" w14:textId="77777777" w:rsidR="002C0DE6" w:rsidRPr="00973028" w:rsidRDefault="002C0DE6" w:rsidP="002A4453">
            <w:pPr>
              <w:jc w:val="center"/>
              <w:rPr>
                <w:rFonts w:ascii="Calibri" w:eastAsia="Times New Roman" w:hAnsi="Calibri" w:cs="Calibri"/>
                <w:b/>
                <w:bCs/>
                <w:color w:val="FFFFFF" w:themeColor="background1"/>
                <w:sz w:val="12"/>
                <w:szCs w:val="12"/>
                <w:lang w:eastAsia="es-ES"/>
              </w:rPr>
            </w:pPr>
            <w:r w:rsidRPr="00973028">
              <w:rPr>
                <w:rFonts w:ascii="Calibri" w:eastAsia="Times New Roman" w:hAnsi="Calibri" w:cs="Calibri"/>
                <w:b/>
                <w:bCs/>
                <w:color w:val="FFFFFF" w:themeColor="background1"/>
                <w:sz w:val="14"/>
                <w:szCs w:val="14"/>
                <w:lang w:eastAsia="es-ES"/>
              </w:rPr>
              <w:t>Absoluto</w:t>
            </w:r>
          </w:p>
        </w:tc>
        <w:tc>
          <w:tcPr>
            <w:tcW w:w="567" w:type="dxa"/>
            <w:tcBorders>
              <w:top w:val="nil"/>
              <w:left w:val="nil"/>
              <w:bottom w:val="single" w:sz="4" w:space="0" w:color="auto"/>
              <w:right w:val="single" w:sz="4" w:space="0" w:color="auto"/>
            </w:tcBorders>
            <w:shd w:val="clear" w:color="auto" w:fill="9D2235" w:themeFill="accent1"/>
            <w:noWrap/>
            <w:vAlign w:val="bottom"/>
            <w:hideMark/>
          </w:tcPr>
          <w:p w14:paraId="70E5B7E0" w14:textId="77777777" w:rsidR="002C0DE6" w:rsidRPr="00973028" w:rsidRDefault="002C0DE6" w:rsidP="002A4453">
            <w:pPr>
              <w:jc w:val="center"/>
              <w:rPr>
                <w:rFonts w:ascii="Calibri" w:eastAsia="Times New Roman" w:hAnsi="Calibri" w:cs="Calibri"/>
                <w:b/>
                <w:bCs/>
                <w:color w:val="FFFFFF" w:themeColor="background1"/>
                <w:sz w:val="12"/>
                <w:szCs w:val="12"/>
                <w:lang w:eastAsia="es-ES"/>
              </w:rPr>
            </w:pPr>
            <w:r w:rsidRPr="00973028">
              <w:rPr>
                <w:rFonts w:ascii="Calibri" w:eastAsia="Times New Roman" w:hAnsi="Calibri" w:cs="Calibri"/>
                <w:b/>
                <w:bCs/>
                <w:color w:val="FFFFFF" w:themeColor="background1"/>
                <w:sz w:val="12"/>
                <w:szCs w:val="12"/>
                <w:lang w:eastAsia="es-ES"/>
              </w:rPr>
              <w:t>%</w:t>
            </w:r>
          </w:p>
        </w:tc>
        <w:tc>
          <w:tcPr>
            <w:tcW w:w="696" w:type="dxa"/>
            <w:tcBorders>
              <w:top w:val="nil"/>
              <w:left w:val="nil"/>
              <w:bottom w:val="single" w:sz="4" w:space="0" w:color="auto"/>
              <w:right w:val="single" w:sz="4" w:space="0" w:color="auto"/>
            </w:tcBorders>
            <w:shd w:val="clear" w:color="auto" w:fill="9D2235" w:themeFill="accent1"/>
            <w:noWrap/>
            <w:vAlign w:val="bottom"/>
            <w:hideMark/>
          </w:tcPr>
          <w:p w14:paraId="37CBEF48" w14:textId="77777777" w:rsidR="002C0DE6" w:rsidRPr="00973028" w:rsidRDefault="002C0DE6" w:rsidP="002A4453">
            <w:pPr>
              <w:jc w:val="center"/>
              <w:rPr>
                <w:rFonts w:ascii="Calibri" w:eastAsia="Times New Roman" w:hAnsi="Calibri" w:cs="Calibri"/>
                <w:b/>
                <w:bCs/>
                <w:color w:val="FFFFFF" w:themeColor="background1"/>
                <w:sz w:val="12"/>
                <w:szCs w:val="12"/>
                <w:lang w:eastAsia="es-ES"/>
              </w:rPr>
            </w:pPr>
            <w:r w:rsidRPr="00973028">
              <w:rPr>
                <w:rFonts w:ascii="Calibri" w:eastAsia="Times New Roman" w:hAnsi="Calibri" w:cs="Calibri"/>
                <w:b/>
                <w:bCs/>
                <w:color w:val="FFFFFF" w:themeColor="background1"/>
                <w:sz w:val="14"/>
                <w:szCs w:val="14"/>
                <w:lang w:eastAsia="es-ES"/>
              </w:rPr>
              <w:t>Absoluto</w:t>
            </w:r>
          </w:p>
        </w:tc>
        <w:tc>
          <w:tcPr>
            <w:tcW w:w="721" w:type="dxa"/>
            <w:tcBorders>
              <w:top w:val="nil"/>
              <w:left w:val="nil"/>
              <w:bottom w:val="single" w:sz="4" w:space="0" w:color="auto"/>
              <w:right w:val="single" w:sz="8" w:space="0" w:color="auto"/>
            </w:tcBorders>
            <w:shd w:val="clear" w:color="auto" w:fill="9D2235" w:themeFill="accent1"/>
            <w:noWrap/>
            <w:vAlign w:val="bottom"/>
            <w:hideMark/>
          </w:tcPr>
          <w:p w14:paraId="25A76E01" w14:textId="77777777" w:rsidR="002C0DE6" w:rsidRPr="00973028" w:rsidRDefault="002C0DE6" w:rsidP="002A4453">
            <w:pPr>
              <w:jc w:val="center"/>
              <w:rPr>
                <w:rFonts w:ascii="Calibri" w:eastAsia="Times New Roman" w:hAnsi="Calibri" w:cs="Calibri"/>
                <w:b/>
                <w:bCs/>
                <w:color w:val="FFFFFF" w:themeColor="background1"/>
                <w:sz w:val="12"/>
                <w:szCs w:val="12"/>
                <w:lang w:eastAsia="es-ES"/>
              </w:rPr>
            </w:pPr>
            <w:r w:rsidRPr="00973028">
              <w:rPr>
                <w:rFonts w:ascii="Calibri" w:eastAsia="Times New Roman" w:hAnsi="Calibri" w:cs="Calibri"/>
                <w:b/>
                <w:bCs/>
                <w:color w:val="FFFFFF" w:themeColor="background1"/>
                <w:sz w:val="12"/>
                <w:szCs w:val="12"/>
                <w:lang w:eastAsia="es-ES"/>
              </w:rPr>
              <w:t>%</w:t>
            </w:r>
          </w:p>
        </w:tc>
        <w:tc>
          <w:tcPr>
            <w:tcW w:w="709" w:type="dxa"/>
            <w:tcBorders>
              <w:top w:val="nil"/>
              <w:left w:val="single" w:sz="4" w:space="0" w:color="auto"/>
              <w:bottom w:val="single" w:sz="4" w:space="0" w:color="auto"/>
              <w:right w:val="single" w:sz="4" w:space="0" w:color="auto"/>
            </w:tcBorders>
            <w:shd w:val="clear" w:color="auto" w:fill="9D2235" w:themeFill="accent1"/>
            <w:noWrap/>
            <w:vAlign w:val="bottom"/>
            <w:hideMark/>
          </w:tcPr>
          <w:p w14:paraId="2333F5D4" w14:textId="77777777" w:rsidR="002C0DE6" w:rsidRPr="00973028" w:rsidRDefault="002C0DE6" w:rsidP="002A4453">
            <w:pPr>
              <w:jc w:val="center"/>
              <w:rPr>
                <w:rFonts w:ascii="Calibri" w:eastAsia="Times New Roman" w:hAnsi="Calibri" w:cs="Calibri"/>
                <w:b/>
                <w:bCs/>
                <w:color w:val="FFFFFF" w:themeColor="background1"/>
                <w:sz w:val="12"/>
                <w:szCs w:val="12"/>
                <w:lang w:eastAsia="es-ES"/>
              </w:rPr>
            </w:pPr>
            <w:r w:rsidRPr="00973028">
              <w:rPr>
                <w:rFonts w:ascii="Calibri" w:eastAsia="Times New Roman" w:hAnsi="Calibri" w:cs="Calibri"/>
                <w:b/>
                <w:bCs/>
                <w:color w:val="FFFFFF" w:themeColor="background1"/>
                <w:sz w:val="14"/>
                <w:szCs w:val="14"/>
                <w:lang w:eastAsia="es-ES"/>
              </w:rPr>
              <w:t>Absoluto</w:t>
            </w:r>
          </w:p>
        </w:tc>
        <w:tc>
          <w:tcPr>
            <w:tcW w:w="567" w:type="dxa"/>
            <w:tcBorders>
              <w:top w:val="nil"/>
              <w:left w:val="nil"/>
              <w:bottom w:val="single" w:sz="4" w:space="0" w:color="auto"/>
              <w:right w:val="single" w:sz="8" w:space="0" w:color="auto"/>
            </w:tcBorders>
            <w:shd w:val="clear" w:color="auto" w:fill="9D2235" w:themeFill="accent1"/>
            <w:noWrap/>
            <w:vAlign w:val="bottom"/>
            <w:hideMark/>
          </w:tcPr>
          <w:p w14:paraId="1B6A9B36" w14:textId="77777777" w:rsidR="002C0DE6" w:rsidRPr="00973028" w:rsidRDefault="002C0DE6" w:rsidP="002A4453">
            <w:pPr>
              <w:jc w:val="center"/>
              <w:rPr>
                <w:rFonts w:ascii="Calibri" w:eastAsia="Times New Roman" w:hAnsi="Calibri" w:cs="Calibri"/>
                <w:b/>
                <w:bCs/>
                <w:color w:val="FFFFFF" w:themeColor="background1"/>
                <w:sz w:val="12"/>
                <w:szCs w:val="12"/>
                <w:lang w:eastAsia="es-ES"/>
              </w:rPr>
            </w:pPr>
            <w:r w:rsidRPr="00973028">
              <w:rPr>
                <w:rFonts w:ascii="Calibri" w:eastAsia="Times New Roman" w:hAnsi="Calibri" w:cs="Calibri"/>
                <w:b/>
                <w:bCs/>
                <w:color w:val="FFFFFF" w:themeColor="background1"/>
                <w:sz w:val="12"/>
                <w:szCs w:val="12"/>
                <w:lang w:eastAsia="es-ES"/>
              </w:rPr>
              <w:t>%</w:t>
            </w:r>
          </w:p>
        </w:tc>
      </w:tr>
      <w:tr w:rsidR="002C0DE6" w:rsidRPr="00973028" w14:paraId="7F692A84" w14:textId="77777777" w:rsidTr="002A4453">
        <w:trPr>
          <w:trHeight w:val="300"/>
        </w:trPr>
        <w:tc>
          <w:tcPr>
            <w:tcW w:w="1721" w:type="dxa"/>
            <w:tcBorders>
              <w:top w:val="nil"/>
              <w:left w:val="single" w:sz="8" w:space="0" w:color="auto"/>
              <w:bottom w:val="single" w:sz="4" w:space="0" w:color="auto"/>
              <w:right w:val="single" w:sz="4" w:space="0" w:color="auto"/>
            </w:tcBorders>
            <w:shd w:val="clear" w:color="auto" w:fill="auto"/>
            <w:noWrap/>
            <w:vAlign w:val="bottom"/>
            <w:hideMark/>
          </w:tcPr>
          <w:p w14:paraId="6AE8199A" w14:textId="77777777" w:rsidR="002C0DE6" w:rsidRPr="00973028" w:rsidRDefault="002C0DE6" w:rsidP="002A4453">
            <w:pPr>
              <w:rPr>
                <w:rFonts w:ascii="Calibri" w:eastAsia="Times New Roman" w:hAnsi="Calibri" w:cs="Calibri"/>
                <w:color w:val="000000"/>
                <w:lang w:eastAsia="es-ES"/>
              </w:rPr>
            </w:pPr>
            <w:r w:rsidRPr="00973028">
              <w:rPr>
                <w:rFonts w:ascii="Calibri" w:eastAsia="Times New Roman" w:hAnsi="Calibri" w:cs="Calibri"/>
                <w:color w:val="000000"/>
                <w:lang w:eastAsia="es-ES"/>
              </w:rPr>
              <w:t>Pendientes</w:t>
            </w:r>
          </w:p>
        </w:tc>
        <w:tc>
          <w:tcPr>
            <w:tcW w:w="679" w:type="dxa"/>
            <w:tcBorders>
              <w:top w:val="nil"/>
              <w:left w:val="nil"/>
              <w:bottom w:val="single" w:sz="4" w:space="0" w:color="auto"/>
              <w:right w:val="single" w:sz="4" w:space="0" w:color="auto"/>
            </w:tcBorders>
            <w:shd w:val="clear" w:color="auto" w:fill="auto"/>
            <w:noWrap/>
            <w:vAlign w:val="bottom"/>
            <w:hideMark/>
          </w:tcPr>
          <w:p w14:paraId="652B064E"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0</w:t>
            </w:r>
          </w:p>
        </w:tc>
        <w:tc>
          <w:tcPr>
            <w:tcW w:w="709" w:type="dxa"/>
            <w:tcBorders>
              <w:top w:val="nil"/>
              <w:left w:val="nil"/>
              <w:bottom w:val="single" w:sz="4" w:space="0" w:color="auto"/>
              <w:right w:val="single" w:sz="4" w:space="0" w:color="auto"/>
            </w:tcBorders>
            <w:shd w:val="clear" w:color="auto" w:fill="auto"/>
            <w:noWrap/>
            <w:vAlign w:val="bottom"/>
            <w:hideMark/>
          </w:tcPr>
          <w:p w14:paraId="3E9DC4C3"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0%</w:t>
            </w:r>
          </w:p>
        </w:tc>
        <w:tc>
          <w:tcPr>
            <w:tcW w:w="819" w:type="dxa"/>
            <w:tcBorders>
              <w:top w:val="nil"/>
              <w:left w:val="nil"/>
              <w:bottom w:val="single" w:sz="4" w:space="0" w:color="auto"/>
              <w:right w:val="single" w:sz="4" w:space="0" w:color="auto"/>
            </w:tcBorders>
            <w:shd w:val="clear" w:color="auto" w:fill="auto"/>
            <w:noWrap/>
            <w:vAlign w:val="bottom"/>
            <w:hideMark/>
          </w:tcPr>
          <w:p w14:paraId="4592524B"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0</w:t>
            </w:r>
          </w:p>
        </w:tc>
        <w:tc>
          <w:tcPr>
            <w:tcW w:w="740" w:type="dxa"/>
            <w:tcBorders>
              <w:top w:val="nil"/>
              <w:left w:val="nil"/>
              <w:bottom w:val="single" w:sz="4" w:space="0" w:color="auto"/>
              <w:right w:val="single" w:sz="4" w:space="0" w:color="auto"/>
            </w:tcBorders>
            <w:shd w:val="clear" w:color="auto" w:fill="auto"/>
            <w:noWrap/>
            <w:vAlign w:val="bottom"/>
            <w:hideMark/>
          </w:tcPr>
          <w:p w14:paraId="196BDED7"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0%</w:t>
            </w:r>
          </w:p>
        </w:tc>
        <w:tc>
          <w:tcPr>
            <w:tcW w:w="709" w:type="dxa"/>
            <w:tcBorders>
              <w:top w:val="nil"/>
              <w:left w:val="nil"/>
              <w:bottom w:val="single" w:sz="4" w:space="0" w:color="auto"/>
              <w:right w:val="single" w:sz="4" w:space="0" w:color="auto"/>
            </w:tcBorders>
            <w:shd w:val="clear" w:color="auto" w:fill="auto"/>
            <w:noWrap/>
            <w:vAlign w:val="bottom"/>
            <w:hideMark/>
          </w:tcPr>
          <w:p w14:paraId="5A509E8B"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0</w:t>
            </w:r>
          </w:p>
        </w:tc>
        <w:tc>
          <w:tcPr>
            <w:tcW w:w="567" w:type="dxa"/>
            <w:tcBorders>
              <w:top w:val="nil"/>
              <w:left w:val="nil"/>
              <w:bottom w:val="single" w:sz="4" w:space="0" w:color="auto"/>
              <w:right w:val="single" w:sz="4" w:space="0" w:color="auto"/>
            </w:tcBorders>
            <w:shd w:val="clear" w:color="auto" w:fill="auto"/>
            <w:noWrap/>
            <w:vAlign w:val="bottom"/>
            <w:hideMark/>
          </w:tcPr>
          <w:p w14:paraId="61DF1C6D"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0%</w:t>
            </w:r>
          </w:p>
        </w:tc>
        <w:tc>
          <w:tcPr>
            <w:tcW w:w="696" w:type="dxa"/>
            <w:tcBorders>
              <w:top w:val="nil"/>
              <w:left w:val="nil"/>
              <w:bottom w:val="single" w:sz="4" w:space="0" w:color="auto"/>
              <w:right w:val="single" w:sz="4" w:space="0" w:color="auto"/>
            </w:tcBorders>
            <w:shd w:val="clear" w:color="auto" w:fill="auto"/>
            <w:noWrap/>
            <w:vAlign w:val="bottom"/>
            <w:hideMark/>
          </w:tcPr>
          <w:p w14:paraId="47526AF2"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117</w:t>
            </w:r>
          </w:p>
        </w:tc>
        <w:tc>
          <w:tcPr>
            <w:tcW w:w="721" w:type="dxa"/>
            <w:tcBorders>
              <w:top w:val="nil"/>
              <w:left w:val="nil"/>
              <w:bottom w:val="single" w:sz="4" w:space="0" w:color="auto"/>
              <w:right w:val="single" w:sz="8" w:space="0" w:color="auto"/>
            </w:tcBorders>
            <w:shd w:val="clear" w:color="auto" w:fill="auto"/>
            <w:noWrap/>
            <w:vAlign w:val="bottom"/>
            <w:hideMark/>
          </w:tcPr>
          <w:p w14:paraId="3FDDAE97"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52%</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7FA72E"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117</w:t>
            </w:r>
          </w:p>
        </w:tc>
        <w:tc>
          <w:tcPr>
            <w:tcW w:w="567" w:type="dxa"/>
            <w:tcBorders>
              <w:top w:val="nil"/>
              <w:left w:val="nil"/>
              <w:bottom w:val="single" w:sz="4" w:space="0" w:color="auto"/>
              <w:right w:val="single" w:sz="8" w:space="0" w:color="auto"/>
            </w:tcBorders>
            <w:shd w:val="clear" w:color="auto" w:fill="auto"/>
            <w:noWrap/>
            <w:vAlign w:val="bottom"/>
            <w:hideMark/>
          </w:tcPr>
          <w:p w14:paraId="5A3D5EC2"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19%</w:t>
            </w:r>
          </w:p>
        </w:tc>
      </w:tr>
      <w:tr w:rsidR="002C0DE6" w:rsidRPr="00973028" w14:paraId="257CA502" w14:textId="77777777" w:rsidTr="002A4453">
        <w:trPr>
          <w:trHeight w:val="300"/>
        </w:trPr>
        <w:tc>
          <w:tcPr>
            <w:tcW w:w="1721" w:type="dxa"/>
            <w:tcBorders>
              <w:top w:val="nil"/>
              <w:left w:val="single" w:sz="8" w:space="0" w:color="auto"/>
              <w:bottom w:val="single" w:sz="4" w:space="0" w:color="auto"/>
              <w:right w:val="single" w:sz="4" w:space="0" w:color="auto"/>
            </w:tcBorders>
            <w:shd w:val="clear" w:color="auto" w:fill="auto"/>
            <w:noWrap/>
            <w:vAlign w:val="bottom"/>
            <w:hideMark/>
          </w:tcPr>
          <w:p w14:paraId="0090F554" w14:textId="77777777" w:rsidR="002C0DE6" w:rsidRPr="00973028" w:rsidRDefault="002C0DE6" w:rsidP="002A4453">
            <w:pPr>
              <w:rPr>
                <w:rFonts w:ascii="Calibri" w:eastAsia="Times New Roman" w:hAnsi="Calibri" w:cs="Calibri"/>
                <w:color w:val="000000"/>
                <w:lang w:eastAsia="es-ES"/>
              </w:rPr>
            </w:pPr>
            <w:r w:rsidRPr="00973028">
              <w:rPr>
                <w:rFonts w:ascii="Calibri" w:eastAsia="Times New Roman" w:hAnsi="Calibri" w:cs="Calibri"/>
                <w:color w:val="000000"/>
                <w:lang w:eastAsia="es-ES"/>
              </w:rPr>
              <w:t>Análisis</w:t>
            </w:r>
          </w:p>
        </w:tc>
        <w:tc>
          <w:tcPr>
            <w:tcW w:w="679" w:type="dxa"/>
            <w:tcBorders>
              <w:top w:val="nil"/>
              <w:left w:val="nil"/>
              <w:bottom w:val="single" w:sz="4" w:space="0" w:color="auto"/>
              <w:right w:val="single" w:sz="4" w:space="0" w:color="auto"/>
            </w:tcBorders>
            <w:shd w:val="clear" w:color="auto" w:fill="auto"/>
            <w:noWrap/>
            <w:vAlign w:val="bottom"/>
            <w:hideMark/>
          </w:tcPr>
          <w:p w14:paraId="5420563B"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0</w:t>
            </w:r>
          </w:p>
        </w:tc>
        <w:tc>
          <w:tcPr>
            <w:tcW w:w="709" w:type="dxa"/>
            <w:tcBorders>
              <w:top w:val="nil"/>
              <w:left w:val="nil"/>
              <w:bottom w:val="single" w:sz="4" w:space="0" w:color="auto"/>
              <w:right w:val="single" w:sz="4" w:space="0" w:color="auto"/>
            </w:tcBorders>
            <w:shd w:val="clear" w:color="auto" w:fill="auto"/>
            <w:noWrap/>
            <w:vAlign w:val="bottom"/>
            <w:hideMark/>
          </w:tcPr>
          <w:p w14:paraId="7798F08B"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0%</w:t>
            </w:r>
          </w:p>
        </w:tc>
        <w:tc>
          <w:tcPr>
            <w:tcW w:w="819" w:type="dxa"/>
            <w:tcBorders>
              <w:top w:val="nil"/>
              <w:left w:val="nil"/>
              <w:bottom w:val="single" w:sz="4" w:space="0" w:color="auto"/>
              <w:right w:val="single" w:sz="4" w:space="0" w:color="auto"/>
            </w:tcBorders>
            <w:shd w:val="clear" w:color="auto" w:fill="auto"/>
            <w:noWrap/>
            <w:vAlign w:val="bottom"/>
            <w:hideMark/>
          </w:tcPr>
          <w:p w14:paraId="41510B5E"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11</w:t>
            </w:r>
          </w:p>
        </w:tc>
        <w:tc>
          <w:tcPr>
            <w:tcW w:w="740" w:type="dxa"/>
            <w:tcBorders>
              <w:top w:val="nil"/>
              <w:left w:val="nil"/>
              <w:bottom w:val="single" w:sz="4" w:space="0" w:color="auto"/>
              <w:right w:val="single" w:sz="4" w:space="0" w:color="auto"/>
            </w:tcBorders>
            <w:shd w:val="clear" w:color="auto" w:fill="auto"/>
            <w:noWrap/>
            <w:vAlign w:val="bottom"/>
            <w:hideMark/>
          </w:tcPr>
          <w:p w14:paraId="5D2DED30"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6%</w:t>
            </w:r>
          </w:p>
        </w:tc>
        <w:tc>
          <w:tcPr>
            <w:tcW w:w="709" w:type="dxa"/>
            <w:tcBorders>
              <w:top w:val="nil"/>
              <w:left w:val="nil"/>
              <w:bottom w:val="single" w:sz="4" w:space="0" w:color="auto"/>
              <w:right w:val="single" w:sz="4" w:space="0" w:color="auto"/>
            </w:tcBorders>
            <w:shd w:val="clear" w:color="auto" w:fill="auto"/>
            <w:noWrap/>
            <w:vAlign w:val="bottom"/>
            <w:hideMark/>
          </w:tcPr>
          <w:p w14:paraId="45F134B0"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44</w:t>
            </w:r>
          </w:p>
        </w:tc>
        <w:tc>
          <w:tcPr>
            <w:tcW w:w="567" w:type="dxa"/>
            <w:tcBorders>
              <w:top w:val="nil"/>
              <w:left w:val="nil"/>
              <w:bottom w:val="single" w:sz="4" w:space="0" w:color="auto"/>
              <w:right w:val="single" w:sz="4" w:space="0" w:color="auto"/>
            </w:tcBorders>
            <w:shd w:val="clear" w:color="auto" w:fill="auto"/>
            <w:noWrap/>
            <w:vAlign w:val="bottom"/>
            <w:hideMark/>
          </w:tcPr>
          <w:p w14:paraId="517F0D24"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26%</w:t>
            </w:r>
          </w:p>
        </w:tc>
        <w:tc>
          <w:tcPr>
            <w:tcW w:w="696" w:type="dxa"/>
            <w:tcBorders>
              <w:top w:val="nil"/>
              <w:left w:val="nil"/>
              <w:bottom w:val="single" w:sz="4" w:space="0" w:color="auto"/>
              <w:right w:val="single" w:sz="4" w:space="0" w:color="auto"/>
            </w:tcBorders>
            <w:shd w:val="clear" w:color="auto" w:fill="auto"/>
            <w:noWrap/>
            <w:vAlign w:val="bottom"/>
            <w:hideMark/>
          </w:tcPr>
          <w:p w14:paraId="122809AE"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58</w:t>
            </w:r>
          </w:p>
        </w:tc>
        <w:tc>
          <w:tcPr>
            <w:tcW w:w="721" w:type="dxa"/>
            <w:tcBorders>
              <w:top w:val="nil"/>
              <w:left w:val="nil"/>
              <w:bottom w:val="single" w:sz="4" w:space="0" w:color="auto"/>
              <w:right w:val="single" w:sz="8" w:space="0" w:color="auto"/>
            </w:tcBorders>
            <w:shd w:val="clear" w:color="auto" w:fill="auto"/>
            <w:noWrap/>
            <w:vAlign w:val="bottom"/>
            <w:hideMark/>
          </w:tcPr>
          <w:p w14:paraId="25080565"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26%</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FC3BB79"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113</w:t>
            </w:r>
          </w:p>
        </w:tc>
        <w:tc>
          <w:tcPr>
            <w:tcW w:w="567" w:type="dxa"/>
            <w:tcBorders>
              <w:top w:val="nil"/>
              <w:left w:val="nil"/>
              <w:bottom w:val="single" w:sz="4" w:space="0" w:color="auto"/>
              <w:right w:val="single" w:sz="8" w:space="0" w:color="auto"/>
            </w:tcBorders>
            <w:shd w:val="clear" w:color="auto" w:fill="auto"/>
            <w:noWrap/>
            <w:vAlign w:val="bottom"/>
            <w:hideMark/>
          </w:tcPr>
          <w:p w14:paraId="52FBEB3F"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19%</w:t>
            </w:r>
          </w:p>
        </w:tc>
      </w:tr>
      <w:tr w:rsidR="002C0DE6" w:rsidRPr="00973028" w14:paraId="32A6F960" w14:textId="77777777" w:rsidTr="002A4453">
        <w:trPr>
          <w:trHeight w:val="300"/>
        </w:trPr>
        <w:tc>
          <w:tcPr>
            <w:tcW w:w="1721" w:type="dxa"/>
            <w:tcBorders>
              <w:top w:val="nil"/>
              <w:left w:val="single" w:sz="8" w:space="0" w:color="auto"/>
              <w:bottom w:val="single" w:sz="4" w:space="0" w:color="auto"/>
              <w:right w:val="single" w:sz="4" w:space="0" w:color="auto"/>
            </w:tcBorders>
            <w:shd w:val="clear" w:color="auto" w:fill="auto"/>
            <w:noWrap/>
            <w:vAlign w:val="bottom"/>
            <w:hideMark/>
          </w:tcPr>
          <w:p w14:paraId="39D2FE64" w14:textId="77777777" w:rsidR="002C0DE6" w:rsidRPr="00973028" w:rsidRDefault="002C0DE6" w:rsidP="002A4453">
            <w:pPr>
              <w:rPr>
                <w:rFonts w:ascii="Calibri" w:eastAsia="Times New Roman" w:hAnsi="Calibri" w:cs="Calibri"/>
                <w:color w:val="000000"/>
                <w:lang w:eastAsia="es-ES"/>
              </w:rPr>
            </w:pPr>
            <w:r w:rsidRPr="00973028">
              <w:rPr>
                <w:rFonts w:ascii="Calibri" w:eastAsia="Times New Roman" w:hAnsi="Calibri" w:cs="Calibri"/>
                <w:color w:val="000000"/>
                <w:lang w:eastAsia="es-ES"/>
              </w:rPr>
              <w:t>Investigación</w:t>
            </w:r>
          </w:p>
        </w:tc>
        <w:tc>
          <w:tcPr>
            <w:tcW w:w="679" w:type="dxa"/>
            <w:tcBorders>
              <w:top w:val="nil"/>
              <w:left w:val="nil"/>
              <w:bottom w:val="single" w:sz="4" w:space="0" w:color="auto"/>
              <w:right w:val="single" w:sz="4" w:space="0" w:color="auto"/>
            </w:tcBorders>
            <w:shd w:val="clear" w:color="auto" w:fill="auto"/>
            <w:noWrap/>
            <w:vAlign w:val="bottom"/>
            <w:hideMark/>
          </w:tcPr>
          <w:p w14:paraId="6E7612CC"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w:t>
            </w:r>
          </w:p>
        </w:tc>
        <w:tc>
          <w:tcPr>
            <w:tcW w:w="709" w:type="dxa"/>
            <w:tcBorders>
              <w:top w:val="nil"/>
              <w:left w:val="nil"/>
              <w:bottom w:val="single" w:sz="4" w:space="0" w:color="auto"/>
              <w:right w:val="single" w:sz="4" w:space="0" w:color="auto"/>
            </w:tcBorders>
            <w:shd w:val="clear" w:color="auto" w:fill="auto"/>
            <w:noWrap/>
            <w:vAlign w:val="bottom"/>
            <w:hideMark/>
          </w:tcPr>
          <w:p w14:paraId="42BC1F75"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3%</w:t>
            </w:r>
          </w:p>
        </w:tc>
        <w:tc>
          <w:tcPr>
            <w:tcW w:w="819" w:type="dxa"/>
            <w:tcBorders>
              <w:top w:val="nil"/>
              <w:left w:val="nil"/>
              <w:bottom w:val="single" w:sz="4" w:space="0" w:color="auto"/>
              <w:right w:val="single" w:sz="4" w:space="0" w:color="auto"/>
            </w:tcBorders>
            <w:shd w:val="clear" w:color="auto" w:fill="auto"/>
            <w:noWrap/>
            <w:vAlign w:val="bottom"/>
            <w:hideMark/>
          </w:tcPr>
          <w:p w14:paraId="460FB561"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15</w:t>
            </w:r>
          </w:p>
        </w:tc>
        <w:tc>
          <w:tcPr>
            <w:tcW w:w="740" w:type="dxa"/>
            <w:tcBorders>
              <w:top w:val="nil"/>
              <w:left w:val="nil"/>
              <w:bottom w:val="single" w:sz="4" w:space="0" w:color="auto"/>
              <w:right w:val="single" w:sz="4" w:space="0" w:color="auto"/>
            </w:tcBorders>
            <w:shd w:val="clear" w:color="auto" w:fill="auto"/>
            <w:noWrap/>
            <w:vAlign w:val="bottom"/>
            <w:hideMark/>
          </w:tcPr>
          <w:p w14:paraId="63AE16F7"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8%</w:t>
            </w:r>
          </w:p>
        </w:tc>
        <w:tc>
          <w:tcPr>
            <w:tcW w:w="709" w:type="dxa"/>
            <w:tcBorders>
              <w:top w:val="nil"/>
              <w:left w:val="nil"/>
              <w:bottom w:val="single" w:sz="4" w:space="0" w:color="auto"/>
              <w:right w:val="single" w:sz="4" w:space="0" w:color="auto"/>
            </w:tcBorders>
            <w:shd w:val="clear" w:color="auto" w:fill="auto"/>
            <w:noWrap/>
            <w:vAlign w:val="bottom"/>
            <w:hideMark/>
          </w:tcPr>
          <w:p w14:paraId="28B3DB92"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23</w:t>
            </w:r>
          </w:p>
        </w:tc>
        <w:tc>
          <w:tcPr>
            <w:tcW w:w="567" w:type="dxa"/>
            <w:tcBorders>
              <w:top w:val="nil"/>
              <w:left w:val="nil"/>
              <w:bottom w:val="single" w:sz="4" w:space="0" w:color="auto"/>
              <w:right w:val="single" w:sz="4" w:space="0" w:color="auto"/>
            </w:tcBorders>
            <w:shd w:val="clear" w:color="auto" w:fill="auto"/>
            <w:noWrap/>
            <w:vAlign w:val="bottom"/>
            <w:hideMark/>
          </w:tcPr>
          <w:p w14:paraId="16FB41B7"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14%</w:t>
            </w:r>
          </w:p>
        </w:tc>
        <w:tc>
          <w:tcPr>
            <w:tcW w:w="696" w:type="dxa"/>
            <w:tcBorders>
              <w:top w:val="nil"/>
              <w:left w:val="nil"/>
              <w:bottom w:val="single" w:sz="4" w:space="0" w:color="auto"/>
              <w:right w:val="single" w:sz="4" w:space="0" w:color="auto"/>
            </w:tcBorders>
            <w:shd w:val="clear" w:color="auto" w:fill="auto"/>
            <w:noWrap/>
            <w:vAlign w:val="bottom"/>
            <w:hideMark/>
          </w:tcPr>
          <w:p w14:paraId="4014BC82"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13</w:t>
            </w:r>
          </w:p>
        </w:tc>
        <w:tc>
          <w:tcPr>
            <w:tcW w:w="721" w:type="dxa"/>
            <w:tcBorders>
              <w:top w:val="nil"/>
              <w:left w:val="nil"/>
              <w:bottom w:val="single" w:sz="4" w:space="0" w:color="auto"/>
              <w:right w:val="single" w:sz="8" w:space="0" w:color="auto"/>
            </w:tcBorders>
            <w:shd w:val="clear" w:color="auto" w:fill="auto"/>
            <w:noWrap/>
            <w:vAlign w:val="bottom"/>
            <w:hideMark/>
          </w:tcPr>
          <w:p w14:paraId="76909573"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6%</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C24EE5"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52</w:t>
            </w:r>
          </w:p>
        </w:tc>
        <w:tc>
          <w:tcPr>
            <w:tcW w:w="567" w:type="dxa"/>
            <w:tcBorders>
              <w:top w:val="nil"/>
              <w:left w:val="nil"/>
              <w:bottom w:val="single" w:sz="4" w:space="0" w:color="auto"/>
              <w:right w:val="single" w:sz="8" w:space="0" w:color="auto"/>
            </w:tcBorders>
            <w:shd w:val="clear" w:color="auto" w:fill="auto"/>
            <w:noWrap/>
            <w:vAlign w:val="bottom"/>
            <w:hideMark/>
          </w:tcPr>
          <w:p w14:paraId="7059733E"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8%</w:t>
            </w:r>
          </w:p>
        </w:tc>
      </w:tr>
      <w:tr w:rsidR="002C0DE6" w:rsidRPr="00973028" w14:paraId="79524475" w14:textId="77777777" w:rsidTr="002A4453">
        <w:trPr>
          <w:trHeight w:val="300"/>
        </w:trPr>
        <w:tc>
          <w:tcPr>
            <w:tcW w:w="1721" w:type="dxa"/>
            <w:tcBorders>
              <w:top w:val="nil"/>
              <w:left w:val="single" w:sz="8" w:space="0" w:color="auto"/>
              <w:bottom w:val="single" w:sz="4" w:space="0" w:color="auto"/>
              <w:right w:val="single" w:sz="4" w:space="0" w:color="auto"/>
            </w:tcBorders>
            <w:shd w:val="clear" w:color="auto" w:fill="auto"/>
            <w:noWrap/>
            <w:vAlign w:val="bottom"/>
            <w:hideMark/>
          </w:tcPr>
          <w:p w14:paraId="4AB9A86C" w14:textId="77777777" w:rsidR="002C0DE6" w:rsidRPr="00973028" w:rsidRDefault="002C0DE6" w:rsidP="002A4453">
            <w:pPr>
              <w:rPr>
                <w:rFonts w:ascii="Calibri" w:eastAsia="Times New Roman" w:hAnsi="Calibri" w:cs="Calibri"/>
                <w:color w:val="000000"/>
                <w:lang w:eastAsia="es-ES"/>
              </w:rPr>
            </w:pPr>
            <w:r w:rsidRPr="00973028">
              <w:rPr>
                <w:rFonts w:ascii="Calibri" w:eastAsia="Times New Roman" w:hAnsi="Calibri" w:cs="Calibri"/>
                <w:color w:val="000000"/>
                <w:lang w:eastAsia="es-ES"/>
              </w:rPr>
              <w:t>Interrupción</w:t>
            </w:r>
          </w:p>
        </w:tc>
        <w:tc>
          <w:tcPr>
            <w:tcW w:w="679" w:type="dxa"/>
            <w:tcBorders>
              <w:top w:val="nil"/>
              <w:left w:val="nil"/>
              <w:bottom w:val="single" w:sz="4" w:space="0" w:color="auto"/>
              <w:right w:val="single" w:sz="4" w:space="0" w:color="auto"/>
            </w:tcBorders>
            <w:shd w:val="clear" w:color="auto" w:fill="auto"/>
            <w:noWrap/>
            <w:vAlign w:val="bottom"/>
            <w:hideMark/>
          </w:tcPr>
          <w:p w14:paraId="4F7F1B30"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5</w:t>
            </w:r>
          </w:p>
        </w:tc>
        <w:tc>
          <w:tcPr>
            <w:tcW w:w="709" w:type="dxa"/>
            <w:tcBorders>
              <w:top w:val="nil"/>
              <w:left w:val="nil"/>
              <w:bottom w:val="single" w:sz="4" w:space="0" w:color="auto"/>
              <w:right w:val="single" w:sz="4" w:space="0" w:color="auto"/>
            </w:tcBorders>
            <w:shd w:val="clear" w:color="auto" w:fill="auto"/>
            <w:noWrap/>
            <w:vAlign w:val="bottom"/>
            <w:hideMark/>
          </w:tcPr>
          <w:p w14:paraId="5A42E61D"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14%</w:t>
            </w:r>
          </w:p>
        </w:tc>
        <w:tc>
          <w:tcPr>
            <w:tcW w:w="819" w:type="dxa"/>
            <w:tcBorders>
              <w:top w:val="nil"/>
              <w:left w:val="nil"/>
              <w:bottom w:val="single" w:sz="4" w:space="0" w:color="auto"/>
              <w:right w:val="single" w:sz="4" w:space="0" w:color="auto"/>
            </w:tcBorders>
            <w:shd w:val="clear" w:color="auto" w:fill="auto"/>
            <w:noWrap/>
            <w:vAlign w:val="bottom"/>
            <w:hideMark/>
          </w:tcPr>
          <w:p w14:paraId="5382D308"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11</w:t>
            </w:r>
          </w:p>
        </w:tc>
        <w:tc>
          <w:tcPr>
            <w:tcW w:w="740" w:type="dxa"/>
            <w:tcBorders>
              <w:top w:val="nil"/>
              <w:left w:val="nil"/>
              <w:bottom w:val="single" w:sz="4" w:space="0" w:color="auto"/>
              <w:right w:val="single" w:sz="4" w:space="0" w:color="auto"/>
            </w:tcBorders>
            <w:shd w:val="clear" w:color="auto" w:fill="auto"/>
            <w:noWrap/>
            <w:vAlign w:val="bottom"/>
            <w:hideMark/>
          </w:tcPr>
          <w:p w14:paraId="5CE6B458"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6%</w:t>
            </w:r>
          </w:p>
        </w:tc>
        <w:tc>
          <w:tcPr>
            <w:tcW w:w="709" w:type="dxa"/>
            <w:tcBorders>
              <w:top w:val="nil"/>
              <w:left w:val="nil"/>
              <w:bottom w:val="single" w:sz="4" w:space="0" w:color="auto"/>
              <w:right w:val="single" w:sz="4" w:space="0" w:color="auto"/>
            </w:tcBorders>
            <w:shd w:val="clear" w:color="auto" w:fill="auto"/>
            <w:noWrap/>
            <w:vAlign w:val="bottom"/>
            <w:hideMark/>
          </w:tcPr>
          <w:p w14:paraId="19A17707"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9</w:t>
            </w:r>
          </w:p>
        </w:tc>
        <w:tc>
          <w:tcPr>
            <w:tcW w:w="567" w:type="dxa"/>
            <w:tcBorders>
              <w:top w:val="nil"/>
              <w:left w:val="nil"/>
              <w:bottom w:val="single" w:sz="4" w:space="0" w:color="auto"/>
              <w:right w:val="single" w:sz="4" w:space="0" w:color="auto"/>
            </w:tcBorders>
            <w:shd w:val="clear" w:color="auto" w:fill="auto"/>
            <w:noWrap/>
            <w:vAlign w:val="bottom"/>
            <w:hideMark/>
          </w:tcPr>
          <w:p w14:paraId="625FFFF6"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5%</w:t>
            </w:r>
          </w:p>
        </w:tc>
        <w:tc>
          <w:tcPr>
            <w:tcW w:w="696" w:type="dxa"/>
            <w:tcBorders>
              <w:top w:val="nil"/>
              <w:left w:val="nil"/>
              <w:bottom w:val="single" w:sz="4" w:space="0" w:color="auto"/>
              <w:right w:val="single" w:sz="4" w:space="0" w:color="auto"/>
            </w:tcBorders>
            <w:shd w:val="clear" w:color="auto" w:fill="auto"/>
            <w:noWrap/>
            <w:vAlign w:val="bottom"/>
            <w:hideMark/>
          </w:tcPr>
          <w:p w14:paraId="17EB77F5"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w:t>
            </w:r>
          </w:p>
        </w:tc>
        <w:tc>
          <w:tcPr>
            <w:tcW w:w="721" w:type="dxa"/>
            <w:tcBorders>
              <w:top w:val="nil"/>
              <w:left w:val="nil"/>
              <w:bottom w:val="single" w:sz="4" w:space="0" w:color="auto"/>
              <w:right w:val="single" w:sz="8" w:space="0" w:color="auto"/>
            </w:tcBorders>
            <w:shd w:val="clear" w:color="auto" w:fill="auto"/>
            <w:noWrap/>
            <w:vAlign w:val="bottom"/>
            <w:hideMark/>
          </w:tcPr>
          <w:p w14:paraId="3F65A195"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8F4B815"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26</w:t>
            </w:r>
          </w:p>
        </w:tc>
        <w:tc>
          <w:tcPr>
            <w:tcW w:w="567" w:type="dxa"/>
            <w:tcBorders>
              <w:top w:val="nil"/>
              <w:left w:val="nil"/>
              <w:bottom w:val="single" w:sz="4" w:space="0" w:color="auto"/>
              <w:right w:val="single" w:sz="8" w:space="0" w:color="auto"/>
            </w:tcBorders>
            <w:shd w:val="clear" w:color="auto" w:fill="auto"/>
            <w:noWrap/>
            <w:vAlign w:val="bottom"/>
            <w:hideMark/>
          </w:tcPr>
          <w:p w14:paraId="1F46C723"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4%</w:t>
            </w:r>
          </w:p>
        </w:tc>
      </w:tr>
      <w:tr w:rsidR="002C0DE6" w:rsidRPr="00973028" w14:paraId="41D72DFE" w14:textId="77777777" w:rsidTr="002A4453">
        <w:trPr>
          <w:trHeight w:val="300"/>
        </w:trPr>
        <w:tc>
          <w:tcPr>
            <w:tcW w:w="1721" w:type="dxa"/>
            <w:tcBorders>
              <w:top w:val="nil"/>
              <w:left w:val="single" w:sz="8" w:space="0" w:color="auto"/>
              <w:bottom w:val="single" w:sz="4" w:space="0" w:color="auto"/>
              <w:right w:val="single" w:sz="4" w:space="0" w:color="auto"/>
            </w:tcBorders>
            <w:shd w:val="clear" w:color="auto" w:fill="auto"/>
            <w:noWrap/>
            <w:vAlign w:val="bottom"/>
            <w:hideMark/>
          </w:tcPr>
          <w:p w14:paraId="641925ED" w14:textId="77777777" w:rsidR="002C0DE6" w:rsidRPr="00973028" w:rsidRDefault="002C0DE6" w:rsidP="002A4453">
            <w:pPr>
              <w:rPr>
                <w:rFonts w:ascii="Calibri" w:eastAsia="Times New Roman" w:hAnsi="Calibri" w:cs="Calibri"/>
                <w:color w:val="000000"/>
                <w:lang w:eastAsia="es-ES"/>
              </w:rPr>
            </w:pPr>
            <w:r w:rsidRPr="00973028">
              <w:rPr>
                <w:rFonts w:ascii="Calibri" w:eastAsia="Times New Roman" w:hAnsi="Calibri" w:cs="Calibri"/>
                <w:color w:val="000000"/>
                <w:lang w:eastAsia="es-ES"/>
              </w:rPr>
              <w:t>Resueltos</w:t>
            </w:r>
          </w:p>
        </w:tc>
        <w:tc>
          <w:tcPr>
            <w:tcW w:w="679" w:type="dxa"/>
            <w:tcBorders>
              <w:top w:val="nil"/>
              <w:left w:val="nil"/>
              <w:bottom w:val="single" w:sz="4" w:space="0" w:color="auto"/>
              <w:right w:val="single" w:sz="4" w:space="0" w:color="auto"/>
            </w:tcBorders>
            <w:shd w:val="clear" w:color="auto" w:fill="auto"/>
            <w:noWrap/>
            <w:vAlign w:val="bottom"/>
            <w:hideMark/>
          </w:tcPr>
          <w:p w14:paraId="33D0E4D1"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27</w:t>
            </w:r>
          </w:p>
        </w:tc>
        <w:tc>
          <w:tcPr>
            <w:tcW w:w="709" w:type="dxa"/>
            <w:tcBorders>
              <w:top w:val="nil"/>
              <w:left w:val="nil"/>
              <w:bottom w:val="single" w:sz="4" w:space="0" w:color="auto"/>
              <w:right w:val="single" w:sz="4" w:space="0" w:color="auto"/>
            </w:tcBorders>
            <w:shd w:val="clear" w:color="auto" w:fill="auto"/>
            <w:noWrap/>
            <w:vAlign w:val="bottom"/>
            <w:hideMark/>
          </w:tcPr>
          <w:p w14:paraId="6FE6F918"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77%</w:t>
            </w:r>
          </w:p>
        </w:tc>
        <w:tc>
          <w:tcPr>
            <w:tcW w:w="819" w:type="dxa"/>
            <w:tcBorders>
              <w:top w:val="nil"/>
              <w:left w:val="nil"/>
              <w:bottom w:val="single" w:sz="4" w:space="0" w:color="auto"/>
              <w:right w:val="single" w:sz="4" w:space="0" w:color="auto"/>
            </w:tcBorders>
            <w:shd w:val="clear" w:color="auto" w:fill="auto"/>
            <w:noWrap/>
            <w:vAlign w:val="bottom"/>
            <w:hideMark/>
          </w:tcPr>
          <w:p w14:paraId="0AEEFF63"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132</w:t>
            </w:r>
          </w:p>
        </w:tc>
        <w:tc>
          <w:tcPr>
            <w:tcW w:w="740" w:type="dxa"/>
            <w:tcBorders>
              <w:top w:val="nil"/>
              <w:left w:val="nil"/>
              <w:bottom w:val="single" w:sz="4" w:space="0" w:color="auto"/>
              <w:right w:val="single" w:sz="4" w:space="0" w:color="auto"/>
            </w:tcBorders>
            <w:shd w:val="clear" w:color="auto" w:fill="auto"/>
            <w:noWrap/>
            <w:vAlign w:val="bottom"/>
            <w:hideMark/>
          </w:tcPr>
          <w:p w14:paraId="0DC84193"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73%</w:t>
            </w:r>
          </w:p>
        </w:tc>
        <w:tc>
          <w:tcPr>
            <w:tcW w:w="709" w:type="dxa"/>
            <w:tcBorders>
              <w:top w:val="nil"/>
              <w:left w:val="nil"/>
              <w:bottom w:val="single" w:sz="4" w:space="0" w:color="auto"/>
              <w:right w:val="single" w:sz="4" w:space="0" w:color="auto"/>
            </w:tcBorders>
            <w:shd w:val="clear" w:color="auto" w:fill="auto"/>
            <w:noWrap/>
            <w:vAlign w:val="bottom"/>
            <w:hideMark/>
          </w:tcPr>
          <w:p w14:paraId="56885840"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90</w:t>
            </w:r>
          </w:p>
        </w:tc>
        <w:tc>
          <w:tcPr>
            <w:tcW w:w="567" w:type="dxa"/>
            <w:tcBorders>
              <w:top w:val="nil"/>
              <w:left w:val="nil"/>
              <w:bottom w:val="single" w:sz="4" w:space="0" w:color="auto"/>
              <w:right w:val="single" w:sz="4" w:space="0" w:color="auto"/>
            </w:tcBorders>
            <w:shd w:val="clear" w:color="auto" w:fill="auto"/>
            <w:noWrap/>
            <w:vAlign w:val="bottom"/>
            <w:hideMark/>
          </w:tcPr>
          <w:p w14:paraId="47AE83C3"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54%</w:t>
            </w:r>
          </w:p>
        </w:tc>
        <w:tc>
          <w:tcPr>
            <w:tcW w:w="696" w:type="dxa"/>
            <w:tcBorders>
              <w:top w:val="nil"/>
              <w:left w:val="nil"/>
              <w:bottom w:val="single" w:sz="4" w:space="0" w:color="auto"/>
              <w:right w:val="single" w:sz="4" w:space="0" w:color="auto"/>
            </w:tcBorders>
            <w:shd w:val="clear" w:color="auto" w:fill="auto"/>
            <w:noWrap/>
            <w:vAlign w:val="bottom"/>
            <w:hideMark/>
          </w:tcPr>
          <w:p w14:paraId="0D01BAFE"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36</w:t>
            </w:r>
          </w:p>
        </w:tc>
        <w:tc>
          <w:tcPr>
            <w:tcW w:w="721" w:type="dxa"/>
            <w:tcBorders>
              <w:top w:val="nil"/>
              <w:left w:val="nil"/>
              <w:bottom w:val="single" w:sz="4" w:space="0" w:color="auto"/>
              <w:right w:val="single" w:sz="8" w:space="0" w:color="auto"/>
            </w:tcBorders>
            <w:shd w:val="clear" w:color="auto" w:fill="auto"/>
            <w:noWrap/>
            <w:vAlign w:val="bottom"/>
            <w:hideMark/>
          </w:tcPr>
          <w:p w14:paraId="166F4C03"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16%</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C3C93C"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285</w:t>
            </w:r>
          </w:p>
        </w:tc>
        <w:tc>
          <w:tcPr>
            <w:tcW w:w="567" w:type="dxa"/>
            <w:tcBorders>
              <w:top w:val="nil"/>
              <w:left w:val="nil"/>
              <w:bottom w:val="single" w:sz="4" w:space="0" w:color="auto"/>
              <w:right w:val="single" w:sz="8" w:space="0" w:color="auto"/>
            </w:tcBorders>
            <w:shd w:val="clear" w:color="auto" w:fill="auto"/>
            <w:noWrap/>
            <w:vAlign w:val="bottom"/>
            <w:hideMark/>
          </w:tcPr>
          <w:p w14:paraId="600BDAD6"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47%</w:t>
            </w:r>
          </w:p>
        </w:tc>
      </w:tr>
      <w:tr w:rsidR="002C0DE6" w:rsidRPr="00973028" w14:paraId="24D74EF7" w14:textId="77777777" w:rsidTr="002A4453">
        <w:trPr>
          <w:trHeight w:val="300"/>
        </w:trPr>
        <w:tc>
          <w:tcPr>
            <w:tcW w:w="1721" w:type="dxa"/>
            <w:tcBorders>
              <w:top w:val="nil"/>
              <w:left w:val="single" w:sz="8" w:space="0" w:color="auto"/>
              <w:bottom w:val="single" w:sz="4" w:space="0" w:color="auto"/>
              <w:right w:val="single" w:sz="4" w:space="0" w:color="auto"/>
            </w:tcBorders>
            <w:shd w:val="clear" w:color="auto" w:fill="auto"/>
            <w:noWrap/>
            <w:vAlign w:val="bottom"/>
            <w:hideMark/>
          </w:tcPr>
          <w:p w14:paraId="770C327A" w14:textId="77777777" w:rsidR="002C0DE6" w:rsidRPr="00973028" w:rsidRDefault="002C0DE6" w:rsidP="002A4453">
            <w:pPr>
              <w:rPr>
                <w:rFonts w:ascii="Calibri" w:eastAsia="Times New Roman" w:hAnsi="Calibri" w:cs="Calibri"/>
                <w:color w:val="000000"/>
                <w:lang w:eastAsia="es-ES"/>
              </w:rPr>
            </w:pPr>
            <w:r w:rsidRPr="00973028">
              <w:rPr>
                <w:rFonts w:ascii="Calibri" w:eastAsia="Times New Roman" w:hAnsi="Calibri" w:cs="Calibri"/>
                <w:color w:val="000000"/>
                <w:lang w:eastAsia="es-ES"/>
              </w:rPr>
              <w:t>Seguimiento</w:t>
            </w:r>
          </w:p>
        </w:tc>
        <w:tc>
          <w:tcPr>
            <w:tcW w:w="679" w:type="dxa"/>
            <w:tcBorders>
              <w:top w:val="nil"/>
              <w:left w:val="nil"/>
              <w:bottom w:val="single" w:sz="4" w:space="0" w:color="auto"/>
              <w:right w:val="single" w:sz="4" w:space="0" w:color="auto"/>
            </w:tcBorders>
            <w:shd w:val="clear" w:color="auto" w:fill="auto"/>
            <w:noWrap/>
            <w:vAlign w:val="bottom"/>
            <w:hideMark/>
          </w:tcPr>
          <w:p w14:paraId="29F95DEB"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2</w:t>
            </w:r>
          </w:p>
        </w:tc>
        <w:tc>
          <w:tcPr>
            <w:tcW w:w="709" w:type="dxa"/>
            <w:tcBorders>
              <w:top w:val="nil"/>
              <w:left w:val="nil"/>
              <w:bottom w:val="single" w:sz="4" w:space="0" w:color="auto"/>
              <w:right w:val="single" w:sz="4" w:space="0" w:color="auto"/>
            </w:tcBorders>
            <w:shd w:val="clear" w:color="auto" w:fill="auto"/>
            <w:noWrap/>
            <w:vAlign w:val="bottom"/>
            <w:hideMark/>
          </w:tcPr>
          <w:p w14:paraId="5E94D3EA"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6%</w:t>
            </w:r>
          </w:p>
        </w:tc>
        <w:tc>
          <w:tcPr>
            <w:tcW w:w="819" w:type="dxa"/>
            <w:tcBorders>
              <w:top w:val="nil"/>
              <w:left w:val="nil"/>
              <w:bottom w:val="single" w:sz="4" w:space="0" w:color="auto"/>
              <w:right w:val="single" w:sz="4" w:space="0" w:color="auto"/>
            </w:tcBorders>
            <w:shd w:val="clear" w:color="auto" w:fill="auto"/>
            <w:noWrap/>
            <w:vAlign w:val="bottom"/>
            <w:hideMark/>
          </w:tcPr>
          <w:p w14:paraId="0E92A628"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12</w:t>
            </w:r>
          </w:p>
        </w:tc>
        <w:tc>
          <w:tcPr>
            <w:tcW w:w="740" w:type="dxa"/>
            <w:tcBorders>
              <w:top w:val="nil"/>
              <w:left w:val="nil"/>
              <w:bottom w:val="single" w:sz="4" w:space="0" w:color="auto"/>
              <w:right w:val="single" w:sz="4" w:space="0" w:color="auto"/>
            </w:tcBorders>
            <w:shd w:val="clear" w:color="auto" w:fill="auto"/>
            <w:noWrap/>
            <w:vAlign w:val="bottom"/>
            <w:hideMark/>
          </w:tcPr>
          <w:p w14:paraId="2AFD0075"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7%</w:t>
            </w:r>
          </w:p>
        </w:tc>
        <w:tc>
          <w:tcPr>
            <w:tcW w:w="709" w:type="dxa"/>
            <w:tcBorders>
              <w:top w:val="nil"/>
              <w:left w:val="nil"/>
              <w:bottom w:val="single" w:sz="4" w:space="0" w:color="auto"/>
              <w:right w:val="single" w:sz="4" w:space="0" w:color="auto"/>
            </w:tcBorders>
            <w:shd w:val="clear" w:color="auto" w:fill="auto"/>
            <w:noWrap/>
            <w:vAlign w:val="bottom"/>
            <w:hideMark/>
          </w:tcPr>
          <w:p w14:paraId="47075D9F"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2</w:t>
            </w:r>
          </w:p>
        </w:tc>
        <w:tc>
          <w:tcPr>
            <w:tcW w:w="567" w:type="dxa"/>
            <w:tcBorders>
              <w:top w:val="nil"/>
              <w:left w:val="nil"/>
              <w:bottom w:val="single" w:sz="4" w:space="0" w:color="auto"/>
              <w:right w:val="single" w:sz="4" w:space="0" w:color="auto"/>
            </w:tcBorders>
            <w:shd w:val="clear" w:color="auto" w:fill="auto"/>
            <w:noWrap/>
            <w:vAlign w:val="bottom"/>
            <w:hideMark/>
          </w:tcPr>
          <w:p w14:paraId="009F83CB"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w:t>
            </w:r>
          </w:p>
        </w:tc>
        <w:tc>
          <w:tcPr>
            <w:tcW w:w="696" w:type="dxa"/>
            <w:tcBorders>
              <w:top w:val="nil"/>
              <w:left w:val="nil"/>
              <w:bottom w:val="single" w:sz="4" w:space="0" w:color="auto"/>
              <w:right w:val="single" w:sz="4" w:space="0" w:color="auto"/>
            </w:tcBorders>
            <w:shd w:val="clear" w:color="auto" w:fill="auto"/>
            <w:noWrap/>
            <w:vAlign w:val="bottom"/>
            <w:hideMark/>
          </w:tcPr>
          <w:p w14:paraId="028FACDC"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w:t>
            </w:r>
          </w:p>
        </w:tc>
        <w:tc>
          <w:tcPr>
            <w:tcW w:w="721" w:type="dxa"/>
            <w:tcBorders>
              <w:top w:val="nil"/>
              <w:left w:val="nil"/>
              <w:bottom w:val="single" w:sz="4" w:space="0" w:color="auto"/>
              <w:right w:val="single" w:sz="8" w:space="0" w:color="auto"/>
            </w:tcBorders>
            <w:shd w:val="clear" w:color="auto" w:fill="auto"/>
            <w:noWrap/>
            <w:vAlign w:val="bottom"/>
            <w:hideMark/>
          </w:tcPr>
          <w:p w14:paraId="5CE72A8B"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B580BCC"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17</w:t>
            </w:r>
          </w:p>
        </w:tc>
        <w:tc>
          <w:tcPr>
            <w:tcW w:w="567" w:type="dxa"/>
            <w:tcBorders>
              <w:top w:val="nil"/>
              <w:left w:val="nil"/>
              <w:bottom w:val="single" w:sz="4" w:space="0" w:color="auto"/>
              <w:right w:val="single" w:sz="8" w:space="0" w:color="auto"/>
            </w:tcBorders>
            <w:shd w:val="clear" w:color="auto" w:fill="auto"/>
            <w:noWrap/>
            <w:vAlign w:val="bottom"/>
            <w:hideMark/>
          </w:tcPr>
          <w:p w14:paraId="6BC94E8C" w14:textId="77777777" w:rsidR="002C0DE6" w:rsidRPr="00973028" w:rsidRDefault="002C0DE6" w:rsidP="002A4453">
            <w:pPr>
              <w:jc w:val="center"/>
              <w:rPr>
                <w:rFonts w:ascii="Calibri" w:eastAsia="Times New Roman" w:hAnsi="Calibri" w:cs="Calibri"/>
                <w:color w:val="000000"/>
                <w:sz w:val="18"/>
                <w:szCs w:val="18"/>
                <w:lang w:eastAsia="es-ES"/>
              </w:rPr>
            </w:pPr>
            <w:r w:rsidRPr="00973028">
              <w:rPr>
                <w:rFonts w:ascii="Calibri" w:eastAsia="Times New Roman" w:hAnsi="Calibri" w:cs="Calibri"/>
                <w:color w:val="000000"/>
                <w:sz w:val="18"/>
                <w:szCs w:val="18"/>
                <w:lang w:eastAsia="es-ES"/>
              </w:rPr>
              <w:t>3%</w:t>
            </w:r>
          </w:p>
        </w:tc>
      </w:tr>
      <w:tr w:rsidR="002C0DE6" w:rsidRPr="00973028" w14:paraId="59B833FA" w14:textId="77777777" w:rsidTr="008145AC">
        <w:trPr>
          <w:trHeight w:val="300"/>
        </w:trPr>
        <w:tc>
          <w:tcPr>
            <w:tcW w:w="1721" w:type="dxa"/>
            <w:tcBorders>
              <w:top w:val="nil"/>
              <w:left w:val="single" w:sz="8" w:space="0" w:color="auto"/>
              <w:bottom w:val="single" w:sz="8" w:space="0" w:color="auto"/>
              <w:right w:val="single" w:sz="4" w:space="0" w:color="auto"/>
            </w:tcBorders>
            <w:shd w:val="clear" w:color="auto" w:fill="D9D9D9" w:themeFill="background1" w:themeFillShade="D9"/>
            <w:noWrap/>
            <w:vAlign w:val="bottom"/>
            <w:hideMark/>
          </w:tcPr>
          <w:p w14:paraId="72FD282D" w14:textId="77777777" w:rsidR="002C0DE6" w:rsidRPr="00973028" w:rsidRDefault="002C0DE6" w:rsidP="002A4453">
            <w:pPr>
              <w:jc w:val="right"/>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TOTAL.</w:t>
            </w:r>
          </w:p>
        </w:tc>
        <w:tc>
          <w:tcPr>
            <w:tcW w:w="679" w:type="dxa"/>
            <w:tcBorders>
              <w:top w:val="nil"/>
              <w:left w:val="nil"/>
              <w:bottom w:val="single" w:sz="8" w:space="0" w:color="auto"/>
              <w:right w:val="single" w:sz="4" w:space="0" w:color="auto"/>
            </w:tcBorders>
            <w:shd w:val="clear" w:color="auto" w:fill="D9D9D9" w:themeFill="background1" w:themeFillShade="D9"/>
            <w:noWrap/>
            <w:vAlign w:val="bottom"/>
            <w:hideMark/>
          </w:tcPr>
          <w:p w14:paraId="74FB4D5E" w14:textId="77777777" w:rsidR="002C0DE6" w:rsidRPr="00973028" w:rsidRDefault="002C0DE6" w:rsidP="002A4453">
            <w:pPr>
              <w:jc w:val="center"/>
              <w:rPr>
                <w:rFonts w:ascii="Calibri" w:eastAsia="Times New Roman" w:hAnsi="Calibri" w:cs="Calibri"/>
                <w:b/>
                <w:bCs/>
                <w:color w:val="000000"/>
                <w:sz w:val="18"/>
                <w:szCs w:val="18"/>
                <w:lang w:eastAsia="es-ES"/>
              </w:rPr>
            </w:pPr>
            <w:r w:rsidRPr="00973028">
              <w:rPr>
                <w:rFonts w:ascii="Calibri" w:eastAsia="Times New Roman" w:hAnsi="Calibri" w:cs="Calibri"/>
                <w:b/>
                <w:bCs/>
                <w:color w:val="000000"/>
                <w:sz w:val="18"/>
                <w:szCs w:val="18"/>
                <w:lang w:eastAsia="es-ES"/>
              </w:rPr>
              <w:t>35</w:t>
            </w:r>
          </w:p>
        </w:tc>
        <w:tc>
          <w:tcPr>
            <w:tcW w:w="709" w:type="dxa"/>
            <w:tcBorders>
              <w:top w:val="nil"/>
              <w:left w:val="nil"/>
              <w:bottom w:val="single" w:sz="8" w:space="0" w:color="auto"/>
              <w:right w:val="single" w:sz="4" w:space="0" w:color="auto"/>
            </w:tcBorders>
            <w:shd w:val="clear" w:color="auto" w:fill="D9D9D9" w:themeFill="background1" w:themeFillShade="D9"/>
            <w:noWrap/>
            <w:vAlign w:val="bottom"/>
            <w:hideMark/>
          </w:tcPr>
          <w:p w14:paraId="67D3F546" w14:textId="77777777" w:rsidR="002C0DE6" w:rsidRPr="00973028" w:rsidRDefault="002C0DE6" w:rsidP="002A4453">
            <w:pPr>
              <w:jc w:val="center"/>
              <w:rPr>
                <w:rFonts w:ascii="Calibri" w:eastAsia="Times New Roman" w:hAnsi="Calibri" w:cs="Calibri"/>
                <w:b/>
                <w:bCs/>
                <w:color w:val="000000"/>
                <w:sz w:val="18"/>
                <w:szCs w:val="18"/>
                <w:lang w:eastAsia="es-ES"/>
              </w:rPr>
            </w:pPr>
            <w:r w:rsidRPr="00973028">
              <w:rPr>
                <w:rFonts w:ascii="Calibri" w:eastAsia="Times New Roman" w:hAnsi="Calibri" w:cs="Calibri"/>
                <w:b/>
                <w:bCs/>
                <w:color w:val="000000"/>
                <w:sz w:val="18"/>
                <w:szCs w:val="18"/>
                <w:lang w:eastAsia="es-ES"/>
              </w:rPr>
              <w:t>100%</w:t>
            </w:r>
          </w:p>
        </w:tc>
        <w:tc>
          <w:tcPr>
            <w:tcW w:w="819" w:type="dxa"/>
            <w:tcBorders>
              <w:top w:val="nil"/>
              <w:left w:val="nil"/>
              <w:bottom w:val="single" w:sz="8" w:space="0" w:color="auto"/>
              <w:right w:val="single" w:sz="4" w:space="0" w:color="auto"/>
            </w:tcBorders>
            <w:shd w:val="clear" w:color="auto" w:fill="D9D9D9" w:themeFill="background1" w:themeFillShade="D9"/>
            <w:noWrap/>
            <w:vAlign w:val="bottom"/>
            <w:hideMark/>
          </w:tcPr>
          <w:p w14:paraId="49756E72" w14:textId="77777777" w:rsidR="002C0DE6" w:rsidRPr="00973028" w:rsidRDefault="002C0DE6" w:rsidP="002A4453">
            <w:pPr>
              <w:jc w:val="center"/>
              <w:rPr>
                <w:rFonts w:ascii="Calibri" w:eastAsia="Times New Roman" w:hAnsi="Calibri" w:cs="Calibri"/>
                <w:b/>
                <w:bCs/>
                <w:color w:val="000000"/>
                <w:sz w:val="18"/>
                <w:szCs w:val="18"/>
                <w:lang w:eastAsia="es-ES"/>
              </w:rPr>
            </w:pPr>
            <w:r w:rsidRPr="00973028">
              <w:rPr>
                <w:rFonts w:ascii="Calibri" w:eastAsia="Times New Roman" w:hAnsi="Calibri" w:cs="Calibri"/>
                <w:b/>
                <w:bCs/>
                <w:color w:val="000000"/>
                <w:sz w:val="18"/>
                <w:szCs w:val="18"/>
                <w:lang w:eastAsia="es-ES"/>
              </w:rPr>
              <w:t>181</w:t>
            </w:r>
          </w:p>
        </w:tc>
        <w:tc>
          <w:tcPr>
            <w:tcW w:w="740" w:type="dxa"/>
            <w:tcBorders>
              <w:top w:val="nil"/>
              <w:left w:val="nil"/>
              <w:bottom w:val="single" w:sz="8" w:space="0" w:color="auto"/>
              <w:right w:val="single" w:sz="4" w:space="0" w:color="auto"/>
            </w:tcBorders>
            <w:shd w:val="clear" w:color="auto" w:fill="D9D9D9" w:themeFill="background1" w:themeFillShade="D9"/>
            <w:noWrap/>
            <w:vAlign w:val="bottom"/>
            <w:hideMark/>
          </w:tcPr>
          <w:p w14:paraId="391AFA75" w14:textId="77777777" w:rsidR="002C0DE6" w:rsidRPr="00973028" w:rsidRDefault="002C0DE6" w:rsidP="002A4453">
            <w:pPr>
              <w:jc w:val="center"/>
              <w:rPr>
                <w:rFonts w:ascii="Calibri" w:eastAsia="Times New Roman" w:hAnsi="Calibri" w:cs="Calibri"/>
                <w:b/>
                <w:bCs/>
                <w:color w:val="000000"/>
                <w:sz w:val="18"/>
                <w:szCs w:val="18"/>
                <w:lang w:eastAsia="es-ES"/>
              </w:rPr>
            </w:pPr>
            <w:r w:rsidRPr="00973028">
              <w:rPr>
                <w:rFonts w:ascii="Calibri" w:eastAsia="Times New Roman" w:hAnsi="Calibri" w:cs="Calibri"/>
                <w:b/>
                <w:bCs/>
                <w:color w:val="000000"/>
                <w:sz w:val="18"/>
                <w:szCs w:val="18"/>
                <w:lang w:eastAsia="es-ES"/>
              </w:rPr>
              <w:t>100%</w:t>
            </w:r>
          </w:p>
        </w:tc>
        <w:tc>
          <w:tcPr>
            <w:tcW w:w="709" w:type="dxa"/>
            <w:tcBorders>
              <w:top w:val="nil"/>
              <w:left w:val="nil"/>
              <w:bottom w:val="single" w:sz="8" w:space="0" w:color="auto"/>
              <w:right w:val="single" w:sz="4" w:space="0" w:color="auto"/>
            </w:tcBorders>
            <w:shd w:val="clear" w:color="auto" w:fill="D9D9D9" w:themeFill="background1" w:themeFillShade="D9"/>
            <w:noWrap/>
            <w:vAlign w:val="bottom"/>
            <w:hideMark/>
          </w:tcPr>
          <w:p w14:paraId="5B073BAF" w14:textId="77777777" w:rsidR="002C0DE6" w:rsidRPr="00973028" w:rsidRDefault="002C0DE6" w:rsidP="002A4453">
            <w:pPr>
              <w:jc w:val="center"/>
              <w:rPr>
                <w:rFonts w:ascii="Calibri" w:eastAsia="Times New Roman" w:hAnsi="Calibri" w:cs="Calibri"/>
                <w:b/>
                <w:bCs/>
                <w:color w:val="000000"/>
                <w:sz w:val="18"/>
                <w:szCs w:val="18"/>
                <w:lang w:eastAsia="es-ES"/>
              </w:rPr>
            </w:pPr>
            <w:r w:rsidRPr="00973028">
              <w:rPr>
                <w:rFonts w:ascii="Calibri" w:eastAsia="Times New Roman" w:hAnsi="Calibri" w:cs="Calibri"/>
                <w:b/>
                <w:bCs/>
                <w:color w:val="000000"/>
                <w:sz w:val="18"/>
                <w:szCs w:val="18"/>
                <w:lang w:eastAsia="es-ES"/>
              </w:rPr>
              <w:t>168</w:t>
            </w:r>
          </w:p>
        </w:tc>
        <w:tc>
          <w:tcPr>
            <w:tcW w:w="567" w:type="dxa"/>
            <w:tcBorders>
              <w:top w:val="nil"/>
              <w:left w:val="nil"/>
              <w:bottom w:val="single" w:sz="8" w:space="0" w:color="auto"/>
              <w:right w:val="single" w:sz="4" w:space="0" w:color="auto"/>
            </w:tcBorders>
            <w:shd w:val="clear" w:color="auto" w:fill="D9D9D9" w:themeFill="background1" w:themeFillShade="D9"/>
            <w:noWrap/>
            <w:vAlign w:val="bottom"/>
            <w:hideMark/>
          </w:tcPr>
          <w:p w14:paraId="3F8998F8" w14:textId="77777777" w:rsidR="002C0DE6" w:rsidRPr="00973028" w:rsidRDefault="002C0DE6" w:rsidP="002A4453">
            <w:pPr>
              <w:jc w:val="center"/>
              <w:rPr>
                <w:rFonts w:ascii="Calibri" w:eastAsia="Times New Roman" w:hAnsi="Calibri" w:cs="Calibri"/>
                <w:b/>
                <w:bCs/>
                <w:color w:val="000000"/>
                <w:sz w:val="18"/>
                <w:szCs w:val="18"/>
                <w:lang w:eastAsia="es-ES"/>
              </w:rPr>
            </w:pPr>
            <w:r w:rsidRPr="00973028">
              <w:rPr>
                <w:rFonts w:ascii="Calibri" w:eastAsia="Times New Roman" w:hAnsi="Calibri" w:cs="Calibri"/>
                <w:b/>
                <w:bCs/>
                <w:color w:val="000000"/>
                <w:sz w:val="18"/>
                <w:szCs w:val="18"/>
                <w:lang w:eastAsia="es-ES"/>
              </w:rPr>
              <w:t>100%</w:t>
            </w:r>
          </w:p>
        </w:tc>
        <w:tc>
          <w:tcPr>
            <w:tcW w:w="696" w:type="dxa"/>
            <w:tcBorders>
              <w:top w:val="nil"/>
              <w:left w:val="nil"/>
              <w:bottom w:val="single" w:sz="8" w:space="0" w:color="auto"/>
              <w:right w:val="single" w:sz="4" w:space="0" w:color="auto"/>
            </w:tcBorders>
            <w:shd w:val="clear" w:color="auto" w:fill="D9D9D9" w:themeFill="background1" w:themeFillShade="D9"/>
            <w:noWrap/>
            <w:vAlign w:val="bottom"/>
            <w:hideMark/>
          </w:tcPr>
          <w:p w14:paraId="1CBE2741" w14:textId="77777777" w:rsidR="002C0DE6" w:rsidRPr="00973028" w:rsidRDefault="002C0DE6" w:rsidP="002A4453">
            <w:pPr>
              <w:jc w:val="center"/>
              <w:rPr>
                <w:rFonts w:ascii="Calibri" w:eastAsia="Times New Roman" w:hAnsi="Calibri" w:cs="Calibri"/>
                <w:b/>
                <w:bCs/>
                <w:color w:val="000000"/>
                <w:sz w:val="18"/>
                <w:szCs w:val="18"/>
                <w:lang w:eastAsia="es-ES"/>
              </w:rPr>
            </w:pPr>
            <w:r w:rsidRPr="00973028">
              <w:rPr>
                <w:rFonts w:ascii="Calibri" w:eastAsia="Times New Roman" w:hAnsi="Calibri" w:cs="Calibri"/>
                <w:b/>
                <w:bCs/>
                <w:color w:val="000000"/>
                <w:sz w:val="18"/>
                <w:szCs w:val="18"/>
                <w:lang w:eastAsia="es-ES"/>
              </w:rPr>
              <w:t>226</w:t>
            </w:r>
          </w:p>
        </w:tc>
        <w:tc>
          <w:tcPr>
            <w:tcW w:w="721" w:type="dxa"/>
            <w:tcBorders>
              <w:top w:val="nil"/>
              <w:left w:val="nil"/>
              <w:bottom w:val="single" w:sz="8" w:space="0" w:color="auto"/>
              <w:right w:val="single" w:sz="8" w:space="0" w:color="auto"/>
            </w:tcBorders>
            <w:shd w:val="clear" w:color="auto" w:fill="D9D9D9" w:themeFill="background1" w:themeFillShade="D9"/>
            <w:noWrap/>
            <w:vAlign w:val="bottom"/>
            <w:hideMark/>
          </w:tcPr>
          <w:p w14:paraId="45F4B531" w14:textId="77777777" w:rsidR="002C0DE6" w:rsidRPr="00973028" w:rsidRDefault="002C0DE6" w:rsidP="002A4453">
            <w:pPr>
              <w:jc w:val="center"/>
              <w:rPr>
                <w:rFonts w:ascii="Calibri" w:eastAsia="Times New Roman" w:hAnsi="Calibri" w:cs="Calibri"/>
                <w:b/>
                <w:bCs/>
                <w:color w:val="000000"/>
                <w:sz w:val="18"/>
                <w:szCs w:val="18"/>
                <w:lang w:eastAsia="es-ES"/>
              </w:rPr>
            </w:pPr>
            <w:r w:rsidRPr="00973028">
              <w:rPr>
                <w:rFonts w:ascii="Calibri" w:eastAsia="Times New Roman" w:hAnsi="Calibri" w:cs="Calibri"/>
                <w:b/>
                <w:bCs/>
                <w:color w:val="000000"/>
                <w:sz w:val="18"/>
                <w:szCs w:val="18"/>
                <w:lang w:eastAsia="es-ES"/>
              </w:rPr>
              <w:t>100%</w:t>
            </w:r>
          </w:p>
        </w:tc>
        <w:tc>
          <w:tcPr>
            <w:tcW w:w="709" w:type="dxa"/>
            <w:tcBorders>
              <w:top w:val="nil"/>
              <w:left w:val="single" w:sz="4" w:space="0" w:color="auto"/>
              <w:bottom w:val="single" w:sz="8" w:space="0" w:color="auto"/>
              <w:right w:val="single" w:sz="4" w:space="0" w:color="auto"/>
            </w:tcBorders>
            <w:shd w:val="clear" w:color="auto" w:fill="D9D9D9" w:themeFill="background1" w:themeFillShade="D9"/>
            <w:noWrap/>
            <w:vAlign w:val="bottom"/>
            <w:hideMark/>
          </w:tcPr>
          <w:p w14:paraId="57D7E4B4" w14:textId="77777777" w:rsidR="002C0DE6" w:rsidRPr="00973028" w:rsidRDefault="002C0DE6" w:rsidP="002A4453">
            <w:pPr>
              <w:jc w:val="center"/>
              <w:rPr>
                <w:rFonts w:ascii="Calibri" w:eastAsia="Times New Roman" w:hAnsi="Calibri" w:cs="Calibri"/>
                <w:b/>
                <w:bCs/>
                <w:color w:val="000000"/>
                <w:sz w:val="18"/>
                <w:szCs w:val="18"/>
                <w:lang w:eastAsia="es-ES"/>
              </w:rPr>
            </w:pPr>
            <w:r w:rsidRPr="00973028">
              <w:rPr>
                <w:rFonts w:ascii="Calibri" w:eastAsia="Times New Roman" w:hAnsi="Calibri" w:cs="Calibri"/>
                <w:b/>
                <w:bCs/>
                <w:color w:val="000000"/>
                <w:sz w:val="18"/>
                <w:szCs w:val="18"/>
                <w:lang w:eastAsia="es-ES"/>
              </w:rPr>
              <w:t>610</w:t>
            </w:r>
          </w:p>
        </w:tc>
        <w:tc>
          <w:tcPr>
            <w:tcW w:w="567" w:type="dxa"/>
            <w:tcBorders>
              <w:top w:val="nil"/>
              <w:left w:val="nil"/>
              <w:bottom w:val="single" w:sz="8" w:space="0" w:color="auto"/>
              <w:right w:val="single" w:sz="8" w:space="0" w:color="auto"/>
            </w:tcBorders>
            <w:shd w:val="clear" w:color="auto" w:fill="D9D9D9" w:themeFill="background1" w:themeFillShade="D9"/>
            <w:noWrap/>
            <w:vAlign w:val="bottom"/>
            <w:hideMark/>
          </w:tcPr>
          <w:p w14:paraId="106DA74F" w14:textId="77777777" w:rsidR="002C0DE6" w:rsidRPr="00973028" w:rsidRDefault="002C0DE6" w:rsidP="002A4453">
            <w:pPr>
              <w:jc w:val="center"/>
              <w:rPr>
                <w:rFonts w:ascii="Calibri" w:eastAsia="Times New Roman" w:hAnsi="Calibri" w:cs="Calibri"/>
                <w:b/>
                <w:bCs/>
                <w:color w:val="000000"/>
                <w:sz w:val="18"/>
                <w:szCs w:val="18"/>
                <w:lang w:eastAsia="es-ES"/>
              </w:rPr>
            </w:pPr>
            <w:r w:rsidRPr="00973028">
              <w:rPr>
                <w:rFonts w:ascii="Calibri" w:eastAsia="Times New Roman" w:hAnsi="Calibri" w:cs="Calibri"/>
                <w:b/>
                <w:bCs/>
                <w:color w:val="000000"/>
                <w:sz w:val="18"/>
                <w:szCs w:val="18"/>
                <w:lang w:eastAsia="es-ES"/>
              </w:rPr>
              <w:t>100%</w:t>
            </w:r>
          </w:p>
        </w:tc>
      </w:tr>
    </w:tbl>
    <w:p w14:paraId="2032DD28" w14:textId="77777777" w:rsidR="002A47AA" w:rsidRPr="00973028" w:rsidRDefault="002A47AA" w:rsidP="00360DCC">
      <w:pPr>
        <w:spacing w:after="240" w:line="276" w:lineRule="auto"/>
        <w:ind w:right="-285"/>
        <w:rPr>
          <w:rFonts w:ascii="Arial" w:hAnsi="Arial"/>
          <w:b/>
          <w:sz w:val="21"/>
          <w:szCs w:val="21"/>
        </w:rPr>
      </w:pPr>
    </w:p>
    <w:p w14:paraId="5A5B1A2D" w14:textId="77777777" w:rsidR="002A47AA" w:rsidRPr="00973028" w:rsidRDefault="002A47AA" w:rsidP="002A47AA">
      <w:pPr>
        <w:spacing w:after="240" w:line="276" w:lineRule="auto"/>
        <w:ind w:left="-4" w:right="-285"/>
        <w:jc w:val="both"/>
        <w:rPr>
          <w:rFonts w:ascii="Arial" w:hAnsi="Arial"/>
          <w:sz w:val="21"/>
          <w:szCs w:val="21"/>
        </w:rPr>
      </w:pPr>
      <w:r w:rsidRPr="00973028">
        <w:rPr>
          <w:rFonts w:ascii="Arial" w:hAnsi="Arial"/>
          <w:sz w:val="21"/>
          <w:szCs w:val="21"/>
        </w:rPr>
        <w:t>Cabe destacar que, de los 610 expedientes totales abiertos desde el inicio de la actividad de la Agencia, al cierre del año 2020, 285 expedientes han sido resueltos, lo que representa el 47% del total; 17 están en fase de seguimiento representando el 3% y 26 expedientes están interrumpidos porque están siendo investigados por otras instancias lo que representa el 4% del total. Estando en fase de investigación el 8% del total, 52 expedientes, 113 expedientes se encuentran en la fase de análisis, lo que representa el 18,52% y 117 pendientes, que representan el 19,18% del total.</w:t>
      </w:r>
    </w:p>
    <w:p w14:paraId="757E2DF5" w14:textId="77777777" w:rsidR="002A47AA" w:rsidRPr="00973028" w:rsidRDefault="002A47AA" w:rsidP="00360DCC">
      <w:pPr>
        <w:spacing w:after="240" w:line="276" w:lineRule="auto"/>
        <w:ind w:right="-285"/>
        <w:jc w:val="both"/>
        <w:rPr>
          <w:rFonts w:ascii="Arial" w:hAnsi="Arial"/>
          <w:sz w:val="21"/>
          <w:szCs w:val="21"/>
        </w:rPr>
      </w:pPr>
      <w:r w:rsidRPr="00973028">
        <w:rPr>
          <w:rFonts w:ascii="Arial" w:hAnsi="Arial"/>
          <w:sz w:val="21"/>
          <w:szCs w:val="21"/>
        </w:rPr>
        <w:t>No existe ningún expediente de los ejercicios 2019 o anteriores que esté pendiente del inicio de la fase de análisis.</w:t>
      </w:r>
    </w:p>
    <w:p w14:paraId="5639E2C7" w14:textId="77777777" w:rsidR="002A47AA" w:rsidRPr="00973028" w:rsidRDefault="002A47AA" w:rsidP="00360DCC">
      <w:pPr>
        <w:spacing w:after="240" w:line="276" w:lineRule="auto"/>
        <w:ind w:right="-285"/>
        <w:jc w:val="both"/>
        <w:rPr>
          <w:rFonts w:ascii="Arial" w:hAnsi="Arial"/>
          <w:sz w:val="21"/>
          <w:szCs w:val="21"/>
        </w:rPr>
      </w:pPr>
      <w:r w:rsidRPr="00973028">
        <w:rPr>
          <w:rFonts w:ascii="Arial" w:hAnsi="Arial"/>
          <w:sz w:val="21"/>
          <w:szCs w:val="21"/>
        </w:rPr>
        <w:t>La evolución de los expedientes resueltos, en seguimiento e interrumpidos respecto al total de denuncias ha pasado de representar el 7% en 2018, al 37 % en 2019 y el 53% en 2020. La evolución de las denuncias pendientes, en análisis e investigación, ha tenido el sentido inverso reduciéndose significativamente su peso porcentual, así se ha pasado del 92,59% de denuncias pendientes en 2018, al 63,10% en 2019 y al 47 % en 2020.</w:t>
      </w:r>
    </w:p>
    <w:p w14:paraId="2D428A27" w14:textId="00F6C8A9" w:rsidR="002A47AA" w:rsidRPr="00973028" w:rsidRDefault="002A47AA" w:rsidP="00360DCC">
      <w:pPr>
        <w:spacing w:after="240" w:line="276" w:lineRule="auto"/>
        <w:ind w:right="-285"/>
        <w:jc w:val="both"/>
        <w:rPr>
          <w:rFonts w:ascii="Arial" w:hAnsi="Arial"/>
          <w:sz w:val="21"/>
          <w:szCs w:val="21"/>
        </w:rPr>
      </w:pPr>
      <w:r w:rsidRPr="00973028">
        <w:rPr>
          <w:rFonts w:ascii="Arial" w:hAnsi="Arial"/>
          <w:sz w:val="21"/>
          <w:szCs w:val="21"/>
        </w:rPr>
        <w:lastRenderedPageBreak/>
        <w:t>Por último, cabe destacar que durante el año 2020, en la tramitación de expedientes, se han realizado 358 requerimientos de información a distintas administraciones, personas físicas y/o jurídicas; 9 entrevistas personales en la sede de la Agencia y 6 intervenciones in situ en diferentes sedes de otras administraciones públicas, una de las intervenciones in situ se realizó en colaboración con el Servicio Nacional de Coordinación Antifraude (SNCA) dependiente de la IGAE y la Oficina Europea de Lucha contra el Fraude (OLAF) dependiente de la Comisión Europea.</w:t>
      </w:r>
    </w:p>
    <w:p w14:paraId="25001781" w14:textId="77777777" w:rsidR="00000D1F" w:rsidRDefault="00E83778" w:rsidP="00000D1F">
      <w:pPr>
        <w:keepNext/>
        <w:spacing w:after="240" w:line="276" w:lineRule="auto"/>
        <w:ind w:left="-4" w:right="-285"/>
        <w:jc w:val="both"/>
      </w:pPr>
      <w:r>
        <w:rPr>
          <w:noProof/>
        </w:rPr>
        <w:drawing>
          <wp:inline distT="0" distB="0" distL="0" distR="0" wp14:anchorId="4F9BFB9E" wp14:editId="7A9F0105">
            <wp:extent cx="5400040" cy="3155496"/>
            <wp:effectExtent l="0" t="0" r="10160" b="6985"/>
            <wp:docPr id="8" name="Gráfico 8">
              <a:extLst xmlns:a="http://schemas.openxmlformats.org/drawingml/2006/main">
                <a:ext uri="{FF2B5EF4-FFF2-40B4-BE49-F238E27FC236}">
                  <a16:creationId xmlns:a16="http://schemas.microsoft.com/office/drawing/2014/main" id="{09E82576-DA53-4FE5-9FFB-DA8F8C4A8F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CBAD6DA" w14:textId="5B732648" w:rsidR="002A47AA" w:rsidRPr="00000D1F" w:rsidRDefault="00000D1F" w:rsidP="00000D1F">
      <w:pPr>
        <w:pStyle w:val="Descripcin"/>
        <w:jc w:val="center"/>
        <w:rPr>
          <w:rFonts w:ascii="Arial" w:hAnsi="Arial" w:cs="Arial"/>
          <w:smallCaps w:val="0"/>
          <w:sz w:val="16"/>
          <w:szCs w:val="16"/>
        </w:rPr>
      </w:pPr>
      <w:bookmarkStart w:id="70" w:name="_Toc67646404"/>
      <w:r w:rsidRPr="00000D1F">
        <w:rPr>
          <w:rFonts w:ascii="Arial" w:hAnsi="Arial" w:cs="Arial"/>
          <w:smallCaps w:val="0"/>
          <w:color w:val="9D2235" w:themeColor="accent1"/>
          <w:sz w:val="16"/>
          <w:szCs w:val="16"/>
        </w:rPr>
        <w:t xml:space="preserve">Gráfico </w:t>
      </w:r>
      <w:r w:rsidRPr="00000D1F">
        <w:rPr>
          <w:rFonts w:ascii="Arial" w:hAnsi="Arial" w:cs="Arial"/>
          <w:smallCaps w:val="0"/>
          <w:color w:val="9D2235" w:themeColor="accent1"/>
          <w:sz w:val="16"/>
          <w:szCs w:val="16"/>
        </w:rPr>
        <w:fldChar w:fldCharType="begin"/>
      </w:r>
      <w:r w:rsidRPr="00000D1F">
        <w:rPr>
          <w:rFonts w:ascii="Arial" w:hAnsi="Arial" w:cs="Arial"/>
          <w:smallCaps w:val="0"/>
          <w:color w:val="9D2235" w:themeColor="accent1"/>
          <w:sz w:val="16"/>
          <w:szCs w:val="16"/>
        </w:rPr>
        <w:instrText xml:space="preserve"> SEQ Gráfico \* ARABIC </w:instrText>
      </w:r>
      <w:r w:rsidRPr="00000D1F">
        <w:rPr>
          <w:rFonts w:ascii="Arial" w:hAnsi="Arial" w:cs="Arial"/>
          <w:smallCaps w:val="0"/>
          <w:color w:val="9D2235" w:themeColor="accent1"/>
          <w:sz w:val="16"/>
          <w:szCs w:val="16"/>
        </w:rPr>
        <w:fldChar w:fldCharType="separate"/>
      </w:r>
      <w:r w:rsidRPr="00000D1F">
        <w:rPr>
          <w:rFonts w:ascii="Arial" w:hAnsi="Arial" w:cs="Arial"/>
          <w:smallCaps w:val="0"/>
          <w:noProof/>
          <w:color w:val="9D2235" w:themeColor="accent1"/>
          <w:sz w:val="16"/>
          <w:szCs w:val="16"/>
        </w:rPr>
        <w:t>8</w:t>
      </w:r>
      <w:r w:rsidRPr="00000D1F">
        <w:rPr>
          <w:rFonts w:ascii="Arial" w:hAnsi="Arial" w:cs="Arial"/>
          <w:smallCaps w:val="0"/>
          <w:color w:val="9D2235" w:themeColor="accent1"/>
          <w:sz w:val="16"/>
          <w:szCs w:val="16"/>
        </w:rPr>
        <w:fldChar w:fldCharType="end"/>
      </w:r>
      <w:r w:rsidRPr="00000D1F">
        <w:rPr>
          <w:rFonts w:ascii="Arial" w:hAnsi="Arial" w:cs="Arial"/>
          <w:smallCaps w:val="0"/>
          <w:sz w:val="16"/>
          <w:szCs w:val="16"/>
        </w:rPr>
        <w:t>. Estado de situación de los expedientes de Análisis e Investigación (totales)</w:t>
      </w:r>
      <w:bookmarkEnd w:id="70"/>
    </w:p>
    <w:p w14:paraId="1F2758D1" w14:textId="41CC8767" w:rsidR="00A52EF7" w:rsidRPr="00973028" w:rsidRDefault="009D03A6" w:rsidP="00D50256">
      <w:pPr>
        <w:keepNext/>
        <w:spacing w:after="240" w:line="276" w:lineRule="auto"/>
        <w:ind w:left="-426" w:right="-427"/>
        <w:jc w:val="center"/>
      </w:pPr>
      <w:r>
        <w:rPr>
          <w:noProof/>
        </w:rPr>
        <w:drawing>
          <wp:inline distT="0" distB="0" distL="0" distR="0" wp14:anchorId="5E735B00" wp14:editId="52A67EAC">
            <wp:extent cx="5400040" cy="3047290"/>
            <wp:effectExtent l="0" t="0" r="10160" b="1270"/>
            <wp:docPr id="3" name="Gráfico 3">
              <a:extLst xmlns:a="http://schemas.openxmlformats.org/drawingml/2006/main">
                <a:ext uri="{FF2B5EF4-FFF2-40B4-BE49-F238E27FC236}">
                  <a16:creationId xmlns:a16="http://schemas.microsoft.com/office/drawing/2014/main" id="{2FBF38F0-BAD4-462C-B3C5-5987798F0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E6ED758" w14:textId="0A7CB27D" w:rsidR="002A47AA" w:rsidRPr="00973028" w:rsidRDefault="00A52EF7" w:rsidP="00A52EF7">
      <w:pPr>
        <w:pStyle w:val="Descripcin"/>
        <w:jc w:val="center"/>
        <w:rPr>
          <w:rFonts w:ascii="Arial" w:hAnsi="Arial" w:cs="Arial"/>
          <w:b w:val="0"/>
          <w:smallCaps w:val="0"/>
          <w:sz w:val="16"/>
          <w:szCs w:val="20"/>
        </w:rPr>
      </w:pPr>
      <w:bookmarkStart w:id="71" w:name="_Toc67646405"/>
      <w:r w:rsidRPr="00973028">
        <w:rPr>
          <w:rFonts w:ascii="Arial" w:hAnsi="Arial" w:cs="Arial"/>
          <w:smallCaps w:val="0"/>
          <w:color w:val="9D2235" w:themeColor="accent1"/>
          <w:sz w:val="16"/>
          <w:szCs w:val="20"/>
        </w:rPr>
        <w:t xml:space="preserve">Gráfico </w:t>
      </w:r>
      <w:r w:rsidRPr="00973028">
        <w:rPr>
          <w:rFonts w:ascii="Arial" w:hAnsi="Arial" w:cs="Arial"/>
          <w:smallCaps w:val="0"/>
          <w:color w:val="9D2235" w:themeColor="accent1"/>
          <w:sz w:val="16"/>
          <w:szCs w:val="20"/>
        </w:rPr>
        <w:fldChar w:fldCharType="begin"/>
      </w:r>
      <w:r w:rsidRPr="00973028">
        <w:rPr>
          <w:rFonts w:ascii="Arial" w:hAnsi="Arial" w:cs="Arial"/>
          <w:smallCaps w:val="0"/>
          <w:color w:val="9D2235" w:themeColor="accent1"/>
          <w:sz w:val="16"/>
          <w:szCs w:val="20"/>
        </w:rPr>
        <w:instrText xml:space="preserve"> SEQ Gráfico \* ARABIC </w:instrText>
      </w:r>
      <w:r w:rsidRPr="00973028">
        <w:rPr>
          <w:rFonts w:ascii="Arial" w:hAnsi="Arial" w:cs="Arial"/>
          <w:smallCaps w:val="0"/>
          <w:color w:val="9D2235" w:themeColor="accent1"/>
          <w:sz w:val="16"/>
          <w:szCs w:val="20"/>
        </w:rPr>
        <w:fldChar w:fldCharType="separate"/>
      </w:r>
      <w:r w:rsidR="00000D1F">
        <w:rPr>
          <w:rFonts w:ascii="Arial" w:hAnsi="Arial" w:cs="Arial"/>
          <w:smallCaps w:val="0"/>
          <w:noProof/>
          <w:color w:val="9D2235" w:themeColor="accent1"/>
          <w:sz w:val="16"/>
          <w:szCs w:val="20"/>
        </w:rPr>
        <w:t>9</w:t>
      </w:r>
      <w:r w:rsidRPr="00973028">
        <w:rPr>
          <w:rFonts w:ascii="Arial" w:hAnsi="Arial" w:cs="Arial"/>
          <w:smallCaps w:val="0"/>
          <w:color w:val="9D2235" w:themeColor="accent1"/>
          <w:sz w:val="16"/>
          <w:szCs w:val="20"/>
        </w:rPr>
        <w:fldChar w:fldCharType="end"/>
      </w:r>
      <w:r w:rsidR="00B00F7A">
        <w:rPr>
          <w:rFonts w:ascii="Arial" w:hAnsi="Arial" w:cs="Arial"/>
          <w:smallCaps w:val="0"/>
          <w:color w:val="9D2235" w:themeColor="accent1"/>
          <w:sz w:val="16"/>
          <w:szCs w:val="20"/>
        </w:rPr>
        <w:t>.</w:t>
      </w:r>
      <w:r w:rsidRPr="00973028">
        <w:rPr>
          <w:rFonts w:ascii="Arial" w:hAnsi="Arial" w:cs="Arial"/>
          <w:smallCaps w:val="0"/>
          <w:color w:val="9D2235" w:themeColor="accent1"/>
          <w:sz w:val="16"/>
          <w:szCs w:val="20"/>
        </w:rPr>
        <w:t xml:space="preserve"> </w:t>
      </w:r>
      <w:r w:rsidRPr="00973028">
        <w:rPr>
          <w:rFonts w:ascii="Arial" w:hAnsi="Arial" w:cs="Arial"/>
          <w:smallCaps w:val="0"/>
          <w:sz w:val="16"/>
          <w:szCs w:val="20"/>
        </w:rPr>
        <w:t xml:space="preserve">Estado de </w:t>
      </w:r>
      <w:r w:rsidR="00987026" w:rsidRPr="00973028">
        <w:rPr>
          <w:rFonts w:ascii="Arial" w:hAnsi="Arial" w:cs="Arial"/>
          <w:smallCaps w:val="0"/>
          <w:sz w:val="16"/>
          <w:szCs w:val="20"/>
        </w:rPr>
        <w:t>s</w:t>
      </w:r>
      <w:r w:rsidRPr="00973028">
        <w:rPr>
          <w:rFonts w:ascii="Arial" w:hAnsi="Arial" w:cs="Arial"/>
          <w:smallCaps w:val="0"/>
          <w:sz w:val="16"/>
          <w:szCs w:val="20"/>
        </w:rPr>
        <w:t>ituación de los expedientes de análisis e investigación</w:t>
      </w:r>
      <w:r w:rsidR="004D194D" w:rsidRPr="00973028">
        <w:rPr>
          <w:rFonts w:ascii="Arial" w:hAnsi="Arial" w:cs="Arial"/>
          <w:smallCaps w:val="0"/>
          <w:sz w:val="16"/>
          <w:szCs w:val="20"/>
        </w:rPr>
        <w:t xml:space="preserve"> (2017-2020)</w:t>
      </w:r>
      <w:bookmarkEnd w:id="71"/>
    </w:p>
    <w:p w14:paraId="6403DAA5" w14:textId="167CB039"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lastRenderedPageBreak/>
        <w:t xml:space="preserve">La información contenida en el anterior gráfico detalla que el 81 % del global de expedientes abiertos se encuentran en trámite o finalizados, mientras que un 19% se encuentra pendiente de determinar la verosimilitud de los hechos puestos en conocimiento, con el fin de acordar el inicio, en su caso, de actuaciones. </w:t>
      </w:r>
    </w:p>
    <w:p w14:paraId="78C333A8" w14:textId="1F28FA80"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De entre los expedientes en trámite, cabe resaltar que</w:t>
      </w:r>
      <w:r w:rsidR="00360DCC" w:rsidRPr="00973028">
        <w:rPr>
          <w:rFonts w:ascii="Arial" w:hAnsi="Arial"/>
          <w:sz w:val="21"/>
          <w:szCs w:val="21"/>
        </w:rPr>
        <w:t>,</w:t>
      </w:r>
      <w:r w:rsidRPr="00973028">
        <w:rPr>
          <w:rFonts w:ascii="Arial" w:hAnsi="Arial"/>
          <w:sz w:val="21"/>
          <w:szCs w:val="21"/>
        </w:rPr>
        <w:t xml:space="preserve"> a fecha de cierre de datos y elaboración de la presente memoria, un total de 52 expedientes continúan con actuaciones de investigación iniciadas, frente a los 22 que estaban en fase de investigación al cierre del 2019. Y hay 26 expedientes interrumpidos, por su remisión a los órganos competentes para la depuración de posibles responsabilidades, ya sean de carácter penal, ya sean de carácter administrativo.</w:t>
      </w:r>
    </w:p>
    <w:p w14:paraId="2A636D62" w14:textId="0385EC98" w:rsidR="00A52EF7" w:rsidRPr="00973028" w:rsidRDefault="00A52EF7" w:rsidP="00A52EF7">
      <w:pPr>
        <w:pStyle w:val="Descripcin"/>
        <w:keepNext/>
        <w:rPr>
          <w:rFonts w:ascii="Arial" w:hAnsi="Arial" w:cs="Arial"/>
          <w:smallCaps w:val="0"/>
          <w:sz w:val="18"/>
          <w:szCs w:val="18"/>
        </w:rPr>
      </w:pPr>
      <w:bookmarkStart w:id="72" w:name="_Toc67646350"/>
      <w:r w:rsidRPr="00973028">
        <w:rPr>
          <w:rFonts w:ascii="Arial" w:hAnsi="Arial" w:cs="Arial"/>
          <w:smallCaps w:val="0"/>
          <w:color w:val="9D2235" w:themeColor="accent1"/>
          <w:sz w:val="18"/>
          <w:szCs w:val="18"/>
        </w:rPr>
        <w:t xml:space="preserve">Tabla </w:t>
      </w:r>
      <w:r w:rsidRPr="00973028">
        <w:rPr>
          <w:rFonts w:ascii="Arial" w:hAnsi="Arial" w:cs="Arial"/>
          <w:smallCaps w:val="0"/>
          <w:color w:val="9D2235" w:themeColor="accent1"/>
          <w:sz w:val="18"/>
          <w:szCs w:val="18"/>
        </w:rPr>
        <w:fldChar w:fldCharType="begin"/>
      </w:r>
      <w:r w:rsidRPr="00973028">
        <w:rPr>
          <w:rFonts w:ascii="Arial" w:hAnsi="Arial" w:cs="Arial"/>
          <w:smallCaps w:val="0"/>
          <w:color w:val="9D2235" w:themeColor="accent1"/>
          <w:sz w:val="18"/>
          <w:szCs w:val="18"/>
        </w:rPr>
        <w:instrText xml:space="preserve"> SEQ Tabla \* ARABIC </w:instrText>
      </w:r>
      <w:r w:rsidRPr="00973028">
        <w:rPr>
          <w:rFonts w:ascii="Arial" w:hAnsi="Arial" w:cs="Arial"/>
          <w:smallCaps w:val="0"/>
          <w:color w:val="9D2235" w:themeColor="accent1"/>
          <w:sz w:val="18"/>
          <w:szCs w:val="18"/>
        </w:rPr>
        <w:fldChar w:fldCharType="separate"/>
      </w:r>
      <w:r w:rsidR="00ED7F0D">
        <w:rPr>
          <w:rFonts w:ascii="Arial" w:hAnsi="Arial" w:cs="Arial"/>
          <w:smallCaps w:val="0"/>
          <w:noProof/>
          <w:color w:val="9D2235" w:themeColor="accent1"/>
          <w:sz w:val="18"/>
          <w:szCs w:val="18"/>
        </w:rPr>
        <w:t>13</w:t>
      </w:r>
      <w:r w:rsidRPr="00973028">
        <w:rPr>
          <w:rFonts w:ascii="Arial" w:hAnsi="Arial" w:cs="Arial"/>
          <w:smallCaps w:val="0"/>
          <w:color w:val="9D2235" w:themeColor="accent1"/>
          <w:sz w:val="18"/>
          <w:szCs w:val="18"/>
        </w:rPr>
        <w:fldChar w:fldCharType="end"/>
      </w:r>
      <w:r w:rsidR="00B00F7A">
        <w:rPr>
          <w:rFonts w:ascii="Arial" w:hAnsi="Arial" w:cs="Arial"/>
          <w:smallCaps w:val="0"/>
          <w:color w:val="9D2235" w:themeColor="accent1"/>
          <w:sz w:val="18"/>
          <w:szCs w:val="18"/>
        </w:rPr>
        <w:t>.</w:t>
      </w:r>
      <w:r w:rsidRPr="00973028">
        <w:rPr>
          <w:rFonts w:ascii="Arial" w:hAnsi="Arial" w:cs="Arial"/>
          <w:smallCaps w:val="0"/>
          <w:color w:val="9D2235" w:themeColor="accent1"/>
          <w:sz w:val="18"/>
          <w:szCs w:val="18"/>
        </w:rPr>
        <w:t xml:space="preserve"> </w:t>
      </w:r>
      <w:r w:rsidRPr="00973028">
        <w:rPr>
          <w:rFonts w:ascii="Arial" w:hAnsi="Arial" w:cs="Arial"/>
          <w:smallCaps w:val="0"/>
          <w:sz w:val="18"/>
          <w:szCs w:val="18"/>
        </w:rPr>
        <w:t xml:space="preserve">Tabla resumen de </w:t>
      </w:r>
      <w:r w:rsidR="00C44CC0" w:rsidRPr="00973028">
        <w:rPr>
          <w:rFonts w:ascii="Arial" w:hAnsi="Arial" w:cs="Arial"/>
          <w:smallCaps w:val="0"/>
          <w:sz w:val="18"/>
          <w:szCs w:val="18"/>
        </w:rPr>
        <w:t>e</w:t>
      </w:r>
      <w:r w:rsidRPr="00973028">
        <w:rPr>
          <w:rFonts w:ascii="Arial" w:hAnsi="Arial" w:cs="Arial"/>
          <w:smallCaps w:val="0"/>
          <w:sz w:val="18"/>
          <w:szCs w:val="18"/>
        </w:rPr>
        <w:t>xpedientes tramitados en 2020 y comparativa con el año precedente</w:t>
      </w:r>
      <w:bookmarkEnd w:id="72"/>
    </w:p>
    <w:tbl>
      <w:tblPr>
        <w:tblW w:w="5000" w:type="pct"/>
        <w:jc w:val="center"/>
        <w:tblCellMar>
          <w:left w:w="70" w:type="dxa"/>
          <w:right w:w="70" w:type="dxa"/>
        </w:tblCellMar>
        <w:tblLook w:val="04A0" w:firstRow="1" w:lastRow="0" w:firstColumn="1" w:lastColumn="0" w:noHBand="0" w:noVBand="1"/>
      </w:tblPr>
      <w:tblGrid>
        <w:gridCol w:w="3544"/>
        <w:gridCol w:w="1097"/>
        <w:gridCol w:w="727"/>
        <w:gridCol w:w="1097"/>
        <w:gridCol w:w="727"/>
        <w:gridCol w:w="497"/>
        <w:gridCol w:w="800"/>
      </w:tblGrid>
      <w:tr w:rsidR="004D194D" w:rsidRPr="00973028" w14:paraId="427D2043" w14:textId="77777777" w:rsidTr="000F4B9E">
        <w:trPr>
          <w:trHeight w:val="300"/>
          <w:jc w:val="center"/>
        </w:trPr>
        <w:tc>
          <w:tcPr>
            <w:tcW w:w="2088" w:type="pct"/>
            <w:vMerge w:val="restart"/>
            <w:tcBorders>
              <w:top w:val="single" w:sz="8" w:space="0" w:color="auto"/>
              <w:left w:val="single" w:sz="8" w:space="0" w:color="auto"/>
              <w:bottom w:val="single" w:sz="4" w:space="0" w:color="auto"/>
              <w:right w:val="single" w:sz="4" w:space="0" w:color="auto"/>
            </w:tcBorders>
            <w:shd w:val="clear" w:color="auto" w:fill="9D2235" w:themeFill="accent1"/>
            <w:noWrap/>
            <w:vAlign w:val="center"/>
            <w:hideMark/>
          </w:tcPr>
          <w:p w14:paraId="0DEC0CC3" w14:textId="77777777" w:rsidR="002C0DE6" w:rsidRPr="00973028" w:rsidRDefault="002C0DE6" w:rsidP="002A4453">
            <w:pP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RESOLUCIONES</w:t>
            </w:r>
          </w:p>
        </w:tc>
        <w:tc>
          <w:tcPr>
            <w:tcW w:w="1074"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33B25547"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2019</w:t>
            </w:r>
          </w:p>
        </w:tc>
        <w:tc>
          <w:tcPr>
            <w:tcW w:w="1074"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5B7E66B9"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2020</w:t>
            </w:r>
          </w:p>
        </w:tc>
        <w:tc>
          <w:tcPr>
            <w:tcW w:w="764"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1B37B08F"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Variación</w:t>
            </w:r>
          </w:p>
        </w:tc>
      </w:tr>
      <w:tr w:rsidR="004D194D" w:rsidRPr="00973028" w14:paraId="2032FD20" w14:textId="77777777" w:rsidTr="000F4B9E">
        <w:trPr>
          <w:trHeight w:val="300"/>
          <w:jc w:val="center"/>
        </w:trPr>
        <w:tc>
          <w:tcPr>
            <w:tcW w:w="2088" w:type="pct"/>
            <w:vMerge/>
            <w:tcBorders>
              <w:top w:val="single" w:sz="8" w:space="0" w:color="auto"/>
              <w:left w:val="single" w:sz="8" w:space="0" w:color="auto"/>
              <w:bottom w:val="single" w:sz="4" w:space="0" w:color="auto"/>
              <w:right w:val="single" w:sz="4" w:space="0" w:color="auto"/>
            </w:tcBorders>
            <w:shd w:val="clear" w:color="auto" w:fill="9D2235" w:themeFill="accent1"/>
            <w:vAlign w:val="center"/>
            <w:hideMark/>
          </w:tcPr>
          <w:p w14:paraId="554B7AA9" w14:textId="77777777" w:rsidR="002C0DE6" w:rsidRPr="00973028" w:rsidRDefault="002C0DE6" w:rsidP="002A4453">
            <w:pPr>
              <w:rPr>
                <w:rFonts w:ascii="Calibri" w:eastAsia="Times New Roman" w:hAnsi="Calibri" w:cs="Calibri"/>
                <w:b/>
                <w:bCs/>
                <w:color w:val="FFFFFF" w:themeColor="background1"/>
                <w:sz w:val="20"/>
                <w:szCs w:val="20"/>
                <w:lang w:eastAsia="es-ES"/>
              </w:rPr>
            </w:pPr>
          </w:p>
        </w:tc>
        <w:tc>
          <w:tcPr>
            <w:tcW w:w="646" w:type="pct"/>
            <w:tcBorders>
              <w:top w:val="nil"/>
              <w:left w:val="nil"/>
              <w:bottom w:val="single" w:sz="4" w:space="0" w:color="auto"/>
              <w:right w:val="single" w:sz="4" w:space="0" w:color="auto"/>
            </w:tcBorders>
            <w:shd w:val="clear" w:color="auto" w:fill="9D2235" w:themeFill="accent1"/>
            <w:noWrap/>
            <w:vAlign w:val="bottom"/>
            <w:hideMark/>
          </w:tcPr>
          <w:p w14:paraId="4BAD9ACF"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Absoluto</w:t>
            </w:r>
          </w:p>
        </w:tc>
        <w:tc>
          <w:tcPr>
            <w:tcW w:w="428" w:type="pct"/>
            <w:tcBorders>
              <w:top w:val="nil"/>
              <w:left w:val="nil"/>
              <w:bottom w:val="single" w:sz="4" w:space="0" w:color="auto"/>
              <w:right w:val="single" w:sz="4" w:space="0" w:color="auto"/>
            </w:tcBorders>
            <w:shd w:val="clear" w:color="auto" w:fill="9D2235" w:themeFill="accent1"/>
            <w:noWrap/>
            <w:vAlign w:val="bottom"/>
            <w:hideMark/>
          </w:tcPr>
          <w:p w14:paraId="5E18C2E0"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w:t>
            </w:r>
          </w:p>
        </w:tc>
        <w:tc>
          <w:tcPr>
            <w:tcW w:w="646" w:type="pct"/>
            <w:tcBorders>
              <w:top w:val="nil"/>
              <w:left w:val="nil"/>
              <w:bottom w:val="single" w:sz="4" w:space="0" w:color="auto"/>
              <w:right w:val="single" w:sz="4" w:space="0" w:color="auto"/>
            </w:tcBorders>
            <w:shd w:val="clear" w:color="auto" w:fill="9D2235" w:themeFill="accent1"/>
            <w:noWrap/>
            <w:vAlign w:val="bottom"/>
            <w:hideMark/>
          </w:tcPr>
          <w:p w14:paraId="76F8F6BF"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Absoluto</w:t>
            </w:r>
          </w:p>
        </w:tc>
        <w:tc>
          <w:tcPr>
            <w:tcW w:w="428" w:type="pct"/>
            <w:tcBorders>
              <w:top w:val="nil"/>
              <w:left w:val="nil"/>
              <w:bottom w:val="single" w:sz="4" w:space="0" w:color="auto"/>
              <w:right w:val="single" w:sz="4" w:space="0" w:color="auto"/>
            </w:tcBorders>
            <w:shd w:val="clear" w:color="auto" w:fill="9D2235" w:themeFill="accent1"/>
            <w:noWrap/>
            <w:vAlign w:val="bottom"/>
            <w:hideMark/>
          </w:tcPr>
          <w:p w14:paraId="481EE264"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w:t>
            </w:r>
          </w:p>
        </w:tc>
        <w:tc>
          <w:tcPr>
            <w:tcW w:w="764"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63DFEA79" w14:textId="77777777" w:rsidR="002C0DE6" w:rsidRPr="00973028" w:rsidRDefault="002C0DE6" w:rsidP="002A4453">
            <w:pPr>
              <w:jc w:val="center"/>
              <w:rPr>
                <w:rFonts w:ascii="Calibri" w:eastAsia="Times New Roman" w:hAnsi="Calibri" w:cs="Calibri"/>
                <w:b/>
                <w:bCs/>
                <w:color w:val="FFFFFF" w:themeColor="background1"/>
                <w:sz w:val="20"/>
                <w:szCs w:val="20"/>
                <w:lang w:eastAsia="es-ES"/>
              </w:rPr>
            </w:pPr>
            <w:r w:rsidRPr="00973028">
              <w:rPr>
                <w:rFonts w:ascii="Calibri" w:eastAsia="Times New Roman" w:hAnsi="Calibri" w:cs="Calibri"/>
                <w:b/>
                <w:bCs/>
                <w:color w:val="FFFFFF" w:themeColor="background1"/>
                <w:sz w:val="20"/>
                <w:szCs w:val="20"/>
                <w:lang w:eastAsia="es-ES"/>
              </w:rPr>
              <w:t>Absoluto</w:t>
            </w:r>
          </w:p>
        </w:tc>
      </w:tr>
      <w:tr w:rsidR="002C0DE6" w:rsidRPr="00973028" w14:paraId="3DC777D6" w14:textId="77777777" w:rsidTr="000F4B9E">
        <w:trPr>
          <w:trHeight w:val="300"/>
          <w:jc w:val="center"/>
        </w:trPr>
        <w:tc>
          <w:tcPr>
            <w:tcW w:w="2088" w:type="pct"/>
            <w:tcBorders>
              <w:top w:val="nil"/>
              <w:left w:val="single" w:sz="8" w:space="0" w:color="auto"/>
              <w:bottom w:val="single" w:sz="4" w:space="0" w:color="auto"/>
              <w:right w:val="single" w:sz="4" w:space="0" w:color="auto"/>
            </w:tcBorders>
            <w:shd w:val="clear" w:color="auto" w:fill="auto"/>
            <w:noWrap/>
            <w:vAlign w:val="bottom"/>
            <w:hideMark/>
          </w:tcPr>
          <w:p w14:paraId="5F256DF2" w14:textId="77777777" w:rsidR="002C0DE6" w:rsidRPr="00973028" w:rsidRDefault="002C0DE6" w:rsidP="002A4453">
            <w:pP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ANÁLISIS</w:t>
            </w:r>
          </w:p>
        </w:tc>
        <w:tc>
          <w:tcPr>
            <w:tcW w:w="646" w:type="pct"/>
            <w:tcBorders>
              <w:top w:val="nil"/>
              <w:left w:val="nil"/>
              <w:bottom w:val="single" w:sz="4" w:space="0" w:color="auto"/>
              <w:right w:val="single" w:sz="4" w:space="0" w:color="auto"/>
            </w:tcBorders>
            <w:shd w:val="clear" w:color="auto" w:fill="auto"/>
            <w:noWrap/>
            <w:vAlign w:val="bottom"/>
            <w:hideMark/>
          </w:tcPr>
          <w:p w14:paraId="39F7B508"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 </w:t>
            </w:r>
          </w:p>
        </w:tc>
        <w:tc>
          <w:tcPr>
            <w:tcW w:w="428" w:type="pct"/>
            <w:tcBorders>
              <w:top w:val="nil"/>
              <w:left w:val="nil"/>
              <w:bottom w:val="single" w:sz="4" w:space="0" w:color="auto"/>
              <w:right w:val="single" w:sz="4" w:space="0" w:color="auto"/>
            </w:tcBorders>
            <w:shd w:val="clear" w:color="auto" w:fill="auto"/>
            <w:noWrap/>
            <w:vAlign w:val="bottom"/>
            <w:hideMark/>
          </w:tcPr>
          <w:p w14:paraId="6EE8BEC2"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 </w:t>
            </w:r>
          </w:p>
        </w:tc>
        <w:tc>
          <w:tcPr>
            <w:tcW w:w="646" w:type="pct"/>
            <w:tcBorders>
              <w:top w:val="nil"/>
              <w:left w:val="nil"/>
              <w:bottom w:val="single" w:sz="4" w:space="0" w:color="auto"/>
              <w:right w:val="single" w:sz="4" w:space="0" w:color="auto"/>
            </w:tcBorders>
            <w:shd w:val="clear" w:color="auto" w:fill="auto"/>
            <w:noWrap/>
            <w:vAlign w:val="bottom"/>
            <w:hideMark/>
          </w:tcPr>
          <w:p w14:paraId="71EB03EC"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 </w:t>
            </w:r>
          </w:p>
        </w:tc>
        <w:tc>
          <w:tcPr>
            <w:tcW w:w="428" w:type="pct"/>
            <w:tcBorders>
              <w:top w:val="nil"/>
              <w:left w:val="nil"/>
              <w:bottom w:val="single" w:sz="4" w:space="0" w:color="auto"/>
              <w:right w:val="single" w:sz="4" w:space="0" w:color="auto"/>
            </w:tcBorders>
            <w:shd w:val="clear" w:color="auto" w:fill="auto"/>
            <w:noWrap/>
            <w:vAlign w:val="bottom"/>
            <w:hideMark/>
          </w:tcPr>
          <w:p w14:paraId="600260DB"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 </w:t>
            </w:r>
          </w:p>
        </w:tc>
        <w:tc>
          <w:tcPr>
            <w:tcW w:w="293" w:type="pct"/>
            <w:tcBorders>
              <w:top w:val="nil"/>
              <w:left w:val="nil"/>
              <w:bottom w:val="single" w:sz="4" w:space="0" w:color="auto"/>
              <w:right w:val="single" w:sz="4" w:space="0" w:color="auto"/>
            </w:tcBorders>
            <w:shd w:val="clear" w:color="auto" w:fill="auto"/>
            <w:noWrap/>
            <w:vAlign w:val="bottom"/>
            <w:hideMark/>
          </w:tcPr>
          <w:p w14:paraId="564A8F98"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 </w:t>
            </w:r>
          </w:p>
        </w:tc>
        <w:tc>
          <w:tcPr>
            <w:tcW w:w="471" w:type="pct"/>
            <w:tcBorders>
              <w:top w:val="nil"/>
              <w:left w:val="nil"/>
              <w:bottom w:val="single" w:sz="4" w:space="0" w:color="auto"/>
              <w:right w:val="single" w:sz="8" w:space="0" w:color="auto"/>
            </w:tcBorders>
            <w:shd w:val="clear" w:color="auto" w:fill="auto"/>
            <w:noWrap/>
            <w:vAlign w:val="bottom"/>
            <w:hideMark/>
          </w:tcPr>
          <w:p w14:paraId="0573927D"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 </w:t>
            </w:r>
          </w:p>
        </w:tc>
      </w:tr>
      <w:tr w:rsidR="002C0DE6" w:rsidRPr="00973028" w14:paraId="48A01238" w14:textId="77777777" w:rsidTr="000F4B9E">
        <w:trPr>
          <w:trHeight w:val="300"/>
          <w:jc w:val="center"/>
        </w:trPr>
        <w:tc>
          <w:tcPr>
            <w:tcW w:w="2088" w:type="pct"/>
            <w:tcBorders>
              <w:top w:val="nil"/>
              <w:left w:val="single" w:sz="8" w:space="0" w:color="auto"/>
              <w:bottom w:val="single" w:sz="4" w:space="0" w:color="auto"/>
              <w:right w:val="single" w:sz="4" w:space="0" w:color="auto"/>
            </w:tcBorders>
            <w:shd w:val="clear" w:color="auto" w:fill="auto"/>
            <w:noWrap/>
            <w:vAlign w:val="bottom"/>
            <w:hideMark/>
          </w:tcPr>
          <w:p w14:paraId="284D2FF3" w14:textId="77777777" w:rsidR="002C0DE6" w:rsidRPr="00973028" w:rsidRDefault="002C0DE6" w:rsidP="002A4453">
            <w:pPr>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Acuerdo Consejo de Dirección</w:t>
            </w:r>
          </w:p>
        </w:tc>
        <w:tc>
          <w:tcPr>
            <w:tcW w:w="646" w:type="pct"/>
            <w:tcBorders>
              <w:top w:val="nil"/>
              <w:left w:val="nil"/>
              <w:bottom w:val="single" w:sz="4" w:space="0" w:color="auto"/>
              <w:right w:val="single" w:sz="4" w:space="0" w:color="auto"/>
            </w:tcBorders>
            <w:shd w:val="clear" w:color="auto" w:fill="auto"/>
            <w:noWrap/>
            <w:vAlign w:val="bottom"/>
            <w:hideMark/>
          </w:tcPr>
          <w:p w14:paraId="343543A3"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w:t>
            </w:r>
          </w:p>
        </w:tc>
        <w:tc>
          <w:tcPr>
            <w:tcW w:w="428" w:type="pct"/>
            <w:tcBorders>
              <w:top w:val="nil"/>
              <w:left w:val="nil"/>
              <w:bottom w:val="single" w:sz="4" w:space="0" w:color="auto"/>
              <w:right w:val="single" w:sz="4" w:space="0" w:color="auto"/>
            </w:tcBorders>
            <w:shd w:val="clear" w:color="auto" w:fill="auto"/>
            <w:noWrap/>
            <w:vAlign w:val="bottom"/>
            <w:hideMark/>
          </w:tcPr>
          <w:p w14:paraId="7A708D31"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w:t>
            </w:r>
          </w:p>
        </w:tc>
        <w:tc>
          <w:tcPr>
            <w:tcW w:w="646" w:type="pct"/>
            <w:tcBorders>
              <w:top w:val="nil"/>
              <w:left w:val="nil"/>
              <w:bottom w:val="single" w:sz="4" w:space="0" w:color="auto"/>
              <w:right w:val="single" w:sz="4" w:space="0" w:color="auto"/>
            </w:tcBorders>
            <w:shd w:val="clear" w:color="auto" w:fill="auto"/>
            <w:noWrap/>
            <w:vAlign w:val="bottom"/>
            <w:hideMark/>
          </w:tcPr>
          <w:p w14:paraId="4AE58DDB"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428" w:type="pct"/>
            <w:tcBorders>
              <w:top w:val="nil"/>
              <w:left w:val="nil"/>
              <w:bottom w:val="single" w:sz="4" w:space="0" w:color="auto"/>
              <w:right w:val="single" w:sz="4" w:space="0" w:color="auto"/>
            </w:tcBorders>
            <w:shd w:val="clear" w:color="auto" w:fill="auto"/>
            <w:noWrap/>
            <w:vAlign w:val="bottom"/>
            <w:hideMark/>
          </w:tcPr>
          <w:p w14:paraId="637FEA8A"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293" w:type="pct"/>
            <w:tcBorders>
              <w:top w:val="nil"/>
              <w:left w:val="nil"/>
              <w:bottom w:val="single" w:sz="4" w:space="0" w:color="auto"/>
              <w:right w:val="single" w:sz="4" w:space="0" w:color="auto"/>
            </w:tcBorders>
            <w:shd w:val="clear" w:color="auto" w:fill="auto"/>
            <w:noWrap/>
            <w:vAlign w:val="bottom"/>
            <w:hideMark/>
          </w:tcPr>
          <w:p w14:paraId="3D55A41F"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w:t>
            </w:r>
          </w:p>
        </w:tc>
        <w:tc>
          <w:tcPr>
            <w:tcW w:w="471" w:type="pct"/>
            <w:tcBorders>
              <w:top w:val="nil"/>
              <w:left w:val="nil"/>
              <w:bottom w:val="single" w:sz="4" w:space="0" w:color="auto"/>
              <w:right w:val="single" w:sz="8" w:space="0" w:color="auto"/>
            </w:tcBorders>
            <w:shd w:val="clear" w:color="auto" w:fill="auto"/>
            <w:noWrap/>
            <w:vAlign w:val="bottom"/>
            <w:hideMark/>
          </w:tcPr>
          <w:p w14:paraId="198619FF"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-100%</w:t>
            </w:r>
          </w:p>
        </w:tc>
      </w:tr>
      <w:tr w:rsidR="002C0DE6" w:rsidRPr="00973028" w14:paraId="1288941D" w14:textId="77777777" w:rsidTr="000F4B9E">
        <w:trPr>
          <w:trHeight w:val="300"/>
          <w:jc w:val="center"/>
        </w:trPr>
        <w:tc>
          <w:tcPr>
            <w:tcW w:w="2088" w:type="pct"/>
            <w:tcBorders>
              <w:top w:val="nil"/>
              <w:left w:val="single" w:sz="8" w:space="0" w:color="auto"/>
              <w:bottom w:val="single" w:sz="4" w:space="0" w:color="auto"/>
              <w:right w:val="single" w:sz="4" w:space="0" w:color="auto"/>
            </w:tcBorders>
            <w:shd w:val="clear" w:color="auto" w:fill="auto"/>
            <w:noWrap/>
            <w:vAlign w:val="bottom"/>
            <w:hideMark/>
          </w:tcPr>
          <w:p w14:paraId="3FE7CC3B" w14:textId="77777777" w:rsidR="002C0DE6" w:rsidRPr="00973028" w:rsidRDefault="002C0DE6" w:rsidP="002A4453">
            <w:pPr>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Archivo</w:t>
            </w:r>
          </w:p>
        </w:tc>
        <w:tc>
          <w:tcPr>
            <w:tcW w:w="646" w:type="pct"/>
            <w:tcBorders>
              <w:top w:val="nil"/>
              <w:left w:val="nil"/>
              <w:bottom w:val="single" w:sz="4" w:space="0" w:color="auto"/>
              <w:right w:val="single" w:sz="4" w:space="0" w:color="auto"/>
            </w:tcBorders>
            <w:shd w:val="clear" w:color="auto" w:fill="auto"/>
            <w:noWrap/>
            <w:vAlign w:val="bottom"/>
            <w:hideMark/>
          </w:tcPr>
          <w:p w14:paraId="3A92BDC3"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51</w:t>
            </w:r>
          </w:p>
        </w:tc>
        <w:tc>
          <w:tcPr>
            <w:tcW w:w="428" w:type="pct"/>
            <w:tcBorders>
              <w:top w:val="nil"/>
              <w:left w:val="nil"/>
              <w:bottom w:val="single" w:sz="4" w:space="0" w:color="auto"/>
              <w:right w:val="single" w:sz="4" w:space="0" w:color="auto"/>
            </w:tcBorders>
            <w:shd w:val="clear" w:color="auto" w:fill="auto"/>
            <w:noWrap/>
            <w:vAlign w:val="bottom"/>
            <w:hideMark/>
          </w:tcPr>
          <w:p w14:paraId="2A86C2E0"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30%</w:t>
            </w:r>
          </w:p>
        </w:tc>
        <w:tc>
          <w:tcPr>
            <w:tcW w:w="646" w:type="pct"/>
            <w:tcBorders>
              <w:top w:val="nil"/>
              <w:left w:val="nil"/>
              <w:bottom w:val="single" w:sz="4" w:space="0" w:color="auto"/>
              <w:right w:val="single" w:sz="4" w:space="0" w:color="auto"/>
            </w:tcBorders>
            <w:shd w:val="clear" w:color="auto" w:fill="auto"/>
            <w:noWrap/>
            <w:vAlign w:val="bottom"/>
            <w:hideMark/>
          </w:tcPr>
          <w:p w14:paraId="0EEEC779"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72</w:t>
            </w:r>
          </w:p>
        </w:tc>
        <w:tc>
          <w:tcPr>
            <w:tcW w:w="428" w:type="pct"/>
            <w:tcBorders>
              <w:top w:val="nil"/>
              <w:left w:val="nil"/>
              <w:bottom w:val="single" w:sz="4" w:space="0" w:color="auto"/>
              <w:right w:val="single" w:sz="4" w:space="0" w:color="auto"/>
            </w:tcBorders>
            <w:shd w:val="clear" w:color="auto" w:fill="auto"/>
            <w:noWrap/>
            <w:vAlign w:val="bottom"/>
            <w:hideMark/>
          </w:tcPr>
          <w:p w14:paraId="796713FE"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32%</w:t>
            </w:r>
          </w:p>
        </w:tc>
        <w:tc>
          <w:tcPr>
            <w:tcW w:w="293" w:type="pct"/>
            <w:tcBorders>
              <w:top w:val="nil"/>
              <w:left w:val="nil"/>
              <w:bottom w:val="single" w:sz="4" w:space="0" w:color="auto"/>
              <w:right w:val="single" w:sz="4" w:space="0" w:color="auto"/>
            </w:tcBorders>
            <w:shd w:val="clear" w:color="auto" w:fill="auto"/>
            <w:noWrap/>
            <w:vAlign w:val="bottom"/>
            <w:hideMark/>
          </w:tcPr>
          <w:p w14:paraId="0276E978"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21</w:t>
            </w:r>
          </w:p>
        </w:tc>
        <w:tc>
          <w:tcPr>
            <w:tcW w:w="471" w:type="pct"/>
            <w:tcBorders>
              <w:top w:val="nil"/>
              <w:left w:val="nil"/>
              <w:bottom w:val="single" w:sz="4" w:space="0" w:color="auto"/>
              <w:right w:val="single" w:sz="8" w:space="0" w:color="auto"/>
            </w:tcBorders>
            <w:shd w:val="clear" w:color="auto" w:fill="auto"/>
            <w:noWrap/>
            <w:vAlign w:val="bottom"/>
            <w:hideMark/>
          </w:tcPr>
          <w:p w14:paraId="26E74D2E"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41%</w:t>
            </w:r>
          </w:p>
        </w:tc>
      </w:tr>
      <w:tr w:rsidR="002C0DE6" w:rsidRPr="00973028" w14:paraId="5411F51E" w14:textId="77777777" w:rsidTr="000F4B9E">
        <w:trPr>
          <w:trHeight w:val="300"/>
          <w:jc w:val="center"/>
        </w:trPr>
        <w:tc>
          <w:tcPr>
            <w:tcW w:w="2088" w:type="pct"/>
            <w:tcBorders>
              <w:top w:val="nil"/>
              <w:left w:val="single" w:sz="8" w:space="0" w:color="auto"/>
              <w:bottom w:val="single" w:sz="4" w:space="0" w:color="auto"/>
              <w:right w:val="single" w:sz="4" w:space="0" w:color="auto"/>
            </w:tcBorders>
            <w:shd w:val="clear" w:color="auto" w:fill="auto"/>
            <w:noWrap/>
            <w:vAlign w:val="bottom"/>
            <w:hideMark/>
          </w:tcPr>
          <w:p w14:paraId="1CA6E212" w14:textId="77777777" w:rsidR="002C0DE6" w:rsidRPr="00973028" w:rsidRDefault="002C0DE6" w:rsidP="002A4453">
            <w:pPr>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Inadmisión</w:t>
            </w:r>
          </w:p>
        </w:tc>
        <w:tc>
          <w:tcPr>
            <w:tcW w:w="646" w:type="pct"/>
            <w:tcBorders>
              <w:top w:val="nil"/>
              <w:left w:val="nil"/>
              <w:bottom w:val="single" w:sz="4" w:space="0" w:color="auto"/>
              <w:right w:val="single" w:sz="4" w:space="0" w:color="auto"/>
            </w:tcBorders>
            <w:shd w:val="clear" w:color="auto" w:fill="auto"/>
            <w:noWrap/>
            <w:vAlign w:val="bottom"/>
            <w:hideMark/>
          </w:tcPr>
          <w:p w14:paraId="493B9598"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61</w:t>
            </w:r>
          </w:p>
        </w:tc>
        <w:tc>
          <w:tcPr>
            <w:tcW w:w="428" w:type="pct"/>
            <w:tcBorders>
              <w:top w:val="nil"/>
              <w:left w:val="nil"/>
              <w:bottom w:val="single" w:sz="4" w:space="0" w:color="auto"/>
              <w:right w:val="single" w:sz="4" w:space="0" w:color="auto"/>
            </w:tcBorders>
            <w:shd w:val="clear" w:color="auto" w:fill="auto"/>
            <w:noWrap/>
            <w:vAlign w:val="bottom"/>
            <w:hideMark/>
          </w:tcPr>
          <w:p w14:paraId="0DE6C5E2"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36%</w:t>
            </w:r>
          </w:p>
        </w:tc>
        <w:tc>
          <w:tcPr>
            <w:tcW w:w="646" w:type="pct"/>
            <w:tcBorders>
              <w:top w:val="nil"/>
              <w:left w:val="nil"/>
              <w:bottom w:val="single" w:sz="4" w:space="0" w:color="auto"/>
              <w:right w:val="single" w:sz="4" w:space="0" w:color="auto"/>
            </w:tcBorders>
            <w:shd w:val="clear" w:color="auto" w:fill="auto"/>
            <w:noWrap/>
            <w:vAlign w:val="bottom"/>
            <w:hideMark/>
          </w:tcPr>
          <w:p w14:paraId="69422486"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51</w:t>
            </w:r>
          </w:p>
        </w:tc>
        <w:tc>
          <w:tcPr>
            <w:tcW w:w="428" w:type="pct"/>
            <w:tcBorders>
              <w:top w:val="nil"/>
              <w:left w:val="nil"/>
              <w:bottom w:val="single" w:sz="4" w:space="0" w:color="auto"/>
              <w:right w:val="single" w:sz="4" w:space="0" w:color="auto"/>
            </w:tcBorders>
            <w:shd w:val="clear" w:color="auto" w:fill="auto"/>
            <w:noWrap/>
            <w:vAlign w:val="bottom"/>
            <w:hideMark/>
          </w:tcPr>
          <w:p w14:paraId="29801614"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22%</w:t>
            </w:r>
          </w:p>
        </w:tc>
        <w:tc>
          <w:tcPr>
            <w:tcW w:w="293" w:type="pct"/>
            <w:tcBorders>
              <w:top w:val="nil"/>
              <w:left w:val="nil"/>
              <w:bottom w:val="single" w:sz="4" w:space="0" w:color="auto"/>
              <w:right w:val="single" w:sz="4" w:space="0" w:color="auto"/>
            </w:tcBorders>
            <w:shd w:val="clear" w:color="auto" w:fill="auto"/>
            <w:noWrap/>
            <w:vAlign w:val="bottom"/>
            <w:hideMark/>
          </w:tcPr>
          <w:p w14:paraId="31DBB83C"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-10</w:t>
            </w:r>
          </w:p>
        </w:tc>
        <w:tc>
          <w:tcPr>
            <w:tcW w:w="471" w:type="pct"/>
            <w:tcBorders>
              <w:top w:val="nil"/>
              <w:left w:val="nil"/>
              <w:bottom w:val="single" w:sz="4" w:space="0" w:color="auto"/>
              <w:right w:val="single" w:sz="8" w:space="0" w:color="auto"/>
            </w:tcBorders>
            <w:shd w:val="clear" w:color="auto" w:fill="auto"/>
            <w:noWrap/>
            <w:vAlign w:val="bottom"/>
            <w:hideMark/>
          </w:tcPr>
          <w:p w14:paraId="5537ADC3"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-16%</w:t>
            </w:r>
          </w:p>
        </w:tc>
      </w:tr>
      <w:tr w:rsidR="002C0DE6" w:rsidRPr="00973028" w14:paraId="29D2E3D1" w14:textId="77777777" w:rsidTr="000F4B9E">
        <w:trPr>
          <w:trHeight w:val="300"/>
          <w:jc w:val="center"/>
        </w:trPr>
        <w:tc>
          <w:tcPr>
            <w:tcW w:w="2088" w:type="pct"/>
            <w:tcBorders>
              <w:top w:val="nil"/>
              <w:left w:val="single" w:sz="8" w:space="0" w:color="auto"/>
              <w:bottom w:val="single" w:sz="4" w:space="0" w:color="auto"/>
              <w:right w:val="single" w:sz="4" w:space="0" w:color="auto"/>
            </w:tcBorders>
            <w:shd w:val="clear" w:color="auto" w:fill="auto"/>
            <w:noWrap/>
            <w:vAlign w:val="bottom"/>
            <w:hideMark/>
          </w:tcPr>
          <w:p w14:paraId="4FF57396" w14:textId="77777777" w:rsidR="002C0DE6" w:rsidRPr="00973028" w:rsidRDefault="002C0DE6" w:rsidP="002A4453">
            <w:pPr>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Inicio de actuaciones</w:t>
            </w:r>
          </w:p>
        </w:tc>
        <w:tc>
          <w:tcPr>
            <w:tcW w:w="646" w:type="pct"/>
            <w:tcBorders>
              <w:top w:val="nil"/>
              <w:left w:val="nil"/>
              <w:bottom w:val="single" w:sz="4" w:space="0" w:color="auto"/>
              <w:right w:val="single" w:sz="4" w:space="0" w:color="auto"/>
            </w:tcBorders>
            <w:shd w:val="clear" w:color="auto" w:fill="auto"/>
            <w:noWrap/>
            <w:vAlign w:val="bottom"/>
            <w:hideMark/>
          </w:tcPr>
          <w:p w14:paraId="16602CB8"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21</w:t>
            </w:r>
          </w:p>
        </w:tc>
        <w:tc>
          <w:tcPr>
            <w:tcW w:w="428" w:type="pct"/>
            <w:tcBorders>
              <w:top w:val="nil"/>
              <w:left w:val="nil"/>
              <w:bottom w:val="single" w:sz="4" w:space="0" w:color="auto"/>
              <w:right w:val="single" w:sz="4" w:space="0" w:color="auto"/>
            </w:tcBorders>
            <w:shd w:val="clear" w:color="auto" w:fill="auto"/>
            <w:noWrap/>
            <w:vAlign w:val="bottom"/>
            <w:hideMark/>
          </w:tcPr>
          <w:p w14:paraId="02A03F8D"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13%</w:t>
            </w:r>
          </w:p>
        </w:tc>
        <w:tc>
          <w:tcPr>
            <w:tcW w:w="646" w:type="pct"/>
            <w:tcBorders>
              <w:top w:val="nil"/>
              <w:left w:val="nil"/>
              <w:bottom w:val="single" w:sz="4" w:space="0" w:color="auto"/>
              <w:right w:val="single" w:sz="4" w:space="0" w:color="auto"/>
            </w:tcBorders>
            <w:shd w:val="clear" w:color="auto" w:fill="auto"/>
            <w:noWrap/>
            <w:vAlign w:val="bottom"/>
            <w:hideMark/>
          </w:tcPr>
          <w:p w14:paraId="58B2BA3F"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60</w:t>
            </w:r>
          </w:p>
        </w:tc>
        <w:tc>
          <w:tcPr>
            <w:tcW w:w="428" w:type="pct"/>
            <w:tcBorders>
              <w:top w:val="nil"/>
              <w:left w:val="nil"/>
              <w:bottom w:val="single" w:sz="4" w:space="0" w:color="auto"/>
              <w:right w:val="single" w:sz="4" w:space="0" w:color="auto"/>
            </w:tcBorders>
            <w:shd w:val="clear" w:color="auto" w:fill="auto"/>
            <w:noWrap/>
            <w:vAlign w:val="bottom"/>
            <w:hideMark/>
          </w:tcPr>
          <w:p w14:paraId="5B9FDB4E"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26%</w:t>
            </w:r>
          </w:p>
        </w:tc>
        <w:tc>
          <w:tcPr>
            <w:tcW w:w="293" w:type="pct"/>
            <w:tcBorders>
              <w:top w:val="nil"/>
              <w:left w:val="nil"/>
              <w:bottom w:val="single" w:sz="4" w:space="0" w:color="auto"/>
              <w:right w:val="single" w:sz="4" w:space="0" w:color="auto"/>
            </w:tcBorders>
            <w:shd w:val="clear" w:color="auto" w:fill="auto"/>
            <w:noWrap/>
            <w:vAlign w:val="bottom"/>
            <w:hideMark/>
          </w:tcPr>
          <w:p w14:paraId="1EAD16B4"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39</w:t>
            </w:r>
          </w:p>
        </w:tc>
        <w:tc>
          <w:tcPr>
            <w:tcW w:w="471" w:type="pct"/>
            <w:tcBorders>
              <w:top w:val="nil"/>
              <w:left w:val="nil"/>
              <w:bottom w:val="single" w:sz="4" w:space="0" w:color="auto"/>
              <w:right w:val="single" w:sz="8" w:space="0" w:color="auto"/>
            </w:tcBorders>
            <w:shd w:val="clear" w:color="auto" w:fill="auto"/>
            <w:noWrap/>
            <w:vAlign w:val="bottom"/>
            <w:hideMark/>
          </w:tcPr>
          <w:p w14:paraId="714CC949"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186%</w:t>
            </w:r>
          </w:p>
        </w:tc>
      </w:tr>
      <w:tr w:rsidR="002C0DE6" w:rsidRPr="00973028" w14:paraId="50A1DC17" w14:textId="77777777" w:rsidTr="000F4B9E">
        <w:trPr>
          <w:trHeight w:val="300"/>
          <w:jc w:val="center"/>
        </w:trPr>
        <w:tc>
          <w:tcPr>
            <w:tcW w:w="2088" w:type="pct"/>
            <w:tcBorders>
              <w:top w:val="nil"/>
              <w:left w:val="single" w:sz="8" w:space="0" w:color="auto"/>
              <w:bottom w:val="single" w:sz="4" w:space="0" w:color="auto"/>
              <w:right w:val="single" w:sz="4" w:space="0" w:color="auto"/>
            </w:tcBorders>
            <w:shd w:val="clear" w:color="000000" w:fill="DDE0E3"/>
            <w:noWrap/>
            <w:vAlign w:val="bottom"/>
            <w:hideMark/>
          </w:tcPr>
          <w:p w14:paraId="1A7A8ACA" w14:textId="77777777" w:rsidR="002C0DE6" w:rsidRPr="00973028" w:rsidRDefault="002C0DE6" w:rsidP="002A4453">
            <w:pPr>
              <w:jc w:val="right"/>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Subtotal…</w:t>
            </w:r>
          </w:p>
        </w:tc>
        <w:tc>
          <w:tcPr>
            <w:tcW w:w="646" w:type="pct"/>
            <w:tcBorders>
              <w:top w:val="nil"/>
              <w:left w:val="nil"/>
              <w:bottom w:val="single" w:sz="4" w:space="0" w:color="auto"/>
              <w:right w:val="single" w:sz="4" w:space="0" w:color="auto"/>
            </w:tcBorders>
            <w:shd w:val="clear" w:color="000000" w:fill="DDE0E3"/>
            <w:noWrap/>
            <w:vAlign w:val="bottom"/>
            <w:hideMark/>
          </w:tcPr>
          <w:p w14:paraId="6A2B3442"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135</w:t>
            </w:r>
          </w:p>
        </w:tc>
        <w:tc>
          <w:tcPr>
            <w:tcW w:w="428" w:type="pct"/>
            <w:tcBorders>
              <w:top w:val="nil"/>
              <w:left w:val="nil"/>
              <w:bottom w:val="single" w:sz="4" w:space="0" w:color="auto"/>
              <w:right w:val="single" w:sz="4" w:space="0" w:color="auto"/>
            </w:tcBorders>
            <w:shd w:val="clear" w:color="000000" w:fill="DDE0E3"/>
            <w:noWrap/>
            <w:vAlign w:val="bottom"/>
            <w:hideMark/>
          </w:tcPr>
          <w:p w14:paraId="1680AFC1"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80%</w:t>
            </w:r>
          </w:p>
        </w:tc>
        <w:tc>
          <w:tcPr>
            <w:tcW w:w="646" w:type="pct"/>
            <w:tcBorders>
              <w:top w:val="nil"/>
              <w:left w:val="nil"/>
              <w:bottom w:val="single" w:sz="4" w:space="0" w:color="auto"/>
              <w:right w:val="single" w:sz="4" w:space="0" w:color="auto"/>
            </w:tcBorders>
            <w:shd w:val="clear" w:color="000000" w:fill="DDE0E3"/>
            <w:noWrap/>
            <w:vAlign w:val="bottom"/>
            <w:hideMark/>
          </w:tcPr>
          <w:p w14:paraId="61E3488B"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183</w:t>
            </w:r>
          </w:p>
        </w:tc>
        <w:tc>
          <w:tcPr>
            <w:tcW w:w="428" w:type="pct"/>
            <w:tcBorders>
              <w:top w:val="nil"/>
              <w:left w:val="nil"/>
              <w:bottom w:val="single" w:sz="4" w:space="0" w:color="auto"/>
              <w:right w:val="single" w:sz="4" w:space="0" w:color="auto"/>
            </w:tcBorders>
            <w:shd w:val="clear" w:color="000000" w:fill="DDE0E3"/>
            <w:noWrap/>
            <w:vAlign w:val="bottom"/>
            <w:hideMark/>
          </w:tcPr>
          <w:p w14:paraId="6762D6A2"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80%</w:t>
            </w:r>
          </w:p>
        </w:tc>
        <w:tc>
          <w:tcPr>
            <w:tcW w:w="293" w:type="pct"/>
            <w:tcBorders>
              <w:top w:val="nil"/>
              <w:left w:val="nil"/>
              <w:bottom w:val="single" w:sz="4" w:space="0" w:color="auto"/>
              <w:right w:val="single" w:sz="4" w:space="0" w:color="auto"/>
            </w:tcBorders>
            <w:shd w:val="clear" w:color="000000" w:fill="DDE0E3"/>
            <w:noWrap/>
            <w:vAlign w:val="bottom"/>
            <w:hideMark/>
          </w:tcPr>
          <w:p w14:paraId="55D0F265"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48</w:t>
            </w:r>
          </w:p>
        </w:tc>
        <w:tc>
          <w:tcPr>
            <w:tcW w:w="471" w:type="pct"/>
            <w:tcBorders>
              <w:top w:val="nil"/>
              <w:left w:val="nil"/>
              <w:bottom w:val="single" w:sz="4" w:space="0" w:color="auto"/>
              <w:right w:val="single" w:sz="4" w:space="0" w:color="auto"/>
            </w:tcBorders>
            <w:shd w:val="clear" w:color="000000" w:fill="DDE0E3"/>
            <w:noWrap/>
            <w:vAlign w:val="bottom"/>
            <w:hideMark/>
          </w:tcPr>
          <w:p w14:paraId="4BEFFBF6"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36%</w:t>
            </w:r>
          </w:p>
        </w:tc>
      </w:tr>
      <w:tr w:rsidR="002C0DE6" w:rsidRPr="00973028" w14:paraId="579C04C0" w14:textId="77777777" w:rsidTr="000F4B9E">
        <w:trPr>
          <w:trHeight w:val="300"/>
          <w:jc w:val="center"/>
        </w:trPr>
        <w:tc>
          <w:tcPr>
            <w:tcW w:w="2088" w:type="pct"/>
            <w:tcBorders>
              <w:top w:val="nil"/>
              <w:left w:val="single" w:sz="8" w:space="0" w:color="auto"/>
              <w:bottom w:val="single" w:sz="4" w:space="0" w:color="auto"/>
              <w:right w:val="single" w:sz="4" w:space="0" w:color="auto"/>
            </w:tcBorders>
            <w:shd w:val="clear" w:color="auto" w:fill="auto"/>
            <w:noWrap/>
            <w:vAlign w:val="bottom"/>
            <w:hideMark/>
          </w:tcPr>
          <w:p w14:paraId="6C854262" w14:textId="77777777" w:rsidR="002C0DE6" w:rsidRPr="00973028" w:rsidRDefault="002C0DE6" w:rsidP="002A4453">
            <w:pP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INVESTIGACIÓN</w:t>
            </w:r>
          </w:p>
        </w:tc>
        <w:tc>
          <w:tcPr>
            <w:tcW w:w="646" w:type="pct"/>
            <w:tcBorders>
              <w:top w:val="nil"/>
              <w:left w:val="nil"/>
              <w:bottom w:val="single" w:sz="4" w:space="0" w:color="auto"/>
              <w:right w:val="single" w:sz="4" w:space="0" w:color="auto"/>
            </w:tcBorders>
            <w:shd w:val="clear" w:color="auto" w:fill="auto"/>
            <w:noWrap/>
            <w:vAlign w:val="bottom"/>
            <w:hideMark/>
          </w:tcPr>
          <w:p w14:paraId="4F50963F"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 </w:t>
            </w:r>
          </w:p>
        </w:tc>
        <w:tc>
          <w:tcPr>
            <w:tcW w:w="428" w:type="pct"/>
            <w:tcBorders>
              <w:top w:val="nil"/>
              <w:left w:val="nil"/>
              <w:bottom w:val="single" w:sz="4" w:space="0" w:color="auto"/>
              <w:right w:val="single" w:sz="4" w:space="0" w:color="auto"/>
            </w:tcBorders>
            <w:shd w:val="clear" w:color="auto" w:fill="auto"/>
            <w:noWrap/>
            <w:vAlign w:val="bottom"/>
            <w:hideMark/>
          </w:tcPr>
          <w:p w14:paraId="61A0D769"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 </w:t>
            </w:r>
          </w:p>
        </w:tc>
        <w:tc>
          <w:tcPr>
            <w:tcW w:w="646" w:type="pct"/>
            <w:tcBorders>
              <w:top w:val="nil"/>
              <w:left w:val="nil"/>
              <w:bottom w:val="single" w:sz="4" w:space="0" w:color="auto"/>
              <w:right w:val="single" w:sz="4" w:space="0" w:color="auto"/>
            </w:tcBorders>
            <w:shd w:val="clear" w:color="auto" w:fill="auto"/>
            <w:noWrap/>
            <w:vAlign w:val="bottom"/>
            <w:hideMark/>
          </w:tcPr>
          <w:p w14:paraId="7274BFE4"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 </w:t>
            </w:r>
          </w:p>
        </w:tc>
        <w:tc>
          <w:tcPr>
            <w:tcW w:w="428" w:type="pct"/>
            <w:tcBorders>
              <w:top w:val="nil"/>
              <w:left w:val="nil"/>
              <w:bottom w:val="single" w:sz="4" w:space="0" w:color="auto"/>
              <w:right w:val="single" w:sz="4" w:space="0" w:color="auto"/>
            </w:tcBorders>
            <w:shd w:val="clear" w:color="auto" w:fill="auto"/>
            <w:noWrap/>
            <w:vAlign w:val="bottom"/>
            <w:hideMark/>
          </w:tcPr>
          <w:p w14:paraId="03F28B7D"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 </w:t>
            </w:r>
          </w:p>
        </w:tc>
        <w:tc>
          <w:tcPr>
            <w:tcW w:w="293" w:type="pct"/>
            <w:tcBorders>
              <w:top w:val="nil"/>
              <w:left w:val="nil"/>
              <w:bottom w:val="single" w:sz="4" w:space="0" w:color="auto"/>
              <w:right w:val="single" w:sz="4" w:space="0" w:color="auto"/>
            </w:tcBorders>
            <w:shd w:val="clear" w:color="auto" w:fill="auto"/>
            <w:noWrap/>
            <w:vAlign w:val="bottom"/>
            <w:hideMark/>
          </w:tcPr>
          <w:p w14:paraId="0ADDDF0E"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 </w:t>
            </w:r>
          </w:p>
        </w:tc>
        <w:tc>
          <w:tcPr>
            <w:tcW w:w="471" w:type="pct"/>
            <w:tcBorders>
              <w:top w:val="nil"/>
              <w:left w:val="nil"/>
              <w:bottom w:val="single" w:sz="4" w:space="0" w:color="auto"/>
              <w:right w:val="single" w:sz="8" w:space="0" w:color="auto"/>
            </w:tcBorders>
            <w:shd w:val="clear" w:color="auto" w:fill="auto"/>
            <w:noWrap/>
            <w:vAlign w:val="bottom"/>
            <w:hideMark/>
          </w:tcPr>
          <w:p w14:paraId="7CC2C8BD"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 </w:t>
            </w:r>
          </w:p>
        </w:tc>
      </w:tr>
      <w:tr w:rsidR="002C0DE6" w:rsidRPr="00973028" w14:paraId="779EEB63" w14:textId="77777777" w:rsidTr="000F4B9E">
        <w:trPr>
          <w:trHeight w:val="300"/>
          <w:jc w:val="center"/>
        </w:trPr>
        <w:tc>
          <w:tcPr>
            <w:tcW w:w="2088" w:type="pct"/>
            <w:tcBorders>
              <w:top w:val="nil"/>
              <w:left w:val="single" w:sz="8" w:space="0" w:color="auto"/>
              <w:bottom w:val="single" w:sz="4" w:space="0" w:color="auto"/>
              <w:right w:val="single" w:sz="4" w:space="0" w:color="auto"/>
            </w:tcBorders>
            <w:shd w:val="clear" w:color="auto" w:fill="auto"/>
            <w:noWrap/>
            <w:vAlign w:val="bottom"/>
            <w:hideMark/>
          </w:tcPr>
          <w:p w14:paraId="176F30F7" w14:textId="77777777" w:rsidR="002C0DE6" w:rsidRPr="00973028" w:rsidRDefault="002C0DE6" w:rsidP="002A4453">
            <w:pPr>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Reapertura expedientes</w:t>
            </w:r>
          </w:p>
        </w:tc>
        <w:tc>
          <w:tcPr>
            <w:tcW w:w="646" w:type="pct"/>
            <w:tcBorders>
              <w:top w:val="nil"/>
              <w:left w:val="nil"/>
              <w:bottom w:val="single" w:sz="4" w:space="0" w:color="auto"/>
              <w:right w:val="single" w:sz="4" w:space="0" w:color="auto"/>
            </w:tcBorders>
            <w:shd w:val="clear" w:color="auto" w:fill="auto"/>
            <w:noWrap/>
            <w:vAlign w:val="bottom"/>
            <w:hideMark/>
          </w:tcPr>
          <w:p w14:paraId="1FB626D5"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428" w:type="pct"/>
            <w:tcBorders>
              <w:top w:val="nil"/>
              <w:left w:val="nil"/>
              <w:bottom w:val="single" w:sz="4" w:space="0" w:color="auto"/>
              <w:right w:val="single" w:sz="4" w:space="0" w:color="auto"/>
            </w:tcBorders>
            <w:shd w:val="clear" w:color="auto" w:fill="auto"/>
            <w:noWrap/>
            <w:vAlign w:val="bottom"/>
            <w:hideMark/>
          </w:tcPr>
          <w:p w14:paraId="29FC8E93"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646" w:type="pct"/>
            <w:tcBorders>
              <w:top w:val="nil"/>
              <w:left w:val="nil"/>
              <w:bottom w:val="single" w:sz="4" w:space="0" w:color="auto"/>
              <w:right w:val="single" w:sz="4" w:space="0" w:color="auto"/>
            </w:tcBorders>
            <w:shd w:val="clear" w:color="auto" w:fill="auto"/>
            <w:noWrap/>
            <w:vAlign w:val="bottom"/>
            <w:hideMark/>
          </w:tcPr>
          <w:p w14:paraId="58F66508"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w:t>
            </w:r>
          </w:p>
        </w:tc>
        <w:tc>
          <w:tcPr>
            <w:tcW w:w="428" w:type="pct"/>
            <w:tcBorders>
              <w:top w:val="nil"/>
              <w:left w:val="nil"/>
              <w:bottom w:val="single" w:sz="4" w:space="0" w:color="auto"/>
              <w:right w:val="single" w:sz="4" w:space="0" w:color="auto"/>
            </w:tcBorders>
            <w:shd w:val="clear" w:color="auto" w:fill="auto"/>
            <w:noWrap/>
            <w:vAlign w:val="bottom"/>
            <w:hideMark/>
          </w:tcPr>
          <w:p w14:paraId="7F8ED69E"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w:t>
            </w:r>
          </w:p>
        </w:tc>
        <w:tc>
          <w:tcPr>
            <w:tcW w:w="293" w:type="pct"/>
            <w:tcBorders>
              <w:top w:val="nil"/>
              <w:left w:val="nil"/>
              <w:bottom w:val="single" w:sz="4" w:space="0" w:color="auto"/>
              <w:right w:val="single" w:sz="4" w:space="0" w:color="auto"/>
            </w:tcBorders>
            <w:shd w:val="clear" w:color="auto" w:fill="auto"/>
            <w:noWrap/>
            <w:vAlign w:val="bottom"/>
            <w:hideMark/>
          </w:tcPr>
          <w:p w14:paraId="25CC6F20"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w:t>
            </w:r>
          </w:p>
        </w:tc>
        <w:tc>
          <w:tcPr>
            <w:tcW w:w="471" w:type="pct"/>
            <w:tcBorders>
              <w:top w:val="nil"/>
              <w:left w:val="nil"/>
              <w:bottom w:val="single" w:sz="4" w:space="0" w:color="auto"/>
              <w:right w:val="single" w:sz="8" w:space="0" w:color="auto"/>
            </w:tcBorders>
            <w:shd w:val="clear" w:color="auto" w:fill="auto"/>
            <w:noWrap/>
            <w:vAlign w:val="bottom"/>
            <w:hideMark/>
          </w:tcPr>
          <w:p w14:paraId="2ECFDEB1"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 </w:t>
            </w:r>
          </w:p>
        </w:tc>
      </w:tr>
      <w:tr w:rsidR="002C0DE6" w:rsidRPr="00973028" w14:paraId="56484B65" w14:textId="77777777" w:rsidTr="000F4B9E">
        <w:trPr>
          <w:trHeight w:val="300"/>
          <w:jc w:val="center"/>
        </w:trPr>
        <w:tc>
          <w:tcPr>
            <w:tcW w:w="2088" w:type="pct"/>
            <w:tcBorders>
              <w:top w:val="nil"/>
              <w:left w:val="single" w:sz="8" w:space="0" w:color="auto"/>
              <w:bottom w:val="single" w:sz="4" w:space="0" w:color="auto"/>
              <w:right w:val="single" w:sz="4" w:space="0" w:color="auto"/>
            </w:tcBorders>
            <w:shd w:val="clear" w:color="auto" w:fill="auto"/>
            <w:noWrap/>
            <w:vAlign w:val="bottom"/>
            <w:hideMark/>
          </w:tcPr>
          <w:p w14:paraId="26B932EC" w14:textId="77777777" w:rsidR="002C0DE6" w:rsidRPr="00973028" w:rsidRDefault="002C0DE6" w:rsidP="002A4453">
            <w:pPr>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Archivo</w:t>
            </w:r>
          </w:p>
        </w:tc>
        <w:tc>
          <w:tcPr>
            <w:tcW w:w="646" w:type="pct"/>
            <w:tcBorders>
              <w:top w:val="nil"/>
              <w:left w:val="nil"/>
              <w:bottom w:val="single" w:sz="4" w:space="0" w:color="auto"/>
              <w:right w:val="single" w:sz="4" w:space="0" w:color="auto"/>
            </w:tcBorders>
            <w:shd w:val="clear" w:color="auto" w:fill="auto"/>
            <w:noWrap/>
            <w:vAlign w:val="bottom"/>
            <w:hideMark/>
          </w:tcPr>
          <w:p w14:paraId="29E34840"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6</w:t>
            </w:r>
          </w:p>
        </w:tc>
        <w:tc>
          <w:tcPr>
            <w:tcW w:w="428" w:type="pct"/>
            <w:tcBorders>
              <w:top w:val="nil"/>
              <w:left w:val="nil"/>
              <w:bottom w:val="single" w:sz="4" w:space="0" w:color="auto"/>
              <w:right w:val="single" w:sz="4" w:space="0" w:color="auto"/>
            </w:tcBorders>
            <w:shd w:val="clear" w:color="auto" w:fill="auto"/>
            <w:noWrap/>
            <w:vAlign w:val="bottom"/>
            <w:hideMark/>
          </w:tcPr>
          <w:p w14:paraId="0F5781CA"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4%</w:t>
            </w:r>
          </w:p>
        </w:tc>
        <w:tc>
          <w:tcPr>
            <w:tcW w:w="646" w:type="pct"/>
            <w:tcBorders>
              <w:top w:val="nil"/>
              <w:left w:val="nil"/>
              <w:bottom w:val="single" w:sz="4" w:space="0" w:color="auto"/>
              <w:right w:val="single" w:sz="4" w:space="0" w:color="auto"/>
            </w:tcBorders>
            <w:shd w:val="clear" w:color="auto" w:fill="auto"/>
            <w:noWrap/>
            <w:vAlign w:val="bottom"/>
            <w:hideMark/>
          </w:tcPr>
          <w:p w14:paraId="2B1AE140"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14</w:t>
            </w:r>
          </w:p>
        </w:tc>
        <w:tc>
          <w:tcPr>
            <w:tcW w:w="428" w:type="pct"/>
            <w:tcBorders>
              <w:top w:val="nil"/>
              <w:left w:val="nil"/>
              <w:bottom w:val="single" w:sz="4" w:space="0" w:color="auto"/>
              <w:right w:val="single" w:sz="4" w:space="0" w:color="auto"/>
            </w:tcBorders>
            <w:shd w:val="clear" w:color="auto" w:fill="auto"/>
            <w:noWrap/>
            <w:vAlign w:val="bottom"/>
            <w:hideMark/>
          </w:tcPr>
          <w:p w14:paraId="414016F0"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6%</w:t>
            </w:r>
          </w:p>
        </w:tc>
        <w:tc>
          <w:tcPr>
            <w:tcW w:w="293" w:type="pct"/>
            <w:tcBorders>
              <w:top w:val="nil"/>
              <w:left w:val="nil"/>
              <w:bottom w:val="single" w:sz="4" w:space="0" w:color="auto"/>
              <w:right w:val="single" w:sz="4" w:space="0" w:color="auto"/>
            </w:tcBorders>
            <w:shd w:val="clear" w:color="auto" w:fill="auto"/>
            <w:noWrap/>
            <w:vAlign w:val="bottom"/>
            <w:hideMark/>
          </w:tcPr>
          <w:p w14:paraId="52BCC1FD"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8</w:t>
            </w:r>
          </w:p>
        </w:tc>
        <w:tc>
          <w:tcPr>
            <w:tcW w:w="471" w:type="pct"/>
            <w:tcBorders>
              <w:top w:val="nil"/>
              <w:left w:val="nil"/>
              <w:bottom w:val="single" w:sz="4" w:space="0" w:color="auto"/>
              <w:right w:val="single" w:sz="8" w:space="0" w:color="auto"/>
            </w:tcBorders>
            <w:shd w:val="clear" w:color="auto" w:fill="auto"/>
            <w:noWrap/>
            <w:vAlign w:val="bottom"/>
            <w:hideMark/>
          </w:tcPr>
          <w:p w14:paraId="2E6AE7B8"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133%</w:t>
            </w:r>
          </w:p>
        </w:tc>
      </w:tr>
      <w:tr w:rsidR="002C0DE6" w:rsidRPr="00973028" w14:paraId="4CD95AA3" w14:textId="77777777" w:rsidTr="000F4B9E">
        <w:trPr>
          <w:trHeight w:val="300"/>
          <w:jc w:val="center"/>
        </w:trPr>
        <w:tc>
          <w:tcPr>
            <w:tcW w:w="2088" w:type="pct"/>
            <w:tcBorders>
              <w:top w:val="nil"/>
              <w:left w:val="single" w:sz="8" w:space="0" w:color="auto"/>
              <w:bottom w:val="single" w:sz="4" w:space="0" w:color="auto"/>
              <w:right w:val="single" w:sz="4" w:space="0" w:color="auto"/>
            </w:tcBorders>
            <w:shd w:val="clear" w:color="auto" w:fill="auto"/>
            <w:noWrap/>
            <w:vAlign w:val="bottom"/>
            <w:hideMark/>
          </w:tcPr>
          <w:p w14:paraId="2E813B75" w14:textId="77777777" w:rsidR="002C0DE6" w:rsidRPr="00973028" w:rsidRDefault="002C0DE6" w:rsidP="002A4453">
            <w:pPr>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Recomendaciones</w:t>
            </w:r>
          </w:p>
        </w:tc>
        <w:tc>
          <w:tcPr>
            <w:tcW w:w="646" w:type="pct"/>
            <w:tcBorders>
              <w:top w:val="nil"/>
              <w:left w:val="nil"/>
              <w:bottom w:val="single" w:sz="4" w:space="0" w:color="auto"/>
              <w:right w:val="single" w:sz="4" w:space="0" w:color="auto"/>
            </w:tcBorders>
            <w:shd w:val="clear" w:color="auto" w:fill="auto"/>
            <w:noWrap/>
            <w:vAlign w:val="bottom"/>
            <w:hideMark/>
          </w:tcPr>
          <w:p w14:paraId="2ED2C235"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8</w:t>
            </w:r>
          </w:p>
        </w:tc>
        <w:tc>
          <w:tcPr>
            <w:tcW w:w="428" w:type="pct"/>
            <w:tcBorders>
              <w:top w:val="nil"/>
              <w:left w:val="nil"/>
              <w:bottom w:val="single" w:sz="4" w:space="0" w:color="auto"/>
              <w:right w:val="single" w:sz="4" w:space="0" w:color="auto"/>
            </w:tcBorders>
            <w:shd w:val="clear" w:color="auto" w:fill="auto"/>
            <w:noWrap/>
            <w:vAlign w:val="bottom"/>
            <w:hideMark/>
          </w:tcPr>
          <w:p w14:paraId="667148C3"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5%</w:t>
            </w:r>
          </w:p>
        </w:tc>
        <w:tc>
          <w:tcPr>
            <w:tcW w:w="646" w:type="pct"/>
            <w:tcBorders>
              <w:top w:val="nil"/>
              <w:left w:val="nil"/>
              <w:bottom w:val="single" w:sz="4" w:space="0" w:color="auto"/>
              <w:right w:val="single" w:sz="4" w:space="0" w:color="auto"/>
            </w:tcBorders>
            <w:shd w:val="clear" w:color="auto" w:fill="auto"/>
            <w:noWrap/>
            <w:vAlign w:val="bottom"/>
            <w:hideMark/>
          </w:tcPr>
          <w:p w14:paraId="2301550E"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23</w:t>
            </w:r>
          </w:p>
        </w:tc>
        <w:tc>
          <w:tcPr>
            <w:tcW w:w="428" w:type="pct"/>
            <w:tcBorders>
              <w:top w:val="nil"/>
              <w:left w:val="nil"/>
              <w:bottom w:val="single" w:sz="4" w:space="0" w:color="auto"/>
              <w:right w:val="single" w:sz="4" w:space="0" w:color="auto"/>
            </w:tcBorders>
            <w:shd w:val="clear" w:color="auto" w:fill="auto"/>
            <w:noWrap/>
            <w:vAlign w:val="bottom"/>
            <w:hideMark/>
          </w:tcPr>
          <w:p w14:paraId="0528C95D"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10%</w:t>
            </w:r>
          </w:p>
        </w:tc>
        <w:tc>
          <w:tcPr>
            <w:tcW w:w="293" w:type="pct"/>
            <w:tcBorders>
              <w:top w:val="nil"/>
              <w:left w:val="nil"/>
              <w:bottom w:val="single" w:sz="4" w:space="0" w:color="auto"/>
              <w:right w:val="single" w:sz="4" w:space="0" w:color="auto"/>
            </w:tcBorders>
            <w:shd w:val="clear" w:color="auto" w:fill="auto"/>
            <w:noWrap/>
            <w:vAlign w:val="bottom"/>
            <w:hideMark/>
          </w:tcPr>
          <w:p w14:paraId="08C1AF02"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15</w:t>
            </w:r>
          </w:p>
        </w:tc>
        <w:tc>
          <w:tcPr>
            <w:tcW w:w="471" w:type="pct"/>
            <w:tcBorders>
              <w:top w:val="nil"/>
              <w:left w:val="nil"/>
              <w:bottom w:val="single" w:sz="4" w:space="0" w:color="auto"/>
              <w:right w:val="single" w:sz="8" w:space="0" w:color="auto"/>
            </w:tcBorders>
            <w:shd w:val="clear" w:color="auto" w:fill="auto"/>
            <w:noWrap/>
            <w:vAlign w:val="bottom"/>
            <w:hideMark/>
          </w:tcPr>
          <w:p w14:paraId="09639860"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188%</w:t>
            </w:r>
          </w:p>
        </w:tc>
      </w:tr>
      <w:tr w:rsidR="002C0DE6" w:rsidRPr="00973028" w14:paraId="382B05A7" w14:textId="77777777" w:rsidTr="000F4B9E">
        <w:trPr>
          <w:trHeight w:val="300"/>
          <w:jc w:val="center"/>
        </w:trPr>
        <w:tc>
          <w:tcPr>
            <w:tcW w:w="2088" w:type="pct"/>
            <w:tcBorders>
              <w:top w:val="nil"/>
              <w:left w:val="single" w:sz="8" w:space="0" w:color="auto"/>
              <w:bottom w:val="single" w:sz="4" w:space="0" w:color="auto"/>
              <w:right w:val="single" w:sz="4" w:space="0" w:color="auto"/>
            </w:tcBorders>
            <w:shd w:val="clear" w:color="auto" w:fill="auto"/>
            <w:noWrap/>
            <w:vAlign w:val="bottom"/>
            <w:hideMark/>
          </w:tcPr>
          <w:p w14:paraId="49770F28" w14:textId="77777777" w:rsidR="002C0DE6" w:rsidRPr="00973028" w:rsidRDefault="002C0DE6" w:rsidP="002A4453">
            <w:pPr>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Traslado DAJ, sancionador</w:t>
            </w:r>
          </w:p>
        </w:tc>
        <w:tc>
          <w:tcPr>
            <w:tcW w:w="646" w:type="pct"/>
            <w:tcBorders>
              <w:top w:val="nil"/>
              <w:left w:val="nil"/>
              <w:bottom w:val="single" w:sz="4" w:space="0" w:color="auto"/>
              <w:right w:val="single" w:sz="4" w:space="0" w:color="auto"/>
            </w:tcBorders>
            <w:shd w:val="clear" w:color="auto" w:fill="auto"/>
            <w:noWrap/>
            <w:vAlign w:val="bottom"/>
            <w:hideMark/>
          </w:tcPr>
          <w:p w14:paraId="778D599B"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428" w:type="pct"/>
            <w:tcBorders>
              <w:top w:val="nil"/>
              <w:left w:val="nil"/>
              <w:bottom w:val="single" w:sz="4" w:space="0" w:color="auto"/>
              <w:right w:val="single" w:sz="4" w:space="0" w:color="auto"/>
            </w:tcBorders>
            <w:shd w:val="clear" w:color="auto" w:fill="auto"/>
            <w:noWrap/>
            <w:vAlign w:val="bottom"/>
            <w:hideMark/>
          </w:tcPr>
          <w:p w14:paraId="04B3749E"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646" w:type="pct"/>
            <w:tcBorders>
              <w:top w:val="nil"/>
              <w:left w:val="nil"/>
              <w:bottom w:val="single" w:sz="4" w:space="0" w:color="auto"/>
              <w:right w:val="single" w:sz="4" w:space="0" w:color="auto"/>
            </w:tcBorders>
            <w:shd w:val="clear" w:color="auto" w:fill="auto"/>
            <w:noWrap/>
            <w:vAlign w:val="bottom"/>
            <w:hideMark/>
          </w:tcPr>
          <w:p w14:paraId="738D74B0"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428" w:type="pct"/>
            <w:tcBorders>
              <w:top w:val="nil"/>
              <w:left w:val="nil"/>
              <w:bottom w:val="single" w:sz="4" w:space="0" w:color="auto"/>
              <w:right w:val="single" w:sz="4" w:space="0" w:color="auto"/>
            </w:tcBorders>
            <w:shd w:val="clear" w:color="auto" w:fill="auto"/>
            <w:noWrap/>
            <w:vAlign w:val="bottom"/>
            <w:hideMark/>
          </w:tcPr>
          <w:p w14:paraId="14C272FC"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293" w:type="pct"/>
            <w:tcBorders>
              <w:top w:val="nil"/>
              <w:left w:val="nil"/>
              <w:bottom w:val="single" w:sz="4" w:space="0" w:color="auto"/>
              <w:right w:val="single" w:sz="4" w:space="0" w:color="auto"/>
            </w:tcBorders>
            <w:shd w:val="clear" w:color="auto" w:fill="auto"/>
            <w:noWrap/>
            <w:vAlign w:val="bottom"/>
            <w:hideMark/>
          </w:tcPr>
          <w:p w14:paraId="02C1E885"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471" w:type="pct"/>
            <w:tcBorders>
              <w:top w:val="nil"/>
              <w:left w:val="nil"/>
              <w:bottom w:val="single" w:sz="4" w:space="0" w:color="auto"/>
              <w:right w:val="single" w:sz="8" w:space="0" w:color="auto"/>
            </w:tcBorders>
            <w:shd w:val="clear" w:color="auto" w:fill="auto"/>
            <w:noWrap/>
            <w:vAlign w:val="bottom"/>
            <w:hideMark/>
          </w:tcPr>
          <w:p w14:paraId="6401E7EB"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 </w:t>
            </w:r>
          </w:p>
        </w:tc>
      </w:tr>
      <w:tr w:rsidR="002C0DE6" w:rsidRPr="00973028" w14:paraId="402C6C4E" w14:textId="77777777" w:rsidTr="000F4B9E">
        <w:trPr>
          <w:trHeight w:val="300"/>
          <w:jc w:val="center"/>
        </w:trPr>
        <w:tc>
          <w:tcPr>
            <w:tcW w:w="2088" w:type="pct"/>
            <w:tcBorders>
              <w:top w:val="nil"/>
              <w:left w:val="single" w:sz="8" w:space="0" w:color="auto"/>
              <w:bottom w:val="single" w:sz="4" w:space="0" w:color="auto"/>
              <w:right w:val="single" w:sz="4" w:space="0" w:color="auto"/>
            </w:tcBorders>
            <w:shd w:val="clear" w:color="auto" w:fill="auto"/>
            <w:noWrap/>
            <w:vAlign w:val="bottom"/>
            <w:hideMark/>
          </w:tcPr>
          <w:p w14:paraId="6584BBFF" w14:textId="77777777" w:rsidR="002C0DE6" w:rsidRPr="00973028" w:rsidRDefault="002C0DE6" w:rsidP="002A4453">
            <w:pPr>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Traslado órgano administrativo</w:t>
            </w:r>
          </w:p>
        </w:tc>
        <w:tc>
          <w:tcPr>
            <w:tcW w:w="646" w:type="pct"/>
            <w:tcBorders>
              <w:top w:val="nil"/>
              <w:left w:val="nil"/>
              <w:bottom w:val="single" w:sz="4" w:space="0" w:color="auto"/>
              <w:right w:val="single" w:sz="4" w:space="0" w:color="auto"/>
            </w:tcBorders>
            <w:shd w:val="clear" w:color="auto" w:fill="auto"/>
            <w:noWrap/>
            <w:vAlign w:val="bottom"/>
            <w:hideMark/>
          </w:tcPr>
          <w:p w14:paraId="302D07CB"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428" w:type="pct"/>
            <w:tcBorders>
              <w:top w:val="nil"/>
              <w:left w:val="nil"/>
              <w:bottom w:val="single" w:sz="4" w:space="0" w:color="auto"/>
              <w:right w:val="single" w:sz="4" w:space="0" w:color="auto"/>
            </w:tcBorders>
            <w:shd w:val="clear" w:color="auto" w:fill="auto"/>
            <w:noWrap/>
            <w:vAlign w:val="bottom"/>
            <w:hideMark/>
          </w:tcPr>
          <w:p w14:paraId="4A90CEA3"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646" w:type="pct"/>
            <w:tcBorders>
              <w:top w:val="nil"/>
              <w:left w:val="nil"/>
              <w:bottom w:val="single" w:sz="4" w:space="0" w:color="auto"/>
              <w:right w:val="single" w:sz="4" w:space="0" w:color="auto"/>
            </w:tcBorders>
            <w:shd w:val="clear" w:color="auto" w:fill="auto"/>
            <w:noWrap/>
            <w:vAlign w:val="bottom"/>
            <w:hideMark/>
          </w:tcPr>
          <w:p w14:paraId="30541F87"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428" w:type="pct"/>
            <w:tcBorders>
              <w:top w:val="nil"/>
              <w:left w:val="nil"/>
              <w:bottom w:val="single" w:sz="4" w:space="0" w:color="auto"/>
              <w:right w:val="single" w:sz="4" w:space="0" w:color="auto"/>
            </w:tcBorders>
            <w:shd w:val="clear" w:color="auto" w:fill="auto"/>
            <w:noWrap/>
            <w:vAlign w:val="bottom"/>
            <w:hideMark/>
          </w:tcPr>
          <w:p w14:paraId="264A4F7E"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293" w:type="pct"/>
            <w:tcBorders>
              <w:top w:val="nil"/>
              <w:left w:val="nil"/>
              <w:bottom w:val="single" w:sz="4" w:space="0" w:color="auto"/>
              <w:right w:val="single" w:sz="4" w:space="0" w:color="auto"/>
            </w:tcBorders>
            <w:shd w:val="clear" w:color="auto" w:fill="auto"/>
            <w:noWrap/>
            <w:vAlign w:val="bottom"/>
            <w:hideMark/>
          </w:tcPr>
          <w:p w14:paraId="0BD85943"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0</w:t>
            </w:r>
          </w:p>
        </w:tc>
        <w:tc>
          <w:tcPr>
            <w:tcW w:w="471" w:type="pct"/>
            <w:tcBorders>
              <w:top w:val="nil"/>
              <w:left w:val="nil"/>
              <w:bottom w:val="single" w:sz="4" w:space="0" w:color="auto"/>
              <w:right w:val="single" w:sz="8" w:space="0" w:color="auto"/>
            </w:tcBorders>
            <w:shd w:val="clear" w:color="auto" w:fill="auto"/>
            <w:noWrap/>
            <w:vAlign w:val="bottom"/>
            <w:hideMark/>
          </w:tcPr>
          <w:p w14:paraId="05E51392"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 </w:t>
            </w:r>
          </w:p>
        </w:tc>
      </w:tr>
      <w:tr w:rsidR="002C0DE6" w:rsidRPr="00973028" w14:paraId="6057F6C4" w14:textId="77777777" w:rsidTr="000F4B9E">
        <w:trPr>
          <w:trHeight w:val="300"/>
          <w:jc w:val="center"/>
        </w:trPr>
        <w:tc>
          <w:tcPr>
            <w:tcW w:w="2088" w:type="pct"/>
            <w:tcBorders>
              <w:top w:val="nil"/>
              <w:left w:val="single" w:sz="8" w:space="0" w:color="auto"/>
              <w:bottom w:val="single" w:sz="4" w:space="0" w:color="auto"/>
              <w:right w:val="single" w:sz="4" w:space="0" w:color="auto"/>
            </w:tcBorders>
            <w:shd w:val="clear" w:color="auto" w:fill="auto"/>
            <w:noWrap/>
            <w:vAlign w:val="bottom"/>
            <w:hideMark/>
          </w:tcPr>
          <w:p w14:paraId="0343C2E2" w14:textId="77777777" w:rsidR="002C0DE6" w:rsidRPr="00973028" w:rsidRDefault="002C0DE6" w:rsidP="002A4453">
            <w:pPr>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Traslado órgano judicial</w:t>
            </w:r>
          </w:p>
        </w:tc>
        <w:tc>
          <w:tcPr>
            <w:tcW w:w="646" w:type="pct"/>
            <w:tcBorders>
              <w:top w:val="nil"/>
              <w:left w:val="nil"/>
              <w:bottom w:val="single" w:sz="4" w:space="0" w:color="auto"/>
              <w:right w:val="single" w:sz="4" w:space="0" w:color="auto"/>
            </w:tcBorders>
            <w:shd w:val="clear" w:color="auto" w:fill="auto"/>
            <w:noWrap/>
            <w:vAlign w:val="bottom"/>
            <w:hideMark/>
          </w:tcPr>
          <w:p w14:paraId="599803B5"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17</w:t>
            </w:r>
          </w:p>
        </w:tc>
        <w:tc>
          <w:tcPr>
            <w:tcW w:w="428" w:type="pct"/>
            <w:tcBorders>
              <w:top w:val="nil"/>
              <w:left w:val="nil"/>
              <w:bottom w:val="single" w:sz="4" w:space="0" w:color="auto"/>
              <w:right w:val="single" w:sz="4" w:space="0" w:color="auto"/>
            </w:tcBorders>
            <w:shd w:val="clear" w:color="auto" w:fill="auto"/>
            <w:noWrap/>
            <w:vAlign w:val="bottom"/>
            <w:hideMark/>
          </w:tcPr>
          <w:p w14:paraId="37D32C05"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10%</w:t>
            </w:r>
          </w:p>
        </w:tc>
        <w:tc>
          <w:tcPr>
            <w:tcW w:w="646" w:type="pct"/>
            <w:tcBorders>
              <w:top w:val="nil"/>
              <w:left w:val="nil"/>
              <w:bottom w:val="single" w:sz="4" w:space="0" w:color="auto"/>
              <w:right w:val="single" w:sz="4" w:space="0" w:color="auto"/>
            </w:tcBorders>
            <w:shd w:val="clear" w:color="auto" w:fill="auto"/>
            <w:noWrap/>
            <w:vAlign w:val="bottom"/>
            <w:hideMark/>
          </w:tcPr>
          <w:p w14:paraId="3B4C9090"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w:t>
            </w:r>
          </w:p>
        </w:tc>
        <w:tc>
          <w:tcPr>
            <w:tcW w:w="428" w:type="pct"/>
            <w:tcBorders>
              <w:top w:val="nil"/>
              <w:left w:val="nil"/>
              <w:bottom w:val="single" w:sz="4" w:space="0" w:color="auto"/>
              <w:right w:val="single" w:sz="4" w:space="0" w:color="auto"/>
            </w:tcBorders>
            <w:shd w:val="clear" w:color="auto" w:fill="auto"/>
            <w:noWrap/>
            <w:vAlign w:val="bottom"/>
            <w:hideMark/>
          </w:tcPr>
          <w:p w14:paraId="0352A880"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w:t>
            </w:r>
          </w:p>
        </w:tc>
        <w:tc>
          <w:tcPr>
            <w:tcW w:w="293" w:type="pct"/>
            <w:tcBorders>
              <w:top w:val="nil"/>
              <w:left w:val="nil"/>
              <w:bottom w:val="single" w:sz="4" w:space="0" w:color="auto"/>
              <w:right w:val="single" w:sz="4" w:space="0" w:color="auto"/>
            </w:tcBorders>
            <w:shd w:val="clear" w:color="auto" w:fill="auto"/>
            <w:noWrap/>
            <w:vAlign w:val="bottom"/>
            <w:hideMark/>
          </w:tcPr>
          <w:p w14:paraId="1516F538"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-15</w:t>
            </w:r>
          </w:p>
        </w:tc>
        <w:tc>
          <w:tcPr>
            <w:tcW w:w="471" w:type="pct"/>
            <w:tcBorders>
              <w:top w:val="nil"/>
              <w:left w:val="nil"/>
              <w:bottom w:val="single" w:sz="4" w:space="0" w:color="auto"/>
              <w:right w:val="single" w:sz="8" w:space="0" w:color="auto"/>
            </w:tcBorders>
            <w:shd w:val="clear" w:color="auto" w:fill="auto"/>
            <w:noWrap/>
            <w:vAlign w:val="bottom"/>
            <w:hideMark/>
          </w:tcPr>
          <w:p w14:paraId="2CCA1A19"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-88%</w:t>
            </w:r>
          </w:p>
        </w:tc>
      </w:tr>
      <w:tr w:rsidR="002C0DE6" w:rsidRPr="00973028" w14:paraId="150F4B3C" w14:textId="77777777" w:rsidTr="000F4B9E">
        <w:trPr>
          <w:trHeight w:val="300"/>
          <w:jc w:val="center"/>
        </w:trPr>
        <w:tc>
          <w:tcPr>
            <w:tcW w:w="2088" w:type="pct"/>
            <w:tcBorders>
              <w:top w:val="nil"/>
              <w:left w:val="single" w:sz="8" w:space="0" w:color="auto"/>
              <w:bottom w:val="single" w:sz="4" w:space="0" w:color="auto"/>
              <w:right w:val="single" w:sz="4" w:space="0" w:color="auto"/>
            </w:tcBorders>
            <w:shd w:val="clear" w:color="auto" w:fill="auto"/>
            <w:noWrap/>
            <w:vAlign w:val="bottom"/>
            <w:hideMark/>
          </w:tcPr>
          <w:p w14:paraId="29A29432" w14:textId="77777777" w:rsidR="002C0DE6" w:rsidRPr="00973028" w:rsidRDefault="002C0DE6" w:rsidP="002A4453">
            <w:pPr>
              <w:ind w:firstLineChars="100" w:firstLine="200"/>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Traslado Tribunal de Cuentas</w:t>
            </w:r>
          </w:p>
        </w:tc>
        <w:tc>
          <w:tcPr>
            <w:tcW w:w="646" w:type="pct"/>
            <w:tcBorders>
              <w:top w:val="nil"/>
              <w:left w:val="nil"/>
              <w:bottom w:val="single" w:sz="4" w:space="0" w:color="auto"/>
              <w:right w:val="single" w:sz="4" w:space="0" w:color="auto"/>
            </w:tcBorders>
            <w:shd w:val="clear" w:color="auto" w:fill="auto"/>
            <w:noWrap/>
            <w:vAlign w:val="bottom"/>
            <w:hideMark/>
          </w:tcPr>
          <w:p w14:paraId="5D1C1795"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w:t>
            </w:r>
          </w:p>
        </w:tc>
        <w:tc>
          <w:tcPr>
            <w:tcW w:w="428" w:type="pct"/>
            <w:tcBorders>
              <w:top w:val="nil"/>
              <w:left w:val="nil"/>
              <w:bottom w:val="single" w:sz="4" w:space="0" w:color="auto"/>
              <w:right w:val="single" w:sz="4" w:space="0" w:color="auto"/>
            </w:tcBorders>
            <w:shd w:val="clear" w:color="auto" w:fill="auto"/>
            <w:noWrap/>
            <w:vAlign w:val="bottom"/>
            <w:hideMark/>
          </w:tcPr>
          <w:p w14:paraId="19C18BAB"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w:t>
            </w:r>
          </w:p>
        </w:tc>
        <w:tc>
          <w:tcPr>
            <w:tcW w:w="646" w:type="pct"/>
            <w:tcBorders>
              <w:top w:val="nil"/>
              <w:left w:val="nil"/>
              <w:bottom w:val="single" w:sz="4" w:space="0" w:color="auto"/>
              <w:right w:val="single" w:sz="4" w:space="0" w:color="auto"/>
            </w:tcBorders>
            <w:shd w:val="clear" w:color="auto" w:fill="auto"/>
            <w:noWrap/>
            <w:vAlign w:val="bottom"/>
            <w:hideMark/>
          </w:tcPr>
          <w:p w14:paraId="3117DF1C"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4</w:t>
            </w:r>
          </w:p>
        </w:tc>
        <w:tc>
          <w:tcPr>
            <w:tcW w:w="428" w:type="pct"/>
            <w:tcBorders>
              <w:top w:val="nil"/>
              <w:left w:val="nil"/>
              <w:bottom w:val="single" w:sz="4" w:space="0" w:color="auto"/>
              <w:right w:val="single" w:sz="4" w:space="0" w:color="auto"/>
            </w:tcBorders>
            <w:shd w:val="clear" w:color="auto" w:fill="auto"/>
            <w:noWrap/>
            <w:vAlign w:val="bottom"/>
            <w:hideMark/>
          </w:tcPr>
          <w:p w14:paraId="7BD713A7"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w:t>
            </w:r>
          </w:p>
        </w:tc>
        <w:tc>
          <w:tcPr>
            <w:tcW w:w="293" w:type="pct"/>
            <w:tcBorders>
              <w:top w:val="nil"/>
              <w:left w:val="nil"/>
              <w:bottom w:val="single" w:sz="4" w:space="0" w:color="auto"/>
              <w:right w:val="single" w:sz="4" w:space="0" w:color="auto"/>
            </w:tcBorders>
            <w:shd w:val="clear" w:color="auto" w:fill="auto"/>
            <w:noWrap/>
            <w:vAlign w:val="bottom"/>
            <w:hideMark/>
          </w:tcPr>
          <w:p w14:paraId="0519EFBF"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2</w:t>
            </w:r>
          </w:p>
        </w:tc>
        <w:tc>
          <w:tcPr>
            <w:tcW w:w="471" w:type="pct"/>
            <w:tcBorders>
              <w:top w:val="nil"/>
              <w:left w:val="nil"/>
              <w:bottom w:val="single" w:sz="4" w:space="0" w:color="auto"/>
              <w:right w:val="single" w:sz="8" w:space="0" w:color="auto"/>
            </w:tcBorders>
            <w:shd w:val="clear" w:color="auto" w:fill="auto"/>
            <w:noWrap/>
            <w:vAlign w:val="bottom"/>
            <w:hideMark/>
          </w:tcPr>
          <w:p w14:paraId="4F0F3273" w14:textId="77777777" w:rsidR="002C0DE6" w:rsidRPr="00973028" w:rsidRDefault="002C0DE6" w:rsidP="002A4453">
            <w:pPr>
              <w:jc w:val="center"/>
              <w:rPr>
                <w:rFonts w:ascii="Calibri" w:eastAsia="Times New Roman" w:hAnsi="Calibri" w:cs="Calibri"/>
                <w:color w:val="000000"/>
                <w:sz w:val="20"/>
                <w:szCs w:val="20"/>
                <w:lang w:eastAsia="es-ES"/>
              </w:rPr>
            </w:pPr>
            <w:r w:rsidRPr="00973028">
              <w:rPr>
                <w:rFonts w:ascii="Calibri" w:eastAsia="Times New Roman" w:hAnsi="Calibri" w:cs="Calibri"/>
                <w:color w:val="000000"/>
                <w:sz w:val="20"/>
                <w:szCs w:val="20"/>
                <w:lang w:eastAsia="es-ES"/>
              </w:rPr>
              <w:t>100%</w:t>
            </w:r>
          </w:p>
        </w:tc>
      </w:tr>
      <w:tr w:rsidR="002C0DE6" w:rsidRPr="00973028" w14:paraId="14696108" w14:textId="77777777" w:rsidTr="000F4B9E">
        <w:trPr>
          <w:trHeight w:val="300"/>
          <w:jc w:val="center"/>
        </w:trPr>
        <w:tc>
          <w:tcPr>
            <w:tcW w:w="2088" w:type="pct"/>
            <w:tcBorders>
              <w:top w:val="nil"/>
              <w:left w:val="single" w:sz="8" w:space="0" w:color="auto"/>
              <w:bottom w:val="single" w:sz="4" w:space="0" w:color="auto"/>
              <w:right w:val="single" w:sz="4" w:space="0" w:color="auto"/>
            </w:tcBorders>
            <w:shd w:val="clear" w:color="000000" w:fill="DDE0E3"/>
            <w:noWrap/>
            <w:vAlign w:val="bottom"/>
            <w:hideMark/>
          </w:tcPr>
          <w:p w14:paraId="06C5EE07" w14:textId="77777777" w:rsidR="002C0DE6" w:rsidRPr="00973028" w:rsidRDefault="002C0DE6" w:rsidP="002A4453">
            <w:pPr>
              <w:jc w:val="right"/>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Subtotal…</w:t>
            </w:r>
          </w:p>
        </w:tc>
        <w:tc>
          <w:tcPr>
            <w:tcW w:w="646" w:type="pct"/>
            <w:tcBorders>
              <w:top w:val="nil"/>
              <w:left w:val="nil"/>
              <w:bottom w:val="single" w:sz="4" w:space="0" w:color="auto"/>
              <w:right w:val="single" w:sz="4" w:space="0" w:color="auto"/>
            </w:tcBorders>
            <w:shd w:val="clear" w:color="000000" w:fill="DDE0E3"/>
            <w:noWrap/>
            <w:vAlign w:val="bottom"/>
            <w:hideMark/>
          </w:tcPr>
          <w:p w14:paraId="724942FB"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33</w:t>
            </w:r>
          </w:p>
        </w:tc>
        <w:tc>
          <w:tcPr>
            <w:tcW w:w="428" w:type="pct"/>
            <w:tcBorders>
              <w:top w:val="nil"/>
              <w:left w:val="nil"/>
              <w:bottom w:val="single" w:sz="4" w:space="0" w:color="auto"/>
              <w:right w:val="single" w:sz="4" w:space="0" w:color="auto"/>
            </w:tcBorders>
            <w:shd w:val="clear" w:color="000000" w:fill="DDE0E3"/>
            <w:noWrap/>
            <w:vAlign w:val="bottom"/>
            <w:hideMark/>
          </w:tcPr>
          <w:p w14:paraId="7F9B791C"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20%</w:t>
            </w:r>
          </w:p>
        </w:tc>
        <w:tc>
          <w:tcPr>
            <w:tcW w:w="646" w:type="pct"/>
            <w:tcBorders>
              <w:top w:val="nil"/>
              <w:left w:val="nil"/>
              <w:bottom w:val="single" w:sz="4" w:space="0" w:color="auto"/>
              <w:right w:val="single" w:sz="4" w:space="0" w:color="auto"/>
            </w:tcBorders>
            <w:shd w:val="clear" w:color="000000" w:fill="DDE0E3"/>
            <w:noWrap/>
            <w:vAlign w:val="bottom"/>
            <w:hideMark/>
          </w:tcPr>
          <w:p w14:paraId="0A8236F6"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45</w:t>
            </w:r>
          </w:p>
        </w:tc>
        <w:tc>
          <w:tcPr>
            <w:tcW w:w="428" w:type="pct"/>
            <w:tcBorders>
              <w:top w:val="nil"/>
              <w:left w:val="nil"/>
              <w:bottom w:val="single" w:sz="4" w:space="0" w:color="auto"/>
              <w:right w:val="single" w:sz="4" w:space="0" w:color="auto"/>
            </w:tcBorders>
            <w:shd w:val="clear" w:color="000000" w:fill="DDE0E3"/>
            <w:noWrap/>
            <w:vAlign w:val="bottom"/>
            <w:hideMark/>
          </w:tcPr>
          <w:p w14:paraId="408344B9"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20%</w:t>
            </w:r>
          </w:p>
        </w:tc>
        <w:tc>
          <w:tcPr>
            <w:tcW w:w="293" w:type="pct"/>
            <w:tcBorders>
              <w:top w:val="nil"/>
              <w:left w:val="nil"/>
              <w:bottom w:val="single" w:sz="4" w:space="0" w:color="auto"/>
              <w:right w:val="single" w:sz="4" w:space="0" w:color="auto"/>
            </w:tcBorders>
            <w:shd w:val="clear" w:color="000000" w:fill="DDE0E3"/>
            <w:noWrap/>
            <w:vAlign w:val="bottom"/>
            <w:hideMark/>
          </w:tcPr>
          <w:p w14:paraId="06F04062"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12</w:t>
            </w:r>
          </w:p>
        </w:tc>
        <w:tc>
          <w:tcPr>
            <w:tcW w:w="471" w:type="pct"/>
            <w:tcBorders>
              <w:top w:val="nil"/>
              <w:left w:val="nil"/>
              <w:bottom w:val="single" w:sz="4" w:space="0" w:color="auto"/>
              <w:right w:val="single" w:sz="4" w:space="0" w:color="auto"/>
            </w:tcBorders>
            <w:shd w:val="clear" w:color="000000" w:fill="DDE0E3"/>
            <w:noWrap/>
            <w:vAlign w:val="bottom"/>
            <w:hideMark/>
          </w:tcPr>
          <w:p w14:paraId="49E2948A"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36%</w:t>
            </w:r>
          </w:p>
        </w:tc>
      </w:tr>
      <w:tr w:rsidR="002C0DE6" w:rsidRPr="00973028" w14:paraId="6AECA0F3" w14:textId="77777777" w:rsidTr="000F4B9E">
        <w:trPr>
          <w:trHeight w:val="300"/>
          <w:jc w:val="center"/>
        </w:trPr>
        <w:tc>
          <w:tcPr>
            <w:tcW w:w="2088" w:type="pct"/>
            <w:tcBorders>
              <w:top w:val="nil"/>
              <w:left w:val="single" w:sz="8" w:space="0" w:color="auto"/>
              <w:bottom w:val="single" w:sz="8" w:space="0" w:color="auto"/>
              <w:right w:val="single" w:sz="4" w:space="0" w:color="auto"/>
            </w:tcBorders>
            <w:shd w:val="clear" w:color="auto" w:fill="BFBFBF" w:themeFill="background1" w:themeFillShade="BF"/>
            <w:noWrap/>
            <w:vAlign w:val="bottom"/>
            <w:hideMark/>
          </w:tcPr>
          <w:p w14:paraId="29BC1CCA" w14:textId="77777777" w:rsidR="002C0DE6" w:rsidRPr="00973028" w:rsidRDefault="002C0DE6" w:rsidP="002A4453">
            <w:pPr>
              <w:jc w:val="right"/>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TOTAL…</w:t>
            </w:r>
          </w:p>
        </w:tc>
        <w:tc>
          <w:tcPr>
            <w:tcW w:w="646" w:type="pct"/>
            <w:tcBorders>
              <w:top w:val="nil"/>
              <w:left w:val="nil"/>
              <w:bottom w:val="single" w:sz="8" w:space="0" w:color="auto"/>
              <w:right w:val="single" w:sz="4" w:space="0" w:color="auto"/>
            </w:tcBorders>
            <w:shd w:val="clear" w:color="auto" w:fill="BFBFBF" w:themeFill="background1" w:themeFillShade="BF"/>
            <w:noWrap/>
            <w:vAlign w:val="bottom"/>
            <w:hideMark/>
          </w:tcPr>
          <w:p w14:paraId="30A943A8"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168</w:t>
            </w:r>
          </w:p>
        </w:tc>
        <w:tc>
          <w:tcPr>
            <w:tcW w:w="428" w:type="pct"/>
            <w:tcBorders>
              <w:top w:val="nil"/>
              <w:left w:val="nil"/>
              <w:bottom w:val="single" w:sz="8" w:space="0" w:color="auto"/>
              <w:right w:val="single" w:sz="4" w:space="0" w:color="auto"/>
            </w:tcBorders>
            <w:shd w:val="clear" w:color="auto" w:fill="BFBFBF" w:themeFill="background1" w:themeFillShade="BF"/>
            <w:noWrap/>
            <w:vAlign w:val="bottom"/>
            <w:hideMark/>
          </w:tcPr>
          <w:p w14:paraId="68954870"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100%</w:t>
            </w:r>
          </w:p>
        </w:tc>
        <w:tc>
          <w:tcPr>
            <w:tcW w:w="646" w:type="pct"/>
            <w:tcBorders>
              <w:top w:val="nil"/>
              <w:left w:val="nil"/>
              <w:bottom w:val="single" w:sz="8" w:space="0" w:color="auto"/>
              <w:right w:val="single" w:sz="4" w:space="0" w:color="auto"/>
            </w:tcBorders>
            <w:shd w:val="clear" w:color="auto" w:fill="BFBFBF" w:themeFill="background1" w:themeFillShade="BF"/>
            <w:noWrap/>
            <w:vAlign w:val="bottom"/>
            <w:hideMark/>
          </w:tcPr>
          <w:p w14:paraId="4208EAAC"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228</w:t>
            </w:r>
          </w:p>
        </w:tc>
        <w:tc>
          <w:tcPr>
            <w:tcW w:w="428" w:type="pct"/>
            <w:tcBorders>
              <w:top w:val="nil"/>
              <w:left w:val="nil"/>
              <w:bottom w:val="single" w:sz="8" w:space="0" w:color="auto"/>
              <w:right w:val="single" w:sz="4" w:space="0" w:color="auto"/>
            </w:tcBorders>
            <w:shd w:val="clear" w:color="auto" w:fill="BFBFBF" w:themeFill="background1" w:themeFillShade="BF"/>
            <w:noWrap/>
            <w:vAlign w:val="bottom"/>
            <w:hideMark/>
          </w:tcPr>
          <w:p w14:paraId="6B1F973B"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100%</w:t>
            </w:r>
          </w:p>
        </w:tc>
        <w:tc>
          <w:tcPr>
            <w:tcW w:w="293" w:type="pct"/>
            <w:tcBorders>
              <w:top w:val="nil"/>
              <w:left w:val="nil"/>
              <w:bottom w:val="single" w:sz="8" w:space="0" w:color="auto"/>
              <w:right w:val="single" w:sz="4" w:space="0" w:color="auto"/>
            </w:tcBorders>
            <w:shd w:val="clear" w:color="auto" w:fill="BFBFBF" w:themeFill="background1" w:themeFillShade="BF"/>
            <w:noWrap/>
            <w:vAlign w:val="bottom"/>
            <w:hideMark/>
          </w:tcPr>
          <w:p w14:paraId="35F9AEF7"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60</w:t>
            </w:r>
          </w:p>
        </w:tc>
        <w:tc>
          <w:tcPr>
            <w:tcW w:w="471" w:type="pct"/>
            <w:tcBorders>
              <w:top w:val="nil"/>
              <w:left w:val="nil"/>
              <w:bottom w:val="single" w:sz="8" w:space="0" w:color="auto"/>
              <w:right w:val="single" w:sz="8" w:space="0" w:color="auto"/>
            </w:tcBorders>
            <w:shd w:val="clear" w:color="auto" w:fill="BFBFBF" w:themeFill="background1" w:themeFillShade="BF"/>
            <w:noWrap/>
            <w:vAlign w:val="bottom"/>
            <w:hideMark/>
          </w:tcPr>
          <w:p w14:paraId="46BA0F60" w14:textId="77777777" w:rsidR="002C0DE6" w:rsidRPr="00973028" w:rsidRDefault="002C0DE6" w:rsidP="002A4453">
            <w:pPr>
              <w:jc w:val="center"/>
              <w:rPr>
                <w:rFonts w:ascii="Calibri" w:eastAsia="Times New Roman" w:hAnsi="Calibri" w:cs="Calibri"/>
                <w:b/>
                <w:bCs/>
                <w:color w:val="000000"/>
                <w:sz w:val="20"/>
                <w:szCs w:val="20"/>
                <w:lang w:eastAsia="es-ES"/>
              </w:rPr>
            </w:pPr>
            <w:r w:rsidRPr="00973028">
              <w:rPr>
                <w:rFonts w:ascii="Calibri" w:eastAsia="Times New Roman" w:hAnsi="Calibri" w:cs="Calibri"/>
                <w:b/>
                <w:bCs/>
                <w:color w:val="000000"/>
                <w:sz w:val="20"/>
                <w:szCs w:val="20"/>
                <w:lang w:eastAsia="es-ES"/>
              </w:rPr>
              <w:t>36%</w:t>
            </w:r>
          </w:p>
        </w:tc>
      </w:tr>
    </w:tbl>
    <w:p w14:paraId="5B742E45" w14:textId="77777777" w:rsidR="002A47AA" w:rsidRPr="00973028" w:rsidRDefault="002A47AA" w:rsidP="002A47AA">
      <w:pPr>
        <w:spacing w:after="240" w:line="276" w:lineRule="auto"/>
        <w:ind w:left="-284" w:right="-285"/>
        <w:rPr>
          <w:rFonts w:ascii="Arial" w:hAnsi="Arial"/>
          <w:b/>
          <w:sz w:val="21"/>
          <w:szCs w:val="21"/>
        </w:rPr>
      </w:pPr>
    </w:p>
    <w:p w14:paraId="4BFB0C28" w14:textId="77777777" w:rsidR="002A47AA" w:rsidRPr="00973028" w:rsidRDefault="002A47AA" w:rsidP="002A47AA">
      <w:pPr>
        <w:spacing w:after="240" w:line="276" w:lineRule="auto"/>
        <w:jc w:val="both"/>
        <w:rPr>
          <w:rFonts w:ascii="Arial" w:hAnsi="Arial"/>
          <w:bCs/>
          <w:sz w:val="21"/>
          <w:szCs w:val="21"/>
        </w:rPr>
      </w:pPr>
      <w:r w:rsidRPr="00973028">
        <w:rPr>
          <w:rFonts w:ascii="Arial" w:hAnsi="Arial"/>
          <w:bCs/>
          <w:sz w:val="21"/>
          <w:szCs w:val="21"/>
        </w:rPr>
        <w:t xml:space="preserve">De la tabla previa, se puede observar que la fase de análisis se ha finalizado para 183 expedientes, frente a los 135 del año 2019, lo que supone un incremento cuantitativo de 48 expedientes más, que representa un 36% de mejora. Especialmente destacable son los expedientes que finalizado la fase de análisis han iniciado la fase de investigación, 60 </w:t>
      </w:r>
      <w:r w:rsidRPr="00973028">
        <w:rPr>
          <w:rFonts w:ascii="Arial" w:hAnsi="Arial"/>
          <w:bCs/>
          <w:sz w:val="21"/>
          <w:szCs w:val="21"/>
        </w:rPr>
        <w:lastRenderedPageBreak/>
        <w:t>expedientes, frente a los 21 del año 2019, lo que implica un incremento cuantitativo de 39 expedientes, que representa el 186% más de investigaciones iniciadas.</w:t>
      </w:r>
    </w:p>
    <w:p w14:paraId="3243A371" w14:textId="77777777" w:rsidR="002A47AA" w:rsidRPr="00973028" w:rsidRDefault="002A47AA" w:rsidP="002A47AA">
      <w:pPr>
        <w:spacing w:after="240" w:line="276" w:lineRule="auto"/>
        <w:jc w:val="both"/>
        <w:rPr>
          <w:rFonts w:ascii="Arial" w:hAnsi="Arial"/>
          <w:bCs/>
          <w:sz w:val="21"/>
          <w:szCs w:val="21"/>
        </w:rPr>
      </w:pPr>
      <w:r w:rsidRPr="00973028">
        <w:rPr>
          <w:rFonts w:ascii="Arial" w:hAnsi="Arial"/>
          <w:bCs/>
          <w:sz w:val="21"/>
          <w:szCs w:val="21"/>
        </w:rPr>
        <w:t xml:space="preserve">Por lo que respecta a los expedientes en fase de investigación, se han resuelto 37 expedientes en 2020 frente a los 14 del 2019, habiéndose dictado 29 resoluciones finales de investigación (existían investigaciones con expedientes acumulados) frente a las 14 resoluciones finales de investigación que se dictaron en 2019, lo que supone un incremento del 107,14%. </w:t>
      </w:r>
    </w:p>
    <w:p w14:paraId="121144AB" w14:textId="107A3481" w:rsidR="002A47AA" w:rsidRPr="00973028" w:rsidRDefault="002A47AA" w:rsidP="002A47AA">
      <w:pPr>
        <w:spacing w:after="240" w:line="276" w:lineRule="auto"/>
        <w:jc w:val="both"/>
        <w:rPr>
          <w:rFonts w:ascii="Arial" w:hAnsi="Arial"/>
          <w:bCs/>
          <w:sz w:val="21"/>
          <w:szCs w:val="21"/>
        </w:rPr>
      </w:pPr>
      <w:r w:rsidRPr="00973028">
        <w:rPr>
          <w:rFonts w:ascii="Arial" w:hAnsi="Arial"/>
          <w:bCs/>
          <w:sz w:val="21"/>
          <w:szCs w:val="21"/>
        </w:rPr>
        <w:t>Por último, durante 2020 se ha dado traslado de 2 expedientes a órganos judiciales y 4 se han remitido al Tribunal de Cuentas.</w:t>
      </w:r>
    </w:p>
    <w:p w14:paraId="41928139" w14:textId="1F909BB1" w:rsidR="00A52EF7" w:rsidRPr="00973028" w:rsidRDefault="00D50256" w:rsidP="00A52EF7">
      <w:pPr>
        <w:keepNext/>
        <w:spacing w:after="240" w:line="276" w:lineRule="auto"/>
        <w:jc w:val="both"/>
      </w:pPr>
      <w:r>
        <w:rPr>
          <w:noProof/>
        </w:rPr>
        <w:drawing>
          <wp:inline distT="0" distB="0" distL="0" distR="0" wp14:anchorId="09B1A34E" wp14:editId="1FFAC6C2">
            <wp:extent cx="5400040" cy="2648198"/>
            <wp:effectExtent l="0" t="0" r="10160" b="0"/>
            <wp:docPr id="33" name="Gráfico 33">
              <a:extLst xmlns:a="http://schemas.openxmlformats.org/drawingml/2006/main">
                <a:ext uri="{FF2B5EF4-FFF2-40B4-BE49-F238E27FC236}">
                  <a16:creationId xmlns:a16="http://schemas.microsoft.com/office/drawing/2014/main" id="{EBF29D2D-91E1-46A2-B259-305D62C66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5B4A538" w14:textId="739C2853" w:rsidR="002A47AA" w:rsidRPr="00973028" w:rsidRDefault="00A52EF7" w:rsidP="00A52EF7">
      <w:pPr>
        <w:pStyle w:val="Descripcin"/>
        <w:jc w:val="center"/>
        <w:rPr>
          <w:rFonts w:ascii="Arial" w:hAnsi="Arial" w:cs="Arial"/>
          <w:smallCaps w:val="0"/>
          <w:sz w:val="16"/>
          <w:szCs w:val="20"/>
        </w:rPr>
      </w:pPr>
      <w:bookmarkStart w:id="73" w:name="_Toc67646406"/>
      <w:r w:rsidRPr="00973028">
        <w:rPr>
          <w:rFonts w:ascii="Arial" w:hAnsi="Arial" w:cs="Arial"/>
          <w:smallCaps w:val="0"/>
          <w:color w:val="9D2235" w:themeColor="accent1"/>
          <w:sz w:val="16"/>
          <w:szCs w:val="20"/>
        </w:rPr>
        <w:t xml:space="preserve">Gráfico </w:t>
      </w:r>
      <w:r w:rsidRPr="00973028">
        <w:rPr>
          <w:rFonts w:ascii="Arial" w:hAnsi="Arial" w:cs="Arial"/>
          <w:smallCaps w:val="0"/>
          <w:color w:val="9D2235" w:themeColor="accent1"/>
          <w:sz w:val="16"/>
          <w:szCs w:val="20"/>
        </w:rPr>
        <w:fldChar w:fldCharType="begin"/>
      </w:r>
      <w:r w:rsidRPr="00973028">
        <w:rPr>
          <w:rFonts w:ascii="Arial" w:hAnsi="Arial" w:cs="Arial"/>
          <w:smallCaps w:val="0"/>
          <w:color w:val="9D2235" w:themeColor="accent1"/>
          <w:sz w:val="16"/>
          <w:szCs w:val="20"/>
        </w:rPr>
        <w:instrText xml:space="preserve"> SEQ Gráfico \* ARABIC </w:instrText>
      </w:r>
      <w:r w:rsidRPr="00973028">
        <w:rPr>
          <w:rFonts w:ascii="Arial" w:hAnsi="Arial" w:cs="Arial"/>
          <w:smallCaps w:val="0"/>
          <w:color w:val="9D2235" w:themeColor="accent1"/>
          <w:sz w:val="16"/>
          <w:szCs w:val="20"/>
        </w:rPr>
        <w:fldChar w:fldCharType="separate"/>
      </w:r>
      <w:r w:rsidR="00000D1F">
        <w:rPr>
          <w:rFonts w:ascii="Arial" w:hAnsi="Arial" w:cs="Arial"/>
          <w:smallCaps w:val="0"/>
          <w:noProof/>
          <w:color w:val="9D2235" w:themeColor="accent1"/>
          <w:sz w:val="16"/>
          <w:szCs w:val="20"/>
        </w:rPr>
        <w:t>10</w:t>
      </w:r>
      <w:r w:rsidRPr="00973028">
        <w:rPr>
          <w:rFonts w:ascii="Arial" w:hAnsi="Arial" w:cs="Arial"/>
          <w:smallCaps w:val="0"/>
          <w:color w:val="9D2235" w:themeColor="accent1"/>
          <w:sz w:val="16"/>
          <w:szCs w:val="20"/>
        </w:rPr>
        <w:fldChar w:fldCharType="end"/>
      </w:r>
      <w:r w:rsidR="00B00F7A">
        <w:rPr>
          <w:rFonts w:ascii="Arial" w:hAnsi="Arial" w:cs="Arial"/>
          <w:smallCaps w:val="0"/>
          <w:color w:val="9D2235" w:themeColor="accent1"/>
          <w:sz w:val="16"/>
          <w:szCs w:val="20"/>
        </w:rPr>
        <w:t>.</w:t>
      </w:r>
      <w:r w:rsidRPr="00973028">
        <w:rPr>
          <w:rFonts w:ascii="Arial" w:hAnsi="Arial" w:cs="Arial"/>
          <w:smallCaps w:val="0"/>
          <w:color w:val="9D2235" w:themeColor="accent1"/>
          <w:sz w:val="16"/>
          <w:szCs w:val="20"/>
        </w:rPr>
        <w:t xml:space="preserve"> </w:t>
      </w:r>
      <w:r w:rsidRPr="00973028">
        <w:rPr>
          <w:rFonts w:ascii="Arial" w:hAnsi="Arial" w:cs="Arial"/>
          <w:smallCaps w:val="0"/>
          <w:sz w:val="16"/>
          <w:szCs w:val="20"/>
        </w:rPr>
        <w:t xml:space="preserve">Resumen de </w:t>
      </w:r>
      <w:r w:rsidR="00987026" w:rsidRPr="00973028">
        <w:rPr>
          <w:rFonts w:ascii="Arial" w:hAnsi="Arial" w:cs="Arial"/>
          <w:smallCaps w:val="0"/>
          <w:sz w:val="16"/>
          <w:szCs w:val="20"/>
        </w:rPr>
        <w:t>e</w:t>
      </w:r>
      <w:r w:rsidRPr="00973028">
        <w:rPr>
          <w:rFonts w:ascii="Arial" w:hAnsi="Arial" w:cs="Arial"/>
          <w:smallCaps w:val="0"/>
          <w:sz w:val="16"/>
          <w:szCs w:val="20"/>
        </w:rPr>
        <w:t>xpedientes</w:t>
      </w:r>
      <w:r w:rsidR="004D194D" w:rsidRPr="00973028">
        <w:rPr>
          <w:rFonts w:ascii="Arial" w:hAnsi="Arial" w:cs="Arial"/>
          <w:smallCaps w:val="0"/>
          <w:sz w:val="16"/>
          <w:szCs w:val="20"/>
        </w:rPr>
        <w:t xml:space="preserve"> en fase de análisis</w:t>
      </w:r>
      <w:r w:rsidRPr="00973028">
        <w:rPr>
          <w:rFonts w:ascii="Arial" w:hAnsi="Arial" w:cs="Arial"/>
          <w:smallCaps w:val="0"/>
          <w:sz w:val="16"/>
          <w:szCs w:val="20"/>
        </w:rPr>
        <w:t xml:space="preserve"> tramitados en 2020 y 2019</w:t>
      </w:r>
      <w:bookmarkEnd w:id="73"/>
    </w:p>
    <w:p w14:paraId="608B62DE" w14:textId="77777777" w:rsidR="002A47AA" w:rsidRPr="00973028" w:rsidRDefault="002A47AA" w:rsidP="002A47AA">
      <w:pPr>
        <w:spacing w:after="240" w:line="276" w:lineRule="auto"/>
        <w:jc w:val="both"/>
        <w:rPr>
          <w:rFonts w:ascii="Arial" w:hAnsi="Arial"/>
          <w:sz w:val="21"/>
          <w:szCs w:val="21"/>
        </w:rPr>
      </w:pPr>
    </w:p>
    <w:p w14:paraId="617F6283" w14:textId="79E10630" w:rsidR="00A52EF7" w:rsidRPr="00973028" w:rsidRDefault="00D50256" w:rsidP="00A52EF7">
      <w:pPr>
        <w:keepNext/>
        <w:spacing w:after="240" w:line="276" w:lineRule="auto"/>
        <w:jc w:val="both"/>
      </w:pPr>
      <w:r>
        <w:rPr>
          <w:noProof/>
        </w:rPr>
        <w:lastRenderedPageBreak/>
        <w:drawing>
          <wp:inline distT="0" distB="0" distL="0" distR="0" wp14:anchorId="48B74DF5" wp14:editId="31B8F77A">
            <wp:extent cx="5400040" cy="2701603"/>
            <wp:effectExtent l="0" t="0" r="10160" b="3810"/>
            <wp:docPr id="34" name="Gráfico 34">
              <a:extLst xmlns:a="http://schemas.openxmlformats.org/drawingml/2006/main">
                <a:ext uri="{FF2B5EF4-FFF2-40B4-BE49-F238E27FC236}">
                  <a16:creationId xmlns:a16="http://schemas.microsoft.com/office/drawing/2014/main" id="{57DC26E4-1113-4623-ADB2-4D1671721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CF3D80D" w14:textId="1463A440" w:rsidR="002A47AA" w:rsidRPr="00973028" w:rsidRDefault="00A52EF7" w:rsidP="00A52EF7">
      <w:pPr>
        <w:pStyle w:val="Descripcin"/>
        <w:jc w:val="center"/>
        <w:rPr>
          <w:rFonts w:ascii="Arial" w:hAnsi="Arial" w:cs="Arial"/>
          <w:smallCaps w:val="0"/>
          <w:sz w:val="16"/>
          <w:szCs w:val="20"/>
        </w:rPr>
      </w:pPr>
      <w:bookmarkStart w:id="74" w:name="_Toc67646407"/>
      <w:r w:rsidRPr="00973028">
        <w:rPr>
          <w:rFonts w:ascii="Arial" w:hAnsi="Arial" w:cs="Arial"/>
          <w:smallCaps w:val="0"/>
          <w:color w:val="9D2235" w:themeColor="accent1"/>
          <w:sz w:val="16"/>
          <w:szCs w:val="20"/>
        </w:rPr>
        <w:t xml:space="preserve">Gráfico </w:t>
      </w:r>
      <w:r w:rsidRPr="00973028">
        <w:rPr>
          <w:rFonts w:ascii="Arial" w:hAnsi="Arial" w:cs="Arial"/>
          <w:smallCaps w:val="0"/>
          <w:color w:val="9D2235" w:themeColor="accent1"/>
          <w:sz w:val="16"/>
          <w:szCs w:val="20"/>
        </w:rPr>
        <w:fldChar w:fldCharType="begin"/>
      </w:r>
      <w:r w:rsidRPr="00973028">
        <w:rPr>
          <w:rFonts w:ascii="Arial" w:hAnsi="Arial" w:cs="Arial"/>
          <w:smallCaps w:val="0"/>
          <w:color w:val="9D2235" w:themeColor="accent1"/>
          <w:sz w:val="16"/>
          <w:szCs w:val="20"/>
        </w:rPr>
        <w:instrText xml:space="preserve"> SEQ Gráfico \* ARABIC </w:instrText>
      </w:r>
      <w:r w:rsidRPr="00973028">
        <w:rPr>
          <w:rFonts w:ascii="Arial" w:hAnsi="Arial" w:cs="Arial"/>
          <w:smallCaps w:val="0"/>
          <w:color w:val="9D2235" w:themeColor="accent1"/>
          <w:sz w:val="16"/>
          <w:szCs w:val="20"/>
        </w:rPr>
        <w:fldChar w:fldCharType="separate"/>
      </w:r>
      <w:r w:rsidR="00000D1F">
        <w:rPr>
          <w:rFonts w:ascii="Arial" w:hAnsi="Arial" w:cs="Arial"/>
          <w:smallCaps w:val="0"/>
          <w:noProof/>
          <w:color w:val="9D2235" w:themeColor="accent1"/>
          <w:sz w:val="16"/>
          <w:szCs w:val="20"/>
        </w:rPr>
        <w:t>11</w:t>
      </w:r>
      <w:r w:rsidRPr="00973028">
        <w:rPr>
          <w:rFonts w:ascii="Arial" w:hAnsi="Arial" w:cs="Arial"/>
          <w:smallCaps w:val="0"/>
          <w:color w:val="9D2235" w:themeColor="accent1"/>
          <w:sz w:val="16"/>
          <w:szCs w:val="20"/>
        </w:rPr>
        <w:fldChar w:fldCharType="end"/>
      </w:r>
      <w:r w:rsidR="00B00F7A">
        <w:rPr>
          <w:rFonts w:ascii="Arial" w:hAnsi="Arial" w:cs="Arial"/>
          <w:smallCaps w:val="0"/>
          <w:color w:val="9D2235" w:themeColor="accent1"/>
          <w:sz w:val="16"/>
          <w:szCs w:val="20"/>
        </w:rPr>
        <w:t>.</w:t>
      </w:r>
      <w:r w:rsidRPr="00973028">
        <w:rPr>
          <w:rFonts w:ascii="Arial" w:hAnsi="Arial" w:cs="Arial"/>
          <w:smallCaps w:val="0"/>
          <w:color w:val="9D2235" w:themeColor="accent1"/>
          <w:sz w:val="16"/>
          <w:szCs w:val="20"/>
        </w:rPr>
        <w:t xml:space="preserve"> </w:t>
      </w:r>
      <w:r w:rsidRPr="00973028">
        <w:rPr>
          <w:rFonts w:ascii="Arial" w:hAnsi="Arial" w:cs="Arial"/>
          <w:smallCaps w:val="0"/>
          <w:sz w:val="16"/>
          <w:szCs w:val="20"/>
        </w:rPr>
        <w:t xml:space="preserve">Resumen de </w:t>
      </w:r>
      <w:r w:rsidR="00987026" w:rsidRPr="00973028">
        <w:rPr>
          <w:rFonts w:ascii="Arial" w:hAnsi="Arial" w:cs="Arial"/>
          <w:smallCaps w:val="0"/>
          <w:sz w:val="16"/>
          <w:szCs w:val="20"/>
        </w:rPr>
        <w:t>e</w:t>
      </w:r>
      <w:r w:rsidRPr="00973028">
        <w:rPr>
          <w:rFonts w:ascii="Arial" w:hAnsi="Arial" w:cs="Arial"/>
          <w:smallCaps w:val="0"/>
          <w:sz w:val="16"/>
          <w:szCs w:val="20"/>
        </w:rPr>
        <w:t>xpedientes</w:t>
      </w:r>
      <w:r w:rsidR="004D194D" w:rsidRPr="00973028">
        <w:rPr>
          <w:rFonts w:ascii="Arial" w:hAnsi="Arial" w:cs="Arial"/>
          <w:smallCaps w:val="0"/>
          <w:sz w:val="16"/>
          <w:szCs w:val="20"/>
        </w:rPr>
        <w:t xml:space="preserve"> en fase de investigación</w:t>
      </w:r>
      <w:r w:rsidRPr="00973028">
        <w:rPr>
          <w:rFonts w:ascii="Arial" w:hAnsi="Arial" w:cs="Arial"/>
          <w:smallCaps w:val="0"/>
          <w:sz w:val="16"/>
          <w:szCs w:val="20"/>
        </w:rPr>
        <w:t xml:space="preserve"> tramitados en 2020 y 2019</w:t>
      </w:r>
      <w:bookmarkEnd w:id="74"/>
    </w:p>
    <w:p w14:paraId="71B4496E" w14:textId="2988EAE4" w:rsidR="002A47AA" w:rsidRPr="00973028" w:rsidRDefault="000806A1" w:rsidP="00672ABA">
      <w:pPr>
        <w:pStyle w:val="Prrafodelista"/>
        <w:keepNext/>
        <w:numPr>
          <w:ilvl w:val="1"/>
          <w:numId w:val="24"/>
        </w:numPr>
        <w:suppressAutoHyphens/>
        <w:spacing w:before="360" w:after="240" w:line="276" w:lineRule="auto"/>
        <w:ind w:left="851" w:hanging="851"/>
        <w:jc w:val="both"/>
        <w:outlineLvl w:val="1"/>
        <w:rPr>
          <w:rFonts w:ascii="Arial" w:eastAsia="Times New Roman" w:hAnsi="Arial" w:cs="Arial"/>
          <w:b/>
          <w:color w:val="9D2235"/>
          <w:sz w:val="32"/>
          <w:szCs w:val="32"/>
        </w:rPr>
      </w:pPr>
      <w:bookmarkStart w:id="75" w:name="_Toc67646248"/>
      <w:r w:rsidRPr="00973028">
        <w:rPr>
          <w:rFonts w:ascii="Arial" w:eastAsia="Times New Roman" w:hAnsi="Arial" w:cs="Arial"/>
          <w:b/>
          <w:color w:val="9D2235"/>
          <w:sz w:val="32"/>
          <w:szCs w:val="32"/>
        </w:rPr>
        <w:t>Resumen de las investigaciones finalizadas en 2020</w:t>
      </w:r>
      <w:bookmarkEnd w:id="75"/>
    </w:p>
    <w:p w14:paraId="2A4D94E8" w14:textId="7777777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A continuación, se hace una breve reseña del objeto y finalidad de las actuaciones de análisis e investigación más significativas realizadas durante la anualidad 2020.</w:t>
      </w:r>
    </w:p>
    <w:p w14:paraId="73335122" w14:textId="7777777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No se incorporan datos o informaciones que faciliten la identificación de personas físicas concretas, ni tampoco se indica de manera individualizada el resultado de la investigación que pudieran ocasionar posibles perjuicios a personas implicadas y para salvaguardar los eventuales procedimientos administrativos y judiciales que se pudieran iniciar como consecuencia de estas actuaciones.</w:t>
      </w:r>
    </w:p>
    <w:p w14:paraId="54063F1D" w14:textId="16E87641" w:rsidR="00E46A28" w:rsidRPr="00973028" w:rsidRDefault="002A47AA" w:rsidP="00E46A28">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Las actuaciones que se relacionan a continuación han finalizado mediante la emisión de informe final de investigación razonado y con su correspondiente resolución final. Como se ha indicado en la presentación de este apartado se han publicado en el portal de transparencia de la Agencia todas las </w:t>
      </w:r>
      <w:hyperlink r:id="rId59" w:anchor="resoluciones-finales-de-investigacion" w:history="1">
        <w:r w:rsidRPr="00973028">
          <w:rPr>
            <w:rStyle w:val="Hipervnculo"/>
            <w:rFonts w:ascii="Arial" w:eastAsia="Times New Roman" w:hAnsi="Arial"/>
            <w:sz w:val="21"/>
            <w:szCs w:val="21"/>
            <w:lang w:eastAsia="es-ES"/>
          </w:rPr>
          <w:t>resoluciones finales de investigación</w:t>
        </w:r>
      </w:hyperlink>
      <w:r w:rsidRPr="00973028">
        <w:rPr>
          <w:rFonts w:ascii="Arial" w:eastAsia="Times New Roman" w:hAnsi="Arial"/>
          <w:color w:val="000000"/>
          <w:sz w:val="21"/>
          <w:szCs w:val="21"/>
          <w:lang w:eastAsia="es-ES"/>
        </w:rPr>
        <w:t xml:space="preserve"> dictadas desde el inicio del funcionamiento, correspondientes a los años 2018, 2019 y 2020</w:t>
      </w:r>
      <w:r w:rsidR="00E46A28" w:rsidRPr="00973028">
        <w:rPr>
          <w:rFonts w:ascii="Arial" w:eastAsia="Times New Roman" w:hAnsi="Arial"/>
          <w:color w:val="000000"/>
          <w:sz w:val="21"/>
          <w:szCs w:val="21"/>
          <w:lang w:eastAsia="es-ES"/>
        </w:rPr>
        <w:t>.</w:t>
      </w:r>
      <w:r w:rsidRPr="00973028">
        <w:rPr>
          <w:rFonts w:ascii="Arial" w:eastAsia="Times New Roman" w:hAnsi="Arial"/>
          <w:color w:val="000000"/>
          <w:sz w:val="21"/>
          <w:szCs w:val="21"/>
          <w:lang w:eastAsia="es-ES"/>
        </w:rPr>
        <w:t xml:space="preserve"> </w:t>
      </w:r>
    </w:p>
    <w:p w14:paraId="19D50E76" w14:textId="3E22B1A8" w:rsidR="002A47AA" w:rsidRPr="000C047E" w:rsidRDefault="002A47AA" w:rsidP="009202BF">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76" w:name="_Toc67646249"/>
      <w:r w:rsidRPr="000C047E">
        <w:rPr>
          <w:rFonts w:ascii="Arial" w:eastAsia="Times New Roman" w:hAnsi="Arial" w:cs="Arial"/>
          <w:b/>
          <w:color w:val="9D2235"/>
          <w:sz w:val="28"/>
          <w:szCs w:val="28"/>
        </w:rPr>
        <w:t>Denominación: Ayuntamiento de Paiporta. Incumplimiento de obligaciones contractuales</w:t>
      </w:r>
      <w:bookmarkStart w:id="77" w:name="_Hlk63065319"/>
      <w:bookmarkEnd w:id="76"/>
    </w:p>
    <w:p w14:paraId="1D989352" w14:textId="7777777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hAnsi="Arial"/>
          <w:b/>
          <w:bCs/>
          <w:sz w:val="21"/>
          <w:szCs w:val="21"/>
        </w:rPr>
        <w:t>E</w:t>
      </w:r>
      <w:r w:rsidRPr="00973028">
        <w:rPr>
          <w:rFonts w:ascii="Arial" w:eastAsia="Times New Roman" w:hAnsi="Arial"/>
          <w:b/>
          <w:bCs/>
          <w:color w:val="000000"/>
          <w:sz w:val="21"/>
          <w:szCs w:val="21"/>
          <w:lang w:eastAsia="es-ES"/>
        </w:rPr>
        <w:t>xpediente:</w:t>
      </w:r>
      <w:r w:rsidRPr="00973028">
        <w:rPr>
          <w:rFonts w:ascii="Arial" w:eastAsia="Times New Roman" w:hAnsi="Arial"/>
          <w:color w:val="000000"/>
          <w:sz w:val="21"/>
          <w:szCs w:val="21"/>
          <w:lang w:eastAsia="es-ES"/>
        </w:rPr>
        <w:t xml:space="preserve"> 2020/G01_01/000058</w:t>
      </w:r>
    </w:p>
    <w:p w14:paraId="3810EA9B" w14:textId="7777777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Descripción:</w:t>
      </w:r>
      <w:r w:rsidRPr="00973028">
        <w:rPr>
          <w:rFonts w:ascii="Arial" w:eastAsia="Times New Roman" w:hAnsi="Arial"/>
          <w:color w:val="000000"/>
          <w:sz w:val="21"/>
          <w:szCs w:val="21"/>
          <w:lang w:eastAsia="es-ES"/>
        </w:rPr>
        <w:t xml:space="preserve"> </w:t>
      </w:r>
      <w:bookmarkStart w:id="78" w:name="_Hlk63156052"/>
      <w:r w:rsidRPr="00973028">
        <w:rPr>
          <w:rFonts w:ascii="Arial" w:eastAsia="Times New Roman" w:hAnsi="Arial"/>
          <w:color w:val="000000"/>
          <w:sz w:val="21"/>
          <w:szCs w:val="21"/>
          <w:lang w:eastAsia="es-ES"/>
        </w:rPr>
        <w:t xml:space="preserve">Los hechos denunciados se concretaron </w:t>
      </w:r>
      <w:bookmarkEnd w:id="78"/>
      <w:r w:rsidRPr="00973028">
        <w:rPr>
          <w:rFonts w:ascii="Arial" w:eastAsia="Times New Roman" w:hAnsi="Arial"/>
          <w:color w:val="000000"/>
          <w:sz w:val="21"/>
          <w:szCs w:val="21"/>
          <w:lang w:eastAsia="es-ES"/>
        </w:rPr>
        <w:t xml:space="preserve">en el incumplimiento del clausulado del contrato, la inexistencia de la designación de un responsable del citado contrato, </w:t>
      </w:r>
      <w:r w:rsidRPr="00973028">
        <w:rPr>
          <w:rFonts w:ascii="Arial" w:eastAsia="Times New Roman" w:hAnsi="Arial"/>
          <w:color w:val="000000"/>
          <w:sz w:val="21"/>
          <w:szCs w:val="21"/>
          <w:lang w:eastAsia="es-ES"/>
        </w:rPr>
        <w:lastRenderedPageBreak/>
        <w:t>subcontratación sin comunicación y falta de acreditación de algunos informes de fiscalización.</w:t>
      </w:r>
      <w:bookmarkStart w:id="79" w:name="_Hlk63066379"/>
      <w:bookmarkEnd w:id="79"/>
    </w:p>
    <w:p w14:paraId="6B68DED7" w14:textId="77777777" w:rsidR="002A47AA" w:rsidRPr="00973028" w:rsidRDefault="002A47AA" w:rsidP="002A47AA">
      <w:pPr>
        <w:spacing w:after="240" w:line="276" w:lineRule="auto"/>
        <w:jc w:val="both"/>
        <w:rPr>
          <w:rFonts w:ascii="Arial" w:eastAsia="Times New Roman" w:hAnsi="Arial"/>
          <w:color w:val="242424"/>
          <w:sz w:val="21"/>
          <w:szCs w:val="21"/>
          <w:lang w:eastAsia="es-ES"/>
        </w:rPr>
      </w:pPr>
      <w:r w:rsidRPr="00973028">
        <w:rPr>
          <w:rFonts w:ascii="Arial" w:eastAsia="Times New Roman" w:hAnsi="Arial"/>
          <w:color w:val="000000"/>
          <w:sz w:val="21"/>
          <w:szCs w:val="21"/>
          <w:lang w:eastAsia="es-ES"/>
        </w:rPr>
        <w:t>Tras la instrucción del oportuno procedimiento de investigación, en el que se efectuó el preceptivo trámite de audiencia a la administración denunciada, se evidenció que f</w:t>
      </w:r>
      <w:r w:rsidRPr="00973028">
        <w:rPr>
          <w:rFonts w:ascii="Arial" w:eastAsia="Times New Roman" w:hAnsi="Arial"/>
          <w:color w:val="242424"/>
          <w:sz w:val="21"/>
          <w:szCs w:val="21"/>
          <w:lang w:eastAsia="es-ES"/>
        </w:rPr>
        <w:t>ue incorrecta desde el mismo inicio del contrato la actuación de la adjudicataria, si bien tal actuación pasó inadvertida al ayuntamiento al no haber ejercido las facultades de control inherentes a la obligación de gestionar los fondos públicos de forma eficiente y la defensa del interés general.</w:t>
      </w:r>
    </w:p>
    <w:p w14:paraId="1479C9CB" w14:textId="77777777" w:rsidR="002A47AA" w:rsidRPr="00973028" w:rsidRDefault="002A47AA" w:rsidP="002A47AA">
      <w:pPr>
        <w:spacing w:after="240" w:line="276" w:lineRule="auto"/>
        <w:jc w:val="both"/>
        <w:rPr>
          <w:rFonts w:ascii="Arial" w:eastAsia="Times New Roman" w:hAnsi="Arial"/>
          <w:i/>
          <w:iCs/>
          <w:color w:val="000000"/>
          <w:sz w:val="21"/>
          <w:szCs w:val="21"/>
          <w:lang w:eastAsia="es-ES"/>
        </w:rPr>
      </w:pPr>
      <w:r w:rsidRPr="00973028">
        <w:rPr>
          <w:rFonts w:ascii="Arial" w:eastAsia="Times New Roman" w:hAnsi="Arial"/>
          <w:color w:val="242424"/>
          <w:sz w:val="21"/>
          <w:szCs w:val="21"/>
          <w:lang w:eastAsia="es-ES"/>
        </w:rPr>
        <w:t xml:space="preserve">En este sentido, no consta que el ayuntamiento exigiera al contratista, en el momento de inicio del contrato, el alta en la Seguridad Social y los contratos de trabajo del personal ofertado para la ejecución del contrato según se especificaba en la cláusula 26 del PCAP y que fue un criterio decisivo para su adjudicación (volumen de mano de obra). Tampoco consta que al tiempo de la recepción se comprobara el cumplimiento del contrato ni que se realizasen actuaciones tendentes a valorar la gravedad de este incumplimiento según lo establecido en la cláusula 34 a efectos de adoptar las </w:t>
      </w:r>
      <w:r w:rsidRPr="00973028">
        <w:rPr>
          <w:rFonts w:ascii="Arial" w:eastAsia="Times New Roman" w:hAnsi="Arial"/>
          <w:color w:val="000000"/>
          <w:sz w:val="21"/>
          <w:szCs w:val="21"/>
          <w:lang w:eastAsia="es-ES"/>
        </w:rPr>
        <w:t>medidas correctoras que resultaran oportunas. Del mismo modo, tampoco ha quedado acreditado que la adjudicataria comunicara al ayuntamiento su intención de celebrar subcontratos con carácter previo a su celebración en cumplimiento del artículo 210.2 b) de la LCSP 30/2007, de 30 de octubre. A pesar del incumplimiento se devolvió íntegra la garantía. Además, no consta la existencia de informes de fiscalización correspondientes a las fases de aprobación del gasto y de adjudicación, y tampoco respecto del acuerdo de devolución del aval</w:t>
      </w:r>
      <w:r w:rsidRPr="00973028">
        <w:rPr>
          <w:rFonts w:ascii="Arial" w:eastAsia="Times New Roman" w:hAnsi="Arial"/>
          <w:i/>
          <w:iCs/>
          <w:color w:val="000000"/>
          <w:sz w:val="21"/>
          <w:szCs w:val="21"/>
          <w:lang w:eastAsia="es-ES"/>
        </w:rPr>
        <w:t>.</w:t>
      </w:r>
    </w:p>
    <w:p w14:paraId="561AFC55" w14:textId="7777777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 xml:space="preserve">Resultado: </w:t>
      </w:r>
      <w:r w:rsidRPr="00973028">
        <w:rPr>
          <w:rFonts w:ascii="Arial" w:eastAsia="Times New Roman" w:hAnsi="Arial"/>
          <w:color w:val="000000"/>
          <w:sz w:val="21"/>
          <w:szCs w:val="21"/>
          <w:lang w:eastAsia="es-ES"/>
        </w:rPr>
        <w:t>Formulación de recomendaciones al Ayuntamiento de Paiporta:</w:t>
      </w:r>
    </w:p>
    <w:p w14:paraId="644F2FAE" w14:textId="77777777" w:rsidR="002A47AA" w:rsidRPr="00973028" w:rsidRDefault="002A47AA" w:rsidP="006F286F">
      <w:pPr>
        <w:spacing w:after="12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1ª En lo sucesivo, se proceda a la designación de persona o personas u órganos concretos como responsables del seguimiento de los contratos, con especial atención a aquellos de mayor importe económico o complejidad técnica.</w:t>
      </w:r>
    </w:p>
    <w:p w14:paraId="0976366E" w14:textId="77777777" w:rsidR="002A47AA" w:rsidRPr="00973028" w:rsidRDefault="002A47AA" w:rsidP="006F286F">
      <w:pPr>
        <w:spacing w:after="12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2ª Que se establezcan los mecanismos necesarios para asegurar la puesta a disposición de la Intervención Municipal de toda la documentación necesaria para la realización de forma adecuada de su función interventora respetando, al mismo tiempo, su independencia en la defensa de la legalidad.</w:t>
      </w:r>
    </w:p>
    <w:p w14:paraId="778F7288" w14:textId="77777777" w:rsidR="004D194D" w:rsidRPr="00973028" w:rsidRDefault="002A47AA" w:rsidP="006F286F">
      <w:pPr>
        <w:spacing w:after="12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3ª Que por ese ayuntamiento se adopten las medidas precisas para, ante un caso similar, valorar la posible incidencia económica que podría haber tenido un incumplimiento contractual como el expuesto con la finalidad de ejercer, en su caso, la acción del enriquecimiento injusto, previa al reintegro de lo que se hubiese podido abonar indebidamente. </w:t>
      </w:r>
    </w:p>
    <w:p w14:paraId="499939C1" w14:textId="5B0D7306" w:rsidR="002A47AA" w:rsidRPr="00E15938" w:rsidRDefault="002A47AA" w:rsidP="002A47AA">
      <w:pPr>
        <w:spacing w:after="240" w:line="276" w:lineRule="auto"/>
        <w:jc w:val="both"/>
        <w:rPr>
          <w:rStyle w:val="Hipervnculo"/>
          <w:rFonts w:ascii="Arial" w:eastAsia="Times New Roman" w:hAnsi="Arial"/>
          <w:color w:val="000000"/>
          <w:sz w:val="21"/>
          <w:szCs w:val="21"/>
          <w:u w:val="none"/>
          <w:lang w:eastAsia="es-ES"/>
        </w:rPr>
      </w:pPr>
      <w:r w:rsidRPr="00973028">
        <w:rPr>
          <w:rFonts w:ascii="Arial" w:eastAsia="Times New Roman" w:hAnsi="Arial"/>
          <w:color w:val="000000"/>
          <w:sz w:val="21"/>
          <w:szCs w:val="21"/>
          <w:lang w:eastAsia="es-ES"/>
        </w:rPr>
        <w:t xml:space="preserve">Se puede consultar </w:t>
      </w:r>
      <w:r w:rsidR="00E15938">
        <w:rPr>
          <w:rFonts w:ascii="Arial" w:eastAsia="Times New Roman" w:hAnsi="Arial"/>
          <w:color w:val="000000"/>
          <w:sz w:val="21"/>
          <w:szCs w:val="21"/>
          <w:lang w:eastAsia="es-ES"/>
        </w:rPr>
        <w:tab/>
      </w:r>
      <w:hyperlink r:id="rId60" w:history="1">
        <w:r w:rsidR="00E15938" w:rsidRPr="00E15938">
          <w:rPr>
            <w:rStyle w:val="Hipervnculo"/>
            <w:rFonts w:ascii="Arial" w:eastAsia="Times New Roman" w:hAnsi="Arial"/>
            <w:sz w:val="21"/>
            <w:szCs w:val="21"/>
            <w:lang w:eastAsia="es-ES"/>
          </w:rPr>
          <w:t>aquí</w:t>
        </w:r>
      </w:hyperlink>
      <w:r w:rsidR="00E15938">
        <w:rPr>
          <w:rFonts w:ascii="Arial" w:eastAsia="Times New Roman" w:hAnsi="Arial"/>
          <w:color w:val="000000"/>
          <w:sz w:val="21"/>
          <w:szCs w:val="21"/>
          <w:lang w:eastAsia="es-ES"/>
        </w:rPr>
        <w:t>.</w:t>
      </w:r>
    </w:p>
    <w:p w14:paraId="19DA252C" w14:textId="582DB1B2" w:rsidR="002A47AA" w:rsidRPr="00973028" w:rsidRDefault="002A47AA" w:rsidP="004D2F80">
      <w:pPr>
        <w:spacing w:after="240" w:line="276" w:lineRule="auto"/>
        <w:jc w:val="both"/>
        <w:rPr>
          <w:rFonts w:ascii="Arial" w:eastAsia="Times New Roman" w:hAnsi="Arial"/>
          <w:color w:val="000000"/>
          <w:sz w:val="21"/>
          <w:szCs w:val="21"/>
          <w:lang w:eastAsia="es-ES"/>
        </w:rPr>
      </w:pPr>
      <w:r w:rsidRPr="00973028">
        <w:rPr>
          <w:rFonts w:ascii="Arial" w:hAnsi="Arial"/>
          <w:b/>
          <w:bCs/>
          <w:sz w:val="21"/>
          <w:szCs w:val="21"/>
        </w:rPr>
        <w:t xml:space="preserve">Fase de Seguimiento: </w:t>
      </w:r>
      <w:r w:rsidRPr="00973028">
        <w:rPr>
          <w:rFonts w:ascii="Arial" w:eastAsia="Times New Roman" w:hAnsi="Arial"/>
          <w:color w:val="000000"/>
          <w:sz w:val="21"/>
          <w:szCs w:val="21"/>
          <w:lang w:eastAsia="es-ES"/>
        </w:rPr>
        <w:t>No procede fase de seguimiento.</w:t>
      </w:r>
    </w:p>
    <w:p w14:paraId="60D0B6C4" w14:textId="4EFE24B9"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80" w:name="_Toc67646250"/>
      <w:r w:rsidRPr="00973028">
        <w:rPr>
          <w:rFonts w:ascii="Arial" w:eastAsia="Times New Roman" w:hAnsi="Arial" w:cs="Arial"/>
          <w:b/>
          <w:color w:val="9D2235"/>
          <w:sz w:val="28"/>
          <w:szCs w:val="28"/>
        </w:rPr>
        <w:lastRenderedPageBreak/>
        <w:t>Denominación: Ayuntamiento de Sueca</w:t>
      </w:r>
      <w:r w:rsidR="00BE10AE">
        <w:rPr>
          <w:rFonts w:ascii="Arial" w:eastAsia="Times New Roman" w:hAnsi="Arial" w:cs="Arial"/>
          <w:b/>
          <w:color w:val="9D2235"/>
          <w:sz w:val="28"/>
          <w:szCs w:val="28"/>
        </w:rPr>
        <w:t>.</w:t>
      </w:r>
      <w:r w:rsidRPr="00973028">
        <w:rPr>
          <w:rFonts w:ascii="Arial" w:eastAsia="Times New Roman" w:hAnsi="Arial" w:cs="Arial"/>
          <w:b/>
          <w:color w:val="9D2235"/>
          <w:sz w:val="28"/>
          <w:szCs w:val="28"/>
        </w:rPr>
        <w:t xml:space="preserve"> Irregularidades en productividades, otras retribuciones de funcionarios y comisión de servicios</w:t>
      </w:r>
      <w:bookmarkEnd w:id="80"/>
    </w:p>
    <w:p w14:paraId="21FE33D6" w14:textId="77777777"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Expediente:</w:t>
      </w:r>
      <w:r w:rsidRPr="00973028">
        <w:rPr>
          <w:rFonts w:ascii="Arial" w:hAnsi="Arial"/>
          <w:sz w:val="21"/>
          <w:szCs w:val="21"/>
        </w:rPr>
        <w:t xml:space="preserve"> 2020/G01_01/000078</w:t>
      </w:r>
    </w:p>
    <w:p w14:paraId="0891B4FE" w14:textId="77777777"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Descripción:</w:t>
      </w:r>
      <w:r w:rsidRPr="00973028">
        <w:rPr>
          <w:rFonts w:ascii="Arial" w:hAnsi="Arial"/>
          <w:sz w:val="21"/>
          <w:szCs w:val="21"/>
        </w:rPr>
        <w:t xml:space="preserve"> </w:t>
      </w:r>
      <w:r w:rsidRPr="00973028">
        <w:rPr>
          <w:rFonts w:ascii="Arial" w:eastAsia="Times New Roman" w:hAnsi="Arial"/>
          <w:color w:val="000000"/>
          <w:sz w:val="21"/>
          <w:szCs w:val="21"/>
          <w:lang w:eastAsia="es-ES"/>
        </w:rPr>
        <w:t xml:space="preserve">Los hechos denunciados se concretaron en irregularidades </w:t>
      </w:r>
      <w:r w:rsidRPr="00973028">
        <w:rPr>
          <w:rFonts w:ascii="Arial" w:hAnsi="Arial"/>
          <w:sz w:val="21"/>
          <w:szCs w:val="21"/>
        </w:rPr>
        <w:t>relacionadas con el complemento de productividad, además de la adscripción de una funcionaria sin procedimiento previo y dudas sobre la prórroga de una comisión de servicios.</w:t>
      </w:r>
    </w:p>
    <w:p w14:paraId="207A4408" w14:textId="77777777" w:rsidR="002A47AA" w:rsidRPr="00973028" w:rsidRDefault="002A47AA" w:rsidP="002A47AA">
      <w:pPr>
        <w:autoSpaceDE w:val="0"/>
        <w:autoSpaceDN w:val="0"/>
        <w:adjustRightInd w:val="0"/>
        <w:spacing w:after="240" w:line="276" w:lineRule="auto"/>
        <w:jc w:val="both"/>
        <w:rPr>
          <w:rFonts w:ascii="Arial" w:hAnsi="Arial"/>
          <w:sz w:val="21"/>
          <w:szCs w:val="21"/>
        </w:rPr>
      </w:pPr>
      <w:r w:rsidRPr="00973028">
        <w:rPr>
          <w:rFonts w:ascii="Arial" w:hAnsi="Arial"/>
          <w:sz w:val="21"/>
          <w:szCs w:val="21"/>
        </w:rPr>
        <w:t>Tras las actuaciones de investigación se concluye que:</w:t>
      </w:r>
    </w:p>
    <w:p w14:paraId="0D90B6EF" w14:textId="77777777" w:rsidR="002A47AA" w:rsidRPr="00973028" w:rsidRDefault="002A47AA" w:rsidP="006F286F">
      <w:pPr>
        <w:autoSpaceDE w:val="0"/>
        <w:autoSpaceDN w:val="0"/>
        <w:adjustRightInd w:val="0"/>
        <w:spacing w:after="120" w:line="276" w:lineRule="auto"/>
        <w:jc w:val="both"/>
        <w:rPr>
          <w:rFonts w:ascii="Arial" w:hAnsi="Arial"/>
          <w:sz w:val="21"/>
          <w:szCs w:val="21"/>
        </w:rPr>
      </w:pPr>
      <w:r w:rsidRPr="00973028">
        <w:rPr>
          <w:rFonts w:ascii="Arial" w:hAnsi="Arial"/>
          <w:sz w:val="21"/>
          <w:szCs w:val="21"/>
        </w:rPr>
        <w:t>1.- En relación con las productividades, queda acreditado que la aplicación del complemento de productividad a los FHCN del Ayuntamiento de Sueca no ha seguido los cauces legales y procedimentales que la normativa sobre retribuciones de los funcionarios de la Administración Local exige.</w:t>
      </w:r>
    </w:p>
    <w:p w14:paraId="7641B629" w14:textId="77777777" w:rsidR="002A47AA" w:rsidRPr="00973028" w:rsidRDefault="002A47AA" w:rsidP="006F286F">
      <w:pPr>
        <w:autoSpaceDE w:val="0"/>
        <w:autoSpaceDN w:val="0"/>
        <w:adjustRightInd w:val="0"/>
        <w:spacing w:after="120" w:line="276" w:lineRule="auto"/>
        <w:jc w:val="both"/>
        <w:rPr>
          <w:rFonts w:ascii="Arial" w:hAnsi="Arial"/>
          <w:sz w:val="21"/>
          <w:szCs w:val="21"/>
        </w:rPr>
      </w:pPr>
      <w:r w:rsidRPr="00973028">
        <w:rPr>
          <w:rFonts w:ascii="Arial" w:hAnsi="Arial"/>
          <w:sz w:val="21"/>
          <w:szCs w:val="21"/>
        </w:rPr>
        <w:t>2.- Se ha constatado que el Ayuntamiento de Sueca ha reconocido, a favor de una funcionaria, derechos económicos correspondientes a un grupo funcionarial al que no pertenece la misma. En concreto, se han abonado retribuciones básicas correspondientes al grupo funcionarial A1, con ocasión de la cobertura de un puesto de trabajo de tal grupo, con carácter accidental, cuando la funcionaria pertenece a un grupo inferior (C1).</w:t>
      </w:r>
    </w:p>
    <w:p w14:paraId="6C204E5E" w14:textId="77777777" w:rsidR="002A47AA" w:rsidRPr="00973028" w:rsidRDefault="002A47AA" w:rsidP="006F286F">
      <w:pPr>
        <w:spacing w:after="120" w:line="276" w:lineRule="auto"/>
        <w:jc w:val="both"/>
        <w:rPr>
          <w:rFonts w:ascii="Arial" w:hAnsi="Arial"/>
          <w:sz w:val="21"/>
          <w:szCs w:val="21"/>
        </w:rPr>
      </w:pPr>
      <w:r w:rsidRPr="00973028">
        <w:rPr>
          <w:rFonts w:ascii="Arial" w:hAnsi="Arial"/>
          <w:sz w:val="21"/>
          <w:szCs w:val="21"/>
        </w:rPr>
        <w:t>3.- En relación con la comisión de servicios, se trata de un asunto que está en sede judicial pendiente de sentencia del Tribunal Superior de Justicia de la Comunitat Valenciana, por lo que se procede al archivo de esta parte de la denuncia.</w:t>
      </w:r>
    </w:p>
    <w:p w14:paraId="6574208D" w14:textId="77777777"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Resultado:</w:t>
      </w:r>
      <w:r w:rsidRPr="00973028">
        <w:rPr>
          <w:rFonts w:ascii="Arial" w:hAnsi="Arial"/>
          <w:sz w:val="21"/>
          <w:szCs w:val="21"/>
        </w:rPr>
        <w:t xml:space="preserve"> Formulación de recomendaciones al Ayuntamiento de Sueca:</w:t>
      </w:r>
    </w:p>
    <w:p w14:paraId="3311C15A" w14:textId="77777777" w:rsidR="002A47AA" w:rsidRPr="00973028" w:rsidRDefault="002A47AA" w:rsidP="006F286F">
      <w:pPr>
        <w:spacing w:after="120" w:line="276" w:lineRule="auto"/>
        <w:jc w:val="both"/>
        <w:rPr>
          <w:rFonts w:ascii="Arial" w:hAnsi="Arial"/>
          <w:sz w:val="21"/>
          <w:szCs w:val="21"/>
        </w:rPr>
      </w:pPr>
      <w:r w:rsidRPr="00973028">
        <w:rPr>
          <w:rFonts w:ascii="Arial" w:hAnsi="Arial"/>
          <w:sz w:val="21"/>
          <w:szCs w:val="21"/>
        </w:rPr>
        <w:t>1ª.- Se requiere un Plan de Implementación referido a la valoración de puestos de trabajo y la correspondiente RPT para regularizar de manera adecuada las retribuciones complementarias de los funcionarios del Ayuntamiento de Sueca.</w:t>
      </w:r>
    </w:p>
    <w:p w14:paraId="0D9F7A92" w14:textId="77777777" w:rsidR="002A47AA" w:rsidRPr="00973028" w:rsidRDefault="002A47AA" w:rsidP="006F286F">
      <w:pPr>
        <w:autoSpaceDE w:val="0"/>
        <w:autoSpaceDN w:val="0"/>
        <w:adjustRightInd w:val="0"/>
        <w:spacing w:after="120" w:line="276" w:lineRule="auto"/>
        <w:jc w:val="both"/>
        <w:rPr>
          <w:rFonts w:ascii="Arial" w:hAnsi="Arial"/>
          <w:sz w:val="21"/>
          <w:szCs w:val="21"/>
        </w:rPr>
      </w:pPr>
      <w:r w:rsidRPr="00973028">
        <w:rPr>
          <w:rFonts w:ascii="Arial" w:hAnsi="Arial"/>
          <w:sz w:val="21"/>
          <w:szCs w:val="21"/>
        </w:rPr>
        <w:t>2ª.- Se le requiere al Ayuntamiento de Sueca la apertura y desarrollo del expediente de revisión de los actos administrativos en los que se hubieran reconocido las retribuciones básicas correspondientes al grupo funcionarial A1, con ocasión de la cobertura de un puesto de trabajo de tal grupo, con carácter accidental, por un funcionario de otro grupo inferior (C1) y posterior declaración de nulidad de los actos correspondientes. Y, si resultara procedente, tras el procedimiento establecido en el artículo 106 de la Ley 39/2015, a la regulación correspondiente de haberes con el reintegro posterior de las cantidades indebidamente percibidas.</w:t>
      </w:r>
    </w:p>
    <w:p w14:paraId="0C253C52" w14:textId="4842CB00" w:rsidR="002A47AA" w:rsidRPr="00973028" w:rsidRDefault="002A47AA" w:rsidP="002A47AA">
      <w:pPr>
        <w:autoSpaceDE w:val="0"/>
        <w:autoSpaceDN w:val="0"/>
        <w:adjustRightInd w:val="0"/>
        <w:spacing w:after="240" w:line="276" w:lineRule="auto"/>
        <w:jc w:val="both"/>
        <w:rPr>
          <w:rFonts w:ascii="Arial" w:hAnsi="Arial"/>
          <w:sz w:val="21"/>
          <w:szCs w:val="21"/>
        </w:rPr>
      </w:pPr>
      <w:r w:rsidRPr="00973028">
        <w:rPr>
          <w:rFonts w:ascii="Arial" w:hAnsi="Arial"/>
          <w:sz w:val="21"/>
          <w:szCs w:val="21"/>
        </w:rPr>
        <w:t xml:space="preserve">Se puede consultar </w:t>
      </w:r>
      <w:hyperlink r:id="rId61" w:history="1">
        <w:r w:rsidR="00E15938" w:rsidRPr="00E15938">
          <w:rPr>
            <w:rStyle w:val="Hipervnculo"/>
            <w:rFonts w:ascii="Arial" w:hAnsi="Arial"/>
            <w:sz w:val="21"/>
            <w:szCs w:val="21"/>
          </w:rPr>
          <w:t>aquí</w:t>
        </w:r>
      </w:hyperlink>
      <w:r w:rsidR="00E15938">
        <w:rPr>
          <w:rFonts w:ascii="Arial" w:hAnsi="Arial"/>
          <w:sz w:val="21"/>
          <w:szCs w:val="21"/>
        </w:rPr>
        <w:t>.</w:t>
      </w:r>
      <w:r w:rsidRPr="00973028">
        <w:rPr>
          <w:rFonts w:ascii="Arial" w:hAnsi="Arial"/>
          <w:sz w:val="21"/>
          <w:szCs w:val="21"/>
        </w:rPr>
        <w:t xml:space="preserve"> </w:t>
      </w:r>
    </w:p>
    <w:p w14:paraId="60F17C40" w14:textId="6C06E94E"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 xml:space="preserve">Fase seguimiento: </w:t>
      </w:r>
      <w:r w:rsidRPr="00973028">
        <w:rPr>
          <w:rFonts w:ascii="Arial" w:hAnsi="Arial"/>
          <w:sz w:val="21"/>
          <w:szCs w:val="21"/>
        </w:rPr>
        <w:t>El Ayuntamiento de Sueca ha iniciado los trámites para modificar la RPT y para proceder a la revisión del acto administrativo requerido.</w:t>
      </w:r>
    </w:p>
    <w:p w14:paraId="2B38924C" w14:textId="7E92E2BF"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81" w:name="_Toc67646251"/>
      <w:r w:rsidRPr="00973028">
        <w:rPr>
          <w:rFonts w:ascii="Arial" w:eastAsia="Times New Roman" w:hAnsi="Arial" w:cs="Arial"/>
          <w:b/>
          <w:color w:val="9D2235"/>
          <w:sz w:val="28"/>
          <w:szCs w:val="28"/>
        </w:rPr>
        <w:lastRenderedPageBreak/>
        <w:t>Denominación: DIVALTERRA</w:t>
      </w:r>
      <w:r w:rsidR="00BE10AE">
        <w:rPr>
          <w:rFonts w:ascii="Arial" w:eastAsia="Times New Roman" w:hAnsi="Arial" w:cs="Arial"/>
          <w:b/>
          <w:color w:val="9D2235"/>
          <w:sz w:val="28"/>
          <w:szCs w:val="28"/>
        </w:rPr>
        <w:t>.</w:t>
      </w:r>
      <w:r w:rsidRPr="00973028">
        <w:rPr>
          <w:rFonts w:ascii="Arial" w:eastAsia="Times New Roman" w:hAnsi="Arial" w:cs="Arial"/>
          <w:b/>
          <w:color w:val="9D2235"/>
          <w:sz w:val="28"/>
          <w:szCs w:val="28"/>
        </w:rPr>
        <w:t xml:space="preserve"> Irregularidades en relación con el Convenio CICAL firmado con la Federación Valenciana de Municipios y Provincias</w:t>
      </w:r>
      <w:bookmarkEnd w:id="81"/>
    </w:p>
    <w:p w14:paraId="2888CDFE" w14:textId="77777777"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Expediente:</w:t>
      </w:r>
      <w:r w:rsidRPr="00973028">
        <w:rPr>
          <w:rFonts w:ascii="Arial" w:hAnsi="Arial"/>
          <w:sz w:val="21"/>
          <w:szCs w:val="21"/>
        </w:rPr>
        <w:t xml:space="preserve"> 2020/G01_01/000203</w:t>
      </w:r>
    </w:p>
    <w:p w14:paraId="4DF4C4E7" w14:textId="77777777"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 xml:space="preserve">Descripción: </w:t>
      </w:r>
      <w:r w:rsidRPr="00973028">
        <w:rPr>
          <w:rFonts w:ascii="Arial" w:hAnsi="Arial"/>
          <w:sz w:val="21"/>
          <w:szCs w:val="21"/>
        </w:rPr>
        <w:t>Los hechos denunciados se concretaron en el uso irregular de fondos públicos en relación con la firma de un Convenio de Colaboración entre DIVALTERRA y la Federación Valenciana de Municipios y Provincias.</w:t>
      </w:r>
    </w:p>
    <w:p w14:paraId="2ADD5B34"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Se expuso por esta Agencia que el convenio de colaboración suscrito articuló, en realidad, una subvención de carácter finalista, otorgada por parte de DIVALTERRA a la Federación Valenciana de Municipios y Provincias, y no un contrato (como tramitó la primera) ni un verdadero convenio de colaboración entre instituciones (como manifestó la segunda).</w:t>
      </w:r>
    </w:p>
    <w:p w14:paraId="7ACDE0AC"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La presente conclusión se apoyaba en que el beneficiario último de la prestación objeto del convenio (la realización de estudios para la creación del CICAL) no fue DIVALTERRA, sino la propia FVMP, por lo que no nos encontramos ante una contratación pública, en la que la entidad contratante es la beneficiaria del servicio contratado.</w:t>
      </w:r>
    </w:p>
    <w:p w14:paraId="41F6D315"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En segundo lugar, porque, si bien la actuación planteada inicialmente sí que respondería a la naturaleza de convenio de colaboración, el estudio a posteriori de la documentación recabada durante la investigación ha puesto de manifiesto que la colaboración entre ambas entidades ha sido inexistente, limitándose DIVALTERRA a aportar la financiación de la actuación (es decir, “subvencionarla”) de la FVMP, que es la que había desplegado la totalidad de la actividad material, a través de su propio personal, y medios, tal y como se acreditó a través de la presentación de las cuentas justificativas que han pretendido justificar el abono de los 120.000,00 euros contemplados por el Convenio. Siendo que la única actuación de DIVALTERRA al respecto fue verificar y supervisar las cuentas justificativas presentadas por la FVMP, pues ni siquiera prestó el asesoramiento jurídico que contemplaba el Convenio, ya que éste fue contratado de forma externa (la propia auditoría contratada por DIVALTERRA (RSM auditores) así lo apuntaba).</w:t>
      </w:r>
    </w:p>
    <w:p w14:paraId="42FBE883"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Por otra parte, se detectaron numerosas infracciones en relación con los procedimientos para la verificación y fiscalización de la realización material efectiva de las tareas certificadas por la FVMP para la recepción de la aportación económica de DIVALTERRA, así como Irregularidades en la adecuación de los conceptos e importes de los gastos imputados al Convenio.</w:t>
      </w:r>
    </w:p>
    <w:p w14:paraId="749BA958" w14:textId="77777777" w:rsidR="002A47AA" w:rsidRPr="00973028" w:rsidRDefault="002A47AA" w:rsidP="006F286F">
      <w:pPr>
        <w:spacing w:after="120" w:line="276" w:lineRule="auto"/>
        <w:jc w:val="both"/>
        <w:rPr>
          <w:rFonts w:ascii="Arial" w:hAnsi="Arial"/>
          <w:sz w:val="21"/>
          <w:szCs w:val="21"/>
        </w:rPr>
      </w:pPr>
      <w:r w:rsidRPr="00973028">
        <w:rPr>
          <w:rFonts w:ascii="Arial" w:hAnsi="Arial"/>
          <w:b/>
          <w:bCs/>
          <w:sz w:val="21"/>
          <w:szCs w:val="21"/>
        </w:rPr>
        <w:t xml:space="preserve">Resultado: </w:t>
      </w:r>
      <w:r w:rsidRPr="00973028">
        <w:rPr>
          <w:rFonts w:ascii="Arial" w:hAnsi="Arial"/>
          <w:sz w:val="21"/>
          <w:szCs w:val="21"/>
        </w:rPr>
        <w:t>Formulación de recomendaciones a DIVALTERRA, consistentes en:</w:t>
      </w:r>
    </w:p>
    <w:p w14:paraId="12BC7B2D" w14:textId="77777777" w:rsidR="002A47AA" w:rsidRPr="00973028" w:rsidRDefault="002A47AA" w:rsidP="006F286F">
      <w:pPr>
        <w:spacing w:after="120" w:line="276" w:lineRule="auto"/>
        <w:jc w:val="both"/>
        <w:rPr>
          <w:rFonts w:ascii="Arial" w:hAnsi="Arial"/>
          <w:sz w:val="21"/>
          <w:szCs w:val="21"/>
        </w:rPr>
      </w:pPr>
      <w:r w:rsidRPr="00973028">
        <w:rPr>
          <w:rFonts w:ascii="Arial" w:hAnsi="Arial"/>
          <w:sz w:val="21"/>
          <w:szCs w:val="21"/>
        </w:rPr>
        <w:t>1ª.- Revisar la cuantía de la aportación económica a imputar al Convenio de</w:t>
      </w:r>
      <w:r w:rsidRPr="00973028">
        <w:t xml:space="preserve"> </w:t>
      </w:r>
      <w:r w:rsidRPr="00973028">
        <w:rPr>
          <w:rFonts w:ascii="Arial" w:hAnsi="Arial"/>
          <w:sz w:val="21"/>
          <w:szCs w:val="21"/>
        </w:rPr>
        <w:t>Colaboración de 17 de mayo de 2016, teniendo en cuenta las irregularidades puestas de manifiesto, y en particular:</w:t>
      </w:r>
    </w:p>
    <w:p w14:paraId="63CE1788" w14:textId="77777777" w:rsidR="002A47AA" w:rsidRPr="00973028" w:rsidRDefault="002A47AA" w:rsidP="006F286F">
      <w:pPr>
        <w:spacing w:after="120" w:line="276" w:lineRule="auto"/>
        <w:ind w:left="708"/>
        <w:jc w:val="both"/>
        <w:rPr>
          <w:rFonts w:ascii="Arial" w:hAnsi="Arial"/>
          <w:sz w:val="21"/>
          <w:szCs w:val="21"/>
        </w:rPr>
      </w:pPr>
      <w:r w:rsidRPr="00973028">
        <w:rPr>
          <w:rFonts w:ascii="Arial" w:hAnsi="Arial"/>
          <w:sz w:val="21"/>
          <w:szCs w:val="21"/>
        </w:rPr>
        <w:t>a) La aplicación de porcentajes no justificados de dedicación a las nóminas que justifican los gastos de personal adscrito al proyecto.</w:t>
      </w:r>
    </w:p>
    <w:p w14:paraId="7469A05C" w14:textId="77777777" w:rsidR="002A47AA" w:rsidRPr="00973028" w:rsidRDefault="002A47AA" w:rsidP="006F286F">
      <w:pPr>
        <w:spacing w:after="120" w:line="276" w:lineRule="auto"/>
        <w:ind w:left="708"/>
        <w:jc w:val="both"/>
        <w:rPr>
          <w:rFonts w:ascii="Arial" w:hAnsi="Arial"/>
          <w:sz w:val="21"/>
          <w:szCs w:val="21"/>
        </w:rPr>
      </w:pPr>
      <w:r w:rsidRPr="00973028">
        <w:rPr>
          <w:rFonts w:ascii="Arial" w:hAnsi="Arial"/>
          <w:sz w:val="21"/>
          <w:szCs w:val="21"/>
        </w:rPr>
        <w:lastRenderedPageBreak/>
        <w:t>b) La eliminación no justificada de la justificación final de gastos las nóminas correspondientes a enero de 2017.</w:t>
      </w:r>
    </w:p>
    <w:p w14:paraId="1339CF1A" w14:textId="77777777" w:rsidR="002A47AA" w:rsidRPr="00973028" w:rsidRDefault="002A47AA" w:rsidP="006F286F">
      <w:pPr>
        <w:spacing w:after="120" w:line="276" w:lineRule="auto"/>
        <w:ind w:left="708"/>
        <w:jc w:val="both"/>
        <w:rPr>
          <w:rFonts w:ascii="Arial" w:hAnsi="Arial"/>
          <w:sz w:val="21"/>
          <w:szCs w:val="21"/>
        </w:rPr>
      </w:pPr>
      <w:r w:rsidRPr="00973028">
        <w:rPr>
          <w:rFonts w:ascii="Arial" w:hAnsi="Arial"/>
          <w:sz w:val="21"/>
          <w:szCs w:val="21"/>
        </w:rPr>
        <w:t>c) La aplicación no justificada de un porcentaje genérico del 8% sobre la aportación económica como cuantía máxima de gastos generales (9.600,00 €).</w:t>
      </w:r>
    </w:p>
    <w:p w14:paraId="2BCADEA8" w14:textId="77777777" w:rsidR="002A47AA" w:rsidRPr="00973028" w:rsidRDefault="002A47AA" w:rsidP="006F286F">
      <w:pPr>
        <w:spacing w:after="120" w:line="276" w:lineRule="auto"/>
        <w:ind w:left="708"/>
        <w:jc w:val="both"/>
        <w:rPr>
          <w:rFonts w:ascii="Arial" w:hAnsi="Arial"/>
          <w:sz w:val="21"/>
          <w:szCs w:val="21"/>
        </w:rPr>
      </w:pPr>
      <w:r w:rsidRPr="00973028">
        <w:rPr>
          <w:rFonts w:ascii="Arial" w:hAnsi="Arial"/>
          <w:sz w:val="21"/>
          <w:szCs w:val="21"/>
        </w:rPr>
        <w:t>d) La no adecuación al objeto del Convenio de la realización de visitas de exposición del proyecto, la búsqueda de financiación, el alquiler de salones en el campus de la UPV-Gandía, el análisis de RPT’s o el diseño de la imagen corporativa de CICAL.</w:t>
      </w:r>
    </w:p>
    <w:p w14:paraId="62734DD6" w14:textId="1C7D3120" w:rsidR="002A47AA" w:rsidRPr="00973028" w:rsidRDefault="002A47AA" w:rsidP="006F286F">
      <w:pPr>
        <w:spacing w:after="120" w:line="276" w:lineRule="auto"/>
        <w:ind w:left="708"/>
        <w:jc w:val="both"/>
        <w:rPr>
          <w:rFonts w:ascii="Arial" w:hAnsi="Arial"/>
          <w:sz w:val="21"/>
          <w:szCs w:val="21"/>
        </w:rPr>
      </w:pPr>
      <w:r w:rsidRPr="00973028">
        <w:rPr>
          <w:rFonts w:ascii="Arial" w:hAnsi="Arial"/>
          <w:sz w:val="21"/>
          <w:szCs w:val="21"/>
        </w:rPr>
        <w:t>e) El periodo de vigencia real del Convenio, y la imposibilidad de imputación al mismo de gastos generados con anterioridad o con posterioridad a la vigencia de aquel.</w:t>
      </w:r>
    </w:p>
    <w:p w14:paraId="0583109F" w14:textId="09D2614F" w:rsidR="002A47AA" w:rsidRPr="00973028" w:rsidRDefault="002A47AA" w:rsidP="006F286F">
      <w:pPr>
        <w:spacing w:after="120" w:line="276" w:lineRule="auto"/>
        <w:jc w:val="both"/>
        <w:rPr>
          <w:rFonts w:ascii="Arial" w:hAnsi="Arial"/>
          <w:sz w:val="21"/>
          <w:szCs w:val="21"/>
        </w:rPr>
      </w:pPr>
      <w:r w:rsidRPr="00973028">
        <w:rPr>
          <w:rFonts w:ascii="Arial" w:hAnsi="Arial"/>
          <w:sz w:val="21"/>
          <w:szCs w:val="21"/>
        </w:rPr>
        <w:t>2ª.- Iniciar los trámites que procedan en orden a determinar posibles responsabilidades, e incoar los procedimientos disciplinarios que correspondan.</w:t>
      </w:r>
    </w:p>
    <w:p w14:paraId="1021652D" w14:textId="77777777" w:rsidR="002A47AA" w:rsidRPr="00973028" w:rsidRDefault="002A47AA" w:rsidP="006F286F">
      <w:pPr>
        <w:spacing w:after="120" w:line="276" w:lineRule="auto"/>
        <w:jc w:val="both"/>
        <w:rPr>
          <w:rFonts w:ascii="Arial" w:hAnsi="Arial"/>
          <w:sz w:val="21"/>
          <w:szCs w:val="21"/>
        </w:rPr>
      </w:pPr>
      <w:r w:rsidRPr="00973028">
        <w:rPr>
          <w:rFonts w:ascii="Arial" w:hAnsi="Arial"/>
          <w:sz w:val="21"/>
          <w:szCs w:val="21"/>
        </w:rPr>
        <w:t>3ª.- Iniciar los trámites que procedan en orden a determinar la procedencia del pago de las facturas pendientes o, en su caso, el inicio de las actuaciones necesarias en orden a la devolución o reintegro de las cantidades pagadas indebidamente.</w:t>
      </w:r>
    </w:p>
    <w:p w14:paraId="04160470" w14:textId="6194E479" w:rsidR="002A47AA" w:rsidRPr="00973028" w:rsidRDefault="002A47AA" w:rsidP="002A47AA">
      <w:pPr>
        <w:spacing w:after="240" w:line="276" w:lineRule="auto"/>
        <w:jc w:val="both"/>
        <w:rPr>
          <w:rFonts w:ascii="Arial" w:hAnsi="Arial"/>
          <w:color w:val="000080"/>
          <w:sz w:val="21"/>
          <w:szCs w:val="21"/>
          <w:u w:val="single"/>
        </w:rPr>
      </w:pPr>
      <w:r w:rsidRPr="00973028">
        <w:rPr>
          <w:rFonts w:ascii="Arial" w:hAnsi="Arial"/>
          <w:sz w:val="21"/>
          <w:szCs w:val="21"/>
        </w:rPr>
        <w:t xml:space="preserve">Se puede consultar </w:t>
      </w:r>
      <w:hyperlink r:id="rId62" w:history="1">
        <w:r w:rsidR="00E15938" w:rsidRPr="00E15938">
          <w:rPr>
            <w:rStyle w:val="Hipervnculo"/>
            <w:rFonts w:ascii="Arial" w:hAnsi="Arial"/>
            <w:sz w:val="21"/>
            <w:szCs w:val="21"/>
          </w:rPr>
          <w:t>aquí</w:t>
        </w:r>
      </w:hyperlink>
      <w:r w:rsidR="00E15938">
        <w:rPr>
          <w:rFonts w:ascii="Arial" w:hAnsi="Arial"/>
          <w:sz w:val="21"/>
          <w:szCs w:val="21"/>
        </w:rPr>
        <w:t>.</w:t>
      </w:r>
    </w:p>
    <w:p w14:paraId="5BB4DD94" w14:textId="7777777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hAnsi="Arial"/>
          <w:b/>
          <w:bCs/>
          <w:sz w:val="21"/>
          <w:szCs w:val="21"/>
        </w:rPr>
        <w:t xml:space="preserve">Fase de Seguimiento: </w:t>
      </w:r>
      <w:r w:rsidRPr="00973028">
        <w:rPr>
          <w:rFonts w:ascii="Arial" w:eastAsia="Times New Roman" w:hAnsi="Arial"/>
          <w:color w:val="000000"/>
          <w:sz w:val="21"/>
          <w:szCs w:val="21"/>
          <w:lang w:eastAsia="es-ES"/>
        </w:rPr>
        <w:t>Pendiente de la remisión por DIVALTERRA escrito que acredite el cumplimiento de las recomendaciones formuladas.</w:t>
      </w:r>
    </w:p>
    <w:p w14:paraId="6A1CA379" w14:textId="676B194E"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82" w:name="_Toc67646252"/>
      <w:r w:rsidRPr="00973028">
        <w:rPr>
          <w:rFonts w:ascii="Arial" w:eastAsia="Times New Roman" w:hAnsi="Arial" w:cs="Arial"/>
          <w:b/>
          <w:color w:val="9D2235"/>
          <w:sz w:val="28"/>
          <w:szCs w:val="28"/>
        </w:rPr>
        <w:t>Denominación: Dirección Territorial e Igualdad y Políticas Inclusivas de Alicante. Irregularidades en los procedimientos de provisión de puestos en centro de recepción de menores</w:t>
      </w:r>
      <w:bookmarkEnd w:id="82"/>
    </w:p>
    <w:p w14:paraId="2558760B" w14:textId="6987B17D" w:rsidR="002A47AA" w:rsidRPr="00973028" w:rsidRDefault="002A47AA" w:rsidP="002A47AA">
      <w:pPr>
        <w:spacing w:after="240" w:line="276" w:lineRule="auto"/>
        <w:jc w:val="both"/>
        <w:rPr>
          <w:rFonts w:ascii="Arial" w:eastAsia="Times New Roman" w:hAnsi="Arial"/>
          <w:sz w:val="21"/>
          <w:szCs w:val="21"/>
          <w:lang w:eastAsia="es-ES"/>
        </w:rPr>
      </w:pPr>
      <w:r w:rsidRPr="00973028">
        <w:rPr>
          <w:rFonts w:ascii="Arial" w:eastAsia="Times New Roman" w:hAnsi="Arial"/>
          <w:b/>
          <w:bCs/>
          <w:sz w:val="21"/>
          <w:szCs w:val="21"/>
          <w:lang w:eastAsia="es-ES"/>
        </w:rPr>
        <w:t>Expediente:</w:t>
      </w:r>
      <w:r w:rsidRPr="00973028">
        <w:rPr>
          <w:rFonts w:ascii="Arial" w:eastAsia="Times New Roman" w:hAnsi="Arial"/>
          <w:sz w:val="21"/>
          <w:szCs w:val="21"/>
          <w:lang w:eastAsia="es-ES"/>
        </w:rPr>
        <w:t xml:space="preserve"> 2020/G01_01/00047 </w:t>
      </w:r>
    </w:p>
    <w:p w14:paraId="4014A0FA" w14:textId="15B0FB6E" w:rsidR="002A47AA" w:rsidRPr="00973028" w:rsidRDefault="002A47AA" w:rsidP="002A47AA">
      <w:pPr>
        <w:spacing w:after="240" w:line="276" w:lineRule="auto"/>
        <w:jc w:val="both"/>
        <w:rPr>
          <w:rFonts w:ascii="Arial" w:eastAsia="Times New Roman" w:hAnsi="Arial"/>
          <w:sz w:val="21"/>
          <w:szCs w:val="21"/>
          <w:lang w:eastAsia="es-ES"/>
        </w:rPr>
      </w:pPr>
      <w:r w:rsidRPr="00973028">
        <w:rPr>
          <w:rFonts w:ascii="Arial" w:eastAsia="Times New Roman" w:hAnsi="Arial"/>
          <w:b/>
          <w:bCs/>
          <w:sz w:val="21"/>
          <w:szCs w:val="21"/>
          <w:lang w:eastAsia="es-ES"/>
        </w:rPr>
        <w:t>Descripción:</w:t>
      </w:r>
      <w:r w:rsidRPr="00973028">
        <w:rPr>
          <w:rFonts w:ascii="Arial" w:eastAsia="Times New Roman" w:hAnsi="Arial"/>
          <w:sz w:val="21"/>
          <w:szCs w:val="21"/>
          <w:lang w:eastAsia="es-ES"/>
        </w:rPr>
        <w:t xml:space="preserve"> Los hechos denunciados indicaban una posible irregularidad en materia de provisión de puestos de trabajo de la Dirección Territorial de Igualdad y Políticas Inclusivas de Alicante. Se concretaban en: </w:t>
      </w:r>
    </w:p>
    <w:p w14:paraId="0FECBA9E" w14:textId="61EC6CA4" w:rsidR="006F286F" w:rsidRPr="00973028" w:rsidRDefault="002A47AA" w:rsidP="006F286F">
      <w:pPr>
        <w:pStyle w:val="Prrafodelista"/>
        <w:numPr>
          <w:ilvl w:val="0"/>
          <w:numId w:val="40"/>
        </w:numPr>
        <w:spacing w:after="120" w:line="276" w:lineRule="auto"/>
        <w:jc w:val="both"/>
        <w:rPr>
          <w:rFonts w:ascii="Arial" w:eastAsia="Times New Roman" w:hAnsi="Arial"/>
          <w:sz w:val="21"/>
          <w:szCs w:val="21"/>
          <w:lang w:eastAsia="es-ES"/>
        </w:rPr>
      </w:pPr>
      <w:r w:rsidRPr="00973028">
        <w:rPr>
          <w:rFonts w:ascii="Arial" w:eastAsia="Times New Roman" w:hAnsi="Arial"/>
          <w:sz w:val="21"/>
          <w:szCs w:val="21"/>
          <w:lang w:eastAsia="es-ES"/>
        </w:rPr>
        <w:t>El puesto de trabajo núm. 20717, de sociólogo, FE A1 22 040, estaba ocupado desde su creación en la Dirección Territorial de Val</w:t>
      </w:r>
      <w:r w:rsidR="00D13AB4">
        <w:rPr>
          <w:rFonts w:ascii="Arial" w:eastAsia="Times New Roman" w:hAnsi="Arial"/>
          <w:sz w:val="21"/>
          <w:szCs w:val="21"/>
          <w:lang w:eastAsia="es-ES"/>
        </w:rPr>
        <w:t>e</w:t>
      </w:r>
      <w:r w:rsidRPr="00973028">
        <w:rPr>
          <w:rFonts w:ascii="Arial" w:eastAsia="Times New Roman" w:hAnsi="Arial"/>
          <w:sz w:val="21"/>
          <w:szCs w:val="21"/>
          <w:lang w:eastAsia="es-ES"/>
        </w:rPr>
        <w:t xml:space="preserve">ncia (15 años aproximadamente) por una funcionaria interina, no habiendo salido a concurso público para su provisión definitiva, desde su creación hasta la fecha de la denuncia. </w:t>
      </w:r>
    </w:p>
    <w:p w14:paraId="4C6DE17D" w14:textId="77777777" w:rsidR="006F286F" w:rsidRPr="00973028" w:rsidRDefault="002A47AA" w:rsidP="006F286F">
      <w:pPr>
        <w:pStyle w:val="Prrafodelista"/>
        <w:numPr>
          <w:ilvl w:val="0"/>
          <w:numId w:val="40"/>
        </w:numPr>
        <w:spacing w:after="120" w:line="276" w:lineRule="auto"/>
        <w:jc w:val="both"/>
        <w:rPr>
          <w:rFonts w:ascii="Arial" w:eastAsia="Times New Roman" w:hAnsi="Arial"/>
          <w:sz w:val="21"/>
          <w:szCs w:val="21"/>
          <w:lang w:eastAsia="es-ES"/>
        </w:rPr>
      </w:pPr>
      <w:r w:rsidRPr="00973028">
        <w:rPr>
          <w:rFonts w:ascii="Arial" w:eastAsia="Times New Roman" w:hAnsi="Arial"/>
          <w:sz w:val="21"/>
          <w:szCs w:val="21"/>
          <w:lang w:eastAsia="es-ES"/>
        </w:rPr>
        <w:t xml:space="preserve">Dicho puesto es el único puesto de Sociólogo/a en la RPT de 2017 de la Conselleria de Igualdad y Políticas Inclusivas a nivel autonómico, con nivel retributivo A1 22 040. </w:t>
      </w:r>
    </w:p>
    <w:p w14:paraId="18695465" w14:textId="6931D6B1" w:rsidR="00360DCC" w:rsidRPr="00973028" w:rsidRDefault="002A47AA" w:rsidP="006F286F">
      <w:pPr>
        <w:pStyle w:val="Prrafodelista"/>
        <w:numPr>
          <w:ilvl w:val="0"/>
          <w:numId w:val="40"/>
        </w:numPr>
        <w:spacing w:after="120" w:line="276" w:lineRule="auto"/>
        <w:jc w:val="both"/>
        <w:rPr>
          <w:rFonts w:ascii="Arial" w:eastAsia="Times New Roman" w:hAnsi="Arial"/>
          <w:sz w:val="21"/>
          <w:szCs w:val="21"/>
          <w:lang w:eastAsia="es-ES"/>
        </w:rPr>
      </w:pPr>
      <w:r w:rsidRPr="00973028">
        <w:rPr>
          <w:rFonts w:ascii="Arial" w:eastAsia="Times New Roman" w:hAnsi="Arial"/>
          <w:sz w:val="21"/>
          <w:szCs w:val="21"/>
          <w:lang w:eastAsia="es-ES"/>
        </w:rPr>
        <w:t>Los puestos de análoga naturaleza adscritos a las direcciones territoriales de Alicante, Val</w:t>
      </w:r>
      <w:r w:rsidR="00D13AB4">
        <w:rPr>
          <w:rFonts w:ascii="Arial" w:eastAsia="Times New Roman" w:hAnsi="Arial"/>
          <w:sz w:val="21"/>
          <w:szCs w:val="21"/>
          <w:lang w:eastAsia="es-ES"/>
        </w:rPr>
        <w:t>e</w:t>
      </w:r>
      <w:r w:rsidRPr="00973028">
        <w:rPr>
          <w:rFonts w:ascii="Arial" w:eastAsia="Times New Roman" w:hAnsi="Arial"/>
          <w:sz w:val="21"/>
          <w:szCs w:val="21"/>
          <w:lang w:eastAsia="es-ES"/>
        </w:rPr>
        <w:t>ncia y Castellón, como los de psicólogo, pedagogo y psicopedagogo, incluso técnicos jurídicos y médicos, “todos ellos están clasificados como A1 20 024”.</w:t>
      </w:r>
    </w:p>
    <w:p w14:paraId="429B7586" w14:textId="65FC3AD1" w:rsidR="002A47AA" w:rsidRPr="00973028" w:rsidRDefault="002A47AA" w:rsidP="006F286F">
      <w:pPr>
        <w:spacing w:after="120" w:line="276" w:lineRule="auto"/>
        <w:jc w:val="both"/>
        <w:rPr>
          <w:rFonts w:ascii="Arial" w:eastAsia="Times New Roman" w:hAnsi="Arial"/>
          <w:sz w:val="21"/>
          <w:szCs w:val="21"/>
          <w:lang w:eastAsia="es-ES"/>
        </w:rPr>
      </w:pPr>
      <w:r w:rsidRPr="00973028">
        <w:rPr>
          <w:rFonts w:ascii="Arial" w:eastAsia="Times New Roman" w:hAnsi="Arial"/>
          <w:sz w:val="21"/>
          <w:szCs w:val="21"/>
          <w:lang w:eastAsia="es-ES"/>
        </w:rPr>
        <w:t xml:space="preserve">Tras la instrucción del oportuno procedimiento de investigación, en el que se efectuó el preceptivo trámite de audiencia a la administración denunciada, se evidenció que: </w:t>
      </w:r>
    </w:p>
    <w:p w14:paraId="77AF7B50" w14:textId="77777777" w:rsidR="006F286F" w:rsidRPr="00973028" w:rsidRDefault="002A47AA" w:rsidP="00C76D42">
      <w:pPr>
        <w:pStyle w:val="Prrafodelista"/>
        <w:numPr>
          <w:ilvl w:val="0"/>
          <w:numId w:val="41"/>
        </w:numPr>
        <w:spacing w:after="120" w:line="276" w:lineRule="auto"/>
        <w:jc w:val="both"/>
        <w:rPr>
          <w:rFonts w:ascii="Arial" w:eastAsia="Times New Roman" w:hAnsi="Arial"/>
          <w:sz w:val="21"/>
          <w:szCs w:val="21"/>
          <w:lang w:eastAsia="es-ES"/>
        </w:rPr>
      </w:pPr>
      <w:r w:rsidRPr="00973028">
        <w:rPr>
          <w:rFonts w:ascii="Arial" w:eastAsia="Times New Roman" w:hAnsi="Arial"/>
          <w:sz w:val="21"/>
          <w:szCs w:val="21"/>
          <w:lang w:eastAsia="es-ES"/>
        </w:rPr>
        <w:lastRenderedPageBreak/>
        <w:t xml:space="preserve">Se había iniciado el proceso para cubrir el puesto núm. 20717 mediante decreto 61/2019, de 12 de abril, del Consell, de aprobación de la oferta de empleo público de 2019 para la Administración de la Generalitat, publicada en el DOGV núm. 8544, de 9 de mayo de 2019, en su anexo V, incluía dos puestos de turno libre y dos puestos de turno de promoción interna ordinaria del cuerpo A1-19, Superior Técnico en acción social y administración de servicios sociales de la Administración de la Generalitat, cuerpo y escala en el cual se encuadra el puesto de trabajo objeto de la denuncia. </w:t>
      </w:r>
    </w:p>
    <w:p w14:paraId="2F6BFC2B" w14:textId="358CDAB7" w:rsidR="002A47AA" w:rsidRPr="00973028" w:rsidRDefault="002A47AA" w:rsidP="00C76D42">
      <w:pPr>
        <w:pStyle w:val="Prrafodelista"/>
        <w:numPr>
          <w:ilvl w:val="0"/>
          <w:numId w:val="41"/>
        </w:numPr>
        <w:spacing w:after="120" w:line="276" w:lineRule="auto"/>
        <w:jc w:val="both"/>
        <w:rPr>
          <w:rFonts w:ascii="Arial" w:eastAsia="Times New Roman" w:hAnsi="Arial"/>
          <w:sz w:val="21"/>
          <w:szCs w:val="21"/>
          <w:lang w:eastAsia="es-ES"/>
        </w:rPr>
      </w:pPr>
      <w:r w:rsidRPr="00973028">
        <w:rPr>
          <w:rFonts w:ascii="Arial" w:eastAsia="Times New Roman" w:hAnsi="Arial"/>
          <w:sz w:val="21"/>
          <w:szCs w:val="21"/>
          <w:lang w:eastAsia="es-ES"/>
        </w:rPr>
        <w:t>Comprobada la última RPT, se establece que únicamente 13 de los 166 puestos análogos citados, están clasificados como A1 20 024.</w:t>
      </w:r>
    </w:p>
    <w:p w14:paraId="43CA8190" w14:textId="77777777" w:rsidR="002A47AA" w:rsidRPr="00973028" w:rsidRDefault="002A47AA" w:rsidP="002A47AA">
      <w:pPr>
        <w:spacing w:after="240" w:line="276" w:lineRule="auto"/>
        <w:jc w:val="both"/>
        <w:rPr>
          <w:rFonts w:ascii="Arial" w:eastAsia="Times New Roman" w:hAnsi="Arial"/>
          <w:sz w:val="21"/>
          <w:szCs w:val="21"/>
          <w:lang w:eastAsia="es-ES"/>
        </w:rPr>
      </w:pPr>
      <w:r w:rsidRPr="00973028">
        <w:rPr>
          <w:rFonts w:ascii="Arial" w:eastAsia="Times New Roman" w:hAnsi="Arial"/>
          <w:b/>
          <w:bCs/>
          <w:sz w:val="21"/>
          <w:szCs w:val="21"/>
          <w:lang w:eastAsia="es-ES"/>
        </w:rPr>
        <w:t>Resultado:</w:t>
      </w:r>
      <w:r w:rsidRPr="00973028">
        <w:rPr>
          <w:rFonts w:ascii="Arial" w:eastAsia="Times New Roman" w:hAnsi="Arial"/>
          <w:sz w:val="21"/>
          <w:szCs w:val="21"/>
          <w:lang w:eastAsia="es-ES"/>
        </w:rPr>
        <w:t xml:space="preserve"> Formulación de recomendaciones a la Dirección General de Función Pública de la Conselleria de Justicia, interior y Administración Pública.</w:t>
      </w:r>
    </w:p>
    <w:p w14:paraId="4AD93AAB" w14:textId="02C868B4" w:rsidR="002A47AA" w:rsidRPr="00973028" w:rsidRDefault="002A47AA" w:rsidP="002A47AA">
      <w:pPr>
        <w:spacing w:after="240" w:line="276" w:lineRule="auto"/>
        <w:jc w:val="both"/>
        <w:rPr>
          <w:rStyle w:val="Hipervnculo"/>
        </w:rPr>
      </w:pPr>
      <w:r w:rsidRPr="00973028">
        <w:rPr>
          <w:rFonts w:ascii="Arial" w:eastAsia="Times New Roman" w:hAnsi="Arial"/>
          <w:sz w:val="21"/>
          <w:szCs w:val="21"/>
          <w:lang w:eastAsia="es-ES"/>
        </w:rPr>
        <w:t xml:space="preserve">Se puede consultar </w:t>
      </w:r>
      <w:hyperlink r:id="rId63" w:history="1">
        <w:r w:rsidR="00E15938" w:rsidRPr="00E15938">
          <w:rPr>
            <w:rStyle w:val="Hipervnculo"/>
            <w:rFonts w:ascii="Arial" w:eastAsia="Times New Roman" w:hAnsi="Arial"/>
            <w:sz w:val="21"/>
            <w:szCs w:val="21"/>
            <w:lang w:eastAsia="es-ES"/>
          </w:rPr>
          <w:t>aquí</w:t>
        </w:r>
      </w:hyperlink>
      <w:r w:rsidR="00E15938">
        <w:rPr>
          <w:rFonts w:ascii="Arial" w:eastAsia="Times New Roman" w:hAnsi="Arial"/>
          <w:sz w:val="21"/>
          <w:szCs w:val="21"/>
          <w:lang w:eastAsia="es-ES"/>
        </w:rPr>
        <w:t>.</w:t>
      </w:r>
    </w:p>
    <w:p w14:paraId="1782598D" w14:textId="77777777" w:rsidR="002A47AA" w:rsidRPr="00973028" w:rsidRDefault="002A47AA" w:rsidP="002A47AA">
      <w:pPr>
        <w:spacing w:after="240" w:line="276" w:lineRule="auto"/>
        <w:jc w:val="both"/>
        <w:rPr>
          <w:rFonts w:ascii="Arial" w:eastAsia="Times New Roman" w:hAnsi="Arial"/>
          <w:sz w:val="21"/>
          <w:szCs w:val="21"/>
          <w:lang w:eastAsia="es-ES"/>
        </w:rPr>
      </w:pPr>
      <w:r w:rsidRPr="00973028">
        <w:rPr>
          <w:rFonts w:ascii="Arial" w:eastAsia="Times New Roman" w:hAnsi="Arial"/>
          <w:b/>
          <w:bCs/>
          <w:sz w:val="21"/>
          <w:szCs w:val="21"/>
          <w:lang w:eastAsia="es-ES"/>
        </w:rPr>
        <w:t>Fase de seguimiento:</w:t>
      </w:r>
      <w:r w:rsidRPr="00973028">
        <w:rPr>
          <w:rFonts w:ascii="Arial" w:eastAsia="Times New Roman" w:hAnsi="Arial"/>
          <w:sz w:val="21"/>
          <w:szCs w:val="21"/>
          <w:lang w:eastAsia="es-ES"/>
        </w:rPr>
        <w:t xml:space="preserve"> Finalizada la fase de seguimiento.</w:t>
      </w:r>
    </w:p>
    <w:p w14:paraId="171E455D" w14:textId="098A1135"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83" w:name="_Toc67646253"/>
      <w:r w:rsidRPr="00973028">
        <w:rPr>
          <w:rFonts w:ascii="Arial" w:eastAsia="Times New Roman" w:hAnsi="Arial" w:cs="Arial"/>
          <w:b/>
          <w:color w:val="9D2235"/>
          <w:sz w:val="28"/>
          <w:szCs w:val="28"/>
        </w:rPr>
        <w:t>Denominación: Ayuntamiento de Aldaia. Gratificaciones y productividades</w:t>
      </w:r>
      <w:bookmarkEnd w:id="83"/>
    </w:p>
    <w:p w14:paraId="4B422F90" w14:textId="0997FF09"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Expediente:</w:t>
      </w:r>
      <w:r w:rsidRPr="00973028">
        <w:rPr>
          <w:rFonts w:ascii="Arial" w:hAnsi="Arial"/>
          <w:sz w:val="21"/>
          <w:szCs w:val="21"/>
        </w:rPr>
        <w:t xml:space="preserve"> 2020/G01_01/00002</w:t>
      </w:r>
    </w:p>
    <w:p w14:paraId="180E2148" w14:textId="271FB943" w:rsidR="002A47AA" w:rsidRPr="00973028" w:rsidRDefault="002A47AA" w:rsidP="002A47AA">
      <w:pPr>
        <w:pStyle w:val="Standard"/>
        <w:spacing w:after="240" w:line="276" w:lineRule="auto"/>
        <w:jc w:val="both"/>
        <w:rPr>
          <w:rFonts w:ascii="Arial" w:hAnsi="Arial"/>
          <w:kern w:val="2"/>
          <w:sz w:val="21"/>
          <w:szCs w:val="21"/>
        </w:rPr>
      </w:pPr>
      <w:r w:rsidRPr="00973028">
        <w:rPr>
          <w:rFonts w:ascii="Arial" w:hAnsi="Arial"/>
          <w:b/>
          <w:bCs/>
          <w:kern w:val="2"/>
          <w:sz w:val="21"/>
          <w:szCs w:val="21"/>
        </w:rPr>
        <w:t>Descripción:</w:t>
      </w:r>
      <w:r w:rsidRPr="00973028">
        <w:rPr>
          <w:rFonts w:ascii="Arial" w:hAnsi="Arial"/>
          <w:kern w:val="2"/>
          <w:sz w:val="21"/>
          <w:szCs w:val="21"/>
        </w:rPr>
        <w:t xml:space="preserve"> </w:t>
      </w:r>
      <w:r w:rsidRPr="00973028">
        <w:rPr>
          <w:rFonts w:ascii="Arial" w:eastAsia="Times New Roman" w:hAnsi="Arial"/>
          <w:color w:val="000000"/>
          <w:sz w:val="21"/>
          <w:szCs w:val="21"/>
          <w:lang w:eastAsia="es-ES"/>
        </w:rPr>
        <w:t xml:space="preserve">Los hechos denunciados se concretaron en las </w:t>
      </w:r>
      <w:r w:rsidRPr="00973028">
        <w:rPr>
          <w:rFonts w:ascii="Arial" w:hAnsi="Arial"/>
          <w:kern w:val="2"/>
          <w:sz w:val="21"/>
          <w:szCs w:val="21"/>
        </w:rPr>
        <w:t>irregularidades producidas en relación con la tramitación y abono a determinados funcionarios de cantidades en concepto de gratificaciones y productividades.</w:t>
      </w:r>
    </w:p>
    <w:p w14:paraId="61CFB214" w14:textId="071313A3" w:rsidR="002A47AA" w:rsidRPr="00973028" w:rsidRDefault="002A47AA" w:rsidP="002A47AA">
      <w:pPr>
        <w:autoSpaceDE w:val="0"/>
        <w:autoSpaceDN w:val="0"/>
        <w:adjustRightInd w:val="0"/>
        <w:spacing w:after="240" w:line="276" w:lineRule="auto"/>
        <w:jc w:val="both"/>
        <w:rPr>
          <w:rFonts w:ascii="Arial" w:hAnsi="Arial"/>
          <w:sz w:val="21"/>
          <w:szCs w:val="21"/>
        </w:rPr>
      </w:pPr>
      <w:r w:rsidRPr="00973028">
        <w:rPr>
          <w:rFonts w:ascii="Arial" w:hAnsi="Arial"/>
          <w:sz w:val="21"/>
          <w:szCs w:val="21"/>
        </w:rPr>
        <w:t>Tras la investigación se concluye que se han detectado las irregularidades administrativas no invalidantes que se resumen a continuación:</w:t>
      </w:r>
    </w:p>
    <w:p w14:paraId="3E7946F5" w14:textId="51AF2DCF" w:rsidR="002A47AA" w:rsidRPr="00973028" w:rsidRDefault="002A47AA" w:rsidP="006F286F">
      <w:pPr>
        <w:autoSpaceDE w:val="0"/>
        <w:autoSpaceDN w:val="0"/>
        <w:adjustRightInd w:val="0"/>
        <w:spacing w:after="120" w:line="276" w:lineRule="auto"/>
        <w:jc w:val="both"/>
        <w:rPr>
          <w:rFonts w:ascii="Arial" w:hAnsi="Arial"/>
          <w:sz w:val="21"/>
          <w:szCs w:val="21"/>
        </w:rPr>
      </w:pPr>
      <w:r w:rsidRPr="00973028">
        <w:rPr>
          <w:rFonts w:ascii="Arial" w:hAnsi="Arial"/>
          <w:sz w:val="21"/>
          <w:szCs w:val="21"/>
        </w:rPr>
        <w:t>1.- No se encuentra definido con detalle un programa de objetivos por Departamentos o unidades administrativas, así como un sistema de evaluación del cumplimiento de dichos objetivos que permita hacer un uso correcto del complemento de productividad.</w:t>
      </w:r>
    </w:p>
    <w:p w14:paraId="287CEA3F" w14:textId="487D4EBE" w:rsidR="002A47AA" w:rsidRPr="00973028" w:rsidRDefault="002A47AA" w:rsidP="006F286F">
      <w:pPr>
        <w:autoSpaceDE w:val="0"/>
        <w:autoSpaceDN w:val="0"/>
        <w:adjustRightInd w:val="0"/>
        <w:spacing w:after="120" w:line="276" w:lineRule="auto"/>
        <w:jc w:val="both"/>
        <w:rPr>
          <w:rFonts w:ascii="Arial" w:hAnsi="Arial"/>
          <w:sz w:val="21"/>
          <w:szCs w:val="21"/>
        </w:rPr>
      </w:pPr>
      <w:r w:rsidRPr="00973028">
        <w:rPr>
          <w:rFonts w:ascii="Arial" w:hAnsi="Arial"/>
          <w:sz w:val="21"/>
          <w:szCs w:val="21"/>
        </w:rPr>
        <w:t>2.- Existen funciones que se retribuyen a través del complemento de productividad que podrían ser inherentes a los puestos de trabajo y que deberían en ese caso retribuirse a través del complemento específico.</w:t>
      </w:r>
    </w:p>
    <w:p w14:paraId="54EEC879" w14:textId="0A42A21F" w:rsidR="002A47AA" w:rsidRPr="00973028" w:rsidRDefault="002A47AA" w:rsidP="006F286F">
      <w:pPr>
        <w:autoSpaceDE w:val="0"/>
        <w:autoSpaceDN w:val="0"/>
        <w:adjustRightInd w:val="0"/>
        <w:spacing w:after="120" w:line="276" w:lineRule="auto"/>
        <w:jc w:val="both"/>
        <w:rPr>
          <w:rFonts w:ascii="Arial" w:hAnsi="Arial"/>
          <w:sz w:val="21"/>
          <w:szCs w:val="21"/>
        </w:rPr>
      </w:pPr>
      <w:r w:rsidRPr="00973028">
        <w:rPr>
          <w:rFonts w:ascii="Arial" w:hAnsi="Arial"/>
          <w:sz w:val="21"/>
          <w:szCs w:val="21"/>
        </w:rPr>
        <w:t>3.- Existe un riesgo claro de incumplimiento de la normativa laboral en cuanto al número máximo de horas extraordinarias que pueden realizarse anualmente.</w:t>
      </w:r>
    </w:p>
    <w:p w14:paraId="40E58E5E" w14:textId="39524399"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Resultado</w:t>
      </w:r>
      <w:r w:rsidRPr="00973028">
        <w:rPr>
          <w:rFonts w:ascii="Arial" w:hAnsi="Arial"/>
          <w:sz w:val="21"/>
          <w:szCs w:val="21"/>
        </w:rPr>
        <w:t>: Formulación de recomendaciones al Ayuntamiento de Aldaia:</w:t>
      </w:r>
    </w:p>
    <w:p w14:paraId="51AAE20D" w14:textId="23F8113C" w:rsidR="002A47AA" w:rsidRPr="00973028" w:rsidRDefault="002A47AA" w:rsidP="006F286F">
      <w:pPr>
        <w:autoSpaceDE w:val="0"/>
        <w:autoSpaceDN w:val="0"/>
        <w:adjustRightInd w:val="0"/>
        <w:spacing w:after="120" w:line="276" w:lineRule="auto"/>
        <w:jc w:val="both"/>
        <w:rPr>
          <w:rFonts w:ascii="Arial" w:hAnsi="Arial"/>
          <w:sz w:val="21"/>
          <w:szCs w:val="21"/>
        </w:rPr>
      </w:pPr>
      <w:r w:rsidRPr="00973028">
        <w:rPr>
          <w:rFonts w:ascii="Arial" w:hAnsi="Arial"/>
          <w:sz w:val="21"/>
          <w:szCs w:val="21"/>
        </w:rPr>
        <w:t>A.- En relación con la situación de abonos de productividades y gratificaciones de manera sistemática:</w:t>
      </w:r>
    </w:p>
    <w:p w14:paraId="06C77FE3" w14:textId="40455EEA" w:rsidR="002A47AA" w:rsidRPr="00973028" w:rsidRDefault="002A47AA" w:rsidP="006F286F">
      <w:pPr>
        <w:autoSpaceDE w:val="0"/>
        <w:autoSpaceDN w:val="0"/>
        <w:adjustRightInd w:val="0"/>
        <w:spacing w:after="120" w:line="276" w:lineRule="auto"/>
        <w:jc w:val="both"/>
        <w:rPr>
          <w:rFonts w:ascii="Arial" w:hAnsi="Arial"/>
          <w:sz w:val="21"/>
          <w:szCs w:val="21"/>
        </w:rPr>
      </w:pPr>
      <w:r w:rsidRPr="00973028">
        <w:rPr>
          <w:rFonts w:ascii="Arial" w:hAnsi="Arial"/>
          <w:sz w:val="21"/>
          <w:szCs w:val="21"/>
        </w:rPr>
        <w:t xml:space="preserve">1.- Que se proceda, en caso de que se pretenda continuar abonando el complemento de productividad, a elaborar y aprobar por el órgano municipal competente, un programa detallado de objetivos por departamentos o unidades administrativas, así como un sistema </w:t>
      </w:r>
      <w:r w:rsidRPr="00973028">
        <w:rPr>
          <w:rFonts w:ascii="Arial" w:hAnsi="Arial"/>
          <w:sz w:val="21"/>
          <w:szCs w:val="21"/>
        </w:rPr>
        <w:lastRenderedPageBreak/>
        <w:t>de evaluación del cumplimiento de dichos objetivos que permitan hacer un uso correcto de dicho complemento de productividad</w:t>
      </w:r>
    </w:p>
    <w:p w14:paraId="45FB69C2" w14:textId="40571019" w:rsidR="002A47AA" w:rsidRPr="00973028" w:rsidRDefault="002A47AA" w:rsidP="006F286F">
      <w:pPr>
        <w:autoSpaceDE w:val="0"/>
        <w:autoSpaceDN w:val="0"/>
        <w:adjustRightInd w:val="0"/>
        <w:spacing w:after="120" w:line="276" w:lineRule="auto"/>
        <w:jc w:val="both"/>
        <w:rPr>
          <w:rFonts w:ascii="Arial" w:hAnsi="Arial"/>
          <w:sz w:val="21"/>
          <w:szCs w:val="21"/>
        </w:rPr>
      </w:pPr>
      <w:r w:rsidRPr="00973028">
        <w:rPr>
          <w:rFonts w:ascii="Arial" w:hAnsi="Arial"/>
          <w:sz w:val="21"/>
          <w:szCs w:val="21"/>
        </w:rPr>
        <w:t>2.- Que se proceda a realizar una revisión de la relación de puestos de trabajo del Ayuntamiento, en el sentido de revisar aquellos puestos que generen sistemáticamente el abono del complemento de productividad, con la finalidad de valorar correctamente, en su caso, el complemento específico de dichos puestos de trabajo, procediendo a tramitar la modificación de la relación de puestos de trabajo según el procedimiento establecido en la normativa vigente.</w:t>
      </w:r>
    </w:p>
    <w:p w14:paraId="18B91CED" w14:textId="671167CC" w:rsidR="002A47AA" w:rsidRPr="00973028" w:rsidRDefault="002A47AA" w:rsidP="006F286F">
      <w:pPr>
        <w:autoSpaceDE w:val="0"/>
        <w:autoSpaceDN w:val="0"/>
        <w:adjustRightInd w:val="0"/>
        <w:spacing w:after="120" w:line="276" w:lineRule="auto"/>
        <w:jc w:val="both"/>
        <w:rPr>
          <w:rFonts w:ascii="Arial" w:hAnsi="Arial"/>
          <w:sz w:val="21"/>
          <w:szCs w:val="21"/>
        </w:rPr>
      </w:pPr>
      <w:r w:rsidRPr="00973028">
        <w:rPr>
          <w:rFonts w:ascii="Arial" w:hAnsi="Arial"/>
          <w:sz w:val="21"/>
          <w:szCs w:val="21"/>
        </w:rPr>
        <w:t>3.- Que se proceda a realizar un estudio de la asignación de efectivos y el reparto de tareas en las áreas municipales que generen el abono de gratificaciones de carácter sistemático, con la finalidad de evitar el incumplimiento de la normativa laboral relativa a la realización de horas extraordinarias.</w:t>
      </w:r>
    </w:p>
    <w:p w14:paraId="1ECD624C" w14:textId="21C7D959" w:rsidR="002A47AA" w:rsidRPr="00973028" w:rsidRDefault="002A47AA" w:rsidP="006F286F">
      <w:pPr>
        <w:autoSpaceDE w:val="0"/>
        <w:autoSpaceDN w:val="0"/>
        <w:adjustRightInd w:val="0"/>
        <w:spacing w:after="120" w:line="276" w:lineRule="auto"/>
        <w:jc w:val="both"/>
        <w:rPr>
          <w:rFonts w:ascii="Arial" w:hAnsi="Arial"/>
          <w:sz w:val="21"/>
          <w:szCs w:val="21"/>
        </w:rPr>
      </w:pPr>
      <w:r w:rsidRPr="00973028">
        <w:rPr>
          <w:rFonts w:ascii="Arial" w:hAnsi="Arial"/>
          <w:sz w:val="21"/>
          <w:szCs w:val="21"/>
        </w:rPr>
        <w:t>B.- En relación con el riesgo claro de incumplimiento de la normativa laboral en cuanto al número máximo de horas extraordinarias que pueden realizarse anualmente:</w:t>
      </w:r>
    </w:p>
    <w:p w14:paraId="749CED3F" w14:textId="0AE9F5D0" w:rsidR="002A47AA" w:rsidRPr="00973028" w:rsidRDefault="002A47AA" w:rsidP="006F286F">
      <w:pPr>
        <w:autoSpaceDE w:val="0"/>
        <w:autoSpaceDN w:val="0"/>
        <w:adjustRightInd w:val="0"/>
        <w:spacing w:after="120" w:line="276" w:lineRule="auto"/>
        <w:jc w:val="both"/>
        <w:rPr>
          <w:rFonts w:ascii="Arial" w:hAnsi="Arial"/>
          <w:sz w:val="21"/>
          <w:szCs w:val="21"/>
        </w:rPr>
      </w:pPr>
      <w:r w:rsidRPr="00973028">
        <w:rPr>
          <w:rFonts w:ascii="Arial" w:hAnsi="Arial"/>
          <w:sz w:val="21"/>
          <w:szCs w:val="21"/>
        </w:rPr>
        <w:t>1.- Que se proceda a realizar un estudio del personal que viene realizando de manera repetida horas extraordinarias sobre su jornada laboral, valoración de la reasignación de funciones o reorganización de los servicios para garantizar el cumplimiento de la jornada en cómputo anual, así como su acreditación, y la no realización de horas extraordinarias por encima de la normativa aplicable.</w:t>
      </w:r>
    </w:p>
    <w:p w14:paraId="04F59D0E" w14:textId="4C87F52B" w:rsidR="002A47AA" w:rsidRPr="00973028" w:rsidRDefault="002A47AA" w:rsidP="006F286F">
      <w:pPr>
        <w:autoSpaceDE w:val="0"/>
        <w:autoSpaceDN w:val="0"/>
        <w:adjustRightInd w:val="0"/>
        <w:spacing w:after="120" w:line="276" w:lineRule="auto"/>
        <w:jc w:val="both"/>
        <w:rPr>
          <w:rFonts w:ascii="Arial" w:hAnsi="Arial"/>
          <w:sz w:val="21"/>
          <w:szCs w:val="21"/>
        </w:rPr>
      </w:pPr>
      <w:r w:rsidRPr="00973028">
        <w:rPr>
          <w:rFonts w:ascii="Arial" w:hAnsi="Arial"/>
          <w:sz w:val="21"/>
          <w:szCs w:val="21"/>
        </w:rPr>
        <w:t>2.- Que se analicen las razones de la falta de registro horario por parte de algunos de los empleados que realizan horas extraordinarias o servicios extraordinarios fuera de la jornada laboral y se adopten, dentro de su autonomía local, mecanismos de prevención y control (manuales o basados en las nuevas tecnologías), así como protocolos y medidas concretas que deban cumplir los empleados públicos que las ejecuten de forma efectiva, y deban revisar y acreditar sus supervisores, con carácter previo al reconocimiento y abono de las mismas en nómina.</w:t>
      </w:r>
    </w:p>
    <w:p w14:paraId="5D96C826" w14:textId="77777777" w:rsidR="002A47AA" w:rsidRPr="00973028" w:rsidRDefault="002A47AA" w:rsidP="002A47AA">
      <w:pPr>
        <w:autoSpaceDE w:val="0"/>
        <w:autoSpaceDN w:val="0"/>
        <w:adjustRightInd w:val="0"/>
        <w:spacing w:after="240" w:line="276" w:lineRule="auto"/>
        <w:jc w:val="both"/>
        <w:rPr>
          <w:rFonts w:ascii="Arial" w:hAnsi="Arial"/>
          <w:sz w:val="21"/>
          <w:szCs w:val="21"/>
        </w:rPr>
      </w:pPr>
      <w:r w:rsidRPr="00973028">
        <w:rPr>
          <w:rFonts w:ascii="Arial" w:hAnsi="Arial"/>
          <w:sz w:val="21"/>
          <w:szCs w:val="21"/>
        </w:rPr>
        <w:t>Se realiza una comunicación a la Inspección de Trabajo y Seguridad Social como organismo encargado de los servicios de vigilancia y exigencia del cumplimiento de las normas legales, reglamentarias y contenido normativo de los convenios colectivos.</w:t>
      </w:r>
    </w:p>
    <w:p w14:paraId="38218082" w14:textId="6D5734C0" w:rsidR="002A47AA" w:rsidRPr="00973028" w:rsidRDefault="002A47AA" w:rsidP="002A47AA">
      <w:pPr>
        <w:autoSpaceDE w:val="0"/>
        <w:autoSpaceDN w:val="0"/>
        <w:adjustRightInd w:val="0"/>
        <w:spacing w:after="240" w:line="276" w:lineRule="auto"/>
        <w:jc w:val="both"/>
        <w:rPr>
          <w:rFonts w:ascii="Arial" w:hAnsi="Arial"/>
          <w:color w:val="000080"/>
          <w:sz w:val="21"/>
          <w:szCs w:val="21"/>
          <w:u w:val="single"/>
        </w:rPr>
      </w:pPr>
      <w:r w:rsidRPr="00973028">
        <w:rPr>
          <w:rFonts w:ascii="Arial" w:hAnsi="Arial"/>
          <w:sz w:val="21"/>
          <w:szCs w:val="21"/>
        </w:rPr>
        <w:t xml:space="preserve">Se puede consultar </w:t>
      </w:r>
      <w:hyperlink r:id="rId64" w:history="1">
        <w:r w:rsidR="00E15938" w:rsidRPr="00E15938">
          <w:rPr>
            <w:rStyle w:val="Hipervnculo"/>
            <w:rFonts w:ascii="Arial" w:hAnsi="Arial"/>
            <w:sz w:val="21"/>
            <w:szCs w:val="21"/>
          </w:rPr>
          <w:t>aquí</w:t>
        </w:r>
      </w:hyperlink>
      <w:r w:rsidR="00E15938">
        <w:rPr>
          <w:rFonts w:ascii="Arial" w:hAnsi="Arial"/>
          <w:sz w:val="21"/>
          <w:szCs w:val="21"/>
        </w:rPr>
        <w:t>.</w:t>
      </w:r>
    </w:p>
    <w:p w14:paraId="3BC176FF" w14:textId="137C420F"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Fase seguimiento:</w:t>
      </w:r>
      <w:r w:rsidRPr="00973028">
        <w:rPr>
          <w:rFonts w:ascii="Arial" w:hAnsi="Arial"/>
          <w:sz w:val="21"/>
          <w:szCs w:val="21"/>
        </w:rPr>
        <w:t xml:space="preserve"> Se han realizado actuaciones diversas por parte del Ayuntamiento de Aldaia en cumplimiento con las recomendaciones, quedando pendiente la remisión de determinada documentación para finalizar la fase de seguimiento.</w:t>
      </w:r>
    </w:p>
    <w:p w14:paraId="590FBB80" w14:textId="52ABC61B"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84" w:name="_Toc67646254"/>
      <w:r w:rsidRPr="00973028">
        <w:rPr>
          <w:rFonts w:ascii="Arial" w:eastAsia="Times New Roman" w:hAnsi="Arial" w:cs="Arial"/>
          <w:b/>
          <w:color w:val="9D2235"/>
          <w:sz w:val="28"/>
          <w:szCs w:val="28"/>
        </w:rPr>
        <w:t>Denominación: Ayuntamiento de Callosa d’en Sarrià</w:t>
      </w:r>
      <w:r w:rsidR="008A79F8">
        <w:rPr>
          <w:rFonts w:ascii="Arial" w:eastAsia="Times New Roman" w:hAnsi="Arial" w:cs="Arial"/>
          <w:b/>
          <w:color w:val="9D2235"/>
          <w:sz w:val="28"/>
          <w:szCs w:val="28"/>
        </w:rPr>
        <w:t>.</w:t>
      </w:r>
      <w:r w:rsidRPr="00973028">
        <w:rPr>
          <w:rFonts w:ascii="Arial" w:eastAsia="Times New Roman" w:hAnsi="Arial" w:cs="Arial"/>
          <w:b/>
          <w:color w:val="9D2235"/>
          <w:sz w:val="28"/>
          <w:szCs w:val="28"/>
        </w:rPr>
        <w:t xml:space="preserve"> Acceso al empleo público, Agentes de Policía Local</w:t>
      </w:r>
      <w:bookmarkEnd w:id="84"/>
    </w:p>
    <w:p w14:paraId="497D51F0" w14:textId="09D37AEC"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Expediente:</w:t>
      </w:r>
      <w:r w:rsidRPr="00973028">
        <w:rPr>
          <w:rFonts w:ascii="Arial" w:hAnsi="Arial"/>
          <w:sz w:val="21"/>
          <w:szCs w:val="21"/>
        </w:rPr>
        <w:t xml:space="preserve"> 2020/G01_01/000008 </w:t>
      </w:r>
    </w:p>
    <w:p w14:paraId="60DF1146" w14:textId="111F69E2"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Descripción:</w:t>
      </w:r>
      <w:r w:rsidRPr="00973028">
        <w:rPr>
          <w:rFonts w:ascii="Arial" w:hAnsi="Arial"/>
          <w:sz w:val="21"/>
          <w:szCs w:val="21"/>
        </w:rPr>
        <w:t xml:space="preserve"> </w:t>
      </w:r>
      <w:r w:rsidRPr="00973028">
        <w:rPr>
          <w:rFonts w:ascii="Arial" w:eastAsia="Times New Roman" w:hAnsi="Arial"/>
          <w:color w:val="000000"/>
          <w:sz w:val="21"/>
          <w:szCs w:val="21"/>
          <w:lang w:eastAsia="es-ES"/>
        </w:rPr>
        <w:t xml:space="preserve">Los hechos denunciados se concretaron en </w:t>
      </w:r>
      <w:r w:rsidRPr="00973028">
        <w:rPr>
          <w:rFonts w:ascii="Arial" w:hAnsi="Arial"/>
          <w:sz w:val="21"/>
          <w:szCs w:val="21"/>
        </w:rPr>
        <w:t xml:space="preserve">el incumplimiento de la Base 6ª del procedimiento de selección de Agentes de la Policía Local, en cuanto a la no exclusión </w:t>
      </w:r>
      <w:r w:rsidRPr="00973028">
        <w:rPr>
          <w:rFonts w:ascii="Arial" w:hAnsi="Arial"/>
          <w:sz w:val="21"/>
          <w:szCs w:val="21"/>
        </w:rPr>
        <w:lastRenderedPageBreak/>
        <w:t>de un aspirante que no se presentó al primer ejercicio del turno libre, la prueba de medición, ejercicio de carácter obligatorio y eliminatorio según las Bases de la Convocatoria.</w:t>
      </w:r>
    </w:p>
    <w:p w14:paraId="5BFE4542" w14:textId="7D2DB4C7" w:rsidR="002A47AA" w:rsidRPr="00973028" w:rsidRDefault="002A47AA" w:rsidP="00360DCC">
      <w:pPr>
        <w:autoSpaceDE w:val="0"/>
        <w:autoSpaceDN w:val="0"/>
        <w:adjustRightInd w:val="0"/>
        <w:spacing w:after="240" w:line="276" w:lineRule="auto"/>
        <w:jc w:val="both"/>
        <w:rPr>
          <w:rFonts w:ascii="Arial" w:hAnsi="Arial"/>
          <w:sz w:val="21"/>
          <w:szCs w:val="21"/>
        </w:rPr>
      </w:pPr>
      <w:r w:rsidRPr="00973028">
        <w:rPr>
          <w:rFonts w:ascii="Arial" w:hAnsi="Arial"/>
          <w:sz w:val="21"/>
          <w:szCs w:val="21"/>
        </w:rPr>
        <w:t>Tras el estudio en detalle de la totalidad de la documentación requerida al Ayuntamiento de Callosa d’en Sarrià y de la normativa y jurisprudencia aplicable al asunto en cuestión, se concluye que la apreciación de la fuerza mayor que acredita el aspirante para realizar la prueba de medición un día diferente al de la convocatoria inicial, había de realizarla el Tribunal de selección atendiendo a las peculiaridades del caso concreto.</w:t>
      </w:r>
    </w:p>
    <w:p w14:paraId="44B3CB25" w14:textId="77777777" w:rsidR="002A47AA" w:rsidRPr="00973028" w:rsidRDefault="002A47AA" w:rsidP="002A47AA">
      <w:pPr>
        <w:autoSpaceDE w:val="0"/>
        <w:autoSpaceDN w:val="0"/>
        <w:adjustRightInd w:val="0"/>
        <w:spacing w:after="240" w:line="276" w:lineRule="auto"/>
        <w:jc w:val="both"/>
        <w:rPr>
          <w:rFonts w:ascii="Arial" w:hAnsi="Arial"/>
          <w:sz w:val="21"/>
          <w:szCs w:val="21"/>
        </w:rPr>
      </w:pPr>
      <w:r w:rsidRPr="00973028">
        <w:rPr>
          <w:rFonts w:ascii="Arial" w:hAnsi="Arial"/>
          <w:b/>
          <w:bCs/>
          <w:sz w:val="21"/>
          <w:szCs w:val="21"/>
        </w:rPr>
        <w:t>Resultado:</w:t>
      </w:r>
      <w:r w:rsidRPr="00973028">
        <w:rPr>
          <w:rFonts w:ascii="Arial" w:hAnsi="Arial"/>
          <w:sz w:val="21"/>
          <w:szCs w:val="21"/>
        </w:rPr>
        <w:t xml:space="preserve"> Se finaliza el expediente con archivo y se recomienda al Ayuntamiento de Callosa d’en Sarrià que en futuros procesos de selección, las bases de la convocatoria prevean al menos de forma general, las circunstancias que podrían considerarse como causas de fuerza mayor, así como la documentación justificativa que debería presentarse ante el Tribunal de selección para la apreciación de la existencia o no de dicha circunstancia, a los efectos de minimizar la arbitrariedad de las decisiones adoptadas por dicho órgano.</w:t>
      </w:r>
    </w:p>
    <w:p w14:paraId="5AFFDA5A" w14:textId="75A6E09D" w:rsidR="0054708D" w:rsidRDefault="002A47AA" w:rsidP="0054708D">
      <w:pPr>
        <w:autoSpaceDE w:val="0"/>
        <w:autoSpaceDN w:val="0"/>
        <w:adjustRightInd w:val="0"/>
        <w:spacing w:after="240" w:line="276" w:lineRule="auto"/>
        <w:jc w:val="both"/>
        <w:rPr>
          <w:rFonts w:ascii="Arial" w:hAnsi="Arial"/>
          <w:sz w:val="21"/>
          <w:szCs w:val="21"/>
        </w:rPr>
      </w:pPr>
      <w:r w:rsidRPr="00973028">
        <w:rPr>
          <w:rFonts w:ascii="Arial" w:hAnsi="Arial"/>
          <w:sz w:val="21"/>
          <w:szCs w:val="21"/>
        </w:rPr>
        <w:t xml:space="preserve">Se puede consultar </w:t>
      </w:r>
      <w:hyperlink r:id="rId65" w:history="1">
        <w:r w:rsidR="0054708D" w:rsidRPr="0054708D">
          <w:rPr>
            <w:rStyle w:val="Hipervnculo"/>
            <w:rFonts w:ascii="Arial" w:hAnsi="Arial"/>
            <w:sz w:val="21"/>
            <w:szCs w:val="21"/>
          </w:rPr>
          <w:t>aquí</w:t>
        </w:r>
      </w:hyperlink>
      <w:r w:rsidR="0054708D">
        <w:rPr>
          <w:rFonts w:ascii="Arial" w:hAnsi="Arial"/>
          <w:sz w:val="21"/>
          <w:szCs w:val="21"/>
        </w:rPr>
        <w:t>.</w:t>
      </w:r>
    </w:p>
    <w:p w14:paraId="4B2F1A14" w14:textId="5894AEB9" w:rsidR="002A47AA" w:rsidRPr="00973028" w:rsidRDefault="002A47AA" w:rsidP="0054708D">
      <w:pPr>
        <w:autoSpaceDE w:val="0"/>
        <w:autoSpaceDN w:val="0"/>
        <w:adjustRightInd w:val="0"/>
        <w:spacing w:after="240" w:line="276" w:lineRule="auto"/>
        <w:jc w:val="both"/>
        <w:rPr>
          <w:rFonts w:ascii="Arial" w:eastAsia="Times New Roman" w:hAnsi="Arial"/>
          <w:color w:val="000000"/>
          <w:sz w:val="21"/>
          <w:szCs w:val="21"/>
          <w:lang w:eastAsia="es-ES"/>
        </w:rPr>
      </w:pPr>
      <w:r w:rsidRPr="00973028">
        <w:rPr>
          <w:rFonts w:ascii="Arial" w:hAnsi="Arial"/>
          <w:b/>
          <w:bCs/>
          <w:sz w:val="21"/>
          <w:szCs w:val="21"/>
        </w:rPr>
        <w:t xml:space="preserve">Fase de Seguimiento: </w:t>
      </w:r>
      <w:r w:rsidRPr="00973028">
        <w:rPr>
          <w:rFonts w:ascii="Arial" w:eastAsia="Times New Roman" w:hAnsi="Arial"/>
          <w:color w:val="000000"/>
          <w:sz w:val="21"/>
          <w:szCs w:val="21"/>
          <w:lang w:eastAsia="es-ES"/>
        </w:rPr>
        <w:t>No procede fase de seguimiento.</w:t>
      </w:r>
    </w:p>
    <w:p w14:paraId="7D028A51" w14:textId="3BFCCD57"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85" w:name="_Toc67646255"/>
      <w:r w:rsidRPr="00973028">
        <w:rPr>
          <w:rFonts w:ascii="Arial" w:eastAsia="Times New Roman" w:hAnsi="Arial" w:cs="Arial"/>
          <w:b/>
          <w:color w:val="9D2235"/>
          <w:sz w:val="28"/>
          <w:szCs w:val="28"/>
        </w:rPr>
        <w:t>Denominación: Dirección General de Diversidad Funcional</w:t>
      </w:r>
      <w:r w:rsidR="008A79F8">
        <w:rPr>
          <w:rFonts w:ascii="Arial" w:eastAsia="Times New Roman" w:hAnsi="Arial" w:cs="Arial"/>
          <w:b/>
          <w:color w:val="9D2235"/>
          <w:sz w:val="28"/>
          <w:szCs w:val="28"/>
        </w:rPr>
        <w:t>.</w:t>
      </w:r>
      <w:r w:rsidRPr="00973028">
        <w:rPr>
          <w:rFonts w:ascii="Arial" w:eastAsia="Times New Roman" w:hAnsi="Arial" w:cs="Arial"/>
          <w:b/>
          <w:color w:val="9D2235"/>
          <w:sz w:val="28"/>
          <w:szCs w:val="28"/>
        </w:rPr>
        <w:t xml:space="preserve"> Irregularidades en el nombramiento de los miembros del Comité Evaluador de Perros de Asistencia</w:t>
      </w:r>
      <w:bookmarkEnd w:id="85"/>
    </w:p>
    <w:p w14:paraId="285F4595" w14:textId="4CBF6CAA"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 xml:space="preserve">Expediente: </w:t>
      </w:r>
      <w:r w:rsidRPr="00973028">
        <w:rPr>
          <w:rFonts w:ascii="Arial" w:hAnsi="Arial"/>
          <w:sz w:val="21"/>
          <w:szCs w:val="21"/>
        </w:rPr>
        <w:t>2020/G01_01/000265</w:t>
      </w:r>
    </w:p>
    <w:p w14:paraId="325A2DCB" w14:textId="304245FC"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 xml:space="preserve">Descripción: </w:t>
      </w:r>
      <w:r w:rsidRPr="00973028">
        <w:rPr>
          <w:rFonts w:ascii="Arial" w:eastAsia="Times New Roman" w:hAnsi="Arial"/>
          <w:color w:val="000000"/>
          <w:sz w:val="21"/>
          <w:szCs w:val="21"/>
          <w:lang w:eastAsia="es-ES"/>
        </w:rPr>
        <w:t xml:space="preserve">Los hechos denunciados se concretaron en </w:t>
      </w:r>
      <w:r w:rsidRPr="00973028">
        <w:rPr>
          <w:rFonts w:ascii="Arial" w:hAnsi="Arial"/>
          <w:sz w:val="21"/>
          <w:szCs w:val="21"/>
        </w:rPr>
        <w:t>la existencia de un déficit de cumplimiento de los principios de publicidad y transparencia en la actuación administrativa. En concreto, se constató que se seleccionó únicamente a 3 entidades privadas en base al conocimiento personal de un funcionario de esa Dirección General, y que se procedió a dictar una resolución de nombramiento o designación sin haberse ofertado de manera pública dichas colaboraciones.</w:t>
      </w:r>
    </w:p>
    <w:p w14:paraId="15001397" w14:textId="79839069"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La objetividad, transparencia y publicidad son tres pilares fundamentales en la actuación administrativa pública, por lo que cualquier administración en general y cualquier empleado público en particular, deben velar por el cumplimiento de dichos principios, extremando al máximo las garantías de los ciudadanos.</w:t>
      </w:r>
    </w:p>
    <w:p w14:paraId="6E77124C" w14:textId="4748115E"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 xml:space="preserve">Por otra parte, se expuso por esta Agencia que los Comités de Calificación debían configurarse a propuesta y previo informe del Comité Técnico de Coordinación de Reconocimiento de Perros de Asistencia para Personas con Discapacidades de la Comunitat Valenciana, que determinara los requisitos mínimos que deben cumplir dichos calificadores. Dichos extremos no se han cumplido, se justifica que debido a problemas de carácter coyuntural. </w:t>
      </w:r>
    </w:p>
    <w:p w14:paraId="21730DE7" w14:textId="32CF1B7D"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lastRenderedPageBreak/>
        <w:t>Las irregularidades acreditadas en el expediente se calificaron como irregularidades administrativas no invalidantes, sin que implicaran conductas fraudulentas o corruptas.</w:t>
      </w:r>
    </w:p>
    <w:p w14:paraId="6BF80B8E" w14:textId="4E5E6A2B"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 xml:space="preserve">Resultado: </w:t>
      </w:r>
      <w:r w:rsidRPr="00973028">
        <w:rPr>
          <w:rFonts w:ascii="Arial" w:hAnsi="Arial"/>
          <w:sz w:val="21"/>
          <w:szCs w:val="21"/>
        </w:rPr>
        <w:t xml:space="preserve">Formulación de recomendaciones a la entidad, para implementar las medidas que correspondan en orden a asegurar el cumplimiento del procedimiento administrativo en su integridad para la designación de miembros de los Comités de Calificación, para ello, </w:t>
      </w:r>
    </w:p>
    <w:p w14:paraId="24C40AB1" w14:textId="171BD2B5" w:rsidR="002A47AA" w:rsidRPr="00973028" w:rsidRDefault="002A47AA" w:rsidP="006F286F">
      <w:pPr>
        <w:spacing w:after="120" w:line="276" w:lineRule="auto"/>
        <w:jc w:val="both"/>
        <w:rPr>
          <w:rFonts w:ascii="Arial" w:hAnsi="Arial"/>
          <w:sz w:val="21"/>
          <w:szCs w:val="21"/>
        </w:rPr>
      </w:pPr>
      <w:r w:rsidRPr="00973028">
        <w:rPr>
          <w:rFonts w:ascii="Arial" w:hAnsi="Arial"/>
          <w:b/>
          <w:bCs/>
          <w:sz w:val="21"/>
          <w:szCs w:val="21"/>
        </w:rPr>
        <w:t>a)</w:t>
      </w:r>
      <w:r w:rsidRPr="00973028">
        <w:rPr>
          <w:rFonts w:ascii="Arial" w:hAnsi="Arial"/>
          <w:sz w:val="21"/>
          <w:szCs w:val="21"/>
        </w:rPr>
        <w:t xml:space="preserve"> respetar los principios de publicidad y transparencia en los procedimientos de designación de miembros de los Comités de Calificación, </w:t>
      </w:r>
    </w:p>
    <w:p w14:paraId="5B9B428A" w14:textId="216F307D" w:rsidR="002A47AA" w:rsidRPr="00973028" w:rsidRDefault="002A47AA" w:rsidP="006F286F">
      <w:pPr>
        <w:spacing w:after="120" w:line="276" w:lineRule="auto"/>
        <w:jc w:val="both"/>
        <w:rPr>
          <w:rFonts w:ascii="Arial" w:hAnsi="Arial"/>
          <w:sz w:val="21"/>
          <w:szCs w:val="21"/>
        </w:rPr>
      </w:pPr>
      <w:r w:rsidRPr="00973028">
        <w:rPr>
          <w:rFonts w:ascii="Arial" w:hAnsi="Arial"/>
          <w:b/>
          <w:bCs/>
          <w:sz w:val="21"/>
          <w:szCs w:val="21"/>
        </w:rPr>
        <w:t>b)</w:t>
      </w:r>
      <w:r w:rsidRPr="00973028">
        <w:rPr>
          <w:rFonts w:ascii="Arial" w:hAnsi="Arial"/>
          <w:sz w:val="21"/>
          <w:szCs w:val="21"/>
        </w:rPr>
        <w:t xml:space="preserve"> se deberá convocar el Comité Técnico de Coordinación, quién deberá informar y proponer de manera motivada los miembros designados para los Comités de Calificación.</w:t>
      </w:r>
    </w:p>
    <w:p w14:paraId="79381F2E" w14:textId="7D91E8F6" w:rsidR="0054708D" w:rsidRDefault="002A47AA" w:rsidP="002A47AA">
      <w:pPr>
        <w:spacing w:after="240" w:line="276" w:lineRule="auto"/>
        <w:jc w:val="both"/>
        <w:rPr>
          <w:rFonts w:ascii="Arial" w:hAnsi="Arial"/>
          <w:sz w:val="21"/>
          <w:szCs w:val="21"/>
        </w:rPr>
      </w:pPr>
      <w:r w:rsidRPr="00973028">
        <w:rPr>
          <w:rFonts w:ascii="Arial" w:hAnsi="Arial"/>
          <w:sz w:val="21"/>
          <w:szCs w:val="21"/>
        </w:rPr>
        <w:t xml:space="preserve">Se puede consultar </w:t>
      </w:r>
      <w:hyperlink r:id="rId66" w:history="1">
        <w:r w:rsidR="0054708D" w:rsidRPr="0054708D">
          <w:rPr>
            <w:rStyle w:val="Hipervnculo"/>
            <w:rFonts w:ascii="Arial" w:hAnsi="Arial"/>
            <w:sz w:val="21"/>
            <w:szCs w:val="21"/>
          </w:rPr>
          <w:t>aquí</w:t>
        </w:r>
      </w:hyperlink>
      <w:r w:rsidR="0054708D">
        <w:rPr>
          <w:rFonts w:ascii="Arial" w:hAnsi="Arial"/>
          <w:sz w:val="21"/>
          <w:szCs w:val="21"/>
        </w:rPr>
        <w:t>.</w:t>
      </w:r>
    </w:p>
    <w:p w14:paraId="4AB8EC56" w14:textId="3C7BECCC"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 xml:space="preserve">Fase de Seguimiento: </w:t>
      </w:r>
      <w:r w:rsidRPr="00973028">
        <w:rPr>
          <w:rFonts w:ascii="Arial" w:hAnsi="Arial"/>
          <w:sz w:val="21"/>
          <w:szCs w:val="21"/>
        </w:rPr>
        <w:t>En la Fase de Seguimiento se comprobó el adecuado cumplimiento de las recomendaciones.</w:t>
      </w:r>
    </w:p>
    <w:p w14:paraId="0A91900E" w14:textId="13CF3ADB"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86" w:name="_Toc67646256"/>
      <w:r w:rsidRPr="00973028">
        <w:rPr>
          <w:rFonts w:ascii="Arial" w:eastAsia="Times New Roman" w:hAnsi="Arial" w:cs="Arial"/>
          <w:b/>
          <w:color w:val="9D2235"/>
          <w:sz w:val="28"/>
          <w:szCs w:val="28"/>
        </w:rPr>
        <w:t>Denominación: Ajuntament d´Alcoi. Irregularidades en los procedimientos de licitación de contratos relacionados con el servicio de recogida de residuos sólidos urbanos y limpieza viaria de Alcoi</w:t>
      </w:r>
      <w:bookmarkEnd w:id="86"/>
    </w:p>
    <w:p w14:paraId="55FCEB21" w14:textId="15261EB3"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Expediente:</w:t>
      </w:r>
      <w:r w:rsidRPr="00973028">
        <w:rPr>
          <w:rFonts w:ascii="Arial" w:eastAsia="Times New Roman" w:hAnsi="Arial"/>
          <w:color w:val="000000"/>
          <w:sz w:val="21"/>
          <w:szCs w:val="21"/>
          <w:lang w:eastAsia="es-ES"/>
        </w:rPr>
        <w:t xml:space="preserve"> 2020/G01_01/00045 </w:t>
      </w:r>
    </w:p>
    <w:p w14:paraId="288AE529" w14:textId="72748394"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Descripción:</w:t>
      </w:r>
      <w:r w:rsidRPr="00973028">
        <w:rPr>
          <w:rFonts w:ascii="Arial" w:eastAsia="Times New Roman" w:hAnsi="Arial"/>
          <w:color w:val="000000"/>
          <w:sz w:val="21"/>
          <w:szCs w:val="21"/>
          <w:lang w:eastAsia="es-ES"/>
        </w:rPr>
        <w:t xml:space="preserve"> Los hechos denunciados se concretaron en:</w:t>
      </w:r>
    </w:p>
    <w:p w14:paraId="577DA6ED" w14:textId="77777777" w:rsidR="006F286F" w:rsidRPr="00973028" w:rsidRDefault="002A47AA" w:rsidP="00C76D42">
      <w:pPr>
        <w:pStyle w:val="Prrafodelista"/>
        <w:numPr>
          <w:ilvl w:val="0"/>
          <w:numId w:val="42"/>
        </w:numPr>
        <w:spacing w:after="12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Irregularidades en el procedimiento seguido en la adjudicación del contrato menor para la redacción del pliego/pliegos de prescripciones técnicas que debían regir la futura licitación del “contrato para la recogida de basuras, limpieza viaria y gestión del ecoparque”, </w:t>
      </w:r>
    </w:p>
    <w:p w14:paraId="207C7193" w14:textId="77777777" w:rsidR="006F286F" w:rsidRPr="00973028" w:rsidRDefault="002A47AA" w:rsidP="00C76D42">
      <w:pPr>
        <w:pStyle w:val="Prrafodelista"/>
        <w:numPr>
          <w:ilvl w:val="0"/>
          <w:numId w:val="42"/>
        </w:numPr>
        <w:spacing w:after="12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Irregularidades en la posterior licitación que se tramitó para adjudicar el “contrato para la prestación del servicio de recogida de residuos sólidos urbanos y limpieza viaria de Alcoi” por la posible conexión entre la empresa adjudicataria del contrato menor para la redacción de los pliegos de prescripciones técnicas y la mercantil que resultó finalmente adjudicataria del contrato para la prestación del servicio y el movimiento de funcionarios, acontecido en el departamento de Medio Ambiente del Ajuntament d´Alcoi y </w:t>
      </w:r>
    </w:p>
    <w:p w14:paraId="27BB9C52" w14:textId="40B5FB74" w:rsidR="00360DCC" w:rsidRPr="00973028" w:rsidRDefault="002A47AA" w:rsidP="00C76D42">
      <w:pPr>
        <w:pStyle w:val="Prrafodelista"/>
        <w:numPr>
          <w:ilvl w:val="0"/>
          <w:numId w:val="42"/>
        </w:numPr>
        <w:spacing w:after="12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La intervención de la mercantil TÉCNICAS DE CONTROL, PREVENCIÓN Y GESTIÓN AMBIENTAL S.L. en la elaboración de un informe de valoración de las ofertas de las diferentes empresas que concurrieron a la licitación.</w:t>
      </w:r>
    </w:p>
    <w:p w14:paraId="3D1B1809" w14:textId="79616063"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Tras la instrucción del oportuno procedimiento de investigación, en el que se efectuó el preceptivo trámite de audiencia a la administración denunciada, se evidenció: </w:t>
      </w:r>
    </w:p>
    <w:p w14:paraId="358498EF" w14:textId="77777777" w:rsidR="006F286F" w:rsidRPr="00973028" w:rsidRDefault="002A47AA" w:rsidP="00C76D42">
      <w:pPr>
        <w:pStyle w:val="Prrafodelista"/>
        <w:numPr>
          <w:ilvl w:val="0"/>
          <w:numId w:val="43"/>
        </w:numPr>
        <w:spacing w:after="12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lastRenderedPageBreak/>
        <w:t>Respecto a la licitación del contrato menor para la redacción del pliego de prescripciones técnicas que debían regir la futura licitación del “contrato para la recogida de basuras, limpieza viaria y gestión del ecoparque” sí se observaron indicios de posibles prácticas colusorias por parte de LOVIC Disseny i Control de Serveis Urbans S.L. y la Agencia d´Ecologia Urbana de Barcelona, en las ofertas presentadas por las citadas mercantiles. No obstante,</w:t>
      </w:r>
      <w:r w:rsidRPr="00973028">
        <w:rPr>
          <w:rFonts w:ascii="Arial" w:hAnsi="Arial"/>
          <w:color w:val="000000"/>
          <w:sz w:val="21"/>
          <w:szCs w:val="21"/>
        </w:rPr>
        <w:t xml:space="preserve"> </w:t>
      </w:r>
      <w:r w:rsidRPr="00973028">
        <w:rPr>
          <w:rFonts w:ascii="Arial" w:eastAsia="Times New Roman" w:hAnsi="Arial"/>
          <w:color w:val="000000"/>
          <w:sz w:val="21"/>
          <w:szCs w:val="21"/>
          <w:lang w:eastAsia="es-ES"/>
        </w:rPr>
        <w:t>al no existir vinculación entre ambas empresas en los términos que regula el artículo 145 del Real Decreto Legislativo 3/2011, de 14 de noviembre, no pudo afirmarse que existieran pactos colusorios que vulneren principios de la contratación pública como los de transparencia, igualdad, competitividad y secreto de proposiciones,</w:t>
      </w:r>
    </w:p>
    <w:p w14:paraId="3B353C3A" w14:textId="77777777" w:rsidR="006F286F" w:rsidRPr="00973028" w:rsidRDefault="002A47AA" w:rsidP="00C76D42">
      <w:pPr>
        <w:pStyle w:val="Prrafodelista"/>
        <w:numPr>
          <w:ilvl w:val="0"/>
          <w:numId w:val="43"/>
        </w:numPr>
        <w:spacing w:after="12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En cuanto a la posible vinculación entre la empresa que elaboró los pliegos y la que resultó adjudicataria del “contrato del servicio de recogida de residuos sólidos urbanos y limpieza viaria de Alcoi”,</w:t>
      </w:r>
      <w:r w:rsidRPr="00973028">
        <w:rPr>
          <w:rFonts w:ascii="Arial" w:eastAsia="Times New Roman" w:hAnsi="Arial"/>
          <w:b/>
          <w:bCs/>
          <w:color w:val="000000"/>
          <w:sz w:val="21"/>
          <w:szCs w:val="21"/>
          <w:lang w:eastAsia="es-ES"/>
        </w:rPr>
        <w:t xml:space="preserve"> </w:t>
      </w:r>
      <w:r w:rsidRPr="00973028">
        <w:rPr>
          <w:rFonts w:ascii="Arial" w:eastAsia="Times New Roman" w:hAnsi="Arial"/>
          <w:color w:val="000000"/>
          <w:sz w:val="21"/>
          <w:szCs w:val="21"/>
          <w:lang w:eastAsia="es-ES"/>
        </w:rPr>
        <w:t xml:space="preserve">no pudo concluirse que se hubiera generado algún tipo de incompatibilidad especial que hubiera podido determinar que FCC S.A. no pudiera haber concurrido a la licitación y </w:t>
      </w:r>
    </w:p>
    <w:p w14:paraId="042A85F1" w14:textId="0158800E" w:rsidR="002A47AA" w:rsidRPr="00973028" w:rsidRDefault="002A47AA" w:rsidP="00C76D42">
      <w:pPr>
        <w:pStyle w:val="Prrafodelista"/>
        <w:numPr>
          <w:ilvl w:val="0"/>
          <w:numId w:val="43"/>
        </w:numPr>
        <w:spacing w:after="24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Respecto al contrato menor de servicios adjudicado a TÉCNICAS DE CONTROL, PREVENCIÓN Y GESTIÓN AMBIENTAL S.L no se apreció prueba de incumplimiento en el procedimiento instruido al efecto.</w:t>
      </w:r>
    </w:p>
    <w:p w14:paraId="6E61130A" w14:textId="7777777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Resultado:</w:t>
      </w:r>
      <w:r w:rsidRPr="00973028">
        <w:rPr>
          <w:rFonts w:ascii="Arial" w:eastAsia="Times New Roman" w:hAnsi="Arial"/>
          <w:color w:val="000000"/>
          <w:sz w:val="21"/>
          <w:szCs w:val="21"/>
          <w:lang w:eastAsia="es-ES"/>
        </w:rPr>
        <w:t xml:space="preserve"> Formulación de recomendaciones al Ajuntament d´Alcoi, requiriéndose la remisión de un Plan de Implementación para su control y cumplimiento, y abriendo la fase de seguimiento. </w:t>
      </w:r>
    </w:p>
    <w:p w14:paraId="156DB564" w14:textId="4350B51E"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Se puede consultar </w:t>
      </w:r>
      <w:hyperlink r:id="rId67" w:history="1">
        <w:r w:rsidR="0054708D" w:rsidRPr="0054708D">
          <w:rPr>
            <w:rStyle w:val="Hipervnculo"/>
            <w:rFonts w:ascii="Arial" w:eastAsia="Times New Roman" w:hAnsi="Arial"/>
            <w:sz w:val="21"/>
            <w:szCs w:val="21"/>
            <w:lang w:eastAsia="es-ES"/>
          </w:rPr>
          <w:t>aquí</w:t>
        </w:r>
      </w:hyperlink>
      <w:r w:rsidR="0054708D">
        <w:rPr>
          <w:rFonts w:ascii="Arial" w:eastAsia="Times New Roman" w:hAnsi="Arial"/>
          <w:color w:val="000000"/>
          <w:sz w:val="21"/>
          <w:szCs w:val="21"/>
          <w:lang w:eastAsia="es-ES"/>
        </w:rPr>
        <w:t>.</w:t>
      </w:r>
    </w:p>
    <w:p w14:paraId="40BBF49A" w14:textId="2B5752F9"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Fase de seguimiento:</w:t>
      </w:r>
      <w:r w:rsidRPr="00973028">
        <w:rPr>
          <w:rFonts w:ascii="Arial" w:eastAsia="Times New Roman" w:hAnsi="Arial"/>
          <w:color w:val="000000"/>
          <w:sz w:val="21"/>
          <w:szCs w:val="21"/>
          <w:lang w:eastAsia="es-ES"/>
        </w:rPr>
        <w:t xml:space="preserve"> El Ajuntament d´Alcoi ha remitido a la Agencia el Plan de Implementación solicitado, estando pendiente finalizar la fase de seguimiento</w:t>
      </w:r>
    </w:p>
    <w:p w14:paraId="70758E2B" w14:textId="101198FC"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87" w:name="_Toc67646257"/>
      <w:r w:rsidRPr="00973028">
        <w:rPr>
          <w:rFonts w:ascii="Arial" w:eastAsia="Times New Roman" w:hAnsi="Arial" w:cs="Arial"/>
          <w:b/>
          <w:color w:val="9D2235"/>
          <w:sz w:val="28"/>
          <w:szCs w:val="28"/>
        </w:rPr>
        <w:t>Denominación: Unión Musical Casinense. Irregularidades en la adjudicación de obras sin concurso en la realización de obras financiadas con fondos públicos</w:t>
      </w:r>
      <w:bookmarkEnd w:id="87"/>
    </w:p>
    <w:p w14:paraId="5CB4B4EE" w14:textId="17AD4711"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Expediente:</w:t>
      </w:r>
      <w:r w:rsidRPr="00973028">
        <w:rPr>
          <w:rFonts w:ascii="Arial" w:eastAsia="Times New Roman" w:hAnsi="Arial"/>
          <w:color w:val="000000"/>
          <w:sz w:val="21"/>
          <w:szCs w:val="21"/>
          <w:lang w:eastAsia="es-ES"/>
        </w:rPr>
        <w:t xml:space="preserve"> 2020/G01_01/00189 </w:t>
      </w:r>
    </w:p>
    <w:p w14:paraId="1B8E06F3" w14:textId="77777777" w:rsidR="002A47AA" w:rsidRPr="00973028" w:rsidRDefault="002A47AA" w:rsidP="002A47AA">
      <w:pPr>
        <w:spacing w:after="240" w:line="276" w:lineRule="auto"/>
        <w:jc w:val="both"/>
        <w:rPr>
          <w:rFonts w:ascii="Arial" w:eastAsia="Times New Roman" w:hAnsi="Arial"/>
          <w:sz w:val="21"/>
          <w:szCs w:val="21"/>
          <w:lang w:eastAsia="es-ES"/>
        </w:rPr>
      </w:pPr>
      <w:r w:rsidRPr="00973028">
        <w:rPr>
          <w:rFonts w:ascii="Arial" w:eastAsia="Times New Roman" w:hAnsi="Arial"/>
          <w:b/>
          <w:bCs/>
          <w:color w:val="000000"/>
          <w:sz w:val="21"/>
          <w:szCs w:val="21"/>
          <w:lang w:eastAsia="es-ES"/>
        </w:rPr>
        <w:t>Descripción:</w:t>
      </w:r>
      <w:r w:rsidRPr="00973028">
        <w:rPr>
          <w:rFonts w:ascii="Arial" w:eastAsia="Times New Roman" w:hAnsi="Arial"/>
          <w:color w:val="000000"/>
          <w:sz w:val="21"/>
          <w:szCs w:val="21"/>
          <w:lang w:eastAsia="es-ES"/>
        </w:rPr>
        <w:t xml:space="preserve"> </w:t>
      </w:r>
      <w:r w:rsidRPr="00973028">
        <w:rPr>
          <w:rFonts w:ascii="Arial" w:eastAsia="Times New Roman" w:hAnsi="Arial"/>
          <w:sz w:val="21"/>
          <w:szCs w:val="21"/>
          <w:lang w:eastAsia="es-ES"/>
        </w:rPr>
        <w:t xml:space="preserve">Los hechos denunciados se concretaron en: </w:t>
      </w:r>
    </w:p>
    <w:p w14:paraId="0EEEC08E" w14:textId="77777777" w:rsidR="006F286F" w:rsidRPr="00973028" w:rsidRDefault="002A47AA" w:rsidP="00C76D42">
      <w:pPr>
        <w:pStyle w:val="Prrafodelista"/>
        <w:numPr>
          <w:ilvl w:val="0"/>
          <w:numId w:val="44"/>
        </w:numPr>
        <w:spacing w:after="120" w:line="276" w:lineRule="auto"/>
        <w:ind w:left="714" w:hanging="357"/>
        <w:contextualSpacing w:val="0"/>
        <w:jc w:val="both"/>
        <w:rPr>
          <w:rFonts w:ascii="Arial" w:eastAsia="Times New Roman" w:hAnsi="Arial"/>
          <w:sz w:val="21"/>
          <w:szCs w:val="21"/>
          <w:lang w:eastAsia="es-ES"/>
        </w:rPr>
      </w:pPr>
      <w:r w:rsidRPr="00973028">
        <w:rPr>
          <w:rFonts w:ascii="Arial" w:eastAsia="Times New Roman" w:hAnsi="Arial"/>
          <w:bCs/>
          <w:sz w:val="21"/>
          <w:szCs w:val="21"/>
          <w:lang w:eastAsia="es-ES"/>
        </w:rPr>
        <w:t>El Auditorio de Casinos, propiedad de la Unión Musical Casinense, ha supuesto una inversión aproximada de dos millones doscientos mil euros, en su mayoría subvencionados por la Generalidad Valenciana y por el Ayuntamiento de Casinos.</w:t>
      </w:r>
    </w:p>
    <w:p w14:paraId="6AB0123B" w14:textId="77777777" w:rsidR="006F286F" w:rsidRPr="00973028" w:rsidRDefault="002A47AA" w:rsidP="00C76D42">
      <w:pPr>
        <w:pStyle w:val="Prrafodelista"/>
        <w:numPr>
          <w:ilvl w:val="0"/>
          <w:numId w:val="44"/>
        </w:numPr>
        <w:spacing w:after="120" w:line="276" w:lineRule="auto"/>
        <w:ind w:left="714" w:hanging="357"/>
        <w:contextualSpacing w:val="0"/>
        <w:jc w:val="both"/>
        <w:rPr>
          <w:rFonts w:ascii="Arial" w:eastAsia="Times New Roman" w:hAnsi="Arial"/>
          <w:sz w:val="21"/>
          <w:szCs w:val="21"/>
          <w:lang w:eastAsia="es-ES"/>
        </w:rPr>
      </w:pPr>
      <w:r w:rsidRPr="00973028">
        <w:rPr>
          <w:rFonts w:ascii="Arial" w:eastAsia="Times New Roman" w:hAnsi="Arial"/>
          <w:sz w:val="21"/>
          <w:szCs w:val="21"/>
          <w:lang w:eastAsia="es-ES"/>
        </w:rPr>
        <w:t xml:space="preserve">Buena parte de las obras, 910.544,97 € (IVA incluido) se hicieron sin sacarlas a concurso público. </w:t>
      </w:r>
    </w:p>
    <w:p w14:paraId="15D2100A" w14:textId="0DF0D1DF" w:rsidR="002A47AA" w:rsidRPr="00973028" w:rsidRDefault="002A47AA" w:rsidP="00C76D42">
      <w:pPr>
        <w:pStyle w:val="Prrafodelista"/>
        <w:numPr>
          <w:ilvl w:val="0"/>
          <w:numId w:val="44"/>
        </w:numPr>
        <w:spacing w:after="120" w:line="276" w:lineRule="auto"/>
        <w:ind w:left="714" w:hanging="357"/>
        <w:contextualSpacing w:val="0"/>
        <w:jc w:val="both"/>
        <w:rPr>
          <w:rFonts w:ascii="Arial" w:eastAsia="Times New Roman" w:hAnsi="Arial"/>
          <w:sz w:val="21"/>
          <w:szCs w:val="21"/>
          <w:lang w:eastAsia="es-ES"/>
        </w:rPr>
      </w:pPr>
      <w:r w:rsidRPr="00973028">
        <w:rPr>
          <w:rFonts w:ascii="Arial" w:eastAsia="Times New Roman" w:hAnsi="Arial"/>
          <w:sz w:val="21"/>
          <w:szCs w:val="21"/>
          <w:lang w:eastAsia="es-ES"/>
        </w:rPr>
        <w:t xml:space="preserve">El presidente de la Unión Musical Casinense trabaja en la empresa que está a nombre de su hijo y que resultó adjudicataria de todo el saneamiento del Auditorio. </w:t>
      </w:r>
    </w:p>
    <w:p w14:paraId="599546F0" w14:textId="6D8C0B40" w:rsidR="002A47AA" w:rsidRPr="00973028" w:rsidRDefault="002A47AA" w:rsidP="002A47AA">
      <w:pPr>
        <w:spacing w:after="240" w:line="276" w:lineRule="auto"/>
        <w:jc w:val="both"/>
        <w:rPr>
          <w:rFonts w:ascii="Arial" w:eastAsia="Times New Roman" w:hAnsi="Arial"/>
          <w:sz w:val="21"/>
          <w:szCs w:val="21"/>
          <w:lang w:eastAsia="es-ES"/>
        </w:rPr>
      </w:pPr>
      <w:r w:rsidRPr="00973028">
        <w:rPr>
          <w:rFonts w:ascii="Arial" w:eastAsia="Times New Roman" w:hAnsi="Arial"/>
          <w:sz w:val="21"/>
          <w:szCs w:val="21"/>
          <w:lang w:eastAsia="es-ES"/>
        </w:rPr>
        <w:lastRenderedPageBreak/>
        <w:t xml:space="preserve">Tras la instrucción del oportuno procedimiento de investigación, en el que se efectuó el preceptivo trámite de audiencia a ambas partes, se evidenciaron déficits en el adecuado cumplimiento del ordenamiento jurídico administrativo y de los principios generales reguladores de la actuación administrativa pública, así como déficits en el cumplimiento del propio marco normativo que regula la Ley General de Subvenciones (LGS) en su artículo 14. En concreto: </w:t>
      </w:r>
      <w:r w:rsidRPr="00973028">
        <w:rPr>
          <w:rFonts w:ascii="Arial" w:eastAsia="Times New Roman" w:hAnsi="Arial"/>
          <w:b/>
          <w:bCs/>
          <w:sz w:val="21"/>
          <w:szCs w:val="21"/>
          <w:lang w:eastAsia="es-ES"/>
        </w:rPr>
        <w:t>a)</w:t>
      </w:r>
      <w:r w:rsidRPr="00973028">
        <w:rPr>
          <w:rFonts w:ascii="Arial" w:eastAsia="Times New Roman" w:hAnsi="Arial"/>
          <w:sz w:val="21"/>
          <w:szCs w:val="21"/>
          <w:lang w:eastAsia="es-ES"/>
        </w:rPr>
        <w:t xml:space="preserve"> Sobre la custodia de la documentación por parte del beneficiario y la verificación de la correcta justificación por parte del agente financiador. </w:t>
      </w:r>
      <w:r w:rsidRPr="00973028">
        <w:rPr>
          <w:rFonts w:ascii="Arial" w:eastAsia="Times New Roman" w:hAnsi="Arial"/>
          <w:b/>
          <w:bCs/>
          <w:sz w:val="21"/>
          <w:szCs w:val="21"/>
          <w:lang w:eastAsia="es-ES"/>
        </w:rPr>
        <w:t xml:space="preserve">b) </w:t>
      </w:r>
      <w:r w:rsidRPr="00973028">
        <w:rPr>
          <w:rFonts w:ascii="Arial" w:eastAsia="Times New Roman" w:hAnsi="Arial"/>
          <w:sz w:val="21"/>
          <w:szCs w:val="21"/>
          <w:lang w:eastAsia="es-ES"/>
        </w:rPr>
        <w:t xml:space="preserve">Sobre las adjudicaciones y ejecución del contrato y </w:t>
      </w:r>
      <w:r w:rsidRPr="00973028">
        <w:rPr>
          <w:rFonts w:ascii="Arial" w:eastAsia="Times New Roman" w:hAnsi="Arial"/>
          <w:b/>
          <w:bCs/>
          <w:sz w:val="21"/>
          <w:szCs w:val="21"/>
          <w:lang w:eastAsia="es-ES"/>
        </w:rPr>
        <w:t>c)</w:t>
      </w:r>
      <w:r w:rsidRPr="00973028">
        <w:rPr>
          <w:rFonts w:ascii="Arial" w:eastAsia="Times New Roman" w:hAnsi="Arial"/>
          <w:sz w:val="21"/>
          <w:szCs w:val="21"/>
          <w:lang w:eastAsia="es-ES"/>
        </w:rPr>
        <w:t xml:space="preserve"> Sobre los posibles conflictos de interés.</w:t>
      </w:r>
    </w:p>
    <w:p w14:paraId="50F27B76" w14:textId="77777777" w:rsidR="004D194D" w:rsidRPr="00973028" w:rsidRDefault="002A47AA" w:rsidP="002A47AA">
      <w:pPr>
        <w:spacing w:after="240" w:line="276" w:lineRule="auto"/>
        <w:jc w:val="both"/>
        <w:rPr>
          <w:rFonts w:ascii="Arial" w:eastAsia="Times New Roman" w:hAnsi="Arial"/>
          <w:sz w:val="21"/>
          <w:szCs w:val="21"/>
          <w:lang w:eastAsia="es-ES"/>
        </w:rPr>
      </w:pPr>
      <w:r w:rsidRPr="00973028">
        <w:rPr>
          <w:rFonts w:ascii="Arial" w:eastAsia="Times New Roman" w:hAnsi="Arial"/>
          <w:b/>
          <w:bCs/>
          <w:sz w:val="21"/>
          <w:szCs w:val="21"/>
          <w:lang w:eastAsia="es-ES"/>
        </w:rPr>
        <w:t>Resultado:</w:t>
      </w:r>
      <w:r w:rsidRPr="00973028">
        <w:rPr>
          <w:rFonts w:ascii="Arial" w:eastAsia="Times New Roman" w:hAnsi="Arial"/>
          <w:sz w:val="21"/>
          <w:szCs w:val="21"/>
          <w:lang w:eastAsia="es-ES"/>
        </w:rPr>
        <w:t xml:space="preserve"> Formulación de recomendaciones a la Unión Musical Casinense y a la Secretaría Autonómica de Cultura y Deportes de la Conselleria de Educación, Cultura y Deportes, requiriéndose la remisión de un Plan de Implementación para su control y cumplimiento, y abriendo la fase de seguimiento. </w:t>
      </w:r>
    </w:p>
    <w:p w14:paraId="007AF82B" w14:textId="4F6D7E96" w:rsidR="002A47AA" w:rsidRPr="00973028" w:rsidRDefault="002A47AA" w:rsidP="002A47AA">
      <w:pPr>
        <w:spacing w:after="240" w:line="276" w:lineRule="auto"/>
        <w:jc w:val="both"/>
        <w:rPr>
          <w:rFonts w:ascii="Arial" w:hAnsi="Arial"/>
          <w:color w:val="000080"/>
          <w:sz w:val="21"/>
          <w:szCs w:val="21"/>
          <w:u w:val="single"/>
        </w:rPr>
      </w:pPr>
      <w:r w:rsidRPr="00973028">
        <w:rPr>
          <w:rFonts w:ascii="Arial" w:eastAsia="Times New Roman" w:hAnsi="Arial"/>
          <w:sz w:val="21"/>
          <w:szCs w:val="21"/>
          <w:lang w:eastAsia="es-ES"/>
        </w:rPr>
        <w:t xml:space="preserve">Se puede consultar </w:t>
      </w:r>
      <w:hyperlink r:id="rId68" w:history="1">
        <w:r w:rsidR="0054708D" w:rsidRPr="0054708D">
          <w:rPr>
            <w:rStyle w:val="Hipervnculo"/>
            <w:rFonts w:ascii="Arial" w:eastAsia="Times New Roman" w:hAnsi="Arial"/>
            <w:sz w:val="21"/>
            <w:szCs w:val="21"/>
            <w:lang w:eastAsia="es-ES"/>
          </w:rPr>
          <w:t>aquí</w:t>
        </w:r>
      </w:hyperlink>
      <w:r w:rsidR="0054708D">
        <w:rPr>
          <w:rFonts w:ascii="Arial" w:eastAsia="Times New Roman" w:hAnsi="Arial"/>
          <w:sz w:val="21"/>
          <w:szCs w:val="21"/>
          <w:lang w:eastAsia="es-ES"/>
        </w:rPr>
        <w:t>.</w:t>
      </w:r>
    </w:p>
    <w:p w14:paraId="363D83BF" w14:textId="64728445" w:rsidR="002A47AA" w:rsidRPr="00973028" w:rsidRDefault="002A47AA" w:rsidP="002A47AA">
      <w:pPr>
        <w:spacing w:after="240" w:line="276" w:lineRule="auto"/>
        <w:jc w:val="both"/>
        <w:rPr>
          <w:rFonts w:ascii="Arial" w:eastAsia="Times New Roman" w:hAnsi="Arial"/>
          <w:sz w:val="21"/>
          <w:szCs w:val="21"/>
          <w:lang w:eastAsia="es-ES"/>
        </w:rPr>
      </w:pPr>
      <w:r w:rsidRPr="00973028">
        <w:rPr>
          <w:rFonts w:ascii="Arial" w:eastAsia="Times New Roman" w:hAnsi="Arial"/>
          <w:b/>
          <w:bCs/>
          <w:sz w:val="21"/>
          <w:szCs w:val="21"/>
          <w:lang w:eastAsia="es-ES"/>
        </w:rPr>
        <w:t>Fase de seguimiento:</w:t>
      </w:r>
      <w:r w:rsidRPr="00973028">
        <w:rPr>
          <w:rFonts w:ascii="Arial" w:eastAsia="Times New Roman" w:hAnsi="Arial"/>
          <w:sz w:val="21"/>
          <w:szCs w:val="21"/>
          <w:lang w:eastAsia="es-ES"/>
        </w:rPr>
        <w:t xml:space="preserve"> La Unión Musical Casinense ha remitido a la Agencia el Plan de Implementación solicitado. Por su parte, la Secretaría Autonómica de Cultura y Deportes de la Conselleria de Educación, Cultura y Deportes ha solicitado una ampliación de fechas para la entrega de dicho Plan de Implementación, que ha sido aceptada. Estando pendiente finalizar la fase de seguimiento.</w:t>
      </w:r>
    </w:p>
    <w:p w14:paraId="5AD238C3" w14:textId="03C0B93F"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88" w:name="_Toc67646258"/>
      <w:r w:rsidRPr="00973028">
        <w:rPr>
          <w:rFonts w:ascii="Arial" w:eastAsia="Times New Roman" w:hAnsi="Arial" w:cs="Arial"/>
          <w:b/>
          <w:color w:val="9D2235"/>
          <w:sz w:val="28"/>
          <w:szCs w:val="28"/>
        </w:rPr>
        <w:t>Denominación: Ayuntamiento de Val</w:t>
      </w:r>
      <w:r w:rsidR="00E74AA5" w:rsidRPr="00973028">
        <w:rPr>
          <w:rFonts w:ascii="Arial" w:eastAsia="Times New Roman" w:hAnsi="Arial" w:cs="Arial"/>
          <w:b/>
          <w:color w:val="9D2235"/>
          <w:sz w:val="28"/>
          <w:szCs w:val="28"/>
        </w:rPr>
        <w:t>è</w:t>
      </w:r>
      <w:r w:rsidRPr="00973028">
        <w:rPr>
          <w:rFonts w:ascii="Arial" w:eastAsia="Times New Roman" w:hAnsi="Arial" w:cs="Arial"/>
          <w:b/>
          <w:color w:val="9D2235"/>
          <w:sz w:val="28"/>
          <w:szCs w:val="28"/>
        </w:rPr>
        <w:t>ncia. Contratación del servicio de grúa municipal en situación de enriquecimiento injusto</w:t>
      </w:r>
      <w:bookmarkEnd w:id="88"/>
    </w:p>
    <w:p w14:paraId="05C8C120" w14:textId="0E212D45"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 xml:space="preserve">Expediente: </w:t>
      </w:r>
      <w:r w:rsidRPr="00973028">
        <w:rPr>
          <w:rFonts w:ascii="Arial" w:hAnsi="Arial"/>
          <w:sz w:val="21"/>
          <w:szCs w:val="21"/>
        </w:rPr>
        <w:t xml:space="preserve">2020/G01_01/000220 </w:t>
      </w:r>
    </w:p>
    <w:p w14:paraId="4734BC35" w14:textId="29D27288"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 xml:space="preserve">Descripción: </w:t>
      </w:r>
      <w:r w:rsidRPr="00973028">
        <w:rPr>
          <w:rFonts w:ascii="Arial" w:eastAsia="Times New Roman" w:hAnsi="Arial"/>
          <w:color w:val="000000"/>
          <w:sz w:val="21"/>
          <w:szCs w:val="21"/>
          <w:lang w:eastAsia="es-ES"/>
        </w:rPr>
        <w:t xml:space="preserve">Los hechos denunciados se concretaron </w:t>
      </w:r>
      <w:r w:rsidRPr="00973028">
        <w:rPr>
          <w:rFonts w:ascii="Arial" w:hAnsi="Arial"/>
          <w:sz w:val="21"/>
          <w:szCs w:val="21"/>
        </w:rPr>
        <w:t>en  el acuerdo de la Junta de Gobierno Local municipal de 27 de octubre de 2017, por el cual se procede resolver el contrato con efectos del 31 de octubre de 2017, por la causa establecida en el art. 223.g) del TRLCSP ante la imposibilidad de ejecutar el contrato en los términos inicialmente pactados, así como la posibilidad de producción de una lesión grave al interés público de continuar ejecutándose la prestación en esos términos, al no ser posible modificar el contrato. Dicho acuerdo, además de ordenar la resolución del contrato, fijó una indemnización al contratista de 809.758,86 €, correspondientes al 3% de la prestación dejada de realizar, al no considerar que la causa de resolución fuera imputable al contratista; y, por otro lado, aprobó las condiciones para la prestación del servicio por parte de la UTE actual contratista, desde el 1 de noviembre de 2017, día siguiente al que producirá efectos la resolución del contrato y hasta que se formalice el nuevo contrato, estableciendo como contraprestación económica por la prestación del servicio desde la resolución del contrato y durante este periodo la de 300.000,00 € mensuales más IVA.</w:t>
      </w:r>
    </w:p>
    <w:p w14:paraId="57ACC1FA" w14:textId="77777777" w:rsidR="00360DCC" w:rsidRPr="00973028" w:rsidRDefault="002A47AA" w:rsidP="002A47AA">
      <w:pPr>
        <w:spacing w:after="240" w:line="276" w:lineRule="auto"/>
        <w:jc w:val="both"/>
        <w:rPr>
          <w:rFonts w:ascii="Arial" w:hAnsi="Arial"/>
          <w:sz w:val="21"/>
          <w:szCs w:val="21"/>
        </w:rPr>
      </w:pPr>
      <w:r w:rsidRPr="00973028">
        <w:rPr>
          <w:rFonts w:ascii="Arial" w:hAnsi="Arial"/>
          <w:sz w:val="21"/>
          <w:szCs w:val="21"/>
        </w:rPr>
        <w:t xml:space="preserve">En relación exclusivamente con la situación de enriquecimiento injusto, la Agencia no detectó, tras la investigación efectuada, la existencia de indicios de fraude o corrupción, </w:t>
      </w:r>
      <w:r w:rsidRPr="00973028">
        <w:rPr>
          <w:rFonts w:ascii="Arial" w:hAnsi="Arial"/>
          <w:sz w:val="21"/>
          <w:szCs w:val="21"/>
        </w:rPr>
        <w:lastRenderedPageBreak/>
        <w:t>procediendo a recomendar al Ayuntamiento que, dado el tiempo transcurrido en dicha situación irregular, procediese a licitar de nuevo la contratación del servicio.</w:t>
      </w:r>
    </w:p>
    <w:p w14:paraId="4093267F" w14:textId="199A75FB"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En la Fase de Seguimiento correspondiente, se acreditó que el Ayuntamiento había procedido a la nueva licitación, publicándose la misma en la Plataforma de Contratación del Sector Público. Dicha licitación, no obstante, a fecha actual, ha quedado desierta, por lo que se ha perpetuado en el tiempo la situación irregular de la contratación mediante pagos por enriquecimiento injusto, lo que podría, de futuro, dar lugar a la exigencia de responsabilidades.</w:t>
      </w:r>
    </w:p>
    <w:p w14:paraId="62F1ADE9" w14:textId="5B8629E2"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 xml:space="preserve">Respecto al mantenimiento de la contraprestación económica una vez finalizado la vigencia del contrato, de oficio se ha abierto expediente de análisis e investigación, en fase de tramitación actualmente, al apreciarse indicios de falta de justificación de las cantidades pagadas </w:t>
      </w:r>
      <w:r w:rsidR="00B133EC" w:rsidRPr="00973028">
        <w:rPr>
          <w:rFonts w:ascii="Arial" w:hAnsi="Arial"/>
          <w:sz w:val="21"/>
          <w:szCs w:val="21"/>
        </w:rPr>
        <w:t>en relación con</w:t>
      </w:r>
      <w:r w:rsidRPr="00973028">
        <w:rPr>
          <w:rFonts w:ascii="Arial" w:hAnsi="Arial"/>
          <w:sz w:val="21"/>
          <w:szCs w:val="21"/>
        </w:rPr>
        <w:t xml:space="preserve"> la prestación efectiva de los servicios.</w:t>
      </w:r>
    </w:p>
    <w:p w14:paraId="1F4F972F" w14:textId="3B49EC35" w:rsidR="004D194D"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 xml:space="preserve">Resultado: </w:t>
      </w:r>
      <w:r w:rsidRPr="00973028">
        <w:rPr>
          <w:rFonts w:ascii="Arial" w:hAnsi="Arial"/>
          <w:sz w:val="21"/>
          <w:szCs w:val="21"/>
        </w:rPr>
        <w:t>Formulación de recomendaciones al Ayuntamiento de Val</w:t>
      </w:r>
      <w:r w:rsidR="0054708D">
        <w:rPr>
          <w:rFonts w:ascii="Arial" w:hAnsi="Arial"/>
          <w:sz w:val="21"/>
          <w:szCs w:val="21"/>
        </w:rPr>
        <w:t>è</w:t>
      </w:r>
      <w:r w:rsidRPr="00973028">
        <w:rPr>
          <w:rFonts w:ascii="Arial" w:hAnsi="Arial"/>
          <w:sz w:val="21"/>
          <w:szCs w:val="21"/>
        </w:rPr>
        <w:t xml:space="preserve">ncia, abriéndose la fase de seguimiento. </w:t>
      </w:r>
    </w:p>
    <w:p w14:paraId="06A751CE" w14:textId="24C42C2D" w:rsidR="0054708D" w:rsidRPr="00973028" w:rsidRDefault="002A47AA" w:rsidP="002A47AA">
      <w:pPr>
        <w:spacing w:after="240" w:line="276" w:lineRule="auto"/>
        <w:jc w:val="both"/>
        <w:rPr>
          <w:rFonts w:ascii="Arial" w:hAnsi="Arial"/>
          <w:sz w:val="21"/>
          <w:szCs w:val="21"/>
        </w:rPr>
      </w:pPr>
      <w:r w:rsidRPr="00973028">
        <w:rPr>
          <w:rFonts w:ascii="Arial" w:hAnsi="Arial"/>
          <w:sz w:val="21"/>
          <w:szCs w:val="21"/>
        </w:rPr>
        <w:t xml:space="preserve">Se puede consultar </w:t>
      </w:r>
      <w:hyperlink r:id="rId69" w:history="1">
        <w:r w:rsidR="0054708D" w:rsidRPr="0054708D">
          <w:rPr>
            <w:rStyle w:val="Hipervnculo"/>
            <w:rFonts w:ascii="Arial" w:hAnsi="Arial"/>
            <w:sz w:val="21"/>
            <w:szCs w:val="21"/>
          </w:rPr>
          <w:t>aquí</w:t>
        </w:r>
      </w:hyperlink>
      <w:r w:rsidR="0054708D">
        <w:rPr>
          <w:rFonts w:ascii="Arial" w:hAnsi="Arial"/>
          <w:sz w:val="21"/>
          <w:szCs w:val="21"/>
        </w:rPr>
        <w:t>.</w:t>
      </w:r>
    </w:p>
    <w:p w14:paraId="42F2C87F" w14:textId="383F2E69"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 xml:space="preserve">Fase de Seguimiento: </w:t>
      </w:r>
      <w:r w:rsidRPr="00973028">
        <w:rPr>
          <w:rFonts w:ascii="Arial" w:hAnsi="Arial"/>
          <w:sz w:val="21"/>
          <w:szCs w:val="21"/>
        </w:rPr>
        <w:t>Recomendaciones cumplidas y actuaciones finalizadas. Apertura de nuevo expediente respecto a los aspectos económicos de la gestión del servicio sin cobertura contractual.</w:t>
      </w:r>
    </w:p>
    <w:p w14:paraId="389F000B" w14:textId="0E26C295"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89" w:name="_Toc67646259"/>
      <w:r w:rsidRPr="00973028">
        <w:rPr>
          <w:rFonts w:ascii="Arial" w:eastAsia="Times New Roman" w:hAnsi="Arial" w:cs="Arial"/>
          <w:b/>
          <w:color w:val="9D2235"/>
          <w:sz w:val="28"/>
          <w:szCs w:val="28"/>
        </w:rPr>
        <w:t>Denominación: Ayuntamiento de Sueca. Irregularidades en materia de contratación pública en el Organismo autónomo de la Residencia de personas mayores San José de Sueca</w:t>
      </w:r>
      <w:bookmarkEnd w:id="89"/>
    </w:p>
    <w:p w14:paraId="6D19924F" w14:textId="053F312C"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Expediente:</w:t>
      </w:r>
      <w:r w:rsidRPr="00973028">
        <w:rPr>
          <w:rFonts w:ascii="Arial" w:eastAsia="Times New Roman" w:hAnsi="Arial"/>
          <w:color w:val="000000"/>
          <w:sz w:val="21"/>
          <w:szCs w:val="21"/>
        </w:rPr>
        <w:t xml:space="preserve"> 2020/G01_01/000073</w:t>
      </w:r>
    </w:p>
    <w:p w14:paraId="1A191834" w14:textId="644E1F34"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Descripción:</w:t>
      </w:r>
      <w:r w:rsidRPr="00973028">
        <w:rPr>
          <w:rFonts w:ascii="Arial" w:eastAsia="Times New Roman" w:hAnsi="Arial"/>
          <w:color w:val="000000"/>
          <w:sz w:val="21"/>
          <w:szCs w:val="21"/>
        </w:rPr>
        <w:t xml:space="preserve"> Los hechos denunciados se centraron en una serie de irregularidades en la contratación administrativa de los servicios prestados en el Organismo autónomo Sant Hospital – Residencia Sant Josep de Gent mayor (Residencia Sant Josep) del Ayuntamiento de Sueca. En concreto, se denunciaba el pago de facturas a varias empresas que prestaban servicios a la Residencia Sant Josep, prescindiendo de cualquier procedimiento de contratación, irregularidades que se estaban produciendo con la advertencia de la Intervención Municipal.</w:t>
      </w:r>
    </w:p>
    <w:p w14:paraId="6A2AD49E" w14:textId="240FECE7"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color w:val="000000"/>
          <w:sz w:val="21"/>
          <w:szCs w:val="21"/>
        </w:rPr>
        <w:t>Tras la instrucción del oportuno procedimiento de investigación, en el que se efectuó el preceptivo trámite de audiencia a la administración denunciada, se evidenció que habían tenido lugar conductas o hechos que suponían irregularidades administrativas graves, desde finales de 2015 hasta enero de 2019, periodo en el que tuvo lugar la prestación de los servicios sin el correspondiente marco contractual al que está sometido el sector público.</w:t>
      </w:r>
    </w:p>
    <w:p w14:paraId="082BA624" w14:textId="77777777"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color w:val="000000"/>
          <w:sz w:val="21"/>
          <w:szCs w:val="21"/>
        </w:rPr>
        <w:lastRenderedPageBreak/>
        <w:t>Se concluyó, que dichas irregularidades administrativas graves implicaban vicios de nulidad por haberse prescindido absolutamente del procedimiento contractual necesario. Asimismo, se llegó a la conclusión de que los actos o actuaciones viciadas de nulidad de pleno derecho en el ámbito material del enriquecimiento injusto, no habían sido depuradas en ordenamiento jurídico vía revisión, limitándose el Ayuntamiento de Sueca a articular un procedimiento “ad hoc” de convalidación de la inexistencia de crédito para pagar las facturas sin soporte legal o contractual mediante un mero acuerdo de “reconocimiento extrajudicial de créditos” que suponía convalidar y permitir realizar el pago de 2.068.029,35 euros.</w:t>
      </w:r>
    </w:p>
    <w:p w14:paraId="1E126785" w14:textId="77777777"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 xml:space="preserve">Resultado: </w:t>
      </w:r>
      <w:r w:rsidRPr="00973028">
        <w:rPr>
          <w:rFonts w:ascii="Arial" w:eastAsia="Times New Roman" w:hAnsi="Arial"/>
          <w:color w:val="000000"/>
          <w:sz w:val="21"/>
          <w:szCs w:val="21"/>
        </w:rPr>
        <w:t xml:space="preserve">Apertura de fase de seguimiento, tras formulación de recomendaciones al Ayuntamiento de Sueca y al Organismo autónomo, requiriéndose la remisión de un Plan de Implementación para su control y cumplimiento o la documentación acreditativa de la regularización contractual alegada; así como instando a proceder a la revisión de oficio de los actos incursos en causa de nulidad de pleno derecho o anulabilidad. </w:t>
      </w:r>
    </w:p>
    <w:p w14:paraId="5A948BF7" w14:textId="17A2D5B6"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color w:val="000000"/>
          <w:sz w:val="21"/>
          <w:szCs w:val="21"/>
        </w:rPr>
        <w:t xml:space="preserve">Se puede consultar </w:t>
      </w:r>
      <w:hyperlink r:id="rId70" w:history="1">
        <w:r w:rsidR="0054708D" w:rsidRPr="0054708D">
          <w:rPr>
            <w:rStyle w:val="Hipervnculo"/>
            <w:rFonts w:ascii="Arial" w:eastAsia="Times New Roman" w:hAnsi="Arial"/>
            <w:sz w:val="21"/>
            <w:szCs w:val="21"/>
          </w:rPr>
          <w:t>aquí</w:t>
        </w:r>
      </w:hyperlink>
      <w:r w:rsidR="0054708D">
        <w:rPr>
          <w:rFonts w:ascii="Arial" w:eastAsia="Times New Roman" w:hAnsi="Arial"/>
          <w:color w:val="000000"/>
          <w:sz w:val="21"/>
          <w:szCs w:val="21"/>
        </w:rPr>
        <w:t>.</w:t>
      </w:r>
    </w:p>
    <w:p w14:paraId="1BF5EBCE" w14:textId="1E39783F"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 xml:space="preserve">Fase de seguimiento: </w:t>
      </w:r>
      <w:r w:rsidRPr="00973028">
        <w:rPr>
          <w:rFonts w:ascii="Arial" w:eastAsia="Times New Roman" w:hAnsi="Arial"/>
          <w:color w:val="000000"/>
          <w:sz w:val="21"/>
          <w:szCs w:val="21"/>
        </w:rPr>
        <w:t>El Ayuntamiento de Sueca ha remitido a la AVAF la documentación acreditativa de las dos primeras fases de las recomendaciones, estando pendiente finalizar la fase de seguimiento.</w:t>
      </w:r>
    </w:p>
    <w:p w14:paraId="4DA84822" w14:textId="3C897A52"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90" w:name="_Toc67646260"/>
      <w:r w:rsidRPr="00973028">
        <w:rPr>
          <w:rFonts w:ascii="Arial" w:eastAsia="Times New Roman" w:hAnsi="Arial" w:cs="Arial"/>
          <w:b/>
          <w:color w:val="9D2235"/>
          <w:sz w:val="28"/>
          <w:szCs w:val="28"/>
        </w:rPr>
        <w:t>Denominación: Ayuntamiento de Daya Nueva</w:t>
      </w:r>
      <w:r w:rsidR="008A79F8">
        <w:rPr>
          <w:rFonts w:ascii="Arial" w:eastAsia="Times New Roman" w:hAnsi="Arial" w:cs="Arial"/>
          <w:b/>
          <w:color w:val="9D2235"/>
          <w:sz w:val="28"/>
          <w:szCs w:val="28"/>
        </w:rPr>
        <w:t xml:space="preserve">. </w:t>
      </w:r>
      <w:r w:rsidRPr="00973028">
        <w:rPr>
          <w:rFonts w:ascii="Arial" w:eastAsia="Times New Roman" w:hAnsi="Arial" w:cs="Arial"/>
          <w:b/>
          <w:color w:val="9D2235"/>
          <w:sz w:val="28"/>
          <w:szCs w:val="28"/>
        </w:rPr>
        <w:t>Construcción edificación en Suelo No Urbanizable</w:t>
      </w:r>
      <w:bookmarkEnd w:id="90"/>
    </w:p>
    <w:p w14:paraId="09887312" w14:textId="6DECD9AB"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 xml:space="preserve">Expediente: </w:t>
      </w:r>
      <w:r w:rsidRPr="00973028">
        <w:rPr>
          <w:rFonts w:ascii="Arial" w:eastAsia="Times New Roman" w:hAnsi="Arial"/>
          <w:color w:val="000000"/>
          <w:sz w:val="21"/>
          <w:szCs w:val="21"/>
        </w:rPr>
        <w:t xml:space="preserve">2020/G01_01/000141 </w:t>
      </w:r>
    </w:p>
    <w:p w14:paraId="3EDB63BD" w14:textId="3267642A"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Descripción:</w:t>
      </w:r>
      <w:r w:rsidRPr="00973028">
        <w:rPr>
          <w:rFonts w:ascii="Arial" w:eastAsia="Times New Roman" w:hAnsi="Arial"/>
          <w:color w:val="000000"/>
          <w:sz w:val="21"/>
          <w:szCs w:val="21"/>
        </w:rPr>
        <w:t xml:space="preserve"> </w:t>
      </w:r>
      <w:r w:rsidRPr="00973028">
        <w:rPr>
          <w:rFonts w:ascii="Arial" w:eastAsia="Times New Roman" w:hAnsi="Arial"/>
          <w:color w:val="000000"/>
          <w:sz w:val="21"/>
          <w:szCs w:val="21"/>
          <w:lang w:eastAsia="es-ES"/>
        </w:rPr>
        <w:t>Los hechos denunciados se concretaron en la f</w:t>
      </w:r>
      <w:r w:rsidRPr="00973028">
        <w:rPr>
          <w:rFonts w:ascii="Arial" w:eastAsia="Times New Roman" w:hAnsi="Arial"/>
          <w:color w:val="000000"/>
          <w:sz w:val="21"/>
          <w:szCs w:val="21"/>
        </w:rPr>
        <w:t>alta de actividad administrativa de control de la legalidad urbanística, construcción de edificación sin licencia en suelo no urbanizable.</w:t>
      </w:r>
    </w:p>
    <w:p w14:paraId="43092D49" w14:textId="437A8097" w:rsidR="002A47AA" w:rsidRPr="00973028" w:rsidRDefault="002A47AA" w:rsidP="002A47AA">
      <w:pPr>
        <w:pStyle w:val="Standard"/>
        <w:spacing w:after="240" w:line="276" w:lineRule="auto"/>
        <w:jc w:val="both"/>
        <w:rPr>
          <w:rFonts w:ascii="Arial" w:eastAsia="Times New Roman" w:hAnsi="Arial"/>
          <w:color w:val="000000"/>
          <w:kern w:val="2"/>
          <w:sz w:val="21"/>
          <w:szCs w:val="21"/>
        </w:rPr>
      </w:pPr>
      <w:r w:rsidRPr="00973028">
        <w:rPr>
          <w:rFonts w:ascii="Arial" w:eastAsia="Times New Roman" w:hAnsi="Arial"/>
          <w:color w:val="000000"/>
          <w:kern w:val="2"/>
          <w:sz w:val="21"/>
          <w:szCs w:val="21"/>
        </w:rPr>
        <w:t>Del análisis de la documentación se infería un retraso injustificado en la tramitación del expediente de restauración de la legalidad urbanística.</w:t>
      </w:r>
    </w:p>
    <w:p w14:paraId="783665E3" w14:textId="4DA3F8D2" w:rsidR="002A47AA" w:rsidRPr="00973028" w:rsidRDefault="002A47AA" w:rsidP="002A47AA">
      <w:pPr>
        <w:pStyle w:val="Standard"/>
        <w:spacing w:after="240" w:line="276" w:lineRule="auto"/>
        <w:jc w:val="both"/>
        <w:rPr>
          <w:rFonts w:ascii="Arial" w:eastAsia="Times New Roman" w:hAnsi="Arial"/>
          <w:color w:val="000000"/>
          <w:kern w:val="2"/>
          <w:sz w:val="21"/>
          <w:szCs w:val="21"/>
        </w:rPr>
      </w:pPr>
      <w:r w:rsidRPr="00973028">
        <w:rPr>
          <w:rFonts w:ascii="Arial" w:eastAsia="Times New Roman" w:hAnsi="Arial"/>
          <w:color w:val="000000"/>
          <w:kern w:val="2"/>
          <w:sz w:val="21"/>
          <w:szCs w:val="21"/>
        </w:rPr>
        <w:t>Se trata de la construcción de una vivienda en Suelo clasificado como No Urbanizable y calificado como fuera de ordenación, realizada por quien fuera alcalde del municipio de Daya Nueva durante los años 1995 a 2007.</w:t>
      </w:r>
    </w:p>
    <w:p w14:paraId="5CCB6AD9" w14:textId="268D7392" w:rsidR="002A47AA" w:rsidRPr="00973028" w:rsidRDefault="002A47AA" w:rsidP="002A47AA">
      <w:pPr>
        <w:pStyle w:val="Standard"/>
        <w:spacing w:after="240" w:line="276" w:lineRule="auto"/>
        <w:jc w:val="both"/>
        <w:rPr>
          <w:rFonts w:ascii="Arial" w:eastAsia="Times New Roman" w:hAnsi="Arial"/>
          <w:color w:val="000000"/>
          <w:kern w:val="2"/>
          <w:sz w:val="21"/>
          <w:szCs w:val="21"/>
        </w:rPr>
      </w:pPr>
      <w:r w:rsidRPr="00973028">
        <w:rPr>
          <w:rFonts w:ascii="Arial" w:eastAsia="Times New Roman" w:hAnsi="Arial"/>
          <w:color w:val="000000"/>
          <w:kern w:val="2"/>
          <w:sz w:val="21"/>
          <w:szCs w:val="21"/>
        </w:rPr>
        <w:t>De los hechos expuestos a lo largo del informe se desprende que por parte del consistorio no se actuó adoptando las medidas de restauración correspondientes. Se constató un retraso injustificado en la tramitación del expediente de restauración de la legalidad urbanística. Asimismo, en relación con la función inspectora, se constató que, de haber realizado la inspección de las obras con posterioridad a la presentación de la declaración responsable, se hubiera comprobado que, con anterioridad a la finalización de las obras, estas no se ajustaban a lo declarado por el propietario, pudiéndose haber paralizado la ejecución de las obras.</w:t>
      </w:r>
    </w:p>
    <w:p w14:paraId="587C3667" w14:textId="1B97755E" w:rsidR="002A47AA" w:rsidRPr="00973028" w:rsidRDefault="002A47AA" w:rsidP="002A47AA">
      <w:pPr>
        <w:pStyle w:val="Standard"/>
        <w:spacing w:after="240" w:line="276" w:lineRule="auto"/>
        <w:jc w:val="both"/>
        <w:rPr>
          <w:rFonts w:ascii="Arial" w:eastAsia="Times New Roman" w:hAnsi="Arial"/>
          <w:color w:val="000000"/>
          <w:kern w:val="2"/>
          <w:sz w:val="21"/>
          <w:szCs w:val="21"/>
        </w:rPr>
      </w:pPr>
      <w:r w:rsidRPr="00973028">
        <w:rPr>
          <w:rFonts w:ascii="Arial" w:eastAsia="Times New Roman" w:hAnsi="Arial"/>
          <w:color w:val="000000"/>
          <w:kern w:val="2"/>
          <w:sz w:val="21"/>
          <w:szCs w:val="21"/>
        </w:rPr>
        <w:t xml:space="preserve">Como consecuencia de dicha actuación se podría estar produciendo un resultado contrario </w:t>
      </w:r>
      <w:r w:rsidRPr="00973028">
        <w:rPr>
          <w:rFonts w:ascii="Arial" w:eastAsia="Times New Roman" w:hAnsi="Arial"/>
          <w:color w:val="000000"/>
          <w:kern w:val="2"/>
          <w:sz w:val="21"/>
          <w:szCs w:val="21"/>
        </w:rPr>
        <w:lastRenderedPageBreak/>
        <w:t xml:space="preserve">al interés público, esto es, un desvío de la acción pública de los intereses generales. El resultado de consentir, sin el título habilitante oportuno, la construcción en Suelo No Urbanizable da como resultado un trato especial o de favor a los titulares de la edificación fuera de la legalidad. </w:t>
      </w:r>
    </w:p>
    <w:p w14:paraId="2F453B22" w14:textId="77777777" w:rsidR="00360DCC"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Resultado:</w:t>
      </w:r>
      <w:r w:rsidRPr="00973028">
        <w:rPr>
          <w:rFonts w:ascii="Arial" w:eastAsia="Times New Roman" w:hAnsi="Arial"/>
          <w:color w:val="000000"/>
          <w:sz w:val="21"/>
          <w:szCs w:val="21"/>
        </w:rPr>
        <w:t xml:space="preserve"> Formulación de recomendaciones al Ayuntamiento de Daya Nueva para que proceda a la restauración de la legalidad urbanística, requiriéndose la remisión de un Plan de Implementación para su control y cumplimiento.</w:t>
      </w:r>
    </w:p>
    <w:p w14:paraId="788CFAB9" w14:textId="0C81F418"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color w:val="000000"/>
          <w:sz w:val="21"/>
          <w:szCs w:val="21"/>
          <w:lang w:eastAsia="es-ES"/>
        </w:rPr>
        <w:t xml:space="preserve">Se puede consultar </w:t>
      </w:r>
      <w:hyperlink r:id="rId71" w:history="1">
        <w:r w:rsidR="0054708D" w:rsidRPr="0054708D">
          <w:rPr>
            <w:rStyle w:val="Hipervnculo"/>
            <w:rFonts w:ascii="Arial" w:eastAsia="Times New Roman" w:hAnsi="Arial"/>
            <w:sz w:val="21"/>
            <w:szCs w:val="21"/>
            <w:lang w:eastAsia="es-ES"/>
          </w:rPr>
          <w:t>aquí</w:t>
        </w:r>
      </w:hyperlink>
      <w:r w:rsidR="0054708D">
        <w:rPr>
          <w:rFonts w:ascii="Arial" w:eastAsia="Times New Roman" w:hAnsi="Arial"/>
          <w:color w:val="000000"/>
          <w:sz w:val="21"/>
          <w:szCs w:val="21"/>
          <w:lang w:eastAsia="es-ES"/>
        </w:rPr>
        <w:t>.</w:t>
      </w:r>
    </w:p>
    <w:p w14:paraId="48210278" w14:textId="4E6F7CFC"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Fase de seguimiento:</w:t>
      </w:r>
      <w:r w:rsidRPr="00973028">
        <w:rPr>
          <w:rFonts w:ascii="Arial" w:eastAsia="Times New Roman" w:hAnsi="Arial"/>
          <w:color w:val="000000"/>
          <w:sz w:val="21"/>
          <w:szCs w:val="21"/>
        </w:rPr>
        <w:t xml:space="preserve"> Pendiente de remisión del Plan de implementación. Pendiente de finalizar la fase de seguimiento. </w:t>
      </w:r>
    </w:p>
    <w:p w14:paraId="067EB092" w14:textId="585E0505"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91" w:name="_Toc67646261"/>
      <w:r w:rsidRPr="00973028">
        <w:rPr>
          <w:rFonts w:ascii="Arial" w:eastAsia="Times New Roman" w:hAnsi="Arial" w:cs="Arial"/>
          <w:b/>
          <w:color w:val="9D2235"/>
          <w:sz w:val="28"/>
          <w:szCs w:val="28"/>
        </w:rPr>
        <w:t>Denominación: IFA Alicante</w:t>
      </w:r>
      <w:r w:rsidR="008A79F8">
        <w:rPr>
          <w:rFonts w:ascii="Arial" w:eastAsia="Times New Roman" w:hAnsi="Arial" w:cs="Arial"/>
          <w:b/>
          <w:color w:val="9D2235"/>
          <w:sz w:val="28"/>
          <w:szCs w:val="28"/>
        </w:rPr>
        <w:t>. A</w:t>
      </w:r>
      <w:r w:rsidRPr="00973028">
        <w:rPr>
          <w:rFonts w:ascii="Arial" w:eastAsia="Times New Roman" w:hAnsi="Arial" w:cs="Arial"/>
          <w:b/>
          <w:color w:val="9D2235"/>
          <w:sz w:val="28"/>
          <w:szCs w:val="28"/>
        </w:rPr>
        <w:t>usencia de facturación de la celebración de un evento del Partido Popular de Alicante</w:t>
      </w:r>
      <w:bookmarkEnd w:id="91"/>
    </w:p>
    <w:p w14:paraId="09B491C4" w14:textId="6B480573"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Expediente:</w:t>
      </w:r>
      <w:r w:rsidRPr="00973028">
        <w:rPr>
          <w:rFonts w:ascii="Arial" w:eastAsia="Times New Roman" w:hAnsi="Arial"/>
          <w:color w:val="000000"/>
          <w:sz w:val="21"/>
          <w:szCs w:val="21"/>
        </w:rPr>
        <w:t xml:space="preserve"> 2020/G01_01/000003</w:t>
      </w:r>
    </w:p>
    <w:p w14:paraId="6F48D003" w14:textId="77777777"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Descripción:</w:t>
      </w:r>
      <w:r w:rsidRPr="00973028">
        <w:rPr>
          <w:rFonts w:ascii="Arial" w:eastAsia="Times New Roman" w:hAnsi="Arial"/>
          <w:color w:val="000000"/>
          <w:sz w:val="21"/>
          <w:szCs w:val="21"/>
        </w:rPr>
        <w:t xml:space="preserve"> </w:t>
      </w:r>
      <w:r w:rsidRPr="00973028">
        <w:rPr>
          <w:rFonts w:ascii="Arial" w:eastAsia="Times New Roman" w:hAnsi="Arial"/>
          <w:color w:val="000000"/>
          <w:sz w:val="21"/>
          <w:szCs w:val="21"/>
          <w:lang w:eastAsia="es-ES"/>
        </w:rPr>
        <w:t xml:space="preserve">Los hechos denunciados se concretaron en </w:t>
      </w:r>
      <w:r w:rsidRPr="00973028">
        <w:rPr>
          <w:rFonts w:ascii="Arial" w:eastAsia="Times New Roman" w:hAnsi="Arial"/>
          <w:color w:val="000000"/>
          <w:sz w:val="21"/>
          <w:szCs w:val="21"/>
        </w:rPr>
        <w:t>una posible actuación constitutiva de fraude o corrupción, debido a la ausencia de facturación de la celebración de un evento consistente en una cena celebrada por el Partido Popular de Alicante en las instalaciones de la Institución Ferial Alicantina (en adelante, IFA) el día 25 de abril de 2009.</w:t>
      </w:r>
    </w:p>
    <w:p w14:paraId="5760EBB0" w14:textId="77777777" w:rsidR="002A47AA" w:rsidRPr="00973028" w:rsidRDefault="002A47AA" w:rsidP="002A47AA">
      <w:pPr>
        <w:pStyle w:val="Standard"/>
        <w:spacing w:after="240" w:line="276" w:lineRule="auto"/>
        <w:jc w:val="both"/>
        <w:rPr>
          <w:rFonts w:ascii="Arial" w:eastAsia="Times New Roman" w:hAnsi="Arial"/>
          <w:color w:val="000000"/>
          <w:kern w:val="2"/>
          <w:sz w:val="21"/>
          <w:szCs w:val="21"/>
        </w:rPr>
      </w:pPr>
      <w:r w:rsidRPr="00973028">
        <w:rPr>
          <w:rFonts w:ascii="Arial" w:eastAsia="Times New Roman" w:hAnsi="Arial"/>
          <w:color w:val="000000"/>
          <w:kern w:val="2"/>
          <w:sz w:val="21"/>
          <w:szCs w:val="21"/>
        </w:rPr>
        <w:t>Tras el estudio en detalle de la totalidad de la documentación requerida y obtenida en la fase de investigación, se concluye que:</w:t>
      </w:r>
    </w:p>
    <w:p w14:paraId="4BBF3634" w14:textId="4505F77A" w:rsidR="002A47AA" w:rsidRPr="00973028" w:rsidRDefault="002A47AA" w:rsidP="002A47AA">
      <w:pPr>
        <w:pStyle w:val="Standard"/>
        <w:spacing w:after="240" w:line="276" w:lineRule="auto"/>
        <w:jc w:val="both"/>
        <w:rPr>
          <w:rFonts w:ascii="Arial" w:eastAsia="Times New Roman" w:hAnsi="Arial"/>
          <w:color w:val="000000"/>
          <w:kern w:val="2"/>
          <w:sz w:val="21"/>
          <w:szCs w:val="21"/>
        </w:rPr>
      </w:pPr>
      <w:r w:rsidRPr="00973028">
        <w:rPr>
          <w:rFonts w:ascii="Arial" w:eastAsia="Times New Roman" w:hAnsi="Arial"/>
          <w:color w:val="000000"/>
          <w:kern w:val="2"/>
          <w:sz w:val="21"/>
          <w:szCs w:val="21"/>
        </w:rPr>
        <w:t>1.- Ha quedado acreditado que el Partido Popular de Alicante celebró una cena para 2.500 afiliados el día 25 de abril de 2009 en las instalaciones de la Institución Ferial Alicantina.</w:t>
      </w:r>
    </w:p>
    <w:p w14:paraId="6DD22AB1" w14:textId="10F3CFFA" w:rsidR="002A47AA" w:rsidRPr="00973028" w:rsidRDefault="002A47AA" w:rsidP="00360DCC">
      <w:pPr>
        <w:pStyle w:val="Standard"/>
        <w:spacing w:after="240" w:line="276" w:lineRule="auto"/>
        <w:jc w:val="both"/>
        <w:rPr>
          <w:rFonts w:ascii="Arial" w:eastAsia="Times New Roman" w:hAnsi="Arial"/>
          <w:color w:val="000000"/>
          <w:kern w:val="2"/>
          <w:sz w:val="21"/>
          <w:szCs w:val="21"/>
        </w:rPr>
      </w:pPr>
      <w:r w:rsidRPr="00973028">
        <w:rPr>
          <w:rFonts w:ascii="Arial" w:eastAsia="Times New Roman" w:hAnsi="Arial"/>
          <w:color w:val="000000"/>
          <w:kern w:val="2"/>
          <w:sz w:val="21"/>
          <w:szCs w:val="21"/>
        </w:rPr>
        <w:t>2.- La Institución Ferial Alicantina no facturó los servicios prestados por la celebración de dicho evento hasta el día 2 de octubre de 2018, y ha venido desde entonces exigiendo su pago vía extrajudicial al Partido Popular de Alicante, por entender que no está prescrito su derecho de crédito en relación con el servicio efectivamente prestado. Ante la negativa del pago por la vía extrajudicial y la apertura del expediente de investigación de la Agencia, finalmente se ha recurrido a la reclamación judicial por parte de la Institución Ferial Alicantina, mediante la presentación de escrito de inicio de procedimiento monitorio para reclamar la deuda, presentado ante el Juzgado de Primera Instancia de Alicante en fecha 2 de octubre de 2020, del cual se ha dado traslado a esta Agencia.</w:t>
      </w:r>
    </w:p>
    <w:p w14:paraId="0E67E588" w14:textId="747E5653" w:rsidR="002A47AA" w:rsidRPr="00973028" w:rsidRDefault="002A47AA" w:rsidP="002A47AA">
      <w:pPr>
        <w:autoSpaceDE w:val="0"/>
        <w:autoSpaceDN w:val="0"/>
        <w:adjustRightInd w:val="0"/>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Resultado:</w:t>
      </w:r>
      <w:r w:rsidRPr="00973028">
        <w:rPr>
          <w:rFonts w:ascii="Arial" w:eastAsia="Times New Roman" w:hAnsi="Arial"/>
          <w:color w:val="000000"/>
          <w:sz w:val="21"/>
          <w:szCs w:val="21"/>
        </w:rPr>
        <w:t xml:space="preserve"> La investigación ha finalizado con la reclamación del pago de la factura al Partido Popular vía judicial, solicitando a la Institución Ferial Alicantina que comunique a esta Agencia el resultado del procedimiento monitorio iniciado en el plazo de un mes desde que tenga conocimiento de la resolución de este, abriendo fase de seguimiento. </w:t>
      </w:r>
    </w:p>
    <w:p w14:paraId="413B7954" w14:textId="3CFEE26C" w:rsidR="002A47AA" w:rsidRPr="00973028" w:rsidRDefault="002A47AA" w:rsidP="002A47AA">
      <w:pPr>
        <w:autoSpaceDE w:val="0"/>
        <w:autoSpaceDN w:val="0"/>
        <w:adjustRightInd w:val="0"/>
        <w:spacing w:after="240" w:line="276" w:lineRule="auto"/>
        <w:jc w:val="both"/>
        <w:rPr>
          <w:rFonts w:ascii="Arial" w:eastAsia="Times New Roman" w:hAnsi="Arial"/>
          <w:color w:val="000000"/>
          <w:sz w:val="21"/>
          <w:szCs w:val="21"/>
        </w:rPr>
      </w:pPr>
      <w:r w:rsidRPr="00973028">
        <w:rPr>
          <w:rFonts w:ascii="Arial" w:eastAsia="Times New Roman" w:hAnsi="Arial"/>
          <w:color w:val="000000"/>
          <w:sz w:val="21"/>
          <w:szCs w:val="21"/>
        </w:rPr>
        <w:lastRenderedPageBreak/>
        <w:t>Se puede consultar</w:t>
      </w:r>
      <w:r w:rsidR="0054708D">
        <w:rPr>
          <w:rFonts w:ascii="Arial" w:eastAsia="Times New Roman" w:hAnsi="Arial"/>
          <w:color w:val="000000"/>
          <w:sz w:val="21"/>
          <w:szCs w:val="21"/>
        </w:rPr>
        <w:t xml:space="preserve"> </w:t>
      </w:r>
      <w:hyperlink r:id="rId72" w:history="1">
        <w:r w:rsidR="0054708D" w:rsidRPr="0054708D">
          <w:rPr>
            <w:rStyle w:val="Hipervnculo"/>
            <w:rFonts w:ascii="Arial" w:eastAsia="Times New Roman" w:hAnsi="Arial"/>
            <w:sz w:val="21"/>
            <w:szCs w:val="21"/>
          </w:rPr>
          <w:t>aquí</w:t>
        </w:r>
      </w:hyperlink>
      <w:r w:rsidR="0054708D">
        <w:rPr>
          <w:rFonts w:ascii="Arial" w:eastAsia="Times New Roman" w:hAnsi="Arial"/>
          <w:color w:val="000000"/>
          <w:sz w:val="21"/>
          <w:szCs w:val="21"/>
        </w:rPr>
        <w:t>.</w:t>
      </w:r>
    </w:p>
    <w:p w14:paraId="00F8E1C1" w14:textId="200C71CB"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Fase seguimiento:</w:t>
      </w:r>
      <w:r w:rsidRPr="00973028">
        <w:rPr>
          <w:rFonts w:ascii="Arial" w:eastAsia="Times New Roman" w:hAnsi="Arial"/>
          <w:color w:val="000000"/>
          <w:sz w:val="21"/>
          <w:szCs w:val="21"/>
        </w:rPr>
        <w:t xml:space="preserve"> IFA ha remitido comunicado a la Agencia en el que indica que el Partido Popular de Alicante ha reconocido expresamente adeudar la cantidad de 8.357,99 euros, reclamada en los autos de procedimiento monitorio, obligándose a su pago en el plazo máximo de 24 meses mensualidades a computar desde el día 1 de diciembre de 2020.</w:t>
      </w:r>
    </w:p>
    <w:p w14:paraId="06596A6E" w14:textId="74103DBA"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92" w:name="_Toc67646262"/>
      <w:bookmarkStart w:id="93" w:name="_Hlk63061127"/>
      <w:r w:rsidRPr="00973028">
        <w:rPr>
          <w:rFonts w:ascii="Arial" w:eastAsia="Times New Roman" w:hAnsi="Arial" w:cs="Arial"/>
          <w:b/>
          <w:color w:val="9D2235"/>
          <w:sz w:val="28"/>
          <w:szCs w:val="28"/>
        </w:rPr>
        <w:t>Denominación: Ayuntamiento de Paterna. Retribución dedicación exclusiva a concejal no adscrita</w:t>
      </w:r>
      <w:bookmarkEnd w:id="92"/>
    </w:p>
    <w:p w14:paraId="6021FC1B" w14:textId="08603A53"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Expediente:</w:t>
      </w:r>
      <w:r w:rsidRPr="00973028">
        <w:rPr>
          <w:rFonts w:ascii="Arial" w:eastAsia="Times New Roman" w:hAnsi="Arial"/>
          <w:color w:val="000000"/>
          <w:sz w:val="21"/>
          <w:szCs w:val="21"/>
        </w:rPr>
        <w:t xml:space="preserve"> 2020/G01_01/000195 </w:t>
      </w:r>
    </w:p>
    <w:p w14:paraId="0BB3746F" w14:textId="6EAA2644"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Descripción:</w:t>
      </w:r>
      <w:bookmarkEnd w:id="93"/>
      <w:r w:rsidRPr="00973028">
        <w:rPr>
          <w:rFonts w:ascii="Arial" w:eastAsia="Times New Roman" w:hAnsi="Arial"/>
          <w:color w:val="000000"/>
          <w:sz w:val="21"/>
          <w:szCs w:val="21"/>
        </w:rPr>
        <w:t xml:space="preserve"> </w:t>
      </w:r>
      <w:r w:rsidRPr="00973028">
        <w:rPr>
          <w:rFonts w:ascii="Arial" w:eastAsia="Times New Roman" w:hAnsi="Arial"/>
          <w:color w:val="000000"/>
          <w:sz w:val="21"/>
          <w:szCs w:val="21"/>
          <w:lang w:eastAsia="es-ES"/>
        </w:rPr>
        <w:t>Los hechos denunciados se concretaron en las r</w:t>
      </w:r>
      <w:r w:rsidRPr="00973028">
        <w:rPr>
          <w:rFonts w:ascii="Arial" w:eastAsia="Times New Roman" w:hAnsi="Arial"/>
          <w:color w:val="000000"/>
          <w:sz w:val="21"/>
          <w:szCs w:val="21"/>
        </w:rPr>
        <w:t>etribuciones percibidas por una concejala no adscrita en concepto de dedicación exclusiva tras el abandono del grupo municipal de pertenencia.</w:t>
      </w:r>
    </w:p>
    <w:p w14:paraId="05F3368E" w14:textId="108AEDAD" w:rsidR="002A47AA" w:rsidRPr="00973028" w:rsidRDefault="002A47AA" w:rsidP="002A47AA">
      <w:pPr>
        <w:pStyle w:val="Standard"/>
        <w:spacing w:after="240" w:line="276" w:lineRule="auto"/>
        <w:jc w:val="both"/>
        <w:rPr>
          <w:rFonts w:ascii="Arial" w:eastAsia="Times New Roman" w:hAnsi="Arial"/>
          <w:color w:val="000000"/>
          <w:kern w:val="2"/>
          <w:sz w:val="21"/>
          <w:szCs w:val="21"/>
        </w:rPr>
      </w:pPr>
      <w:r w:rsidRPr="00973028">
        <w:rPr>
          <w:rFonts w:ascii="Arial" w:eastAsia="Times New Roman" w:hAnsi="Arial"/>
          <w:color w:val="000000"/>
          <w:kern w:val="2"/>
          <w:sz w:val="21"/>
          <w:szCs w:val="21"/>
        </w:rPr>
        <w:t>Tras la instrucción del oportuno procedimiento de investigación, en el que se efectuó el preceptivo trámite de audiencia a la administración denunciada, se evidenció que el Ayuntamiento de Paterna retribuyó a una concejal no adscrita durante los meses de julio a diciembre de 2017 en concepto de dedicación exclusiva, sin que se dieran los requisitos para ello.</w:t>
      </w:r>
    </w:p>
    <w:p w14:paraId="08FAEFC7" w14:textId="3CCCB9C6" w:rsidR="002A47AA" w:rsidRPr="00973028" w:rsidRDefault="002A47AA" w:rsidP="002A47AA">
      <w:pPr>
        <w:pStyle w:val="Standard"/>
        <w:spacing w:after="240" w:line="276" w:lineRule="auto"/>
        <w:jc w:val="both"/>
        <w:rPr>
          <w:rFonts w:ascii="Arial" w:eastAsia="Times New Roman" w:hAnsi="Arial"/>
          <w:color w:val="000000"/>
          <w:kern w:val="2"/>
          <w:sz w:val="21"/>
          <w:szCs w:val="21"/>
        </w:rPr>
      </w:pPr>
      <w:r w:rsidRPr="00973028">
        <w:rPr>
          <w:rFonts w:ascii="Arial" w:eastAsia="Times New Roman" w:hAnsi="Arial"/>
          <w:color w:val="000000"/>
          <w:kern w:val="2"/>
          <w:sz w:val="21"/>
          <w:szCs w:val="21"/>
        </w:rPr>
        <w:t xml:space="preserve">En diciembre de 2017 se regulariza la situación modificando el acuerdo plenario por el cual se determina el número de concejales que pueden tener reconocida la dedicación exclusiva, y se acuerda regularizar y adaptar la dedicación exclusiva desde el momento en que se produjo el abandono del Grupo Municipal. De los hechos puestos de manifiesto en el expediente, se concluye que los supuestos de hecho necesarios para retrotraer la eficacia del acto (ostentar delegaciones o ejercer responsabilidades) no se producen en el momento del abandono del Grupo Municipal. </w:t>
      </w:r>
    </w:p>
    <w:p w14:paraId="1DCD5E2A" w14:textId="77777777"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Resultado:</w:t>
      </w:r>
      <w:r w:rsidRPr="00973028">
        <w:rPr>
          <w:rFonts w:ascii="Arial" w:eastAsia="Times New Roman" w:hAnsi="Arial"/>
          <w:color w:val="000000"/>
          <w:sz w:val="21"/>
          <w:szCs w:val="21"/>
        </w:rPr>
        <w:t xml:space="preserve"> Formulación de recomendaciones al Ayuntamiento de Paterna consistentes en la revisión de oficio del acto de regularización con efectos retroactivos, proponiéndose la remisión de un plan de implementación para su control y cumplimiento. </w:t>
      </w:r>
    </w:p>
    <w:p w14:paraId="2C5F6E0C" w14:textId="5FFEFA33"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color w:val="000000"/>
          <w:sz w:val="21"/>
          <w:szCs w:val="21"/>
        </w:rPr>
        <w:t xml:space="preserve">Se puede consultar </w:t>
      </w:r>
      <w:hyperlink r:id="rId73" w:history="1">
        <w:r w:rsidR="0054708D" w:rsidRPr="0054708D">
          <w:rPr>
            <w:rStyle w:val="Hipervnculo"/>
            <w:rFonts w:ascii="Arial" w:eastAsia="Times New Roman" w:hAnsi="Arial"/>
            <w:sz w:val="21"/>
            <w:szCs w:val="21"/>
          </w:rPr>
          <w:t>aquí</w:t>
        </w:r>
      </w:hyperlink>
      <w:r w:rsidR="0054708D">
        <w:rPr>
          <w:rFonts w:ascii="Arial" w:eastAsia="Times New Roman" w:hAnsi="Arial"/>
          <w:color w:val="000000"/>
          <w:sz w:val="21"/>
          <w:szCs w:val="21"/>
        </w:rPr>
        <w:t>.</w:t>
      </w:r>
      <w:r w:rsidRPr="00973028">
        <w:rPr>
          <w:rFonts w:ascii="Arial" w:eastAsia="Times New Roman" w:hAnsi="Arial"/>
          <w:color w:val="000000"/>
          <w:sz w:val="21"/>
          <w:szCs w:val="21"/>
        </w:rPr>
        <w:t xml:space="preserve"> </w:t>
      </w:r>
    </w:p>
    <w:p w14:paraId="252FCE9B" w14:textId="2E289370"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Fase de seguimiento:</w:t>
      </w:r>
      <w:r w:rsidRPr="00973028">
        <w:rPr>
          <w:rFonts w:ascii="Arial" w:eastAsia="Times New Roman" w:hAnsi="Arial"/>
          <w:color w:val="000000"/>
          <w:sz w:val="21"/>
          <w:szCs w:val="21"/>
        </w:rPr>
        <w:t xml:space="preserve"> El Ayuntamiento de Paterna ha remitido a la Agencia un oficio del teniente de alcalde comunicando que no se van a aplicar las recomendaciones y explicando la razones por las cuales no va a adoptar las medidas propuestas por esta Agencia. Finalizada la fase de seguimiento, se incluye apartado expreso en la presente Memoria, apartado 3.5, para dar a conocer el incumplimiento del Ayuntamiento de Paterna de la recomendación dictada por la Agencia.</w:t>
      </w:r>
    </w:p>
    <w:p w14:paraId="00B651A3" w14:textId="2E1CF452"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94" w:name="_Toc67646263"/>
      <w:r w:rsidRPr="00973028">
        <w:rPr>
          <w:rFonts w:ascii="Arial" w:eastAsia="Times New Roman" w:hAnsi="Arial" w:cs="Arial"/>
          <w:b/>
          <w:color w:val="9D2235"/>
          <w:sz w:val="28"/>
          <w:szCs w:val="28"/>
        </w:rPr>
        <w:lastRenderedPageBreak/>
        <w:t>Denominación: Conselleria de Justicia, Interior y Administración Pública. Irregularidades en la gestión de las bolsas de trabajo</w:t>
      </w:r>
      <w:bookmarkEnd w:id="94"/>
    </w:p>
    <w:p w14:paraId="12D50B49" w14:textId="3ACC0C49" w:rsidR="002A47AA" w:rsidRPr="00973028" w:rsidRDefault="002A47AA" w:rsidP="002A47AA">
      <w:pPr>
        <w:spacing w:after="240" w:line="276" w:lineRule="auto"/>
        <w:jc w:val="both"/>
        <w:rPr>
          <w:rFonts w:ascii="Arial" w:hAnsi="Arial"/>
          <w:color w:val="000000"/>
          <w:sz w:val="21"/>
          <w:szCs w:val="21"/>
        </w:rPr>
      </w:pPr>
      <w:r w:rsidRPr="00973028">
        <w:rPr>
          <w:rFonts w:ascii="Arial" w:hAnsi="Arial"/>
          <w:b/>
          <w:color w:val="000000"/>
          <w:sz w:val="21"/>
          <w:szCs w:val="21"/>
        </w:rPr>
        <w:t>Expediente:</w:t>
      </w:r>
      <w:r w:rsidRPr="00973028">
        <w:rPr>
          <w:rFonts w:ascii="Arial" w:hAnsi="Arial"/>
          <w:color w:val="000000"/>
          <w:sz w:val="21"/>
          <w:szCs w:val="21"/>
        </w:rPr>
        <w:t> 2020/G01_01/000082</w:t>
      </w:r>
    </w:p>
    <w:p w14:paraId="3F9BBD10" w14:textId="41001247" w:rsidR="002A47AA" w:rsidRPr="00973028" w:rsidRDefault="002A47AA" w:rsidP="002A47AA">
      <w:pPr>
        <w:spacing w:after="240" w:line="276" w:lineRule="auto"/>
        <w:jc w:val="both"/>
        <w:rPr>
          <w:rFonts w:ascii="Arial" w:hAnsi="Arial"/>
          <w:color w:val="000000"/>
          <w:spacing w:val="-4"/>
          <w:sz w:val="21"/>
          <w:szCs w:val="21"/>
        </w:rPr>
      </w:pPr>
      <w:r w:rsidRPr="00973028">
        <w:rPr>
          <w:rFonts w:ascii="Arial" w:hAnsi="Arial"/>
          <w:b/>
          <w:color w:val="000000"/>
          <w:sz w:val="21"/>
          <w:szCs w:val="21"/>
        </w:rPr>
        <w:t xml:space="preserve">Descripción: </w:t>
      </w:r>
      <w:r w:rsidRPr="00973028">
        <w:rPr>
          <w:rFonts w:ascii="Arial" w:hAnsi="Arial"/>
          <w:color w:val="000000"/>
          <w:sz w:val="21"/>
          <w:szCs w:val="21"/>
        </w:rPr>
        <w:t>Los hechos denunciados hacen referencia a un proceso de selección de técnicos de prevención de riesgos laborales celebrado en el año 2009 en el que se ofertaron tres puestos a tres personas articulando sus nombramientos a través de un procedimiento extraordinario de provisión (nombramientos</w:t>
      </w:r>
      <w:r w:rsidRPr="00973028">
        <w:rPr>
          <w:rFonts w:ascii="Arial" w:hAnsi="Arial"/>
          <w:color w:val="000000"/>
          <w:spacing w:val="4"/>
          <w:sz w:val="21"/>
          <w:szCs w:val="21"/>
        </w:rPr>
        <w:t xml:space="preserve"> </w:t>
      </w:r>
      <w:r w:rsidRPr="00973028">
        <w:rPr>
          <w:rFonts w:ascii="Arial" w:hAnsi="Arial"/>
          <w:color w:val="000000"/>
          <w:sz w:val="21"/>
          <w:szCs w:val="21"/>
        </w:rPr>
        <w:t>de</w:t>
      </w:r>
      <w:r w:rsidRPr="00973028">
        <w:rPr>
          <w:rFonts w:ascii="Arial" w:hAnsi="Arial"/>
          <w:color w:val="000000"/>
          <w:spacing w:val="6"/>
          <w:sz w:val="21"/>
          <w:szCs w:val="21"/>
        </w:rPr>
        <w:t xml:space="preserve"> </w:t>
      </w:r>
      <w:r w:rsidRPr="00973028">
        <w:rPr>
          <w:rFonts w:ascii="Arial" w:hAnsi="Arial"/>
          <w:color w:val="000000"/>
          <w:sz w:val="21"/>
          <w:szCs w:val="21"/>
        </w:rPr>
        <w:t>personal</w:t>
      </w:r>
      <w:r w:rsidRPr="00973028">
        <w:rPr>
          <w:rFonts w:ascii="Arial" w:hAnsi="Arial"/>
          <w:color w:val="000000"/>
          <w:spacing w:val="6"/>
          <w:sz w:val="21"/>
          <w:szCs w:val="21"/>
        </w:rPr>
        <w:t xml:space="preserve"> </w:t>
      </w:r>
      <w:r w:rsidRPr="00973028">
        <w:rPr>
          <w:rFonts w:ascii="Arial" w:hAnsi="Arial"/>
          <w:color w:val="000000"/>
          <w:sz w:val="21"/>
          <w:szCs w:val="21"/>
        </w:rPr>
        <w:t>funcionario</w:t>
      </w:r>
      <w:r w:rsidRPr="00973028">
        <w:rPr>
          <w:rFonts w:ascii="Arial" w:hAnsi="Arial"/>
          <w:color w:val="000000"/>
          <w:spacing w:val="6"/>
          <w:sz w:val="21"/>
          <w:szCs w:val="21"/>
        </w:rPr>
        <w:t xml:space="preserve"> </w:t>
      </w:r>
      <w:r w:rsidRPr="00973028">
        <w:rPr>
          <w:rFonts w:ascii="Arial" w:hAnsi="Arial"/>
          <w:color w:val="000000"/>
          <w:sz w:val="21"/>
          <w:szCs w:val="21"/>
        </w:rPr>
        <w:t>interino</w:t>
      </w:r>
      <w:r w:rsidRPr="00973028">
        <w:rPr>
          <w:rFonts w:ascii="Arial" w:hAnsi="Arial"/>
          <w:color w:val="000000"/>
          <w:spacing w:val="6"/>
          <w:sz w:val="21"/>
          <w:szCs w:val="21"/>
        </w:rPr>
        <w:t xml:space="preserve"> </w:t>
      </w:r>
      <w:r w:rsidRPr="00973028">
        <w:rPr>
          <w:rFonts w:ascii="Arial" w:hAnsi="Arial"/>
          <w:color w:val="000000"/>
          <w:sz w:val="21"/>
          <w:szCs w:val="21"/>
        </w:rPr>
        <w:t>de</w:t>
      </w:r>
      <w:r w:rsidRPr="00973028">
        <w:rPr>
          <w:rFonts w:ascii="Arial" w:hAnsi="Arial"/>
          <w:color w:val="000000"/>
          <w:spacing w:val="4"/>
          <w:sz w:val="21"/>
          <w:szCs w:val="21"/>
        </w:rPr>
        <w:t xml:space="preserve"> </w:t>
      </w:r>
      <w:r w:rsidRPr="00973028">
        <w:rPr>
          <w:rFonts w:ascii="Arial" w:hAnsi="Arial"/>
          <w:color w:val="000000"/>
          <w:sz w:val="21"/>
          <w:szCs w:val="21"/>
        </w:rPr>
        <w:t>urgencia), a través</w:t>
      </w:r>
      <w:r w:rsidRPr="00973028">
        <w:rPr>
          <w:rFonts w:ascii="Arial" w:hAnsi="Arial"/>
          <w:color w:val="000000"/>
          <w:spacing w:val="4"/>
          <w:sz w:val="21"/>
          <w:szCs w:val="21"/>
        </w:rPr>
        <w:t xml:space="preserve"> </w:t>
      </w:r>
      <w:r w:rsidRPr="00973028">
        <w:rPr>
          <w:rFonts w:ascii="Arial" w:hAnsi="Arial"/>
          <w:color w:val="000000"/>
          <w:sz w:val="21"/>
          <w:szCs w:val="21"/>
        </w:rPr>
        <w:t>de la previsión contenida en</w:t>
      </w:r>
      <w:r w:rsidRPr="00973028">
        <w:rPr>
          <w:rFonts w:ascii="Arial" w:hAnsi="Arial"/>
          <w:color w:val="000000"/>
          <w:spacing w:val="32"/>
          <w:sz w:val="21"/>
          <w:szCs w:val="21"/>
        </w:rPr>
        <w:t xml:space="preserve"> </w:t>
      </w:r>
      <w:r w:rsidRPr="00973028">
        <w:rPr>
          <w:rFonts w:ascii="Arial" w:hAnsi="Arial"/>
          <w:color w:val="000000"/>
          <w:sz w:val="21"/>
          <w:szCs w:val="21"/>
        </w:rPr>
        <w:t>el</w:t>
      </w:r>
      <w:r w:rsidRPr="00973028">
        <w:rPr>
          <w:rFonts w:ascii="Arial" w:hAnsi="Arial"/>
          <w:color w:val="000000"/>
          <w:spacing w:val="32"/>
          <w:sz w:val="21"/>
          <w:szCs w:val="21"/>
        </w:rPr>
        <w:t xml:space="preserve"> </w:t>
      </w:r>
      <w:r w:rsidRPr="00973028">
        <w:rPr>
          <w:rFonts w:ascii="Arial" w:hAnsi="Arial"/>
          <w:color w:val="000000"/>
          <w:sz w:val="21"/>
          <w:szCs w:val="21"/>
        </w:rPr>
        <w:t>artículo</w:t>
      </w:r>
      <w:r w:rsidRPr="00973028">
        <w:rPr>
          <w:rFonts w:ascii="Arial" w:hAnsi="Arial"/>
          <w:color w:val="000000"/>
          <w:spacing w:val="34"/>
          <w:sz w:val="21"/>
          <w:szCs w:val="21"/>
        </w:rPr>
        <w:t xml:space="preserve"> </w:t>
      </w:r>
      <w:r w:rsidRPr="00973028">
        <w:rPr>
          <w:rFonts w:ascii="Arial" w:hAnsi="Arial"/>
          <w:color w:val="000000"/>
          <w:sz w:val="21"/>
          <w:szCs w:val="21"/>
        </w:rPr>
        <w:t>8</w:t>
      </w:r>
      <w:r w:rsidRPr="00973028">
        <w:rPr>
          <w:rFonts w:ascii="Arial" w:hAnsi="Arial"/>
          <w:color w:val="000000"/>
          <w:spacing w:val="32"/>
          <w:sz w:val="21"/>
          <w:szCs w:val="21"/>
        </w:rPr>
        <w:t xml:space="preserve"> </w:t>
      </w:r>
      <w:r w:rsidRPr="00973028">
        <w:rPr>
          <w:rFonts w:ascii="Arial" w:hAnsi="Arial"/>
          <w:color w:val="000000"/>
          <w:sz w:val="21"/>
          <w:szCs w:val="21"/>
        </w:rPr>
        <w:t>de</w:t>
      </w:r>
      <w:r w:rsidRPr="00973028">
        <w:rPr>
          <w:rFonts w:ascii="Arial" w:hAnsi="Arial"/>
          <w:color w:val="000000"/>
          <w:spacing w:val="34"/>
          <w:sz w:val="21"/>
          <w:szCs w:val="21"/>
        </w:rPr>
        <w:t xml:space="preserve"> </w:t>
      </w:r>
      <w:r w:rsidRPr="00973028">
        <w:rPr>
          <w:rFonts w:ascii="Arial" w:hAnsi="Arial"/>
          <w:color w:val="000000"/>
          <w:sz w:val="21"/>
          <w:szCs w:val="21"/>
        </w:rPr>
        <w:t>la Orden</w:t>
      </w:r>
      <w:r w:rsidRPr="00973028">
        <w:rPr>
          <w:rFonts w:ascii="Arial" w:hAnsi="Arial"/>
          <w:color w:val="000000"/>
          <w:spacing w:val="6"/>
          <w:sz w:val="21"/>
          <w:szCs w:val="21"/>
        </w:rPr>
        <w:t xml:space="preserve"> </w:t>
      </w:r>
      <w:r w:rsidRPr="00973028">
        <w:rPr>
          <w:rFonts w:ascii="Arial" w:hAnsi="Arial"/>
          <w:color w:val="000000"/>
          <w:sz w:val="21"/>
          <w:szCs w:val="21"/>
        </w:rPr>
        <w:t>de</w:t>
      </w:r>
      <w:r w:rsidRPr="00973028">
        <w:rPr>
          <w:rFonts w:ascii="Arial" w:hAnsi="Arial"/>
          <w:color w:val="000000"/>
          <w:spacing w:val="4"/>
          <w:sz w:val="21"/>
          <w:szCs w:val="21"/>
        </w:rPr>
        <w:t xml:space="preserve"> </w:t>
      </w:r>
      <w:r w:rsidRPr="00973028">
        <w:rPr>
          <w:rFonts w:ascii="Arial" w:hAnsi="Arial"/>
          <w:color w:val="000000"/>
          <w:sz w:val="21"/>
          <w:szCs w:val="21"/>
        </w:rPr>
        <w:t>17</w:t>
      </w:r>
      <w:r w:rsidRPr="00973028">
        <w:rPr>
          <w:rFonts w:ascii="Arial" w:hAnsi="Arial"/>
          <w:color w:val="000000"/>
          <w:spacing w:val="4"/>
          <w:sz w:val="21"/>
          <w:szCs w:val="21"/>
        </w:rPr>
        <w:t xml:space="preserve"> </w:t>
      </w:r>
      <w:r w:rsidRPr="00973028">
        <w:rPr>
          <w:rFonts w:ascii="Arial" w:hAnsi="Arial"/>
          <w:color w:val="000000"/>
          <w:sz w:val="21"/>
          <w:szCs w:val="21"/>
        </w:rPr>
        <w:t>de</w:t>
      </w:r>
      <w:r w:rsidRPr="00973028">
        <w:rPr>
          <w:rFonts w:ascii="Arial" w:hAnsi="Arial"/>
          <w:color w:val="000000"/>
          <w:spacing w:val="6"/>
          <w:sz w:val="21"/>
          <w:szCs w:val="21"/>
        </w:rPr>
        <w:t xml:space="preserve"> </w:t>
      </w:r>
      <w:r w:rsidRPr="00973028">
        <w:rPr>
          <w:rFonts w:ascii="Arial" w:hAnsi="Arial"/>
          <w:color w:val="000000"/>
          <w:sz w:val="21"/>
          <w:szCs w:val="21"/>
        </w:rPr>
        <w:t>enero</w:t>
      </w:r>
      <w:r w:rsidRPr="00973028">
        <w:rPr>
          <w:rFonts w:ascii="Arial" w:hAnsi="Arial"/>
          <w:color w:val="000000"/>
          <w:spacing w:val="4"/>
          <w:sz w:val="21"/>
          <w:szCs w:val="21"/>
        </w:rPr>
        <w:t xml:space="preserve"> </w:t>
      </w:r>
      <w:r w:rsidRPr="00973028">
        <w:rPr>
          <w:rFonts w:ascii="Arial" w:hAnsi="Arial"/>
          <w:color w:val="000000"/>
          <w:sz w:val="21"/>
          <w:szCs w:val="21"/>
        </w:rPr>
        <w:t>de</w:t>
      </w:r>
      <w:r w:rsidRPr="00973028">
        <w:rPr>
          <w:rFonts w:ascii="Arial" w:hAnsi="Arial"/>
          <w:color w:val="000000"/>
          <w:spacing w:val="6"/>
          <w:sz w:val="21"/>
          <w:szCs w:val="21"/>
        </w:rPr>
        <w:t xml:space="preserve"> </w:t>
      </w:r>
      <w:r w:rsidRPr="00973028">
        <w:rPr>
          <w:rFonts w:ascii="Arial" w:hAnsi="Arial"/>
          <w:color w:val="000000"/>
          <w:sz w:val="21"/>
          <w:szCs w:val="21"/>
        </w:rPr>
        <w:t>2006,</w:t>
      </w:r>
      <w:r w:rsidRPr="00973028">
        <w:rPr>
          <w:rFonts w:ascii="Arial" w:hAnsi="Arial"/>
          <w:color w:val="000000"/>
          <w:spacing w:val="6"/>
          <w:sz w:val="21"/>
          <w:szCs w:val="21"/>
        </w:rPr>
        <w:t xml:space="preserve"> </w:t>
      </w:r>
      <w:r w:rsidRPr="00973028">
        <w:rPr>
          <w:rFonts w:ascii="Arial" w:hAnsi="Arial"/>
          <w:color w:val="000000"/>
          <w:sz w:val="21"/>
          <w:szCs w:val="21"/>
        </w:rPr>
        <w:t>de</w:t>
      </w:r>
      <w:r w:rsidRPr="00973028">
        <w:rPr>
          <w:rFonts w:ascii="Arial" w:hAnsi="Arial"/>
          <w:color w:val="000000"/>
          <w:spacing w:val="4"/>
          <w:sz w:val="21"/>
          <w:szCs w:val="21"/>
        </w:rPr>
        <w:t xml:space="preserve"> </w:t>
      </w:r>
      <w:r w:rsidRPr="00973028">
        <w:rPr>
          <w:rFonts w:ascii="Arial" w:hAnsi="Arial"/>
          <w:color w:val="000000"/>
          <w:sz w:val="21"/>
          <w:szCs w:val="21"/>
        </w:rPr>
        <w:t>la</w:t>
      </w:r>
      <w:r w:rsidRPr="00973028">
        <w:rPr>
          <w:rFonts w:ascii="Arial" w:hAnsi="Arial"/>
          <w:color w:val="000000"/>
          <w:spacing w:val="4"/>
          <w:sz w:val="21"/>
          <w:szCs w:val="21"/>
        </w:rPr>
        <w:t xml:space="preserve"> </w:t>
      </w:r>
      <w:r w:rsidRPr="00973028">
        <w:rPr>
          <w:rFonts w:ascii="Arial" w:hAnsi="Arial"/>
          <w:color w:val="000000"/>
          <w:sz w:val="21"/>
          <w:szCs w:val="21"/>
        </w:rPr>
        <w:t>Conselleria</w:t>
      </w:r>
      <w:r w:rsidRPr="00973028">
        <w:rPr>
          <w:rFonts w:ascii="Arial" w:hAnsi="Arial"/>
          <w:color w:val="000000"/>
          <w:spacing w:val="4"/>
          <w:sz w:val="21"/>
          <w:szCs w:val="21"/>
        </w:rPr>
        <w:t xml:space="preserve"> </w:t>
      </w:r>
      <w:r w:rsidRPr="00973028">
        <w:rPr>
          <w:rFonts w:ascii="Arial" w:hAnsi="Arial"/>
          <w:color w:val="000000"/>
          <w:sz w:val="21"/>
          <w:szCs w:val="21"/>
        </w:rPr>
        <w:t>de</w:t>
      </w:r>
      <w:r w:rsidRPr="00973028">
        <w:rPr>
          <w:rFonts w:ascii="Arial" w:hAnsi="Arial"/>
          <w:color w:val="000000"/>
          <w:spacing w:val="6"/>
          <w:sz w:val="21"/>
          <w:szCs w:val="21"/>
        </w:rPr>
        <w:t xml:space="preserve"> </w:t>
      </w:r>
      <w:r w:rsidRPr="00973028">
        <w:rPr>
          <w:rFonts w:ascii="Arial" w:hAnsi="Arial"/>
          <w:color w:val="000000"/>
          <w:sz w:val="21"/>
          <w:szCs w:val="21"/>
        </w:rPr>
        <w:t>Justicia,</w:t>
      </w:r>
      <w:r w:rsidRPr="00973028">
        <w:rPr>
          <w:rFonts w:ascii="Arial" w:hAnsi="Arial"/>
          <w:color w:val="000000"/>
          <w:spacing w:val="6"/>
          <w:sz w:val="21"/>
          <w:szCs w:val="21"/>
        </w:rPr>
        <w:t xml:space="preserve"> </w:t>
      </w:r>
      <w:r w:rsidRPr="00973028">
        <w:rPr>
          <w:rFonts w:ascii="Arial" w:hAnsi="Arial"/>
          <w:color w:val="000000"/>
          <w:sz w:val="21"/>
          <w:szCs w:val="21"/>
        </w:rPr>
        <w:t>Interior</w:t>
      </w:r>
      <w:r w:rsidRPr="00973028">
        <w:rPr>
          <w:rFonts w:ascii="Arial" w:hAnsi="Arial"/>
          <w:color w:val="000000"/>
          <w:spacing w:val="8"/>
          <w:sz w:val="21"/>
          <w:szCs w:val="21"/>
        </w:rPr>
        <w:t xml:space="preserve"> </w:t>
      </w:r>
      <w:r w:rsidRPr="00973028">
        <w:rPr>
          <w:rFonts w:ascii="Arial" w:hAnsi="Arial"/>
          <w:color w:val="000000"/>
          <w:sz w:val="21"/>
          <w:szCs w:val="21"/>
        </w:rPr>
        <w:t>y Administraciones</w:t>
      </w:r>
      <w:r w:rsidRPr="00973028">
        <w:rPr>
          <w:rFonts w:ascii="Arial" w:hAnsi="Arial"/>
          <w:color w:val="000000"/>
          <w:spacing w:val="46"/>
          <w:sz w:val="21"/>
          <w:szCs w:val="21"/>
        </w:rPr>
        <w:t xml:space="preserve"> </w:t>
      </w:r>
      <w:r w:rsidRPr="00973028">
        <w:rPr>
          <w:rFonts w:ascii="Arial" w:hAnsi="Arial"/>
          <w:color w:val="000000"/>
          <w:sz w:val="21"/>
          <w:szCs w:val="21"/>
        </w:rPr>
        <w:t>Públicas,</w:t>
      </w:r>
      <w:r w:rsidRPr="00973028">
        <w:rPr>
          <w:rFonts w:ascii="Arial" w:hAnsi="Arial"/>
          <w:color w:val="000000"/>
          <w:spacing w:val="48"/>
          <w:sz w:val="21"/>
          <w:szCs w:val="21"/>
        </w:rPr>
        <w:t xml:space="preserve"> </w:t>
      </w:r>
      <w:r w:rsidRPr="00973028">
        <w:rPr>
          <w:rFonts w:ascii="Arial" w:hAnsi="Arial"/>
          <w:color w:val="000000"/>
          <w:sz w:val="21"/>
          <w:szCs w:val="21"/>
        </w:rPr>
        <w:t>sobre</w:t>
      </w:r>
      <w:r w:rsidRPr="00973028">
        <w:rPr>
          <w:rFonts w:ascii="Arial" w:hAnsi="Arial"/>
          <w:color w:val="000000"/>
          <w:spacing w:val="46"/>
          <w:sz w:val="21"/>
          <w:szCs w:val="21"/>
        </w:rPr>
        <w:t xml:space="preserve"> </w:t>
      </w:r>
      <w:r w:rsidRPr="00973028">
        <w:rPr>
          <w:rFonts w:ascii="Arial" w:hAnsi="Arial"/>
          <w:color w:val="000000"/>
          <w:sz w:val="21"/>
          <w:szCs w:val="21"/>
        </w:rPr>
        <w:t>regulación</w:t>
      </w:r>
      <w:r w:rsidRPr="00973028">
        <w:rPr>
          <w:rFonts w:ascii="Arial" w:hAnsi="Arial"/>
          <w:color w:val="000000"/>
          <w:spacing w:val="48"/>
          <w:sz w:val="21"/>
          <w:szCs w:val="21"/>
        </w:rPr>
        <w:t xml:space="preserve"> </w:t>
      </w:r>
      <w:r w:rsidRPr="00973028">
        <w:rPr>
          <w:rFonts w:ascii="Arial" w:hAnsi="Arial"/>
          <w:color w:val="000000"/>
          <w:sz w:val="21"/>
          <w:szCs w:val="21"/>
        </w:rPr>
        <w:t>de</w:t>
      </w:r>
      <w:r w:rsidRPr="00973028">
        <w:rPr>
          <w:rFonts w:ascii="Arial" w:hAnsi="Arial"/>
          <w:color w:val="000000"/>
          <w:spacing w:val="46"/>
          <w:sz w:val="21"/>
          <w:szCs w:val="21"/>
        </w:rPr>
        <w:t xml:space="preserve"> </w:t>
      </w:r>
      <w:r w:rsidRPr="00973028">
        <w:rPr>
          <w:rFonts w:ascii="Arial" w:hAnsi="Arial"/>
          <w:color w:val="000000"/>
          <w:sz w:val="21"/>
          <w:szCs w:val="21"/>
        </w:rPr>
        <w:t>Bolsas</w:t>
      </w:r>
      <w:r w:rsidRPr="00973028">
        <w:rPr>
          <w:rFonts w:ascii="Arial" w:hAnsi="Arial"/>
          <w:color w:val="000000"/>
          <w:spacing w:val="46"/>
          <w:sz w:val="21"/>
          <w:szCs w:val="21"/>
        </w:rPr>
        <w:t xml:space="preserve"> </w:t>
      </w:r>
      <w:r w:rsidRPr="00973028">
        <w:rPr>
          <w:rFonts w:ascii="Arial" w:hAnsi="Arial"/>
          <w:color w:val="000000"/>
          <w:sz w:val="21"/>
          <w:szCs w:val="21"/>
        </w:rPr>
        <w:t>de</w:t>
      </w:r>
      <w:r w:rsidRPr="00973028">
        <w:rPr>
          <w:rFonts w:ascii="Arial" w:hAnsi="Arial"/>
          <w:color w:val="000000"/>
          <w:spacing w:val="50"/>
          <w:sz w:val="21"/>
          <w:szCs w:val="21"/>
        </w:rPr>
        <w:t xml:space="preserve"> </w:t>
      </w:r>
      <w:r w:rsidRPr="00973028">
        <w:rPr>
          <w:rFonts w:ascii="Arial" w:hAnsi="Arial"/>
          <w:color w:val="000000"/>
          <w:sz w:val="21"/>
          <w:szCs w:val="21"/>
        </w:rPr>
        <w:t>empleo</w:t>
      </w:r>
      <w:r w:rsidRPr="00973028">
        <w:rPr>
          <w:rFonts w:ascii="Arial" w:hAnsi="Arial"/>
          <w:color w:val="000000"/>
          <w:spacing w:val="46"/>
          <w:sz w:val="21"/>
          <w:szCs w:val="21"/>
        </w:rPr>
        <w:t xml:space="preserve"> </w:t>
      </w:r>
      <w:r w:rsidRPr="00973028">
        <w:rPr>
          <w:rFonts w:ascii="Arial" w:hAnsi="Arial"/>
          <w:color w:val="000000"/>
          <w:sz w:val="21"/>
          <w:szCs w:val="21"/>
        </w:rPr>
        <w:t>temporal para</w:t>
      </w:r>
      <w:r w:rsidRPr="00973028">
        <w:rPr>
          <w:rFonts w:ascii="Arial" w:hAnsi="Arial"/>
          <w:color w:val="000000"/>
          <w:spacing w:val="56"/>
          <w:sz w:val="21"/>
          <w:szCs w:val="21"/>
        </w:rPr>
        <w:t xml:space="preserve"> </w:t>
      </w:r>
      <w:r w:rsidRPr="00973028">
        <w:rPr>
          <w:rFonts w:ascii="Arial" w:hAnsi="Arial"/>
          <w:color w:val="000000"/>
          <w:sz w:val="21"/>
          <w:szCs w:val="21"/>
        </w:rPr>
        <w:t>proveer</w:t>
      </w:r>
      <w:r w:rsidRPr="00973028">
        <w:rPr>
          <w:rFonts w:ascii="Arial" w:hAnsi="Arial"/>
          <w:color w:val="000000"/>
          <w:spacing w:val="58"/>
          <w:sz w:val="21"/>
          <w:szCs w:val="21"/>
        </w:rPr>
        <w:t xml:space="preserve"> </w:t>
      </w:r>
      <w:r w:rsidRPr="00973028">
        <w:rPr>
          <w:rFonts w:ascii="Arial" w:hAnsi="Arial"/>
          <w:color w:val="000000"/>
          <w:sz w:val="21"/>
          <w:szCs w:val="21"/>
        </w:rPr>
        <w:t>provisionalmente</w:t>
      </w:r>
      <w:r w:rsidRPr="00973028">
        <w:rPr>
          <w:rFonts w:ascii="Arial" w:hAnsi="Arial"/>
          <w:color w:val="000000"/>
          <w:spacing w:val="58"/>
          <w:sz w:val="21"/>
          <w:szCs w:val="21"/>
        </w:rPr>
        <w:t xml:space="preserve"> </w:t>
      </w:r>
      <w:r w:rsidRPr="00973028">
        <w:rPr>
          <w:rFonts w:ascii="Arial" w:hAnsi="Arial"/>
          <w:color w:val="000000"/>
          <w:sz w:val="21"/>
          <w:szCs w:val="21"/>
        </w:rPr>
        <w:t>puestos</w:t>
      </w:r>
      <w:r w:rsidRPr="00973028">
        <w:rPr>
          <w:rFonts w:ascii="Arial" w:hAnsi="Arial"/>
          <w:color w:val="000000"/>
          <w:spacing w:val="56"/>
          <w:sz w:val="21"/>
          <w:szCs w:val="21"/>
        </w:rPr>
        <w:t xml:space="preserve"> </w:t>
      </w:r>
      <w:r w:rsidRPr="00973028">
        <w:rPr>
          <w:rFonts w:ascii="Arial" w:hAnsi="Arial"/>
          <w:color w:val="000000"/>
          <w:sz w:val="21"/>
          <w:szCs w:val="21"/>
        </w:rPr>
        <w:t>de</w:t>
      </w:r>
      <w:r w:rsidRPr="00973028">
        <w:rPr>
          <w:rFonts w:ascii="Arial" w:hAnsi="Arial"/>
          <w:color w:val="000000"/>
          <w:spacing w:val="56"/>
          <w:sz w:val="21"/>
          <w:szCs w:val="21"/>
        </w:rPr>
        <w:t xml:space="preserve"> </w:t>
      </w:r>
      <w:r w:rsidRPr="00973028">
        <w:rPr>
          <w:rFonts w:ascii="Arial" w:hAnsi="Arial"/>
          <w:color w:val="000000"/>
          <w:sz w:val="21"/>
          <w:szCs w:val="21"/>
        </w:rPr>
        <w:t>trabajo</w:t>
      </w:r>
      <w:r w:rsidRPr="00973028">
        <w:rPr>
          <w:rFonts w:ascii="Arial" w:hAnsi="Arial"/>
          <w:color w:val="000000"/>
          <w:spacing w:val="58"/>
          <w:sz w:val="21"/>
          <w:szCs w:val="21"/>
        </w:rPr>
        <w:t xml:space="preserve"> </w:t>
      </w:r>
      <w:r w:rsidRPr="00973028">
        <w:rPr>
          <w:rFonts w:ascii="Arial" w:hAnsi="Arial"/>
          <w:color w:val="000000"/>
          <w:sz w:val="21"/>
          <w:szCs w:val="21"/>
        </w:rPr>
        <w:t>de</w:t>
      </w:r>
      <w:r w:rsidRPr="00973028">
        <w:rPr>
          <w:rFonts w:ascii="Arial" w:hAnsi="Arial"/>
          <w:color w:val="000000"/>
          <w:spacing w:val="56"/>
          <w:sz w:val="21"/>
          <w:szCs w:val="21"/>
        </w:rPr>
        <w:t xml:space="preserve"> </w:t>
      </w:r>
      <w:r w:rsidRPr="00973028">
        <w:rPr>
          <w:rFonts w:ascii="Arial" w:hAnsi="Arial"/>
          <w:color w:val="000000"/>
          <w:sz w:val="21"/>
          <w:szCs w:val="21"/>
        </w:rPr>
        <w:t>la</w:t>
      </w:r>
      <w:r w:rsidRPr="00973028">
        <w:rPr>
          <w:rFonts w:ascii="Arial" w:hAnsi="Arial"/>
          <w:color w:val="000000"/>
          <w:spacing w:val="58"/>
          <w:sz w:val="21"/>
          <w:szCs w:val="21"/>
        </w:rPr>
        <w:t xml:space="preserve"> </w:t>
      </w:r>
      <w:r w:rsidRPr="00973028">
        <w:rPr>
          <w:rFonts w:ascii="Arial" w:hAnsi="Arial"/>
          <w:color w:val="000000"/>
          <w:sz w:val="21"/>
          <w:szCs w:val="21"/>
        </w:rPr>
        <w:t>administración</w:t>
      </w:r>
      <w:r w:rsidRPr="00973028">
        <w:rPr>
          <w:rFonts w:ascii="Arial" w:hAnsi="Arial"/>
          <w:color w:val="000000"/>
          <w:spacing w:val="56"/>
          <w:sz w:val="21"/>
          <w:szCs w:val="21"/>
        </w:rPr>
        <w:t xml:space="preserve"> </w:t>
      </w:r>
      <w:r w:rsidRPr="00973028">
        <w:rPr>
          <w:rFonts w:ascii="Arial" w:hAnsi="Arial"/>
          <w:color w:val="000000"/>
          <w:sz w:val="21"/>
          <w:szCs w:val="21"/>
        </w:rPr>
        <w:t xml:space="preserve">del Gobierno </w:t>
      </w:r>
      <w:r w:rsidRPr="00973028">
        <w:rPr>
          <w:rFonts w:ascii="Arial" w:hAnsi="Arial"/>
          <w:color w:val="000000"/>
          <w:spacing w:val="-4"/>
          <w:sz w:val="21"/>
          <w:szCs w:val="21"/>
        </w:rPr>
        <w:t>Valenciano.</w:t>
      </w:r>
    </w:p>
    <w:p w14:paraId="54B0EA99" w14:textId="77777777" w:rsidR="002A47AA" w:rsidRPr="00973028" w:rsidRDefault="002A47AA" w:rsidP="002A47AA">
      <w:pPr>
        <w:spacing w:after="240" w:line="276" w:lineRule="auto"/>
        <w:jc w:val="both"/>
        <w:rPr>
          <w:rFonts w:ascii="Arial" w:hAnsi="Arial"/>
          <w:color w:val="000000"/>
          <w:sz w:val="21"/>
          <w:szCs w:val="21"/>
        </w:rPr>
      </w:pPr>
      <w:r w:rsidRPr="00973028">
        <w:rPr>
          <w:rFonts w:ascii="Arial" w:hAnsi="Arial"/>
          <w:color w:val="000000"/>
          <w:sz w:val="21"/>
          <w:szCs w:val="21"/>
        </w:rPr>
        <w:t>Para el desempeño de los puestos se requería, tal y como se recoge en la Relación de Puestos de Trabajo (RPT), estar en posesión de la titulación de Técnico de Prevención de Riesgos Laborales-Seguridad e Higiene Industrial en el momento de la toma de posesión.</w:t>
      </w:r>
    </w:p>
    <w:p w14:paraId="7B3E4426" w14:textId="3ACA0BC1" w:rsidR="002A47AA" w:rsidRPr="00973028" w:rsidRDefault="002A47AA" w:rsidP="002A47AA">
      <w:pPr>
        <w:spacing w:after="240" w:line="276" w:lineRule="auto"/>
        <w:jc w:val="both"/>
        <w:rPr>
          <w:rFonts w:ascii="Arial" w:hAnsi="Arial"/>
          <w:color w:val="000000"/>
          <w:sz w:val="21"/>
          <w:szCs w:val="21"/>
        </w:rPr>
      </w:pPr>
      <w:r w:rsidRPr="00973028">
        <w:rPr>
          <w:rFonts w:ascii="Arial" w:hAnsi="Arial"/>
          <w:color w:val="000000"/>
          <w:sz w:val="21"/>
          <w:szCs w:val="21"/>
        </w:rPr>
        <w:t>Tras la instrucción del oportuno procedimiento de investigación, en el que se efectuó el preceptivo trámite de audiencia a la administración denunciada, se evidenció que n</w:t>
      </w:r>
      <w:r w:rsidRPr="00973028">
        <w:rPr>
          <w:rFonts w:ascii="Arial" w:hAnsi="Arial"/>
          <w:color w:val="000000"/>
          <w:spacing w:val="54"/>
          <w:sz w:val="21"/>
          <w:szCs w:val="21"/>
        </w:rPr>
        <w:t>o</w:t>
      </w:r>
      <w:r w:rsidRPr="00973028">
        <w:rPr>
          <w:rFonts w:ascii="Arial" w:hAnsi="Arial"/>
          <w:color w:val="000000"/>
          <w:sz w:val="21"/>
          <w:szCs w:val="21"/>
        </w:rPr>
        <w:t xml:space="preserve"> ha podido ser</w:t>
      </w:r>
      <w:r w:rsidRPr="00973028">
        <w:rPr>
          <w:rFonts w:ascii="Arial" w:hAnsi="Arial"/>
          <w:color w:val="000000"/>
          <w:spacing w:val="34"/>
          <w:sz w:val="21"/>
          <w:szCs w:val="21"/>
        </w:rPr>
        <w:t xml:space="preserve"> </w:t>
      </w:r>
      <w:r w:rsidRPr="00973028">
        <w:rPr>
          <w:rFonts w:ascii="Arial" w:hAnsi="Arial"/>
          <w:color w:val="000000"/>
          <w:sz w:val="21"/>
          <w:szCs w:val="21"/>
        </w:rPr>
        <w:t>determinado</w:t>
      </w:r>
      <w:r w:rsidRPr="00973028">
        <w:rPr>
          <w:rFonts w:ascii="Arial" w:hAnsi="Arial"/>
          <w:color w:val="000000"/>
          <w:spacing w:val="34"/>
          <w:sz w:val="21"/>
          <w:szCs w:val="21"/>
        </w:rPr>
        <w:t xml:space="preserve"> </w:t>
      </w:r>
      <w:r w:rsidRPr="00973028">
        <w:rPr>
          <w:rFonts w:ascii="Arial" w:hAnsi="Arial"/>
          <w:color w:val="000000"/>
          <w:sz w:val="21"/>
          <w:szCs w:val="21"/>
        </w:rPr>
        <w:t>el</w:t>
      </w:r>
      <w:r w:rsidRPr="00973028">
        <w:rPr>
          <w:rFonts w:ascii="Arial" w:hAnsi="Arial"/>
          <w:color w:val="000000"/>
          <w:spacing w:val="34"/>
          <w:sz w:val="21"/>
          <w:szCs w:val="21"/>
        </w:rPr>
        <w:t xml:space="preserve"> </w:t>
      </w:r>
      <w:r w:rsidRPr="00973028">
        <w:rPr>
          <w:rFonts w:ascii="Arial" w:hAnsi="Arial"/>
          <w:color w:val="000000"/>
          <w:sz w:val="21"/>
          <w:szCs w:val="21"/>
        </w:rPr>
        <w:t>cumplimiento</w:t>
      </w:r>
      <w:r w:rsidRPr="00973028">
        <w:rPr>
          <w:rFonts w:ascii="Arial" w:hAnsi="Arial"/>
          <w:color w:val="000000"/>
          <w:spacing w:val="34"/>
          <w:sz w:val="21"/>
          <w:szCs w:val="21"/>
        </w:rPr>
        <w:t xml:space="preserve"> </w:t>
      </w:r>
      <w:r w:rsidRPr="00973028">
        <w:rPr>
          <w:rFonts w:ascii="Arial" w:hAnsi="Arial"/>
          <w:color w:val="000000"/>
          <w:sz w:val="21"/>
          <w:szCs w:val="21"/>
        </w:rPr>
        <w:t>del</w:t>
      </w:r>
      <w:r w:rsidRPr="00973028">
        <w:rPr>
          <w:rFonts w:ascii="Arial" w:hAnsi="Arial"/>
          <w:color w:val="000000"/>
          <w:spacing w:val="34"/>
          <w:sz w:val="21"/>
          <w:szCs w:val="21"/>
        </w:rPr>
        <w:t xml:space="preserve"> </w:t>
      </w:r>
      <w:r w:rsidRPr="00973028">
        <w:rPr>
          <w:rFonts w:ascii="Arial" w:hAnsi="Arial"/>
          <w:color w:val="000000"/>
          <w:sz w:val="21"/>
          <w:szCs w:val="21"/>
        </w:rPr>
        <w:t>requisito</w:t>
      </w:r>
      <w:r w:rsidRPr="00973028">
        <w:rPr>
          <w:rFonts w:ascii="Arial" w:hAnsi="Arial"/>
          <w:color w:val="000000"/>
          <w:spacing w:val="34"/>
          <w:sz w:val="21"/>
          <w:szCs w:val="21"/>
        </w:rPr>
        <w:t xml:space="preserve"> </w:t>
      </w:r>
      <w:r w:rsidRPr="00973028">
        <w:rPr>
          <w:rFonts w:ascii="Arial" w:hAnsi="Arial"/>
          <w:color w:val="000000"/>
          <w:sz w:val="21"/>
          <w:szCs w:val="21"/>
        </w:rPr>
        <w:t>de titulación</w:t>
      </w:r>
      <w:r w:rsidRPr="00973028">
        <w:rPr>
          <w:rFonts w:ascii="Arial" w:hAnsi="Arial"/>
          <w:color w:val="000000"/>
          <w:spacing w:val="10"/>
          <w:sz w:val="21"/>
          <w:szCs w:val="21"/>
        </w:rPr>
        <w:t xml:space="preserve"> </w:t>
      </w:r>
      <w:r w:rsidRPr="00973028">
        <w:rPr>
          <w:rFonts w:ascii="Arial" w:hAnsi="Arial"/>
          <w:color w:val="000000"/>
          <w:sz w:val="21"/>
          <w:szCs w:val="21"/>
        </w:rPr>
        <w:t>exigido</w:t>
      </w:r>
      <w:r w:rsidRPr="00973028">
        <w:rPr>
          <w:rFonts w:ascii="Arial" w:hAnsi="Arial"/>
          <w:color w:val="000000"/>
          <w:spacing w:val="10"/>
          <w:sz w:val="21"/>
          <w:szCs w:val="21"/>
        </w:rPr>
        <w:t xml:space="preserve"> </w:t>
      </w:r>
      <w:r w:rsidRPr="00973028">
        <w:rPr>
          <w:rFonts w:ascii="Arial" w:hAnsi="Arial"/>
          <w:color w:val="000000"/>
          <w:sz w:val="21"/>
          <w:szCs w:val="21"/>
        </w:rPr>
        <w:t>en</w:t>
      </w:r>
      <w:r w:rsidRPr="00973028">
        <w:rPr>
          <w:rFonts w:ascii="Arial" w:hAnsi="Arial"/>
          <w:color w:val="000000"/>
          <w:spacing w:val="8"/>
          <w:sz w:val="21"/>
          <w:szCs w:val="21"/>
        </w:rPr>
        <w:t xml:space="preserve"> </w:t>
      </w:r>
      <w:r w:rsidRPr="00973028">
        <w:rPr>
          <w:rFonts w:ascii="Arial" w:hAnsi="Arial"/>
          <w:color w:val="000000"/>
          <w:sz w:val="21"/>
          <w:szCs w:val="21"/>
        </w:rPr>
        <w:t>su</w:t>
      </w:r>
      <w:r w:rsidRPr="00973028">
        <w:rPr>
          <w:rFonts w:ascii="Arial" w:hAnsi="Arial"/>
          <w:color w:val="000000"/>
          <w:spacing w:val="8"/>
          <w:sz w:val="21"/>
          <w:szCs w:val="21"/>
        </w:rPr>
        <w:t xml:space="preserve"> </w:t>
      </w:r>
      <w:r w:rsidRPr="00973028">
        <w:rPr>
          <w:rFonts w:ascii="Arial" w:hAnsi="Arial"/>
          <w:color w:val="000000"/>
          <w:sz w:val="21"/>
          <w:szCs w:val="21"/>
        </w:rPr>
        <w:t>convocatoria,</w:t>
      </w:r>
      <w:r w:rsidRPr="00973028">
        <w:rPr>
          <w:rFonts w:ascii="Arial" w:hAnsi="Arial"/>
          <w:color w:val="000000"/>
          <w:spacing w:val="12"/>
          <w:sz w:val="21"/>
          <w:szCs w:val="21"/>
        </w:rPr>
        <w:t xml:space="preserve"> </w:t>
      </w:r>
      <w:r w:rsidRPr="00973028">
        <w:rPr>
          <w:rFonts w:ascii="Arial" w:hAnsi="Arial"/>
          <w:color w:val="000000"/>
          <w:sz w:val="21"/>
          <w:szCs w:val="21"/>
        </w:rPr>
        <w:t>ni</w:t>
      </w:r>
      <w:r w:rsidRPr="00973028">
        <w:rPr>
          <w:rFonts w:ascii="Arial" w:hAnsi="Arial"/>
          <w:color w:val="000000"/>
          <w:spacing w:val="8"/>
          <w:sz w:val="21"/>
          <w:szCs w:val="21"/>
        </w:rPr>
        <w:t xml:space="preserve"> </w:t>
      </w:r>
      <w:r w:rsidRPr="00973028">
        <w:rPr>
          <w:rFonts w:ascii="Arial" w:hAnsi="Arial"/>
          <w:color w:val="000000"/>
          <w:sz w:val="21"/>
          <w:szCs w:val="21"/>
        </w:rPr>
        <w:t>la</w:t>
      </w:r>
      <w:r w:rsidRPr="00973028">
        <w:rPr>
          <w:rFonts w:ascii="Arial" w:hAnsi="Arial"/>
          <w:color w:val="000000"/>
          <w:spacing w:val="10"/>
          <w:sz w:val="21"/>
          <w:szCs w:val="21"/>
        </w:rPr>
        <w:t xml:space="preserve"> </w:t>
      </w:r>
      <w:r w:rsidRPr="00973028">
        <w:rPr>
          <w:rFonts w:ascii="Arial" w:hAnsi="Arial"/>
          <w:color w:val="000000"/>
          <w:sz w:val="21"/>
          <w:szCs w:val="21"/>
        </w:rPr>
        <w:t>baremación</w:t>
      </w:r>
      <w:r w:rsidRPr="00973028">
        <w:rPr>
          <w:rFonts w:ascii="Arial" w:hAnsi="Arial"/>
          <w:color w:val="000000"/>
          <w:spacing w:val="10"/>
          <w:sz w:val="21"/>
          <w:szCs w:val="21"/>
        </w:rPr>
        <w:t xml:space="preserve"> </w:t>
      </w:r>
      <w:r w:rsidRPr="00973028">
        <w:rPr>
          <w:rFonts w:ascii="Arial" w:hAnsi="Arial"/>
          <w:color w:val="000000"/>
          <w:sz w:val="21"/>
          <w:szCs w:val="21"/>
        </w:rPr>
        <w:t>de</w:t>
      </w:r>
      <w:r w:rsidRPr="00973028">
        <w:rPr>
          <w:rFonts w:ascii="Arial" w:hAnsi="Arial"/>
          <w:color w:val="000000"/>
          <w:spacing w:val="8"/>
          <w:sz w:val="21"/>
          <w:szCs w:val="21"/>
        </w:rPr>
        <w:t xml:space="preserve"> </w:t>
      </w:r>
      <w:r w:rsidRPr="00973028">
        <w:rPr>
          <w:rFonts w:ascii="Arial" w:hAnsi="Arial"/>
          <w:color w:val="000000"/>
          <w:sz w:val="21"/>
          <w:szCs w:val="21"/>
        </w:rPr>
        <w:t>sus</w:t>
      </w:r>
      <w:r w:rsidRPr="00973028">
        <w:rPr>
          <w:rFonts w:ascii="Arial" w:hAnsi="Arial"/>
          <w:color w:val="000000"/>
          <w:spacing w:val="8"/>
          <w:sz w:val="21"/>
          <w:szCs w:val="21"/>
        </w:rPr>
        <w:t xml:space="preserve"> </w:t>
      </w:r>
      <w:r w:rsidRPr="00973028">
        <w:rPr>
          <w:rFonts w:ascii="Arial" w:hAnsi="Arial"/>
          <w:color w:val="000000"/>
          <w:sz w:val="21"/>
          <w:szCs w:val="21"/>
        </w:rPr>
        <w:t>méritos</w:t>
      </w:r>
      <w:r w:rsidRPr="00973028">
        <w:rPr>
          <w:rFonts w:ascii="Arial" w:hAnsi="Arial"/>
          <w:color w:val="000000"/>
          <w:spacing w:val="10"/>
          <w:sz w:val="21"/>
          <w:szCs w:val="21"/>
        </w:rPr>
        <w:t xml:space="preserve"> </w:t>
      </w:r>
      <w:r w:rsidRPr="00973028">
        <w:rPr>
          <w:rFonts w:ascii="Arial" w:hAnsi="Arial"/>
          <w:color w:val="000000"/>
          <w:sz w:val="21"/>
          <w:szCs w:val="21"/>
        </w:rPr>
        <w:t>para</w:t>
      </w:r>
      <w:r w:rsidRPr="00973028">
        <w:rPr>
          <w:rFonts w:ascii="Arial" w:hAnsi="Arial"/>
          <w:color w:val="000000"/>
          <w:spacing w:val="8"/>
          <w:sz w:val="21"/>
          <w:szCs w:val="21"/>
        </w:rPr>
        <w:t xml:space="preserve"> </w:t>
      </w:r>
      <w:r w:rsidRPr="00973028">
        <w:rPr>
          <w:rFonts w:ascii="Arial" w:hAnsi="Arial"/>
          <w:color w:val="000000"/>
          <w:sz w:val="21"/>
          <w:szCs w:val="21"/>
        </w:rPr>
        <w:t>su designación,</w:t>
      </w:r>
      <w:r w:rsidRPr="00973028">
        <w:rPr>
          <w:rFonts w:ascii="Arial" w:hAnsi="Arial"/>
          <w:color w:val="000000"/>
          <w:spacing w:val="34"/>
          <w:sz w:val="21"/>
          <w:szCs w:val="21"/>
        </w:rPr>
        <w:t xml:space="preserve"> </w:t>
      </w:r>
      <w:r w:rsidRPr="00973028">
        <w:rPr>
          <w:rFonts w:ascii="Arial" w:hAnsi="Arial"/>
          <w:color w:val="000000"/>
          <w:sz w:val="21"/>
          <w:szCs w:val="21"/>
        </w:rPr>
        <w:t>por</w:t>
      </w:r>
      <w:r w:rsidRPr="00973028">
        <w:rPr>
          <w:rFonts w:ascii="Arial" w:hAnsi="Arial"/>
          <w:color w:val="000000"/>
          <w:spacing w:val="36"/>
          <w:sz w:val="21"/>
          <w:szCs w:val="21"/>
        </w:rPr>
        <w:t xml:space="preserve"> </w:t>
      </w:r>
      <w:r w:rsidRPr="00973028">
        <w:rPr>
          <w:rFonts w:ascii="Arial" w:hAnsi="Arial"/>
          <w:color w:val="000000"/>
          <w:sz w:val="21"/>
          <w:szCs w:val="21"/>
        </w:rPr>
        <w:t>parte</w:t>
      </w:r>
      <w:r w:rsidRPr="00973028">
        <w:rPr>
          <w:rFonts w:ascii="Arial" w:hAnsi="Arial"/>
          <w:color w:val="000000"/>
          <w:spacing w:val="34"/>
          <w:sz w:val="21"/>
          <w:szCs w:val="21"/>
        </w:rPr>
        <w:t xml:space="preserve"> </w:t>
      </w:r>
      <w:r w:rsidRPr="00973028">
        <w:rPr>
          <w:rFonts w:ascii="Arial" w:hAnsi="Arial"/>
          <w:color w:val="000000"/>
          <w:sz w:val="21"/>
          <w:szCs w:val="21"/>
        </w:rPr>
        <w:t>de uno de los</w:t>
      </w:r>
      <w:r w:rsidRPr="00973028">
        <w:rPr>
          <w:rFonts w:ascii="Arial" w:hAnsi="Arial"/>
          <w:color w:val="000000"/>
          <w:spacing w:val="34"/>
          <w:sz w:val="21"/>
          <w:szCs w:val="21"/>
        </w:rPr>
        <w:t xml:space="preserve"> </w:t>
      </w:r>
      <w:r w:rsidRPr="00973028">
        <w:rPr>
          <w:rFonts w:ascii="Arial" w:hAnsi="Arial"/>
          <w:color w:val="000000"/>
          <w:sz w:val="21"/>
          <w:szCs w:val="21"/>
        </w:rPr>
        <w:t>participantes.</w:t>
      </w:r>
    </w:p>
    <w:p w14:paraId="2467F600" w14:textId="77777777" w:rsidR="004B7EE2" w:rsidRPr="00973028" w:rsidRDefault="002A47AA" w:rsidP="002A47AA">
      <w:pPr>
        <w:spacing w:after="240" w:line="276" w:lineRule="auto"/>
        <w:jc w:val="both"/>
        <w:rPr>
          <w:rFonts w:ascii="Arial" w:hAnsi="Arial"/>
          <w:color w:val="000000"/>
          <w:sz w:val="21"/>
          <w:szCs w:val="21"/>
        </w:rPr>
      </w:pPr>
      <w:r w:rsidRPr="00973028">
        <w:rPr>
          <w:rFonts w:ascii="Arial" w:hAnsi="Arial"/>
          <w:b/>
          <w:color w:val="000000"/>
          <w:sz w:val="21"/>
          <w:szCs w:val="21"/>
        </w:rPr>
        <w:t>Resultado:</w:t>
      </w:r>
      <w:r w:rsidRPr="00973028">
        <w:rPr>
          <w:rFonts w:ascii="Arial" w:hAnsi="Arial"/>
          <w:color w:val="000000"/>
          <w:sz w:val="21"/>
          <w:szCs w:val="21"/>
        </w:rPr>
        <w:t xml:space="preserve"> Formulación de recomendaciones a la Conselleria de Justicia, Interior y Administración Pública, instando a la misma a que proceda a la revisión de oficio de los actos incursos en causa de nulidad de pleno derecho, así como que inicie los procedimientos para dirimir las diferentes responsabilidades del personal y autoridades al servicio de las administraciones públicas. </w:t>
      </w:r>
    </w:p>
    <w:p w14:paraId="2F134FC8" w14:textId="3D3BE6E1" w:rsidR="002A47AA" w:rsidRPr="00973028" w:rsidRDefault="002A47AA" w:rsidP="002A47AA">
      <w:pPr>
        <w:spacing w:after="240" w:line="276" w:lineRule="auto"/>
        <w:jc w:val="both"/>
        <w:rPr>
          <w:rFonts w:ascii="Arial" w:hAnsi="Arial"/>
          <w:color w:val="000000"/>
          <w:sz w:val="21"/>
          <w:szCs w:val="21"/>
        </w:rPr>
      </w:pPr>
      <w:r w:rsidRPr="00973028">
        <w:rPr>
          <w:rFonts w:ascii="Arial" w:hAnsi="Arial"/>
          <w:color w:val="000000"/>
          <w:sz w:val="21"/>
          <w:szCs w:val="21"/>
        </w:rPr>
        <w:t>Se</w:t>
      </w:r>
      <w:r w:rsidRPr="00973028">
        <w:rPr>
          <w:rFonts w:ascii="Arial" w:hAnsi="Arial"/>
          <w:sz w:val="21"/>
          <w:szCs w:val="21"/>
        </w:rPr>
        <w:t xml:space="preserve"> </w:t>
      </w:r>
      <w:r w:rsidRPr="00973028">
        <w:rPr>
          <w:rFonts w:ascii="Arial" w:hAnsi="Arial"/>
          <w:color w:val="000000"/>
          <w:sz w:val="21"/>
          <w:szCs w:val="21"/>
        </w:rPr>
        <w:t xml:space="preserve">puede consultar </w:t>
      </w:r>
      <w:hyperlink r:id="rId74" w:history="1">
        <w:r w:rsidR="00D92658" w:rsidRPr="00D92658">
          <w:rPr>
            <w:rStyle w:val="Hipervnculo"/>
            <w:rFonts w:ascii="Arial" w:hAnsi="Arial"/>
            <w:sz w:val="21"/>
            <w:szCs w:val="21"/>
          </w:rPr>
          <w:t>aquí</w:t>
        </w:r>
      </w:hyperlink>
      <w:r w:rsidR="00D92658">
        <w:rPr>
          <w:rFonts w:ascii="Arial" w:hAnsi="Arial"/>
          <w:color w:val="000000"/>
          <w:sz w:val="21"/>
          <w:szCs w:val="21"/>
        </w:rPr>
        <w:t>.</w:t>
      </w:r>
    </w:p>
    <w:p w14:paraId="1CEEFC84" w14:textId="6A012CEA" w:rsidR="002A47AA" w:rsidRPr="00973028" w:rsidRDefault="002A47AA" w:rsidP="002A47AA">
      <w:pPr>
        <w:spacing w:after="240" w:line="276" w:lineRule="auto"/>
        <w:jc w:val="both"/>
        <w:rPr>
          <w:rFonts w:ascii="Arial" w:hAnsi="Arial"/>
          <w:sz w:val="21"/>
          <w:szCs w:val="21"/>
        </w:rPr>
      </w:pPr>
      <w:r w:rsidRPr="00973028">
        <w:rPr>
          <w:rFonts w:ascii="Arial" w:hAnsi="Arial"/>
          <w:b/>
          <w:sz w:val="21"/>
          <w:szCs w:val="21"/>
        </w:rPr>
        <w:t>Fase de seguimiento:</w:t>
      </w:r>
      <w:r w:rsidRPr="00973028">
        <w:rPr>
          <w:rFonts w:ascii="Arial" w:hAnsi="Arial"/>
          <w:bCs/>
          <w:sz w:val="21"/>
          <w:szCs w:val="21"/>
        </w:rPr>
        <w:t xml:space="preserve"> </w:t>
      </w:r>
      <w:r w:rsidRPr="00973028">
        <w:rPr>
          <w:rFonts w:ascii="Arial" w:hAnsi="Arial"/>
          <w:sz w:val="21"/>
          <w:szCs w:val="21"/>
        </w:rPr>
        <w:t>No se ha remitido acuerdo de la Conselleria de Justicia, Interior y Administración Pública, estando dentro del plazo concedido en la fecha de elaboración de la presente memoria, si bien en las alegaciones al informe provisional ya se manifestó que se valoraría la revisión de oficio de los actos incursos en nulidad de pleno derecho.</w:t>
      </w:r>
    </w:p>
    <w:p w14:paraId="732F6064" w14:textId="27D5A90F"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95" w:name="_Toc67646264"/>
      <w:r w:rsidRPr="00973028">
        <w:rPr>
          <w:rFonts w:ascii="Arial" w:eastAsia="Times New Roman" w:hAnsi="Arial" w:cs="Arial"/>
          <w:b/>
          <w:color w:val="9D2235"/>
          <w:sz w:val="28"/>
          <w:szCs w:val="28"/>
        </w:rPr>
        <w:t>Denominación: Ayuntamiento de Llíria. Utilización de bolsa de trabajo de otras administraciones sin la formalización del oportuno convenio de colaboración</w:t>
      </w:r>
      <w:bookmarkEnd w:id="95"/>
      <w:r w:rsidRPr="00973028">
        <w:rPr>
          <w:rFonts w:ascii="Arial" w:eastAsia="Times New Roman" w:hAnsi="Arial" w:cs="Arial"/>
          <w:b/>
          <w:color w:val="9D2235"/>
          <w:sz w:val="28"/>
          <w:szCs w:val="28"/>
        </w:rPr>
        <w:t xml:space="preserve"> </w:t>
      </w:r>
    </w:p>
    <w:p w14:paraId="228484A9" w14:textId="08145DD7"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Expediente:</w:t>
      </w:r>
      <w:r w:rsidRPr="00973028">
        <w:rPr>
          <w:rFonts w:ascii="Arial" w:eastAsia="Times New Roman" w:hAnsi="Arial"/>
          <w:color w:val="000000"/>
          <w:sz w:val="21"/>
          <w:szCs w:val="21"/>
        </w:rPr>
        <w:t xml:space="preserve"> 2020/G01_01/000049 </w:t>
      </w:r>
    </w:p>
    <w:p w14:paraId="0A3F3938" w14:textId="1060AF90"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lastRenderedPageBreak/>
        <w:t>Descripción:</w:t>
      </w:r>
      <w:r w:rsidRPr="00973028">
        <w:rPr>
          <w:rFonts w:ascii="Arial" w:eastAsia="Times New Roman" w:hAnsi="Arial"/>
          <w:color w:val="000000"/>
          <w:sz w:val="21"/>
          <w:szCs w:val="21"/>
        </w:rPr>
        <w:t xml:space="preserve"> Los hechos denunciados se concretaron en la utilización de una bolsa de trabajo de otra Administración Pública sin la formalización del oportuno convenio de colaboración.</w:t>
      </w:r>
    </w:p>
    <w:p w14:paraId="53DE5B9D" w14:textId="683BF277" w:rsidR="002A47AA" w:rsidRPr="00973028" w:rsidRDefault="002A47AA" w:rsidP="002A47AA">
      <w:pPr>
        <w:spacing w:after="240" w:line="276" w:lineRule="auto"/>
        <w:jc w:val="both"/>
        <w:rPr>
          <w:rFonts w:ascii="Arial" w:eastAsia="Times New Roman" w:hAnsi="Arial"/>
          <w:sz w:val="21"/>
          <w:szCs w:val="21"/>
        </w:rPr>
      </w:pPr>
      <w:r w:rsidRPr="00973028">
        <w:rPr>
          <w:rFonts w:ascii="Arial" w:eastAsia="Times New Roman" w:hAnsi="Arial"/>
          <w:color w:val="000000"/>
          <w:sz w:val="21"/>
          <w:szCs w:val="21"/>
        </w:rPr>
        <w:t>Tras la instrucción del oportuno procedimiento de investigación, en el que se efectuó el preceptivo trámite de audiencia a la administración denunciada, se evidenció la utilización</w:t>
      </w:r>
      <w:r w:rsidRPr="00973028">
        <w:rPr>
          <w:rFonts w:ascii="Arial" w:eastAsia="Times New Roman" w:hAnsi="Arial"/>
          <w:sz w:val="21"/>
          <w:szCs w:val="21"/>
        </w:rPr>
        <w:t xml:space="preserve"> de una bolsa de trabajo de otro Ayuntamiento sin la formalización previa de un convenio de colaboración, de acuerdo con los requisitos previstos en los arts. 47 a 53 de la Ley 40/2015, de 1 de octubre, de Régimen Jurídico del Sector Público.</w:t>
      </w:r>
    </w:p>
    <w:p w14:paraId="146D7F03" w14:textId="77777777"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Resultado:</w:t>
      </w:r>
      <w:r w:rsidRPr="00973028">
        <w:rPr>
          <w:rFonts w:ascii="Arial" w:eastAsia="Times New Roman" w:hAnsi="Arial"/>
          <w:color w:val="000000"/>
          <w:sz w:val="21"/>
          <w:szCs w:val="21"/>
        </w:rPr>
        <w:t xml:space="preserve"> Formulación de recomendaciones de mejora al Ayuntamiento de Llíria.</w:t>
      </w:r>
    </w:p>
    <w:p w14:paraId="070951AB" w14:textId="31C5BCEB"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color w:val="000000"/>
          <w:sz w:val="21"/>
          <w:szCs w:val="21"/>
        </w:rPr>
        <w:t xml:space="preserve">Se puede consultar </w:t>
      </w:r>
      <w:hyperlink r:id="rId75" w:history="1">
        <w:r w:rsidR="00394FC5" w:rsidRPr="00394FC5">
          <w:rPr>
            <w:rStyle w:val="Hipervnculo"/>
            <w:rFonts w:ascii="Arial" w:eastAsia="Times New Roman" w:hAnsi="Arial"/>
            <w:sz w:val="21"/>
            <w:szCs w:val="21"/>
          </w:rPr>
          <w:t>aquí</w:t>
        </w:r>
      </w:hyperlink>
      <w:r w:rsidR="00394FC5">
        <w:rPr>
          <w:rFonts w:ascii="Arial" w:eastAsia="Times New Roman" w:hAnsi="Arial"/>
          <w:color w:val="000000"/>
          <w:sz w:val="21"/>
          <w:szCs w:val="21"/>
        </w:rPr>
        <w:t>.</w:t>
      </w:r>
      <w:r w:rsidRPr="00973028">
        <w:rPr>
          <w:rFonts w:ascii="Arial" w:eastAsia="Times New Roman" w:hAnsi="Arial"/>
          <w:color w:val="000000"/>
          <w:sz w:val="21"/>
          <w:szCs w:val="21"/>
        </w:rPr>
        <w:t xml:space="preserve"> </w:t>
      </w:r>
    </w:p>
    <w:p w14:paraId="2FC5D27B" w14:textId="477025D3" w:rsidR="002A47AA" w:rsidRPr="00973028" w:rsidRDefault="002A47AA" w:rsidP="002A47AA">
      <w:pPr>
        <w:spacing w:after="240" w:line="276" w:lineRule="auto"/>
        <w:jc w:val="both"/>
        <w:rPr>
          <w:rFonts w:ascii="Arial" w:eastAsia="Times New Roman" w:hAnsi="Arial"/>
          <w:color w:val="000000"/>
          <w:sz w:val="21"/>
          <w:szCs w:val="21"/>
        </w:rPr>
      </w:pPr>
      <w:r w:rsidRPr="00973028">
        <w:rPr>
          <w:rFonts w:ascii="Arial" w:eastAsia="Times New Roman" w:hAnsi="Arial"/>
          <w:b/>
          <w:bCs/>
          <w:color w:val="000000"/>
          <w:sz w:val="21"/>
          <w:szCs w:val="21"/>
        </w:rPr>
        <w:t>Fase de seguimiento:</w:t>
      </w:r>
      <w:r w:rsidRPr="00973028">
        <w:rPr>
          <w:rFonts w:ascii="Arial" w:eastAsia="Times New Roman" w:hAnsi="Arial"/>
          <w:color w:val="000000"/>
          <w:sz w:val="21"/>
          <w:szCs w:val="21"/>
        </w:rPr>
        <w:t xml:space="preserve"> El Ayuntamiento de Llíria ha remitido a la Agencia informe aceptando las recomendaciones formuladas, estando pendiente de finalizar la fase de seguimiento.</w:t>
      </w:r>
    </w:p>
    <w:p w14:paraId="56CEED3F" w14:textId="0E6392B9"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96" w:name="_Toc67646265"/>
      <w:r w:rsidRPr="00973028">
        <w:rPr>
          <w:rFonts w:ascii="Arial" w:eastAsia="Times New Roman" w:hAnsi="Arial" w:cs="Arial"/>
          <w:b/>
          <w:color w:val="9D2235"/>
          <w:sz w:val="28"/>
          <w:szCs w:val="28"/>
        </w:rPr>
        <w:t>Denominación: Ayuntamiento de Godella</w:t>
      </w:r>
      <w:r w:rsidR="008A79F8">
        <w:rPr>
          <w:rFonts w:ascii="Arial" w:eastAsia="Times New Roman" w:hAnsi="Arial" w:cs="Arial"/>
          <w:b/>
          <w:color w:val="9D2235"/>
          <w:sz w:val="28"/>
          <w:szCs w:val="28"/>
        </w:rPr>
        <w:t>. I</w:t>
      </w:r>
      <w:r w:rsidRPr="00973028">
        <w:rPr>
          <w:rFonts w:ascii="Arial" w:eastAsia="Times New Roman" w:hAnsi="Arial" w:cs="Arial"/>
          <w:b/>
          <w:color w:val="9D2235"/>
          <w:sz w:val="28"/>
          <w:szCs w:val="28"/>
        </w:rPr>
        <w:t>rregularidades en el acceso al empleo público</w:t>
      </w:r>
      <w:bookmarkEnd w:id="96"/>
    </w:p>
    <w:p w14:paraId="040A4D16" w14:textId="130096B4"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Expediente:</w:t>
      </w:r>
      <w:r w:rsidRPr="00973028">
        <w:rPr>
          <w:rFonts w:ascii="Arial" w:eastAsia="Times New Roman" w:hAnsi="Arial"/>
          <w:color w:val="000000"/>
          <w:sz w:val="21"/>
          <w:szCs w:val="21"/>
          <w:lang w:eastAsia="es-ES"/>
        </w:rPr>
        <w:t xml:space="preserve"> 2020/G01_01/000099</w:t>
      </w:r>
    </w:p>
    <w:p w14:paraId="0C3048D1" w14:textId="18A236B5"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Descripción:</w:t>
      </w:r>
      <w:r w:rsidRPr="00973028">
        <w:rPr>
          <w:rFonts w:ascii="Arial" w:eastAsia="Times New Roman" w:hAnsi="Arial"/>
          <w:color w:val="000000"/>
          <w:sz w:val="21"/>
          <w:szCs w:val="21"/>
          <w:lang w:eastAsia="es-ES"/>
        </w:rPr>
        <w:t xml:space="preserve"> Los hechos denunciados se concretaron en que, durante varios años, los procedimientos de acceso al empleo público no han respetado los principios constitucionales que deben de regir los mismos.</w:t>
      </w:r>
    </w:p>
    <w:p w14:paraId="33663B0A" w14:textId="77777777" w:rsidR="002A47AA" w:rsidRPr="00973028" w:rsidRDefault="002A47AA" w:rsidP="002A47AA">
      <w:pPr>
        <w:pStyle w:val="Standard"/>
        <w:spacing w:after="240" w:line="276" w:lineRule="auto"/>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Tras el estudio de la documentación, se concluye que:</w:t>
      </w:r>
    </w:p>
    <w:p w14:paraId="697B85D8" w14:textId="7330AB7A" w:rsidR="002A47AA" w:rsidRPr="00973028" w:rsidRDefault="002A47AA" w:rsidP="00C76D42">
      <w:pPr>
        <w:pStyle w:val="Standard"/>
        <w:numPr>
          <w:ilvl w:val="0"/>
          <w:numId w:val="45"/>
        </w:numPr>
        <w:spacing w:after="120" w:line="276" w:lineRule="auto"/>
        <w:ind w:left="714" w:hanging="357"/>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Por parte del Ayuntamiento de Godella se procedió a realizar la conversión de ciertos trabajadores temporales (monitores deportivos y profesores del Conservatorio) en trabajadores indefinidos no fijos, en virtud de lo establecido en el artículo 15 del Estatuto de los Trabajadores. Se incluyen trabajadores que no constan en el informe propuesta del técnico de Personal y se acude al informe de un asesor jurídico externo.</w:t>
      </w:r>
    </w:p>
    <w:p w14:paraId="71BFCDD0" w14:textId="3D821A4C" w:rsidR="002A47AA" w:rsidRPr="00973028" w:rsidRDefault="002A47AA" w:rsidP="00C76D42">
      <w:pPr>
        <w:pStyle w:val="Standard"/>
        <w:numPr>
          <w:ilvl w:val="0"/>
          <w:numId w:val="45"/>
        </w:numPr>
        <w:spacing w:after="120" w:line="276" w:lineRule="auto"/>
        <w:ind w:left="714" w:hanging="357"/>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Los llamamientos de monitores deportivos y profesores del Conservatorio municipal que se realizan anualmente con motivo del inicio de curso, se informan desfavorablemente por parte de los servicios jurídicos municipales y/o la secretaría municipal y por parte de la Intervención municipal se emiten reparos en relación con el expediente. Por parte de la Corporación Municipal se acude a informes jurídicos externos para fundamentar la resolución de las discrepancias y proceder a las contrataciones.</w:t>
      </w:r>
    </w:p>
    <w:p w14:paraId="644113B1" w14:textId="3AE86210" w:rsidR="002A47AA" w:rsidRPr="00973028" w:rsidRDefault="002A47AA" w:rsidP="00C76D42">
      <w:pPr>
        <w:pStyle w:val="Standard"/>
        <w:numPr>
          <w:ilvl w:val="0"/>
          <w:numId w:val="45"/>
        </w:numPr>
        <w:spacing w:after="120" w:line="276" w:lineRule="auto"/>
        <w:ind w:left="714" w:hanging="357"/>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El personal indefinido no fijo existente en el Ayuntamiento de Godella no figura ni en la Plantilla ni en la RPT. No queda acreditado la depuración de las responsabilidades que hubiera lugar por parte del personal o autoridades que ocasionaron con sus actos y/u omisiones el reconocimiento del personal laboral indefinido no fijo.</w:t>
      </w:r>
    </w:p>
    <w:p w14:paraId="42234634" w14:textId="7A1CCA6B" w:rsidR="002A47AA" w:rsidRPr="00973028" w:rsidRDefault="002A47AA" w:rsidP="00C76D42">
      <w:pPr>
        <w:pStyle w:val="Standard"/>
        <w:numPr>
          <w:ilvl w:val="0"/>
          <w:numId w:val="45"/>
        </w:numPr>
        <w:spacing w:after="240" w:line="276" w:lineRule="auto"/>
        <w:ind w:left="714" w:hanging="357"/>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lastRenderedPageBreak/>
        <w:t>La competencia relativa a la prestación por parte del Ayuntamiento del servicio de Conservatorio de Música no corresponde en origen al Ayuntamiento, y no se ha procedido por parte de la Administración Autonómica a su delegación ni se ha tramitado el expediente para reconocerla como competencia impropia de conformidad con lo dispuesto en el artículo 7.4 de la Ley 7/1985.</w:t>
      </w:r>
    </w:p>
    <w:p w14:paraId="5E4916D9" w14:textId="7777777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Resultado:</w:t>
      </w:r>
      <w:r w:rsidRPr="00973028">
        <w:rPr>
          <w:rFonts w:ascii="Arial" w:eastAsia="Times New Roman" w:hAnsi="Arial"/>
          <w:color w:val="000000"/>
          <w:sz w:val="21"/>
          <w:szCs w:val="21"/>
          <w:lang w:eastAsia="es-ES"/>
        </w:rPr>
        <w:t xml:space="preserve"> Formulación de recomendaciones al Ayuntamiento de Godella:</w:t>
      </w:r>
    </w:p>
    <w:p w14:paraId="21AE10B0" w14:textId="5D9D584F" w:rsidR="002A47AA" w:rsidRPr="00973028" w:rsidRDefault="002A47AA" w:rsidP="00C76D42">
      <w:pPr>
        <w:pStyle w:val="Standard"/>
        <w:numPr>
          <w:ilvl w:val="0"/>
          <w:numId w:val="46"/>
        </w:numPr>
        <w:spacing w:after="120" w:line="276" w:lineRule="auto"/>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Que se proceda a realizar una modificación de la RPT y de la Plantilla del Ayuntamiento, en el sentido de crear los puestos y las plazas correspondientes al personal indefinido no fijo existente.</w:t>
      </w:r>
    </w:p>
    <w:p w14:paraId="29F41BAA" w14:textId="5D041DB5" w:rsidR="002A47AA" w:rsidRPr="00973028" w:rsidRDefault="002A47AA" w:rsidP="00C76D42">
      <w:pPr>
        <w:pStyle w:val="Standard"/>
        <w:numPr>
          <w:ilvl w:val="0"/>
          <w:numId w:val="46"/>
        </w:numPr>
        <w:spacing w:after="120" w:line="276" w:lineRule="auto"/>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Que, una vez previstos los anteriores puestos y plazas anteriores en la RPT y en la Plantilla, respectivamente, se proceda a tramitar los procesos selectivos correspondientes para proveer dichos puestos según los principios constitucionales de igualdad, mérito y capacidad.</w:t>
      </w:r>
    </w:p>
    <w:p w14:paraId="70CA1500" w14:textId="3327902E" w:rsidR="002A47AA" w:rsidRPr="00973028" w:rsidRDefault="002A47AA" w:rsidP="00C76D42">
      <w:pPr>
        <w:pStyle w:val="Standard"/>
        <w:numPr>
          <w:ilvl w:val="0"/>
          <w:numId w:val="46"/>
        </w:numPr>
        <w:spacing w:after="120" w:line="276" w:lineRule="auto"/>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Que se proceda a tramitar el correspondiente expediente para reconocer la competencia relativa a la prestación por parte del Ayuntamiento del servicio de Conservatorio de Música como competencia impropia de conformidad con lo dispuesto en el artículo 7.4 de la Ley 7/1985</w:t>
      </w:r>
    </w:p>
    <w:p w14:paraId="13949285" w14:textId="6F5D18EC" w:rsidR="002A47AA" w:rsidRPr="00973028" w:rsidRDefault="002A47AA" w:rsidP="00C76D42">
      <w:pPr>
        <w:pStyle w:val="Standard"/>
        <w:numPr>
          <w:ilvl w:val="0"/>
          <w:numId w:val="46"/>
        </w:numPr>
        <w:spacing w:after="240" w:line="276" w:lineRule="auto"/>
        <w:ind w:left="714" w:hanging="357"/>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Que se proceda a emitir informe jurídico sobre el análisis de la posible existencia y exigencia de responsabilidades al personal o autoridades que con sus actos y/u omisiones ocasionaron la concatenación de contratos temporales irregulares que dieron lugar con posterioridad al reconocimiento de la relación laboral de “indefinido-no fijo” de determinados trabajadores y que se ha perpetuado hasta el día de la fecha.</w:t>
      </w:r>
    </w:p>
    <w:p w14:paraId="45C5B2FC" w14:textId="77777777" w:rsidR="002A47AA" w:rsidRPr="00973028" w:rsidRDefault="002A47AA" w:rsidP="002A47AA">
      <w:pPr>
        <w:pStyle w:val="Standard"/>
        <w:spacing w:after="240" w:line="276" w:lineRule="auto"/>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Se abre fase de seguimiento.</w:t>
      </w:r>
    </w:p>
    <w:p w14:paraId="0BBA03C5" w14:textId="25FF6F06" w:rsidR="002A47AA" w:rsidRPr="00973028" w:rsidRDefault="002A47AA" w:rsidP="002A47AA">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Se puede consultar </w:t>
      </w:r>
      <w:hyperlink r:id="rId76" w:history="1">
        <w:r w:rsidR="00394FC5" w:rsidRPr="00394FC5">
          <w:rPr>
            <w:rStyle w:val="Hipervnculo"/>
            <w:rFonts w:ascii="Arial" w:eastAsia="Times New Roman" w:hAnsi="Arial" w:cs="Arial"/>
            <w:sz w:val="21"/>
            <w:szCs w:val="21"/>
            <w:lang w:eastAsia="es-ES"/>
          </w:rPr>
          <w:t>aquí</w:t>
        </w:r>
      </w:hyperlink>
      <w:r w:rsidR="00394FC5">
        <w:rPr>
          <w:rFonts w:ascii="Arial" w:eastAsia="Times New Roman" w:hAnsi="Arial" w:cs="Arial"/>
          <w:color w:val="000000"/>
          <w:sz w:val="21"/>
          <w:szCs w:val="21"/>
          <w:lang w:eastAsia="es-ES"/>
        </w:rPr>
        <w:t>.</w:t>
      </w:r>
    </w:p>
    <w:p w14:paraId="14D82B09" w14:textId="781BC3E2"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Fase seguimiento:</w:t>
      </w:r>
      <w:r w:rsidRPr="00973028">
        <w:rPr>
          <w:rFonts w:ascii="Arial" w:eastAsia="Times New Roman" w:hAnsi="Arial"/>
          <w:color w:val="000000"/>
          <w:sz w:val="21"/>
          <w:szCs w:val="21"/>
          <w:lang w:eastAsia="es-ES"/>
        </w:rPr>
        <w:t xml:space="preserve"> No se ha remitido documentación en fase de seguimiento por el Ayuntamiento de Godella. </w:t>
      </w:r>
      <w:bookmarkStart w:id="97" w:name="_Hlk63071928"/>
      <w:bookmarkEnd w:id="97"/>
    </w:p>
    <w:p w14:paraId="0FD24393" w14:textId="035583FF"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98" w:name="_Toc67646266"/>
      <w:r w:rsidRPr="00973028">
        <w:rPr>
          <w:rFonts w:ascii="Arial" w:eastAsia="Times New Roman" w:hAnsi="Arial" w:cs="Arial"/>
          <w:b/>
          <w:color w:val="9D2235"/>
          <w:sz w:val="28"/>
          <w:szCs w:val="28"/>
        </w:rPr>
        <w:t>Denominación: Ayuntamiento de Val</w:t>
      </w:r>
      <w:r w:rsidR="00E74AA5" w:rsidRPr="00973028">
        <w:rPr>
          <w:rFonts w:ascii="Arial" w:eastAsia="Times New Roman" w:hAnsi="Arial" w:cs="Arial"/>
          <w:b/>
          <w:color w:val="9D2235"/>
          <w:sz w:val="28"/>
          <w:szCs w:val="28"/>
        </w:rPr>
        <w:t>è</w:t>
      </w:r>
      <w:r w:rsidRPr="00973028">
        <w:rPr>
          <w:rFonts w:ascii="Arial" w:eastAsia="Times New Roman" w:hAnsi="Arial" w:cs="Arial"/>
          <w:b/>
          <w:color w:val="9D2235"/>
          <w:sz w:val="28"/>
          <w:szCs w:val="28"/>
        </w:rPr>
        <w:t>ncia</w:t>
      </w:r>
      <w:r w:rsidR="008A79F8">
        <w:rPr>
          <w:rFonts w:ascii="Arial" w:eastAsia="Times New Roman" w:hAnsi="Arial" w:cs="Arial"/>
          <w:b/>
          <w:color w:val="9D2235"/>
          <w:sz w:val="28"/>
          <w:szCs w:val="28"/>
        </w:rPr>
        <w:t>. P</w:t>
      </w:r>
      <w:r w:rsidRPr="00973028">
        <w:rPr>
          <w:rFonts w:ascii="Arial" w:eastAsia="Times New Roman" w:hAnsi="Arial" w:cs="Arial"/>
          <w:b/>
          <w:color w:val="9D2235"/>
          <w:sz w:val="28"/>
          <w:szCs w:val="28"/>
        </w:rPr>
        <w:t>ago sin contrato para alimentación del casal d’Esplai “El Saler”</w:t>
      </w:r>
      <w:bookmarkEnd w:id="98"/>
    </w:p>
    <w:p w14:paraId="421B403D" w14:textId="3621ADC3"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Expediente:</w:t>
      </w:r>
      <w:r w:rsidRPr="00973028">
        <w:rPr>
          <w:rFonts w:ascii="Arial" w:eastAsia="Times New Roman" w:hAnsi="Arial"/>
          <w:color w:val="000000"/>
          <w:sz w:val="21"/>
          <w:szCs w:val="21"/>
          <w:lang w:eastAsia="es-ES"/>
        </w:rPr>
        <w:t xml:space="preserve"> 2020/G01_01/000063</w:t>
      </w:r>
    </w:p>
    <w:p w14:paraId="7C438D95" w14:textId="19A6ACCD"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Descripción:</w:t>
      </w:r>
      <w:r w:rsidRPr="00973028">
        <w:rPr>
          <w:rFonts w:ascii="Arial" w:eastAsia="Times New Roman" w:hAnsi="Arial"/>
          <w:color w:val="000000"/>
          <w:sz w:val="21"/>
          <w:szCs w:val="21"/>
          <w:lang w:eastAsia="es-ES"/>
        </w:rPr>
        <w:t xml:space="preserve"> Los hechos denunciados se concretaron en el pago de los servicios de alimentación del Casal de El Saler sin contrato desde marzo de 2018 recurriendo a la vía del “enriquecimiento injusto”.</w:t>
      </w:r>
      <w:bookmarkStart w:id="99" w:name="_Hlk63072630"/>
      <w:bookmarkEnd w:id="99"/>
    </w:p>
    <w:p w14:paraId="564AE17D" w14:textId="2A3FF656"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Tras la instrucción del oportuno procedimiento de investigación, en el que se efectuó el preceptivo trámite de audiencia a la administración denunciada, se evidenció que no quedaba acreditado el perjuicio patrimonial ocasionado y tampoco que se vulnerara la </w:t>
      </w:r>
      <w:r w:rsidRPr="00973028">
        <w:rPr>
          <w:rFonts w:ascii="Arial" w:eastAsia="Times New Roman" w:hAnsi="Arial"/>
          <w:color w:val="000000"/>
          <w:sz w:val="21"/>
          <w:szCs w:val="21"/>
          <w:lang w:eastAsia="es-ES"/>
        </w:rPr>
        <w:lastRenderedPageBreak/>
        <w:t>competencia. Adicionalmente, con el certificado del secretario queda de manifiesto que el proceso contractual ha quedado desierto por causa no imputable al Ayuntamiento. No obstante, de todo el proceso contractual, iniciado en julio de 2018, se evidencia una falta de diligencia imputable tanto al Servicio de Juventud como también al servicio de contratación, que han incurrido en dilaciones poco justificables, culminando además con la circunstancia de haberse quedado desierto dicho proceso contractual en fecha 13 de diciembre de 2019, por circunstancias imputables a la propia empresa que no observó tampoco la diligencia debida para presentar la proposición de contratación en plazo.</w:t>
      </w:r>
    </w:p>
    <w:p w14:paraId="11B96B5A" w14:textId="2FB15148"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Resultado:</w:t>
      </w:r>
      <w:r w:rsidRPr="00973028">
        <w:rPr>
          <w:rFonts w:ascii="Arial" w:eastAsia="Times New Roman" w:hAnsi="Arial"/>
          <w:color w:val="000000"/>
          <w:sz w:val="21"/>
          <w:szCs w:val="21"/>
          <w:lang w:eastAsia="es-ES"/>
        </w:rPr>
        <w:t xml:space="preserve"> Formulación de Recomendación al Ayuntamiento de Val</w:t>
      </w:r>
      <w:r w:rsidR="00394FC5">
        <w:rPr>
          <w:rFonts w:ascii="Arial" w:eastAsia="Times New Roman" w:hAnsi="Arial"/>
          <w:color w:val="000000"/>
          <w:sz w:val="21"/>
          <w:szCs w:val="21"/>
          <w:lang w:eastAsia="es-ES"/>
        </w:rPr>
        <w:t>è</w:t>
      </w:r>
      <w:r w:rsidRPr="00973028">
        <w:rPr>
          <w:rFonts w:ascii="Arial" w:eastAsia="Times New Roman" w:hAnsi="Arial"/>
          <w:color w:val="000000"/>
          <w:sz w:val="21"/>
          <w:szCs w:val="21"/>
          <w:lang w:eastAsia="es-ES"/>
        </w:rPr>
        <w:t>ncia, debiendo presentar un plan de implementación en el que se detallen las acciones, los plazos y las personas responsables de cada una de las actuaciones que hay que llevar a cabo, o bien las razones que le impiden adoptar las medidas propuestas. Todo ello para que dé el impulso necesario y se establezcan mecanismos de control al efecto, para concluir a la mayor brevedad el procedimiento de contratación del servicio de alimentación del Casal de El Saler.</w:t>
      </w:r>
    </w:p>
    <w:p w14:paraId="7DF3F27E" w14:textId="63895A9F"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Se puede consultar </w:t>
      </w:r>
      <w:hyperlink r:id="rId77" w:history="1">
        <w:r w:rsidR="00394FC5" w:rsidRPr="00394FC5">
          <w:rPr>
            <w:rStyle w:val="Hipervnculo"/>
            <w:rFonts w:ascii="Arial" w:eastAsia="Times New Roman" w:hAnsi="Arial"/>
            <w:sz w:val="21"/>
            <w:szCs w:val="21"/>
            <w:lang w:eastAsia="es-ES"/>
          </w:rPr>
          <w:t>aquí</w:t>
        </w:r>
      </w:hyperlink>
      <w:r w:rsidR="00394FC5">
        <w:rPr>
          <w:rFonts w:ascii="Arial" w:eastAsia="Times New Roman" w:hAnsi="Arial"/>
          <w:color w:val="000000"/>
          <w:sz w:val="21"/>
          <w:szCs w:val="21"/>
          <w:lang w:eastAsia="es-ES"/>
        </w:rPr>
        <w:t>.</w:t>
      </w:r>
      <w:r w:rsidRPr="00973028">
        <w:rPr>
          <w:rFonts w:ascii="Arial" w:eastAsia="Times New Roman" w:hAnsi="Arial"/>
          <w:color w:val="000000"/>
          <w:sz w:val="21"/>
          <w:szCs w:val="21"/>
          <w:lang w:eastAsia="es-ES"/>
        </w:rPr>
        <w:t xml:space="preserve"> </w:t>
      </w:r>
    </w:p>
    <w:p w14:paraId="12AACAC8" w14:textId="1FA78F03" w:rsidR="002A47AA" w:rsidRPr="00973028" w:rsidRDefault="002A47AA" w:rsidP="002A47AA">
      <w:pPr>
        <w:spacing w:after="240" w:line="276" w:lineRule="auto"/>
        <w:jc w:val="both"/>
        <w:rPr>
          <w:rFonts w:ascii="Arial" w:eastAsia="Times New Roman" w:hAnsi="Arial"/>
          <w:color w:val="000000"/>
          <w:sz w:val="20"/>
          <w:szCs w:val="20"/>
          <w:lang w:eastAsia="es-ES"/>
        </w:rPr>
      </w:pPr>
      <w:r w:rsidRPr="00973028">
        <w:rPr>
          <w:rFonts w:ascii="Arial" w:eastAsia="Times New Roman" w:hAnsi="Arial"/>
          <w:b/>
          <w:bCs/>
          <w:color w:val="000000"/>
          <w:sz w:val="21"/>
          <w:szCs w:val="21"/>
          <w:lang w:eastAsia="es-ES"/>
        </w:rPr>
        <w:t>Fase de seguimiento:</w:t>
      </w:r>
      <w:r w:rsidRPr="00973028">
        <w:rPr>
          <w:rFonts w:ascii="Arial" w:eastAsia="Times New Roman" w:hAnsi="Arial"/>
          <w:color w:val="000000"/>
          <w:sz w:val="21"/>
          <w:szCs w:val="21"/>
          <w:lang w:eastAsia="es-ES"/>
        </w:rPr>
        <w:t xml:space="preserve"> Se ha completado esta fase. El Ayuntamiento de Val</w:t>
      </w:r>
      <w:r w:rsidR="00394FC5">
        <w:rPr>
          <w:rFonts w:ascii="Arial" w:eastAsia="Times New Roman" w:hAnsi="Arial"/>
          <w:color w:val="000000"/>
          <w:sz w:val="21"/>
          <w:szCs w:val="21"/>
          <w:lang w:eastAsia="es-ES"/>
        </w:rPr>
        <w:t>è</w:t>
      </w:r>
      <w:r w:rsidRPr="00973028">
        <w:rPr>
          <w:rFonts w:ascii="Arial" w:eastAsia="Times New Roman" w:hAnsi="Arial"/>
          <w:color w:val="000000"/>
          <w:sz w:val="21"/>
          <w:szCs w:val="21"/>
          <w:lang w:eastAsia="es-ES"/>
        </w:rPr>
        <w:t>ncia ha remitido información a la AVAF sobre el cumplimiento de la recomendación de la AVAF. Se ha comprobado en la Plataforma del Sector Público la adjudicación del contrato 04101/2020/33-</w:t>
      </w:r>
      <w:r w:rsidRPr="00973028">
        <w:rPr>
          <w:rFonts w:ascii="Arial" w:eastAsia="Times New Roman" w:hAnsi="Arial"/>
          <w:color w:val="000000"/>
          <w:sz w:val="20"/>
          <w:szCs w:val="20"/>
          <w:lang w:eastAsia="es-ES"/>
        </w:rPr>
        <w:t>Ser.</w:t>
      </w:r>
    </w:p>
    <w:p w14:paraId="1B55461A" w14:textId="1A71375D"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100" w:name="_Toc67646267"/>
      <w:r w:rsidRPr="00973028">
        <w:rPr>
          <w:rFonts w:ascii="Arial" w:eastAsia="Times New Roman" w:hAnsi="Arial" w:cs="Arial"/>
          <w:b/>
          <w:color w:val="9D2235"/>
          <w:sz w:val="28"/>
          <w:szCs w:val="28"/>
        </w:rPr>
        <w:t>Denominación: Ayuntamiento de Val</w:t>
      </w:r>
      <w:r w:rsidR="00E74AA5" w:rsidRPr="00973028">
        <w:rPr>
          <w:rFonts w:ascii="Arial" w:eastAsia="Times New Roman" w:hAnsi="Arial" w:cs="Arial"/>
          <w:b/>
          <w:color w:val="9D2235"/>
          <w:sz w:val="28"/>
          <w:szCs w:val="28"/>
        </w:rPr>
        <w:t>è</w:t>
      </w:r>
      <w:r w:rsidRPr="00973028">
        <w:rPr>
          <w:rFonts w:ascii="Arial" w:eastAsia="Times New Roman" w:hAnsi="Arial" w:cs="Arial"/>
          <w:b/>
          <w:color w:val="9D2235"/>
          <w:sz w:val="28"/>
          <w:szCs w:val="28"/>
        </w:rPr>
        <w:t>ncia</w:t>
      </w:r>
      <w:r w:rsidR="008A79F8">
        <w:rPr>
          <w:rFonts w:ascii="Arial" w:eastAsia="Times New Roman" w:hAnsi="Arial" w:cs="Arial"/>
          <w:b/>
          <w:color w:val="9D2235"/>
          <w:sz w:val="28"/>
          <w:szCs w:val="28"/>
        </w:rPr>
        <w:t>. S</w:t>
      </w:r>
      <w:r w:rsidRPr="00973028">
        <w:rPr>
          <w:rFonts w:ascii="Arial" w:eastAsia="Times New Roman" w:hAnsi="Arial" w:cs="Arial"/>
          <w:b/>
          <w:color w:val="9D2235"/>
          <w:sz w:val="28"/>
          <w:szCs w:val="28"/>
        </w:rPr>
        <w:t>ubvención directa a Escola Valenciana sin la correspondiente justificación</w:t>
      </w:r>
      <w:bookmarkEnd w:id="100"/>
    </w:p>
    <w:p w14:paraId="0C385419" w14:textId="2127C25B"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Expediente</w:t>
      </w:r>
      <w:r w:rsidRPr="00973028">
        <w:rPr>
          <w:rFonts w:ascii="Arial" w:eastAsia="Times New Roman" w:hAnsi="Arial"/>
          <w:color w:val="000000"/>
          <w:sz w:val="21"/>
          <w:szCs w:val="21"/>
          <w:lang w:eastAsia="es-ES"/>
        </w:rPr>
        <w:t>: 2020/G01_01/000191</w:t>
      </w:r>
    </w:p>
    <w:p w14:paraId="3CBB4CCF" w14:textId="0DBA59A6"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 xml:space="preserve">Descripción: </w:t>
      </w:r>
      <w:r w:rsidRPr="00973028">
        <w:rPr>
          <w:rFonts w:ascii="Arial" w:eastAsia="Times New Roman" w:hAnsi="Arial"/>
          <w:color w:val="000000"/>
          <w:sz w:val="21"/>
          <w:szCs w:val="21"/>
          <w:lang w:eastAsia="es-ES"/>
        </w:rPr>
        <w:t>Los hechos denunciados se concretaron en el otorgamiento de la subvención directa de 25.000,00 euros del Ayuntamiento de Val</w:t>
      </w:r>
      <w:r w:rsidR="00454255">
        <w:rPr>
          <w:rFonts w:ascii="Arial" w:eastAsia="Times New Roman" w:hAnsi="Arial"/>
          <w:color w:val="000000"/>
          <w:sz w:val="21"/>
          <w:szCs w:val="21"/>
          <w:lang w:eastAsia="es-ES"/>
        </w:rPr>
        <w:t>è</w:t>
      </w:r>
      <w:r w:rsidRPr="00973028">
        <w:rPr>
          <w:rFonts w:ascii="Arial" w:eastAsia="Times New Roman" w:hAnsi="Arial"/>
          <w:color w:val="000000"/>
          <w:sz w:val="21"/>
          <w:szCs w:val="21"/>
          <w:lang w:eastAsia="es-ES"/>
        </w:rPr>
        <w:t>ncia a la Fundación Escola Valenciana, a través de la firma de un convenio de colaboración para la elaboración de proyectos que promuevan el uso del valenciano sin justificación para ello.</w:t>
      </w:r>
    </w:p>
    <w:p w14:paraId="27657EC1" w14:textId="4FCFF97F"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Tras la instrucción del oportuno procedimiento de investigación, en el que se efectuó el preceptivo trámite de audiencia a la administración denunciada, se evidenció que no quedaba suficientemente acreditada la justificación del recurso de la subvención directa en los términos establecidos en el artículo 22.2.c) de la Ley General de Subvenciones y en el artículo 25 de la Ordenanza General de Subvenciones del Ayuntamiento de Val</w:t>
      </w:r>
      <w:r w:rsidR="00454255">
        <w:rPr>
          <w:rFonts w:ascii="Arial" w:eastAsia="Times New Roman" w:hAnsi="Arial"/>
          <w:color w:val="000000"/>
          <w:sz w:val="21"/>
          <w:szCs w:val="21"/>
          <w:lang w:eastAsia="es-ES"/>
        </w:rPr>
        <w:t>è</w:t>
      </w:r>
      <w:r w:rsidRPr="00973028">
        <w:rPr>
          <w:rFonts w:ascii="Arial" w:eastAsia="Times New Roman" w:hAnsi="Arial"/>
          <w:color w:val="000000"/>
          <w:sz w:val="21"/>
          <w:szCs w:val="21"/>
          <w:lang w:eastAsia="es-ES"/>
        </w:rPr>
        <w:t>ncia y sus organismos autónomos, puesto que no queda debidamente acreditados en el expediente las razones de interés público, social o humanitario u otras debidamente justificadas que dificulten su convocatoria pública.</w:t>
      </w:r>
    </w:p>
    <w:p w14:paraId="7BBC808F" w14:textId="3079F623" w:rsidR="002A47AA" w:rsidRPr="00973028" w:rsidRDefault="002A47AA" w:rsidP="002A47AA">
      <w:pPr>
        <w:spacing w:after="240" w:line="276" w:lineRule="auto"/>
        <w:jc w:val="both"/>
        <w:rPr>
          <w:rFonts w:ascii="Arial" w:eastAsia="Times New Roman" w:hAnsi="Arial"/>
          <w:strike/>
          <w:color w:val="000000"/>
          <w:sz w:val="21"/>
          <w:szCs w:val="21"/>
          <w:lang w:eastAsia="es-ES"/>
        </w:rPr>
      </w:pPr>
      <w:r w:rsidRPr="00973028">
        <w:rPr>
          <w:rFonts w:ascii="Arial" w:eastAsia="Times New Roman" w:hAnsi="Arial"/>
          <w:b/>
          <w:bCs/>
          <w:color w:val="000000"/>
          <w:sz w:val="21"/>
          <w:szCs w:val="21"/>
          <w:lang w:eastAsia="es-ES"/>
        </w:rPr>
        <w:t xml:space="preserve">Resultado: </w:t>
      </w:r>
      <w:r w:rsidRPr="00973028">
        <w:rPr>
          <w:rFonts w:ascii="Arial" w:eastAsia="Times New Roman" w:hAnsi="Arial"/>
          <w:color w:val="000000"/>
          <w:sz w:val="21"/>
          <w:szCs w:val="21"/>
          <w:lang w:eastAsia="es-ES"/>
        </w:rPr>
        <w:t>Formulación de Recomendación al Ayuntamiento de Val</w:t>
      </w:r>
      <w:r w:rsidR="00394FC5">
        <w:rPr>
          <w:rFonts w:ascii="Arial" w:eastAsia="Times New Roman" w:hAnsi="Arial"/>
          <w:color w:val="000000"/>
          <w:sz w:val="21"/>
          <w:szCs w:val="21"/>
          <w:lang w:eastAsia="es-ES"/>
        </w:rPr>
        <w:t>è</w:t>
      </w:r>
      <w:r w:rsidRPr="00973028">
        <w:rPr>
          <w:rFonts w:ascii="Arial" w:eastAsia="Times New Roman" w:hAnsi="Arial"/>
          <w:color w:val="000000"/>
          <w:sz w:val="21"/>
          <w:szCs w:val="21"/>
          <w:lang w:eastAsia="es-ES"/>
        </w:rPr>
        <w:t>ncia: Las subvenciones correspondientes a la elaboración de proyectos que promueven el uso del valenciano en la ciudad de Val</w:t>
      </w:r>
      <w:r w:rsidR="00982B72">
        <w:rPr>
          <w:rFonts w:ascii="Arial" w:eastAsia="Times New Roman" w:hAnsi="Arial"/>
          <w:color w:val="000000"/>
          <w:sz w:val="21"/>
          <w:szCs w:val="21"/>
          <w:lang w:eastAsia="es-ES"/>
        </w:rPr>
        <w:t>è</w:t>
      </w:r>
      <w:r w:rsidRPr="00973028">
        <w:rPr>
          <w:rFonts w:ascii="Arial" w:eastAsia="Times New Roman" w:hAnsi="Arial"/>
          <w:color w:val="000000"/>
          <w:sz w:val="21"/>
          <w:szCs w:val="21"/>
          <w:lang w:eastAsia="es-ES"/>
        </w:rPr>
        <w:t xml:space="preserve">ncia deberán convocarse atendiendo al procedimiento </w:t>
      </w:r>
      <w:r w:rsidRPr="00973028">
        <w:rPr>
          <w:rFonts w:ascii="Arial" w:eastAsia="Times New Roman" w:hAnsi="Arial"/>
          <w:color w:val="000000"/>
          <w:sz w:val="21"/>
          <w:szCs w:val="21"/>
          <w:lang w:eastAsia="es-ES"/>
        </w:rPr>
        <w:lastRenderedPageBreak/>
        <w:t>ordinario contemplado en el artículo 22.1 de la Ley 38/2003 General de Subvenciones, puesto que no quedan debidamente</w:t>
      </w:r>
      <w:r w:rsidRPr="00973028">
        <w:rPr>
          <w:rFonts w:ascii="Arial" w:eastAsia="Times New Roman" w:hAnsi="Arial"/>
          <w:b/>
          <w:bCs/>
          <w:i/>
          <w:iCs/>
          <w:color w:val="000000"/>
          <w:sz w:val="21"/>
          <w:szCs w:val="21"/>
          <w:lang w:eastAsia="es-ES"/>
        </w:rPr>
        <w:t xml:space="preserve"> </w:t>
      </w:r>
      <w:r w:rsidRPr="00973028">
        <w:rPr>
          <w:rFonts w:ascii="Arial" w:eastAsia="Times New Roman" w:hAnsi="Arial"/>
          <w:color w:val="000000"/>
          <w:sz w:val="21"/>
          <w:szCs w:val="21"/>
          <w:lang w:eastAsia="es-ES"/>
        </w:rPr>
        <w:t>acreditadas las razones de interés público, social o humanitario u otras debidamente justificadas que dificulten su convocatoria pública.</w:t>
      </w:r>
    </w:p>
    <w:p w14:paraId="099CF4F9" w14:textId="7912DC9F"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Se puede consultar </w:t>
      </w:r>
      <w:hyperlink r:id="rId78" w:history="1">
        <w:r w:rsidR="00454255" w:rsidRPr="00454255">
          <w:rPr>
            <w:rStyle w:val="Hipervnculo"/>
            <w:rFonts w:ascii="Arial" w:eastAsia="Times New Roman" w:hAnsi="Arial"/>
            <w:sz w:val="21"/>
            <w:szCs w:val="21"/>
            <w:lang w:eastAsia="es-ES"/>
          </w:rPr>
          <w:t>aquí</w:t>
        </w:r>
      </w:hyperlink>
      <w:r w:rsidR="00454255">
        <w:rPr>
          <w:rFonts w:ascii="Arial" w:eastAsia="Times New Roman" w:hAnsi="Arial"/>
          <w:color w:val="000000"/>
          <w:sz w:val="21"/>
          <w:szCs w:val="21"/>
          <w:lang w:eastAsia="es-ES"/>
        </w:rPr>
        <w:t>.</w:t>
      </w:r>
      <w:r w:rsidRPr="00973028">
        <w:rPr>
          <w:rFonts w:ascii="Arial" w:eastAsia="Times New Roman" w:hAnsi="Arial"/>
          <w:color w:val="000000"/>
          <w:sz w:val="21"/>
          <w:szCs w:val="21"/>
          <w:lang w:eastAsia="es-ES"/>
        </w:rPr>
        <w:t xml:space="preserve"> </w:t>
      </w:r>
    </w:p>
    <w:p w14:paraId="471EB098" w14:textId="2F632E70" w:rsidR="002A47AA" w:rsidRPr="00973028" w:rsidRDefault="002A47AA" w:rsidP="00B9275E">
      <w:pPr>
        <w:spacing w:before="100" w:beforeAutospacing="1" w:after="240" w:line="276" w:lineRule="auto"/>
        <w:jc w:val="both"/>
        <w:rPr>
          <w:rFonts w:ascii="Calibri" w:eastAsia="Times New Roman" w:hAnsi="Calibri" w:cs="Calibri"/>
          <w:color w:val="000000"/>
          <w:sz w:val="21"/>
          <w:szCs w:val="21"/>
          <w:lang w:eastAsia="es-ES"/>
        </w:rPr>
      </w:pPr>
      <w:r w:rsidRPr="00973028">
        <w:rPr>
          <w:rFonts w:ascii="Arial" w:eastAsia="Times New Roman" w:hAnsi="Arial"/>
          <w:b/>
          <w:bCs/>
          <w:color w:val="000000"/>
          <w:sz w:val="21"/>
          <w:szCs w:val="21"/>
          <w:lang w:eastAsia="es-ES"/>
        </w:rPr>
        <w:t>Fase de seguimiento</w:t>
      </w:r>
      <w:r w:rsidRPr="00973028">
        <w:rPr>
          <w:rFonts w:ascii="Arial" w:eastAsia="Times New Roman" w:hAnsi="Arial"/>
          <w:color w:val="000000"/>
          <w:sz w:val="21"/>
          <w:szCs w:val="21"/>
          <w:lang w:eastAsia="es-ES"/>
        </w:rPr>
        <w:t>: El Ayuntamiento de Val</w:t>
      </w:r>
      <w:r w:rsidR="00454255">
        <w:rPr>
          <w:rFonts w:ascii="Arial" w:eastAsia="Times New Roman" w:hAnsi="Arial"/>
          <w:color w:val="000000"/>
          <w:sz w:val="21"/>
          <w:szCs w:val="21"/>
          <w:lang w:eastAsia="es-ES"/>
        </w:rPr>
        <w:t>è</w:t>
      </w:r>
      <w:r w:rsidRPr="00973028">
        <w:rPr>
          <w:rFonts w:ascii="Arial" w:eastAsia="Times New Roman" w:hAnsi="Arial"/>
          <w:color w:val="000000"/>
          <w:sz w:val="21"/>
          <w:szCs w:val="21"/>
          <w:lang w:eastAsia="es-ES"/>
        </w:rPr>
        <w:t>ncia no ha presentado el plan de implementación solicitado.</w:t>
      </w:r>
    </w:p>
    <w:p w14:paraId="11A68A56" w14:textId="256896C9"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101" w:name="_Toc67646268"/>
      <w:r w:rsidRPr="00973028">
        <w:rPr>
          <w:rFonts w:ascii="Arial" w:eastAsia="Times New Roman" w:hAnsi="Arial" w:cs="Arial"/>
          <w:b/>
          <w:color w:val="9D2235"/>
          <w:sz w:val="28"/>
          <w:szCs w:val="28"/>
        </w:rPr>
        <w:t>Denominación: Ayuntamiento de Val</w:t>
      </w:r>
      <w:r w:rsidR="00E74AA5" w:rsidRPr="00973028">
        <w:rPr>
          <w:rFonts w:ascii="Arial" w:eastAsia="Times New Roman" w:hAnsi="Arial" w:cs="Arial"/>
          <w:b/>
          <w:color w:val="9D2235"/>
          <w:sz w:val="28"/>
          <w:szCs w:val="28"/>
        </w:rPr>
        <w:t>è</w:t>
      </w:r>
      <w:r w:rsidRPr="00973028">
        <w:rPr>
          <w:rFonts w:ascii="Arial" w:eastAsia="Times New Roman" w:hAnsi="Arial" w:cs="Arial"/>
          <w:b/>
          <w:color w:val="9D2235"/>
          <w:sz w:val="28"/>
          <w:szCs w:val="28"/>
        </w:rPr>
        <w:t>ncia. Gastos realizados sin respetar el procedimiento legalmente establecido en materia de contratación</w:t>
      </w:r>
      <w:bookmarkEnd w:id="101"/>
    </w:p>
    <w:p w14:paraId="088C97CA" w14:textId="0A840815"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Expediente:</w:t>
      </w:r>
      <w:r w:rsidRPr="00973028">
        <w:rPr>
          <w:rFonts w:ascii="Arial" w:eastAsia="Times New Roman" w:hAnsi="Arial"/>
          <w:color w:val="000000"/>
          <w:sz w:val="21"/>
          <w:szCs w:val="21"/>
          <w:lang w:eastAsia="es-ES"/>
        </w:rPr>
        <w:t xml:space="preserve"> 2020/G01_01/00055 </w:t>
      </w:r>
    </w:p>
    <w:p w14:paraId="083A90C9" w14:textId="4FF23782"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Descripción:</w:t>
      </w:r>
      <w:r w:rsidRPr="00973028">
        <w:rPr>
          <w:rFonts w:ascii="Arial" w:eastAsia="Times New Roman" w:hAnsi="Arial"/>
          <w:color w:val="000000"/>
          <w:sz w:val="21"/>
          <w:szCs w:val="21"/>
          <w:lang w:eastAsia="es-ES"/>
        </w:rPr>
        <w:t xml:space="preserve"> Los hechos denunciados se concretaron en que el Ayuntamiento de Val</w:t>
      </w:r>
      <w:r w:rsidR="00454255">
        <w:rPr>
          <w:rFonts w:ascii="Arial" w:eastAsia="Times New Roman" w:hAnsi="Arial"/>
          <w:color w:val="000000"/>
          <w:sz w:val="21"/>
          <w:szCs w:val="21"/>
          <w:lang w:eastAsia="es-ES"/>
        </w:rPr>
        <w:t>è</w:t>
      </w:r>
      <w:r w:rsidRPr="00973028">
        <w:rPr>
          <w:rFonts w:ascii="Arial" w:eastAsia="Times New Roman" w:hAnsi="Arial"/>
          <w:color w:val="000000"/>
          <w:sz w:val="21"/>
          <w:szCs w:val="21"/>
          <w:lang w:eastAsia="es-ES"/>
        </w:rPr>
        <w:t>ncia es titular de tres centros ocupacionales municipales, en los cuales el servicio de comedor se había venido gestionando de manera indirecta a través de contrato administrativo de servicios. Tras decidir no prorrogar el contrato formalizado el 30 de diciembre de 2015 con el “CATERING LA HACIENDA S.L.”, la Concejala Delegada de Servicios Sociales del ayuntamiento, mediante moción del 22 de septiembre de 2017, realiza el encargo directo del servicio de comedor de los Centros Ocupacionales de Menores desde el 2 de octubre de 2017 a favor de la mercantil “NOVATERRA CATERING S.L.” situación que se mantuvo hasta el momento en que se produjo la adjudicación del nuevo contrato, el 12 de marzo de 2020 a la mercantil “AUSOLAN RCS S.L.”.</w:t>
      </w:r>
    </w:p>
    <w:p w14:paraId="74A150C6" w14:textId="334CCDB6"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Tras la instrucción del oportuno procedimiento de investigación, en el que se efectuó el preceptivo trámite de audiencia a la administración denunciada, se evidenció que “NOVATERRA CATERING S.L.” estuvo prestando el servicio sin contrato desde el 1 de octubre de 2017 hasta el 13 de marzo de 2020, es decir durante dos años, cuatro meses y 13 días, periodo sin cobertura contractual en el que se le estuvo abonando un precio unitario de menú superior al marcado por el mercado, tomando como referencia el precio surgido de la última licitación en concurrencia competitiva en la que resultó adjudicataria “AUSOLAN RCS S.L.”, el coste abonado por el Ayuntamiento de Val</w:t>
      </w:r>
      <w:r w:rsidR="00FC1996">
        <w:rPr>
          <w:rFonts w:ascii="Arial" w:eastAsia="Times New Roman" w:hAnsi="Arial"/>
          <w:color w:val="000000"/>
          <w:sz w:val="21"/>
          <w:szCs w:val="21"/>
          <w:lang w:eastAsia="es-ES"/>
        </w:rPr>
        <w:t>è</w:t>
      </w:r>
      <w:r w:rsidRPr="00973028">
        <w:rPr>
          <w:rFonts w:ascii="Arial" w:eastAsia="Times New Roman" w:hAnsi="Arial"/>
          <w:color w:val="000000"/>
          <w:sz w:val="21"/>
          <w:szCs w:val="21"/>
          <w:lang w:eastAsia="es-ES"/>
        </w:rPr>
        <w:t xml:space="preserve">ncia superior al precio de mercado se ha cuantificado en 91.908,17 € IVA incluido. </w:t>
      </w:r>
    </w:p>
    <w:p w14:paraId="79E8C6CA" w14:textId="6359CC2A" w:rsidR="004B7EE2"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Resultado:</w:t>
      </w:r>
      <w:r w:rsidRPr="00973028">
        <w:rPr>
          <w:rFonts w:ascii="Arial" w:eastAsia="Times New Roman" w:hAnsi="Arial"/>
          <w:color w:val="000000"/>
          <w:sz w:val="21"/>
          <w:szCs w:val="21"/>
          <w:lang w:eastAsia="es-ES"/>
        </w:rPr>
        <w:t xml:space="preserve"> Formulación de recomendaciones al Ayuntamiento de Val</w:t>
      </w:r>
      <w:r w:rsidR="00454255">
        <w:rPr>
          <w:rFonts w:ascii="Arial" w:eastAsia="Times New Roman" w:hAnsi="Arial"/>
          <w:color w:val="000000"/>
          <w:sz w:val="21"/>
          <w:szCs w:val="21"/>
          <w:lang w:eastAsia="es-ES"/>
        </w:rPr>
        <w:t>è</w:t>
      </w:r>
      <w:r w:rsidRPr="00973028">
        <w:rPr>
          <w:rFonts w:ascii="Arial" w:eastAsia="Times New Roman" w:hAnsi="Arial"/>
          <w:color w:val="000000"/>
          <w:sz w:val="21"/>
          <w:szCs w:val="21"/>
          <w:lang w:eastAsia="es-ES"/>
        </w:rPr>
        <w:t>ncia, requiriendo la tramitación de expedientes de revisión de oficio y determinación del perjuicio soportado y reclamación del mismo. Se ha solicitado la remisión de las comunicaciones oportunas que acrediten el cumplimiento de las recomendaciones realizadas por la Agencia</w:t>
      </w:r>
      <w:bookmarkStart w:id="102" w:name="_Hlk63026150"/>
      <w:r w:rsidRPr="00973028">
        <w:rPr>
          <w:rFonts w:ascii="Arial" w:eastAsia="Times New Roman" w:hAnsi="Arial"/>
          <w:color w:val="000000"/>
          <w:sz w:val="21"/>
          <w:szCs w:val="21"/>
          <w:lang w:eastAsia="es-ES"/>
        </w:rPr>
        <w:t xml:space="preserve">, abriendo la fase de seguimiento. </w:t>
      </w:r>
    </w:p>
    <w:p w14:paraId="2A1CF2BD" w14:textId="5722152D"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Se puede consultar </w:t>
      </w:r>
      <w:hyperlink r:id="rId79" w:history="1">
        <w:r w:rsidR="00454255" w:rsidRPr="00454255">
          <w:rPr>
            <w:rStyle w:val="Hipervnculo"/>
            <w:rFonts w:ascii="Arial" w:eastAsia="Times New Roman" w:hAnsi="Arial"/>
            <w:sz w:val="21"/>
            <w:szCs w:val="21"/>
            <w:lang w:eastAsia="es-ES"/>
          </w:rPr>
          <w:t>aquí</w:t>
        </w:r>
      </w:hyperlink>
      <w:r w:rsidR="00454255">
        <w:rPr>
          <w:rFonts w:ascii="Arial" w:eastAsia="Times New Roman" w:hAnsi="Arial"/>
          <w:color w:val="000000"/>
          <w:sz w:val="21"/>
          <w:szCs w:val="21"/>
          <w:lang w:eastAsia="es-ES"/>
        </w:rPr>
        <w:t>.</w:t>
      </w:r>
      <w:bookmarkEnd w:id="102"/>
    </w:p>
    <w:p w14:paraId="2CAC2E25" w14:textId="1B868FC3"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lastRenderedPageBreak/>
        <w:t xml:space="preserve">Fase de seguimiento: </w:t>
      </w:r>
      <w:r w:rsidRPr="00973028">
        <w:rPr>
          <w:rFonts w:ascii="Arial" w:eastAsia="Times New Roman" w:hAnsi="Arial"/>
          <w:color w:val="000000"/>
          <w:sz w:val="21"/>
          <w:szCs w:val="21"/>
          <w:lang w:eastAsia="es-ES"/>
        </w:rPr>
        <w:t>Pendiente de la remisión por el Ayuntamiento de Val</w:t>
      </w:r>
      <w:r w:rsidR="00454255">
        <w:rPr>
          <w:rFonts w:ascii="Arial" w:eastAsia="Times New Roman" w:hAnsi="Arial"/>
          <w:color w:val="000000"/>
          <w:sz w:val="21"/>
          <w:szCs w:val="21"/>
          <w:lang w:eastAsia="es-ES"/>
        </w:rPr>
        <w:t>è</w:t>
      </w:r>
      <w:r w:rsidRPr="00973028">
        <w:rPr>
          <w:rFonts w:ascii="Arial" w:eastAsia="Times New Roman" w:hAnsi="Arial"/>
          <w:color w:val="000000"/>
          <w:sz w:val="21"/>
          <w:szCs w:val="21"/>
          <w:lang w:eastAsia="es-ES"/>
        </w:rPr>
        <w:t>ncia de los oportunos escritos acreditando el cumplimiento gradual de las recomendaciones formuladas por la Agencia.</w:t>
      </w:r>
      <w:bookmarkEnd w:id="77"/>
    </w:p>
    <w:p w14:paraId="2C91A5DC" w14:textId="7576D196"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103" w:name="_Toc67646269"/>
      <w:r w:rsidRPr="00973028">
        <w:rPr>
          <w:rFonts w:ascii="Arial" w:eastAsia="Times New Roman" w:hAnsi="Arial" w:cs="Arial"/>
          <w:b/>
          <w:color w:val="9D2235"/>
          <w:sz w:val="28"/>
          <w:szCs w:val="28"/>
        </w:rPr>
        <w:t>Denominación: Diputación de Valencia. Irregularidades en el desarrollo del proceso selectivo, por procedimiento de oposición libre, de la plaza de Ingeniero/a Industrial de la OEP 2016, convocatoria 22/2016</w:t>
      </w:r>
      <w:bookmarkEnd w:id="103"/>
    </w:p>
    <w:p w14:paraId="64C789A0" w14:textId="6DD9BDB9"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Expediente:</w:t>
      </w:r>
      <w:r w:rsidRPr="00973028">
        <w:rPr>
          <w:rFonts w:ascii="Arial" w:eastAsia="Times New Roman" w:hAnsi="Arial"/>
          <w:color w:val="000000"/>
          <w:sz w:val="21"/>
          <w:szCs w:val="21"/>
          <w:lang w:eastAsia="es-ES"/>
        </w:rPr>
        <w:t xml:space="preserve"> 2020/G01_01/000134</w:t>
      </w:r>
    </w:p>
    <w:p w14:paraId="1B687738" w14:textId="55505239"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Descripción:</w:t>
      </w:r>
      <w:r w:rsidRPr="00973028">
        <w:rPr>
          <w:rFonts w:ascii="Arial" w:eastAsia="Times New Roman" w:hAnsi="Arial"/>
          <w:color w:val="000000"/>
          <w:sz w:val="21"/>
          <w:szCs w:val="21"/>
          <w:lang w:eastAsia="es-ES"/>
        </w:rPr>
        <w:t xml:space="preserve"> Los hechos denunciados se concretaron en supuestas irregularidades en el desarrollo del proceso selectivo para la cobertura como personal funcionario de carrera, por el procedimiento de oposición libre, de una plaza de Ingeniero/a Industrial convocatoria 22/2016.</w:t>
      </w:r>
    </w:p>
    <w:p w14:paraId="01007563" w14:textId="056F43D4"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La denuncia no concreta la irregularidad en una determinada actuación administrativa del proceso de selección instruido por la Diputación de Valencia, únicamente manifiesta que el único aspirante que pasa a la realización del tercer ejercicio, de los contemplados en las bases de la convocatoria, es el funcionario interino que ocupaba el puesto objeto de la convocatoria 22/2016.</w:t>
      </w:r>
    </w:p>
    <w:p w14:paraId="762B7778" w14:textId="1889DDCE"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Tras la instrucción del oportuno procedimiento de investigación, en el que se efectuó el preceptivo trámite de audiencia a la administración denunciada, y del análisis del proceso selectivo se advirtieron determinadas irregularidades administrativas no invalidantes del procedimiento, las cuales no afectaron a trámites susceptibles de afectar a la nulidad ni a la anulabilidad de la actuación administrativa. Concluyéndose que las actuaciones formales desarrolladas por la Diputación de Valencia estuvieron en la línea de garantizar a los aspirantes el derecho fundamental de todos los ciudadanos de acceder al empleo público en las condiciones exigidas por nuestra Constitución, no advirtiéndose por esta Agencia ninguna prueba que evidenciase que se conculcaron los principios de igualdad, mérito y capacidad que deben inspirar el acceso a la función pública. </w:t>
      </w:r>
    </w:p>
    <w:p w14:paraId="4DAAE403" w14:textId="77777777" w:rsidR="004B7EE2"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Resultado:</w:t>
      </w:r>
      <w:r w:rsidRPr="00973028">
        <w:rPr>
          <w:rFonts w:ascii="Arial" w:eastAsia="Times New Roman" w:hAnsi="Arial"/>
          <w:color w:val="000000"/>
          <w:sz w:val="21"/>
          <w:szCs w:val="21"/>
          <w:lang w:eastAsia="es-ES"/>
        </w:rPr>
        <w:t xml:space="preserve"> Archivo del expediente. La Diputación de Valencia acepta las irregularidades no invalidantes advertidas por la Agencia en su informe provisional asumiéndolas como cambio necesario de cara a la tramitación de futuros procesos de selección. </w:t>
      </w:r>
      <w:bookmarkStart w:id="104" w:name="_Hlk63068892"/>
      <w:r w:rsidRPr="00973028">
        <w:rPr>
          <w:rFonts w:ascii="Arial" w:eastAsia="Times New Roman" w:hAnsi="Arial"/>
          <w:color w:val="000000"/>
          <w:sz w:val="21"/>
          <w:szCs w:val="21"/>
          <w:lang w:eastAsia="es-ES"/>
        </w:rPr>
        <w:t xml:space="preserve">No se abrió fase de seguimiento. </w:t>
      </w:r>
    </w:p>
    <w:p w14:paraId="365535A2" w14:textId="36F76F51"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Se puede consultar </w:t>
      </w:r>
      <w:hyperlink r:id="rId80" w:history="1">
        <w:r w:rsidR="00454255" w:rsidRPr="00454255">
          <w:rPr>
            <w:rStyle w:val="Hipervnculo"/>
            <w:rFonts w:ascii="Arial" w:eastAsia="Times New Roman" w:hAnsi="Arial"/>
            <w:sz w:val="21"/>
            <w:szCs w:val="21"/>
            <w:lang w:eastAsia="es-ES"/>
          </w:rPr>
          <w:t>aquí</w:t>
        </w:r>
      </w:hyperlink>
      <w:r w:rsidR="00454255">
        <w:rPr>
          <w:rFonts w:ascii="Arial" w:eastAsia="Times New Roman" w:hAnsi="Arial"/>
          <w:color w:val="000000"/>
          <w:sz w:val="21"/>
          <w:szCs w:val="21"/>
          <w:lang w:eastAsia="es-ES"/>
        </w:rPr>
        <w:t>.</w:t>
      </w:r>
      <w:bookmarkEnd w:id="104"/>
      <w:r w:rsidR="00454255">
        <w:rPr>
          <w:rFonts w:ascii="Arial" w:eastAsia="Times New Roman" w:hAnsi="Arial"/>
          <w:color w:val="000000"/>
          <w:sz w:val="21"/>
          <w:szCs w:val="21"/>
          <w:lang w:eastAsia="es-ES"/>
        </w:rPr>
        <w:t xml:space="preserve"> </w:t>
      </w:r>
    </w:p>
    <w:p w14:paraId="5B73E000" w14:textId="5DC28FCA"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Fase de seguimiento</w:t>
      </w:r>
      <w:r w:rsidRPr="00973028">
        <w:rPr>
          <w:rFonts w:ascii="Arial" w:eastAsia="Times New Roman" w:hAnsi="Arial"/>
          <w:color w:val="000000"/>
          <w:sz w:val="21"/>
          <w:szCs w:val="21"/>
          <w:lang w:eastAsia="es-ES"/>
        </w:rPr>
        <w:t>: No procede fase de seguimiento.</w:t>
      </w:r>
    </w:p>
    <w:p w14:paraId="5331CA37" w14:textId="21640562"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105" w:name="_Toc67646270"/>
      <w:r w:rsidRPr="00973028">
        <w:rPr>
          <w:rFonts w:ascii="Arial" w:eastAsia="Times New Roman" w:hAnsi="Arial" w:cs="Arial"/>
          <w:b/>
          <w:color w:val="9D2235"/>
          <w:sz w:val="28"/>
          <w:szCs w:val="28"/>
        </w:rPr>
        <w:t>Denominación: Diputación de Valencia</w:t>
      </w:r>
      <w:r w:rsidR="008A79F8">
        <w:rPr>
          <w:rFonts w:ascii="Arial" w:eastAsia="Times New Roman" w:hAnsi="Arial" w:cs="Arial"/>
          <w:b/>
          <w:color w:val="9D2235"/>
          <w:sz w:val="28"/>
          <w:szCs w:val="28"/>
        </w:rPr>
        <w:t>.</w:t>
      </w:r>
      <w:r w:rsidRPr="00973028">
        <w:rPr>
          <w:rFonts w:ascii="Arial" w:eastAsia="Times New Roman" w:hAnsi="Arial" w:cs="Arial"/>
          <w:b/>
          <w:color w:val="9D2235"/>
          <w:sz w:val="28"/>
          <w:szCs w:val="28"/>
        </w:rPr>
        <w:t xml:space="preserve"> Presunto fraccionamiento de facturas relativas a la contratación </w:t>
      </w:r>
      <w:r w:rsidRPr="00973028">
        <w:rPr>
          <w:rFonts w:ascii="Arial" w:eastAsia="Times New Roman" w:hAnsi="Arial" w:cs="Arial"/>
          <w:b/>
          <w:color w:val="9D2235"/>
          <w:sz w:val="28"/>
          <w:szCs w:val="28"/>
        </w:rPr>
        <w:lastRenderedPageBreak/>
        <w:t>del servicio de visitas guiadas a la exposición permanente en el Museu Valencià de la Il·lustració i de la Modernitat (MUVIM)</w:t>
      </w:r>
      <w:bookmarkEnd w:id="105"/>
    </w:p>
    <w:p w14:paraId="5CF2250A" w14:textId="53417FC8"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 xml:space="preserve">Expediente: </w:t>
      </w:r>
      <w:r w:rsidRPr="00973028">
        <w:rPr>
          <w:rFonts w:ascii="Arial" w:hAnsi="Arial"/>
          <w:sz w:val="21"/>
          <w:szCs w:val="21"/>
        </w:rPr>
        <w:t>2020/G01_01/000329</w:t>
      </w:r>
    </w:p>
    <w:p w14:paraId="6B31F32B" w14:textId="12D0090E" w:rsidR="002A47AA" w:rsidRPr="00973028" w:rsidRDefault="002A47AA" w:rsidP="002A47AA">
      <w:pPr>
        <w:spacing w:after="240" w:line="276" w:lineRule="auto"/>
        <w:jc w:val="both"/>
        <w:rPr>
          <w:rFonts w:ascii="Arial" w:hAnsi="Arial"/>
          <w:sz w:val="21"/>
          <w:szCs w:val="21"/>
        </w:rPr>
      </w:pPr>
      <w:r w:rsidRPr="00973028">
        <w:rPr>
          <w:rFonts w:ascii="Arial" w:hAnsi="Arial"/>
          <w:b/>
          <w:bCs/>
          <w:sz w:val="21"/>
          <w:szCs w:val="21"/>
        </w:rPr>
        <w:t xml:space="preserve">Descripción: </w:t>
      </w:r>
      <w:r w:rsidRPr="00973028">
        <w:rPr>
          <w:rFonts w:ascii="Arial" w:eastAsia="Times New Roman" w:hAnsi="Arial"/>
          <w:color w:val="000000"/>
          <w:sz w:val="21"/>
          <w:szCs w:val="21"/>
          <w:lang w:eastAsia="es-ES"/>
        </w:rPr>
        <w:t>Los hechos denunciados se concretaron en</w:t>
      </w:r>
      <w:r w:rsidRPr="00973028">
        <w:rPr>
          <w:rFonts w:ascii="Arial" w:hAnsi="Arial"/>
          <w:sz w:val="21"/>
          <w:szCs w:val="21"/>
        </w:rPr>
        <w:t xml:space="preserve"> posibles irregularidades en relación con el presunto fraccionamiento de facturas relativas a la contratación del servicio de visitas guiadas a la exposición permanente en el Museu Valencià de la Il·lustració i de la Modernitat (MUVIM).</w:t>
      </w:r>
    </w:p>
    <w:p w14:paraId="2B53ABD1" w14:textId="405DC888"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Mediante escrito de fecha 6 de junio de 2018 remitido a la Agencia firmado por el Letrado jefe de la asesoría Jurídica de la Diputación de Valencia, se hizo constar que por el Juzgado de Instrucción núm. 7 de Val</w:t>
      </w:r>
      <w:r w:rsidR="00982B72">
        <w:rPr>
          <w:rFonts w:ascii="Arial" w:hAnsi="Arial"/>
          <w:sz w:val="21"/>
          <w:szCs w:val="21"/>
        </w:rPr>
        <w:t>è</w:t>
      </w:r>
      <w:r w:rsidRPr="00973028">
        <w:rPr>
          <w:rFonts w:ascii="Arial" w:hAnsi="Arial"/>
          <w:sz w:val="21"/>
          <w:szCs w:val="21"/>
        </w:rPr>
        <w:t>ncia, se habían incoado Diligencias Previas, cuyo objeto es la investigación de los contratos referidos a la actividad de la Mercantil “Somnis, una fábrica de sueños, S.L.”, adjudicados por el museo de la Ilustración y de la modernidad (MUVIM), lo que motivó la adopción de una resolución de interrupción de actuaciones, de conformidad con el art. 5 de la Ley 11/2016, de 28 de noviembre, de la Generalitat.</w:t>
      </w:r>
    </w:p>
    <w:p w14:paraId="66E71A1D" w14:textId="35E6060D"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En fecha 4 de marzo de 2020 tuvo entrada Auto de Sobreseimiento Provisional (sin delito), recaído en las Diligencias Previas, considerando que no es ilícita la contratación de empresas externas para el servicio de visitas guiadas a la exposición permanente del MUVIM por medio de actores-mimo, al admitir su fraccionamiento, pues dicha exposición es susceptible de utilización o aprovechamiento separado y no constituyen una unidad funcional.</w:t>
      </w:r>
    </w:p>
    <w:p w14:paraId="53314613" w14:textId="54830400"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Por todo ello, y en base a lo establecido en el art. 5 de la Ley 11/2016, la Agencia resolvió en el mismo sentido de la vinculación de hechos expresada en el orden penal, sin que pueda resolver cuestiones investigadas y ya resueltas en dicha jurisdicción, por lo que no procedía valorar nuevamente los hechos probados y calificados por la jurisdicción penal.</w:t>
      </w:r>
    </w:p>
    <w:p w14:paraId="2821CF67" w14:textId="77777777" w:rsidR="004B7EE2"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hAnsi="Arial"/>
          <w:b/>
          <w:bCs/>
          <w:sz w:val="21"/>
          <w:szCs w:val="21"/>
        </w:rPr>
        <w:t xml:space="preserve">Resultado: </w:t>
      </w:r>
      <w:r w:rsidRPr="00973028">
        <w:rPr>
          <w:rFonts w:ascii="Arial" w:hAnsi="Arial"/>
          <w:sz w:val="21"/>
          <w:szCs w:val="21"/>
        </w:rPr>
        <w:t xml:space="preserve">Archivo del expediente. </w:t>
      </w:r>
      <w:r w:rsidRPr="00973028">
        <w:rPr>
          <w:rFonts w:ascii="Arial" w:eastAsia="Times New Roman" w:hAnsi="Arial"/>
          <w:color w:val="000000"/>
          <w:sz w:val="21"/>
          <w:szCs w:val="21"/>
          <w:lang w:eastAsia="es-ES"/>
        </w:rPr>
        <w:t xml:space="preserve">No se abrió fase de seguimiento. </w:t>
      </w:r>
    </w:p>
    <w:p w14:paraId="2F5979B3" w14:textId="2D9041B3"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Se puede consultar </w:t>
      </w:r>
      <w:hyperlink r:id="rId81" w:history="1">
        <w:r w:rsidR="00454255" w:rsidRPr="00454255">
          <w:rPr>
            <w:rStyle w:val="Hipervnculo"/>
            <w:rFonts w:ascii="Arial" w:eastAsia="Times New Roman" w:hAnsi="Arial"/>
            <w:sz w:val="21"/>
            <w:szCs w:val="21"/>
            <w:lang w:eastAsia="es-ES"/>
          </w:rPr>
          <w:t>aquí.</w:t>
        </w:r>
      </w:hyperlink>
    </w:p>
    <w:p w14:paraId="56F3E503" w14:textId="34BC19F6" w:rsidR="002A47AA" w:rsidRPr="00973028" w:rsidRDefault="002A47AA" w:rsidP="002A47AA">
      <w:pPr>
        <w:spacing w:after="240" w:line="276" w:lineRule="auto"/>
        <w:jc w:val="both"/>
        <w:rPr>
          <w:rFonts w:ascii="Arial" w:eastAsia="Times New Roman" w:hAnsi="Arial"/>
          <w:color w:val="000000"/>
          <w:sz w:val="21"/>
          <w:szCs w:val="21"/>
          <w:lang w:eastAsia="es-ES"/>
        </w:rPr>
      </w:pPr>
      <w:bookmarkStart w:id="106" w:name="_Hlk63077844"/>
      <w:r w:rsidRPr="00973028">
        <w:rPr>
          <w:rFonts w:ascii="Arial" w:hAnsi="Arial"/>
          <w:b/>
          <w:bCs/>
          <w:sz w:val="21"/>
          <w:szCs w:val="21"/>
        </w:rPr>
        <w:t xml:space="preserve">Fase de Seguimiento: </w:t>
      </w:r>
      <w:r w:rsidRPr="00973028">
        <w:rPr>
          <w:rFonts w:ascii="Arial" w:eastAsia="Times New Roman" w:hAnsi="Arial"/>
          <w:color w:val="000000"/>
          <w:sz w:val="21"/>
          <w:szCs w:val="21"/>
          <w:lang w:eastAsia="es-ES"/>
        </w:rPr>
        <w:t>No procede fase de seguimiento.</w:t>
      </w:r>
      <w:bookmarkEnd w:id="106"/>
    </w:p>
    <w:p w14:paraId="188988E3" w14:textId="1B7BF7E6"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107" w:name="_Toc67646271"/>
      <w:r w:rsidRPr="00973028">
        <w:rPr>
          <w:rFonts w:ascii="Arial" w:eastAsia="Times New Roman" w:hAnsi="Arial" w:cs="Arial"/>
          <w:b/>
          <w:color w:val="9D2235"/>
          <w:sz w:val="28"/>
          <w:szCs w:val="28"/>
        </w:rPr>
        <w:t>Denominación: Instituto de Medicina Legal de Valencia. Prácticas irregulares en los servicios sanitarios mortuorios</w:t>
      </w:r>
      <w:bookmarkEnd w:id="107"/>
    </w:p>
    <w:p w14:paraId="304F8B5F" w14:textId="4ADA5A45"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Expediente:</w:t>
      </w:r>
      <w:r w:rsidRPr="00973028">
        <w:rPr>
          <w:rFonts w:ascii="Arial" w:eastAsia="Times New Roman" w:hAnsi="Arial"/>
          <w:color w:val="000000"/>
          <w:sz w:val="21"/>
          <w:szCs w:val="21"/>
          <w:lang w:eastAsia="es-ES"/>
        </w:rPr>
        <w:t xml:space="preserve"> 2020/G01_01/00011 </w:t>
      </w:r>
    </w:p>
    <w:p w14:paraId="5D7E643D" w14:textId="77777777" w:rsidR="00B133EC"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Descripción:</w:t>
      </w:r>
      <w:r w:rsidRPr="00973028">
        <w:rPr>
          <w:rFonts w:ascii="Arial" w:eastAsia="Times New Roman" w:hAnsi="Arial"/>
          <w:color w:val="000000"/>
          <w:sz w:val="21"/>
          <w:szCs w:val="21"/>
          <w:lang w:eastAsia="es-ES"/>
        </w:rPr>
        <w:t xml:space="preserve"> Los hechos denunciados se concretaron en: </w:t>
      </w:r>
    </w:p>
    <w:p w14:paraId="68277530" w14:textId="77777777" w:rsidR="00B133EC" w:rsidRPr="00973028" w:rsidRDefault="002A47AA" w:rsidP="00C76D42">
      <w:pPr>
        <w:pStyle w:val="Prrafodelista"/>
        <w:numPr>
          <w:ilvl w:val="0"/>
          <w:numId w:val="47"/>
        </w:numPr>
        <w:spacing w:after="12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lastRenderedPageBreak/>
        <w:t xml:space="preserve">La organización desigual de los turnos de guardia en el Instituto Médico Legal de Valencia, </w:t>
      </w:r>
    </w:p>
    <w:p w14:paraId="1FDBA044" w14:textId="2E526073" w:rsidR="00B133EC" w:rsidRPr="00973028" w:rsidRDefault="002A47AA" w:rsidP="00C76D42">
      <w:pPr>
        <w:pStyle w:val="Prrafodelista"/>
        <w:numPr>
          <w:ilvl w:val="0"/>
          <w:numId w:val="47"/>
        </w:numPr>
        <w:spacing w:after="12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La emisión y cobro irregular del certificado médico para la incineración de cadáveres judiciales/no judiciales, </w:t>
      </w:r>
    </w:p>
    <w:p w14:paraId="64D51BF4" w14:textId="79177DF1" w:rsidR="00B133EC" w:rsidRPr="00973028" w:rsidRDefault="002A47AA" w:rsidP="00C76D42">
      <w:pPr>
        <w:pStyle w:val="Prrafodelista"/>
        <w:numPr>
          <w:ilvl w:val="0"/>
          <w:numId w:val="47"/>
        </w:numPr>
        <w:spacing w:after="12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La realización y cobro irregular de tratamientos de conservación y otras prácticas en cadáveres judiciales/no judiciales, </w:t>
      </w:r>
    </w:p>
    <w:p w14:paraId="797FB94A" w14:textId="6A9A2CC2" w:rsidR="00B133EC" w:rsidRPr="00973028" w:rsidRDefault="002A47AA" w:rsidP="00C76D42">
      <w:pPr>
        <w:pStyle w:val="Prrafodelista"/>
        <w:numPr>
          <w:ilvl w:val="0"/>
          <w:numId w:val="47"/>
        </w:numPr>
        <w:spacing w:after="12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La tarifa que la concesionaria del Tanatorio Municipal cobra a las funerarias y</w:t>
      </w:r>
    </w:p>
    <w:p w14:paraId="76A27A60" w14:textId="1DE76349" w:rsidR="002A47AA" w:rsidRPr="00973028" w:rsidRDefault="002A47AA" w:rsidP="00C76D42">
      <w:pPr>
        <w:pStyle w:val="Prrafodelista"/>
        <w:numPr>
          <w:ilvl w:val="0"/>
          <w:numId w:val="47"/>
        </w:numPr>
        <w:spacing w:after="12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El espacio cedido por el Ayuntamiento de Val</w:t>
      </w:r>
      <w:r w:rsidR="00454255">
        <w:rPr>
          <w:rFonts w:ascii="Arial" w:eastAsia="Times New Roman" w:hAnsi="Arial"/>
          <w:color w:val="000000"/>
          <w:sz w:val="21"/>
          <w:szCs w:val="21"/>
          <w:lang w:eastAsia="es-ES"/>
        </w:rPr>
        <w:t>è</w:t>
      </w:r>
      <w:r w:rsidRPr="00973028">
        <w:rPr>
          <w:rFonts w:ascii="Arial" w:eastAsia="Times New Roman" w:hAnsi="Arial"/>
          <w:color w:val="000000"/>
          <w:sz w:val="21"/>
          <w:szCs w:val="21"/>
          <w:lang w:eastAsia="es-ES"/>
        </w:rPr>
        <w:t>ncia al Instituto Médico Legal de Valencia en el Tanatorio Municipal.</w:t>
      </w:r>
    </w:p>
    <w:p w14:paraId="2058D4D9" w14:textId="77777777" w:rsidR="00B133EC"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Tras la instrucción del oportuno procedimiento de investigación, en el que se efectuó el preceptivo trámite de audiencia a la administración denunciada, se evidenció: </w:t>
      </w:r>
    </w:p>
    <w:p w14:paraId="05F8442E" w14:textId="77777777" w:rsidR="00B133EC" w:rsidRPr="00973028" w:rsidRDefault="002A47AA" w:rsidP="00C76D42">
      <w:pPr>
        <w:pStyle w:val="Prrafodelista"/>
        <w:numPr>
          <w:ilvl w:val="0"/>
          <w:numId w:val="48"/>
        </w:numPr>
        <w:spacing w:after="12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En relación con el “certificado de incineración” que su exigencia y cobro no tenía respaldo normativo en la legislación sanitaria mortuoria de la Comunitat Valenciana, en el caso de cadáveres judiciales, además carece de todo sentido, al tratarse de cadáveres que han sido sometidos preceptivamente a una previa autopsia, </w:t>
      </w:r>
    </w:p>
    <w:p w14:paraId="7D27F3CE" w14:textId="77777777" w:rsidR="00B133EC" w:rsidRPr="00973028" w:rsidRDefault="002A47AA" w:rsidP="00C76D42">
      <w:pPr>
        <w:pStyle w:val="Prrafodelista"/>
        <w:numPr>
          <w:ilvl w:val="0"/>
          <w:numId w:val="48"/>
        </w:numPr>
        <w:spacing w:after="12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El reparto de guardias en el Instituto de Medicina Legal de Valencia, sí que guarda una relación estadística clara con la expedición de los “certificados de incineración”, </w:t>
      </w:r>
    </w:p>
    <w:p w14:paraId="003531F0" w14:textId="77777777" w:rsidR="00B133EC" w:rsidRPr="00973028" w:rsidRDefault="002A47AA" w:rsidP="00C76D42">
      <w:pPr>
        <w:pStyle w:val="Prrafodelista"/>
        <w:numPr>
          <w:ilvl w:val="0"/>
          <w:numId w:val="48"/>
        </w:numPr>
        <w:spacing w:after="12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En relación con la realización irregular de los “tratamientos de conservación transitoria” quedó acreditado que su práctica excedía de los supuestos legales que vienen establecidos por la normativa y generó el cobro de unas cantidades indebidas por estas actividades privadas que realizaba el personal público del IML y </w:t>
      </w:r>
    </w:p>
    <w:p w14:paraId="20E05A0D" w14:textId="0E2D702D" w:rsidR="002A47AA" w:rsidRPr="00973028" w:rsidRDefault="002A47AA" w:rsidP="00C76D42">
      <w:pPr>
        <w:pStyle w:val="Prrafodelista"/>
        <w:numPr>
          <w:ilvl w:val="0"/>
          <w:numId w:val="48"/>
        </w:numPr>
        <w:spacing w:after="24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Se realizaban por funcionarios del IML otras actividades en cadáveres judiciales (depósito del cadáver, vestida) con costes adicionales.</w:t>
      </w:r>
    </w:p>
    <w:p w14:paraId="1089220A" w14:textId="77777777" w:rsidR="004B7EE2"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Resultado:</w:t>
      </w:r>
      <w:r w:rsidRPr="00973028">
        <w:rPr>
          <w:rFonts w:ascii="Arial" w:eastAsia="Times New Roman" w:hAnsi="Arial"/>
          <w:color w:val="000000"/>
          <w:sz w:val="21"/>
          <w:szCs w:val="21"/>
          <w:lang w:eastAsia="es-ES"/>
        </w:rPr>
        <w:t xml:space="preserve"> La Inspección General de Servicios de la GVA previamente había realizado tareas de inspección, elevando recomendaciones que acreditaban la eliminación de las actividades irregulares que se venían ejecutando en el IML. La Agencia finalizó el expediente formulando unas recomendaciones a la Conselleria de Justicia, Interior y Administraciones Públicas e instándole a que realice un seguimiento periódico encaminado a que las irregularidades descritas no se repitan en el futuro, archivando el expediente y abriendo la fase de seguimiento. </w:t>
      </w:r>
    </w:p>
    <w:p w14:paraId="37C56A1E" w14:textId="7411D6F9"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Se puede consultar </w:t>
      </w:r>
      <w:hyperlink r:id="rId82" w:history="1">
        <w:r w:rsidR="00454255" w:rsidRPr="00454255">
          <w:rPr>
            <w:rStyle w:val="Hipervnculo"/>
            <w:rFonts w:ascii="Arial" w:eastAsia="Times New Roman" w:hAnsi="Arial"/>
            <w:sz w:val="21"/>
            <w:szCs w:val="21"/>
            <w:lang w:eastAsia="es-ES"/>
          </w:rPr>
          <w:t>aquí</w:t>
        </w:r>
      </w:hyperlink>
      <w:r w:rsidR="00454255">
        <w:rPr>
          <w:rFonts w:ascii="Arial" w:eastAsia="Times New Roman" w:hAnsi="Arial"/>
          <w:color w:val="000000"/>
          <w:sz w:val="21"/>
          <w:szCs w:val="21"/>
          <w:lang w:eastAsia="es-ES"/>
        </w:rPr>
        <w:t>.</w:t>
      </w:r>
      <w:r w:rsidRPr="00973028">
        <w:rPr>
          <w:rFonts w:ascii="Arial" w:eastAsia="Times New Roman" w:hAnsi="Arial"/>
          <w:color w:val="000000"/>
          <w:sz w:val="21"/>
          <w:szCs w:val="21"/>
          <w:lang w:eastAsia="es-ES"/>
        </w:rPr>
        <w:t xml:space="preserve"> </w:t>
      </w:r>
    </w:p>
    <w:p w14:paraId="22E2352C" w14:textId="7777777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 xml:space="preserve">Fase de seguimiento: </w:t>
      </w:r>
      <w:r w:rsidRPr="00973028">
        <w:rPr>
          <w:rFonts w:ascii="Arial" w:eastAsia="Times New Roman" w:hAnsi="Arial"/>
          <w:color w:val="000000"/>
          <w:sz w:val="21"/>
          <w:szCs w:val="21"/>
          <w:lang w:eastAsia="es-ES"/>
        </w:rPr>
        <w:t xml:space="preserve">Pendiente de la remisión por la Conselleria de Justicia, Interior y Administraciones Públicas del escrito que acredite el cumplimiento de las recomendaciones formuladas. </w:t>
      </w:r>
    </w:p>
    <w:p w14:paraId="45948052" w14:textId="39D4598F"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108" w:name="_Toc67646272"/>
      <w:r w:rsidRPr="00973028">
        <w:rPr>
          <w:rFonts w:ascii="Arial" w:eastAsia="Times New Roman" w:hAnsi="Arial" w:cs="Arial"/>
          <w:b/>
          <w:color w:val="9D2235"/>
          <w:sz w:val="28"/>
          <w:szCs w:val="28"/>
        </w:rPr>
        <w:t>Denominación: Empresa Municipal de Transportes (S.A.U)</w:t>
      </w:r>
      <w:r w:rsidR="008A79F8">
        <w:rPr>
          <w:rFonts w:ascii="Arial" w:eastAsia="Times New Roman" w:hAnsi="Arial" w:cs="Arial"/>
          <w:b/>
          <w:color w:val="9D2235"/>
          <w:sz w:val="28"/>
          <w:szCs w:val="28"/>
        </w:rPr>
        <w:t xml:space="preserve">. </w:t>
      </w:r>
      <w:r w:rsidRPr="00973028">
        <w:rPr>
          <w:rFonts w:ascii="Arial" w:eastAsia="Times New Roman" w:hAnsi="Arial" w:cs="Arial"/>
          <w:b/>
          <w:color w:val="9D2235"/>
          <w:sz w:val="28"/>
          <w:szCs w:val="28"/>
        </w:rPr>
        <w:t>Constitución de una bolsa de conductores</w:t>
      </w:r>
      <w:bookmarkEnd w:id="108"/>
    </w:p>
    <w:p w14:paraId="7171B617" w14:textId="7777777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Expediente:</w:t>
      </w:r>
      <w:r w:rsidRPr="00973028">
        <w:rPr>
          <w:rFonts w:ascii="Arial" w:eastAsia="Times New Roman" w:hAnsi="Arial"/>
          <w:color w:val="000000"/>
          <w:sz w:val="21"/>
          <w:szCs w:val="21"/>
          <w:lang w:eastAsia="es-ES"/>
        </w:rPr>
        <w:t xml:space="preserve"> 2020/G01_01/000020</w:t>
      </w:r>
    </w:p>
    <w:p w14:paraId="2F26A149" w14:textId="7777777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lastRenderedPageBreak/>
        <w:t>Descripción:</w:t>
      </w:r>
      <w:r w:rsidRPr="00973028">
        <w:rPr>
          <w:rFonts w:ascii="Arial" w:eastAsia="Times New Roman" w:hAnsi="Arial"/>
          <w:color w:val="000000"/>
          <w:sz w:val="21"/>
          <w:szCs w:val="21"/>
          <w:lang w:eastAsia="es-ES"/>
        </w:rPr>
        <w:t xml:space="preserve"> Los hechos denunciados se concretaron en que se han admitido aspirantes que no habían presentado certificado sellado oficial de la Dirección General de Tráfico relativo a los puntos del carnet de conducir, requisito preceptivo según el apartado 2.4 de las Bases de la Convocatoria.</w:t>
      </w:r>
    </w:p>
    <w:p w14:paraId="22A794B6" w14:textId="7777777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Tras el estudio de la documentación, se concluye que:</w:t>
      </w:r>
    </w:p>
    <w:p w14:paraId="4233F95B" w14:textId="674D7C5D" w:rsidR="002A47AA" w:rsidRPr="00973028" w:rsidRDefault="002A47AA" w:rsidP="00C76D42">
      <w:pPr>
        <w:pStyle w:val="Prrafodelista"/>
        <w:numPr>
          <w:ilvl w:val="0"/>
          <w:numId w:val="49"/>
        </w:numPr>
        <w:spacing w:after="12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Durante el plazo establecido para la presentación de instancias para participar en el proceso selectivo objeto de la investigación, respecto a la acreditación de los puntos del carnet de conducir, numerosos candidatos trasladaron la imposibilidad de obtener cita en las oficinas de la DGT debido al colapso de las mismas. Debido a la relevancia de este aspecto y ante la previsible imposibilidad de la presentación de instancias en tiempo y forma, se flexibilizó el método de acreditación de este requisito, admitiendo certificados digitales o pantallazos de la propia página de la DGT. Según los responsables de la EMT, esta flexibilización fue de carácter temporal, constando en el expediente de todos los aspirantes que se han ido incorporando a la empresa el documento original que acredita el cumplimiento de dicho requisito.</w:t>
      </w:r>
    </w:p>
    <w:p w14:paraId="5EF1EE00" w14:textId="63D8F789" w:rsidR="002A47AA" w:rsidRPr="00973028" w:rsidRDefault="002A47AA" w:rsidP="00C76D42">
      <w:pPr>
        <w:pStyle w:val="Prrafodelista"/>
        <w:numPr>
          <w:ilvl w:val="0"/>
          <w:numId w:val="49"/>
        </w:numPr>
        <w:autoSpaceDE w:val="0"/>
        <w:autoSpaceDN w:val="0"/>
        <w:adjustRightInd w:val="0"/>
        <w:spacing w:after="12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Por parte del Servicio de Personal del Ayuntamiento de Val</w:t>
      </w:r>
      <w:r w:rsidR="00454255">
        <w:rPr>
          <w:rFonts w:ascii="Arial" w:eastAsia="Times New Roman" w:hAnsi="Arial"/>
          <w:color w:val="000000"/>
          <w:sz w:val="21"/>
          <w:szCs w:val="21"/>
          <w:lang w:eastAsia="es-ES"/>
        </w:rPr>
        <w:t>è</w:t>
      </w:r>
      <w:r w:rsidRPr="00973028">
        <w:rPr>
          <w:rFonts w:ascii="Arial" w:eastAsia="Times New Roman" w:hAnsi="Arial"/>
          <w:color w:val="000000"/>
          <w:sz w:val="21"/>
          <w:szCs w:val="21"/>
          <w:lang w:eastAsia="es-ES"/>
        </w:rPr>
        <w:t>ncia no se procedió a emitir informe en relación con este cambio de criterio al no ser considerado por la EMT, responsable del desarrollo del proceso selectivo, una modificación de las bases del proceso selectivo.</w:t>
      </w:r>
    </w:p>
    <w:p w14:paraId="13AEC626" w14:textId="31152D05" w:rsidR="002A47AA" w:rsidRPr="00973028" w:rsidRDefault="002A47AA" w:rsidP="00C76D42">
      <w:pPr>
        <w:pStyle w:val="Prrafodelista"/>
        <w:numPr>
          <w:ilvl w:val="0"/>
          <w:numId w:val="49"/>
        </w:numPr>
        <w:autoSpaceDE w:val="0"/>
        <w:autoSpaceDN w:val="0"/>
        <w:adjustRightInd w:val="0"/>
        <w:spacing w:after="24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Por parte de la EMT y la UTE Equipo Humano no se procedió a dejar constancia por escrito de las comunicaciones producidas como consecuencia de este cambio de criterio, incumpliendo con ello lo establecido en el contrato de servicios firmado por las partes.</w:t>
      </w:r>
    </w:p>
    <w:p w14:paraId="3693C88D" w14:textId="77777777" w:rsidR="004B7EE2" w:rsidRPr="00973028" w:rsidRDefault="002A47AA" w:rsidP="002A47AA">
      <w:pPr>
        <w:autoSpaceDE w:val="0"/>
        <w:autoSpaceDN w:val="0"/>
        <w:adjustRightInd w:val="0"/>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Resultado:</w:t>
      </w:r>
      <w:r w:rsidRPr="00973028">
        <w:rPr>
          <w:rFonts w:ascii="Arial" w:eastAsia="Times New Roman" w:hAnsi="Arial"/>
          <w:color w:val="000000"/>
          <w:sz w:val="21"/>
          <w:szCs w:val="21"/>
          <w:lang w:eastAsia="es-ES"/>
        </w:rPr>
        <w:t xml:space="preserve"> Se procede al archivo del expediente recomendando a la Empresa Municipal de Transportes, S.A.U, que en futuros expedientes administrativos en los que se proceda a contratar a un tercero colaborador en la gestión de estos, se deje constancia por escrito de cualquier comunicación que suponga la interpretación de la aplicación de la normativa aplicable al expediente en cuestión, o la toma de una decisión que afecte al desarrollo de dicho expediente. </w:t>
      </w:r>
    </w:p>
    <w:p w14:paraId="6342AD49" w14:textId="512F8900" w:rsidR="002A47AA" w:rsidRPr="00973028" w:rsidRDefault="002A47AA" w:rsidP="002A47AA">
      <w:pPr>
        <w:autoSpaceDE w:val="0"/>
        <w:autoSpaceDN w:val="0"/>
        <w:adjustRightInd w:val="0"/>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Se puede consultar</w:t>
      </w:r>
      <w:r w:rsidR="004B7EE2" w:rsidRPr="00973028">
        <w:rPr>
          <w:rFonts w:ascii="Arial" w:eastAsia="Times New Roman" w:hAnsi="Arial"/>
          <w:color w:val="000000"/>
          <w:sz w:val="21"/>
          <w:szCs w:val="21"/>
          <w:lang w:eastAsia="es-ES"/>
        </w:rPr>
        <w:t xml:space="preserve"> </w:t>
      </w:r>
      <w:hyperlink r:id="rId83" w:history="1">
        <w:r w:rsidR="00454255" w:rsidRPr="00454255">
          <w:rPr>
            <w:rStyle w:val="Hipervnculo"/>
            <w:rFonts w:ascii="Arial" w:eastAsia="Times New Roman" w:hAnsi="Arial"/>
            <w:sz w:val="21"/>
            <w:szCs w:val="21"/>
            <w:lang w:eastAsia="es-ES"/>
          </w:rPr>
          <w:t>aquí</w:t>
        </w:r>
      </w:hyperlink>
      <w:r w:rsidR="00454255">
        <w:rPr>
          <w:rFonts w:ascii="Arial" w:eastAsia="Times New Roman" w:hAnsi="Arial"/>
          <w:color w:val="000000"/>
          <w:sz w:val="21"/>
          <w:szCs w:val="21"/>
          <w:lang w:eastAsia="es-ES"/>
        </w:rPr>
        <w:t>.</w:t>
      </w:r>
    </w:p>
    <w:p w14:paraId="4BC40D85" w14:textId="2E0356B4"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hAnsi="Arial"/>
          <w:b/>
          <w:bCs/>
          <w:sz w:val="21"/>
          <w:szCs w:val="21"/>
        </w:rPr>
        <w:t xml:space="preserve">Fase de Seguimiento: </w:t>
      </w:r>
      <w:r w:rsidRPr="00973028">
        <w:rPr>
          <w:rFonts w:ascii="Arial" w:eastAsia="Times New Roman" w:hAnsi="Arial"/>
          <w:color w:val="000000"/>
          <w:sz w:val="21"/>
          <w:szCs w:val="21"/>
          <w:lang w:eastAsia="es-ES"/>
        </w:rPr>
        <w:t>No procede fase de seguimiento.</w:t>
      </w:r>
    </w:p>
    <w:p w14:paraId="4340B589" w14:textId="51C30316"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109" w:name="_Toc67646273"/>
      <w:r w:rsidRPr="00973028">
        <w:rPr>
          <w:rFonts w:ascii="Arial" w:eastAsia="Times New Roman" w:hAnsi="Arial" w:cs="Arial"/>
          <w:b/>
          <w:color w:val="9D2235"/>
          <w:sz w:val="28"/>
          <w:szCs w:val="28"/>
        </w:rPr>
        <w:t>Denominación: Suma Gestión Tributaria Diputación de Alicante</w:t>
      </w:r>
      <w:r w:rsidR="00454255">
        <w:rPr>
          <w:rFonts w:ascii="Arial" w:eastAsia="Times New Roman" w:hAnsi="Arial" w:cs="Arial"/>
          <w:b/>
          <w:color w:val="9D2235"/>
          <w:sz w:val="28"/>
          <w:szCs w:val="28"/>
        </w:rPr>
        <w:t>.</w:t>
      </w:r>
      <w:r w:rsidRPr="00973028">
        <w:rPr>
          <w:rFonts w:ascii="Arial" w:eastAsia="Times New Roman" w:hAnsi="Arial" w:cs="Arial"/>
          <w:b/>
          <w:color w:val="9D2235"/>
          <w:sz w:val="28"/>
          <w:szCs w:val="28"/>
        </w:rPr>
        <w:t xml:space="preserve"> Irregularidades en material contractual, contratos menores</w:t>
      </w:r>
      <w:bookmarkEnd w:id="109"/>
    </w:p>
    <w:p w14:paraId="0AFF567E" w14:textId="22A599FD" w:rsidR="002A47AA" w:rsidRPr="00973028" w:rsidRDefault="002A47AA" w:rsidP="002A47AA">
      <w:pPr>
        <w:spacing w:after="240" w:line="276" w:lineRule="auto"/>
        <w:jc w:val="both"/>
        <w:rPr>
          <w:rFonts w:ascii="Arial" w:eastAsia="Times New Roman" w:hAnsi="Arial"/>
          <w:b/>
          <w:bCs/>
          <w:color w:val="000000"/>
          <w:sz w:val="21"/>
          <w:szCs w:val="21"/>
          <w:lang w:eastAsia="es-ES"/>
        </w:rPr>
      </w:pPr>
      <w:r w:rsidRPr="00973028">
        <w:rPr>
          <w:rFonts w:ascii="Arial" w:eastAsia="Times New Roman" w:hAnsi="Arial"/>
          <w:b/>
          <w:bCs/>
          <w:color w:val="000000"/>
          <w:sz w:val="21"/>
          <w:szCs w:val="21"/>
          <w:lang w:eastAsia="es-ES"/>
        </w:rPr>
        <w:t>Expediente</w:t>
      </w:r>
      <w:r w:rsidRPr="00973028">
        <w:rPr>
          <w:rFonts w:ascii="Arial" w:eastAsia="Times New Roman" w:hAnsi="Arial"/>
          <w:color w:val="000000"/>
          <w:sz w:val="21"/>
          <w:szCs w:val="21"/>
          <w:lang w:eastAsia="es-ES"/>
        </w:rPr>
        <w:t>: 2020/G01_01/000137</w:t>
      </w:r>
    </w:p>
    <w:p w14:paraId="73B1BAE9" w14:textId="46113A7A"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lastRenderedPageBreak/>
        <w:t>Descripción:</w:t>
      </w:r>
      <w:r w:rsidRPr="00973028">
        <w:rPr>
          <w:rFonts w:ascii="Arial" w:eastAsia="Times New Roman" w:hAnsi="Arial"/>
          <w:color w:val="000000"/>
          <w:sz w:val="21"/>
          <w:szCs w:val="21"/>
          <w:lang w:eastAsia="es-ES"/>
        </w:rPr>
        <w:t xml:space="preserve"> Los hechos denunciados contra el organismo autónomo de la Diputación Provincial de Alicante SUMA Gestión Tributaria, se concretaron en posibles irregularidades en la contratación de servicios de catering para diferentes eventos.</w:t>
      </w:r>
    </w:p>
    <w:p w14:paraId="045C816C" w14:textId="77777777" w:rsidR="002A47AA" w:rsidRPr="00973028" w:rsidRDefault="002A47AA" w:rsidP="002A47AA">
      <w:pPr>
        <w:pStyle w:val="Standard"/>
        <w:spacing w:after="240" w:line="276" w:lineRule="auto"/>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Tras el estudio en detalle de la totalidad de la documentación y, tras las alegaciones presentadas por la entidad SUMA Gestión Tributaria, se concluye que:</w:t>
      </w:r>
    </w:p>
    <w:p w14:paraId="3607AFAB" w14:textId="2F8C9005" w:rsidR="002A47AA" w:rsidRPr="00973028" w:rsidRDefault="002A47AA" w:rsidP="00C76D42">
      <w:pPr>
        <w:pStyle w:val="Standard"/>
        <w:numPr>
          <w:ilvl w:val="0"/>
          <w:numId w:val="50"/>
        </w:numPr>
        <w:spacing w:after="120" w:line="276" w:lineRule="auto"/>
        <w:ind w:left="714" w:hanging="357"/>
        <w:jc w:val="both"/>
        <w:textAlignment w:val="auto"/>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Son significativas las fechas de tramitación de los contratos menores investigados en relación con la fecha de realización de los eventos y los objetos de los mismos, dado que entre las fechas de las adjudicaciones a las mercantiles que van a prestar el servicio y la prestación efectiva del mismo transcurren en ocasiones apenas 24 horas.</w:t>
      </w:r>
    </w:p>
    <w:p w14:paraId="55ED1B97" w14:textId="20AFC7E7" w:rsidR="002A47AA" w:rsidRPr="00973028" w:rsidRDefault="002A47AA" w:rsidP="00C76D42">
      <w:pPr>
        <w:pStyle w:val="Standard"/>
        <w:numPr>
          <w:ilvl w:val="0"/>
          <w:numId w:val="50"/>
        </w:numPr>
        <w:spacing w:after="120" w:line="276" w:lineRule="auto"/>
        <w:ind w:left="714" w:hanging="357"/>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En relación con el posible fraccionamiento del objeto del contrato de servicio de catering por parte de SUMA Gestión Tributaria, los contratos menores adjudicados a cada una de las mercantiles tienen objetos distintos, independientes entre sí, sin que exista vínculo operativo entre las prestaciones efectuadas. Son, por lo tanto, cualitativamente diferentes; cada prestación constituye un objeto propio y completo y no existe un fraccionamiento del objeto del contrato para intentar eludir las normas de contratación establecidas en la legislación vigente en cada momento.</w:t>
      </w:r>
    </w:p>
    <w:p w14:paraId="687E9273" w14:textId="4C8CAAB1" w:rsidR="002A47AA" w:rsidRPr="00973028" w:rsidRDefault="002A47AA" w:rsidP="00C76D42">
      <w:pPr>
        <w:pStyle w:val="Standard"/>
        <w:numPr>
          <w:ilvl w:val="0"/>
          <w:numId w:val="50"/>
        </w:numPr>
        <w:spacing w:after="240" w:line="276" w:lineRule="auto"/>
        <w:ind w:left="714" w:hanging="357"/>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Aunque ha quedado acreditado que existe relación entre las tres mercantiles contratadas por SUMA Gestión Tributaria para la prestación de los servicios de catering (Murri Restauración S.L, Lamarr Alicante, S.L.U y Eventos Los Casales, S.A., pertenecientes las tres al mismo grupo empresarial, Promociones Azarbe, S.A), ello no supone un impedimento a la hora de suscribir los contratos investigados, ya que el objeto de cada uno de ellos constituye una única unidad funcional desde el punto de vista técnico y económico.</w:t>
      </w:r>
    </w:p>
    <w:p w14:paraId="27C19D0B" w14:textId="77777777" w:rsidR="004B7EE2"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Resultado:</w:t>
      </w:r>
      <w:r w:rsidRPr="00973028">
        <w:rPr>
          <w:rFonts w:ascii="Arial" w:eastAsia="Times New Roman" w:hAnsi="Arial"/>
          <w:color w:val="000000"/>
          <w:sz w:val="21"/>
          <w:szCs w:val="21"/>
          <w:lang w:eastAsia="es-ES"/>
        </w:rPr>
        <w:t xml:space="preserve"> </w:t>
      </w:r>
      <w:r w:rsidRPr="00973028">
        <w:rPr>
          <w:rFonts w:ascii="Arial" w:hAnsi="Arial"/>
          <w:sz w:val="21"/>
          <w:szCs w:val="21"/>
        </w:rPr>
        <w:t xml:space="preserve">Archivo del expediente, </w:t>
      </w:r>
      <w:r w:rsidRPr="00973028">
        <w:rPr>
          <w:rFonts w:ascii="Arial" w:eastAsia="Times New Roman" w:hAnsi="Arial"/>
          <w:color w:val="000000"/>
          <w:sz w:val="21"/>
          <w:szCs w:val="21"/>
          <w:lang w:eastAsia="es-ES"/>
        </w:rPr>
        <w:t xml:space="preserve">no se abrió fase de seguimiento. </w:t>
      </w:r>
    </w:p>
    <w:p w14:paraId="598E28B9" w14:textId="6654BEFB"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Se puede consultar </w:t>
      </w:r>
      <w:hyperlink r:id="rId84" w:history="1">
        <w:r w:rsidR="00454255" w:rsidRPr="00454255">
          <w:rPr>
            <w:rStyle w:val="Hipervnculo"/>
            <w:rFonts w:ascii="Arial" w:eastAsia="Times New Roman" w:hAnsi="Arial"/>
            <w:sz w:val="21"/>
            <w:szCs w:val="21"/>
            <w:lang w:eastAsia="es-ES"/>
          </w:rPr>
          <w:t>aquí</w:t>
        </w:r>
      </w:hyperlink>
      <w:r w:rsidRPr="00973028">
        <w:rPr>
          <w:rFonts w:ascii="Arial" w:eastAsia="Times New Roman" w:hAnsi="Arial"/>
          <w:color w:val="000000"/>
          <w:sz w:val="21"/>
          <w:szCs w:val="21"/>
          <w:lang w:eastAsia="es-ES"/>
        </w:rPr>
        <w:t xml:space="preserve"> </w:t>
      </w:r>
    </w:p>
    <w:p w14:paraId="30E09504" w14:textId="7AA1749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hAnsi="Arial"/>
          <w:b/>
          <w:bCs/>
          <w:sz w:val="21"/>
          <w:szCs w:val="21"/>
        </w:rPr>
        <w:t xml:space="preserve">Fase de Seguimiento: </w:t>
      </w:r>
      <w:r w:rsidRPr="00973028">
        <w:rPr>
          <w:rFonts w:ascii="Arial" w:eastAsia="Times New Roman" w:hAnsi="Arial"/>
          <w:color w:val="000000"/>
          <w:sz w:val="21"/>
          <w:szCs w:val="21"/>
          <w:lang w:eastAsia="es-ES"/>
        </w:rPr>
        <w:t>No procede fase de seguimiento.</w:t>
      </w:r>
    </w:p>
    <w:p w14:paraId="43BC9CF3" w14:textId="5DDB3053"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110" w:name="_Toc67646274"/>
      <w:r w:rsidRPr="00973028">
        <w:rPr>
          <w:rFonts w:ascii="Arial" w:eastAsia="Times New Roman" w:hAnsi="Arial" w:cs="Arial"/>
          <w:b/>
          <w:color w:val="9D2235"/>
          <w:sz w:val="28"/>
          <w:szCs w:val="28"/>
        </w:rPr>
        <w:t>Denominación: Ayuntamiento de Benicàssim</w:t>
      </w:r>
      <w:r w:rsidR="008A79F8">
        <w:rPr>
          <w:rFonts w:ascii="Arial" w:eastAsia="Times New Roman" w:hAnsi="Arial" w:cs="Arial"/>
          <w:b/>
          <w:color w:val="9D2235"/>
          <w:sz w:val="28"/>
          <w:szCs w:val="28"/>
        </w:rPr>
        <w:t>. E</w:t>
      </w:r>
      <w:r w:rsidRPr="00973028">
        <w:rPr>
          <w:rFonts w:ascii="Arial" w:eastAsia="Times New Roman" w:hAnsi="Arial" w:cs="Arial"/>
          <w:b/>
          <w:color w:val="9D2235"/>
          <w:sz w:val="28"/>
          <w:szCs w:val="28"/>
        </w:rPr>
        <w:t>xistencia de vertederos ilegales, irregularidades en la ejecución de los contratos de servicios de limpieza y de jardinería y en la utilización del Ecoparque Municipal y de la Planta de Valorización</w:t>
      </w:r>
      <w:bookmarkEnd w:id="110"/>
    </w:p>
    <w:p w14:paraId="35DDEC4C" w14:textId="7777777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Expediente:</w:t>
      </w:r>
      <w:r w:rsidRPr="00973028">
        <w:rPr>
          <w:rFonts w:ascii="Arial" w:eastAsia="Times New Roman" w:hAnsi="Arial"/>
          <w:color w:val="000000"/>
          <w:sz w:val="21"/>
          <w:szCs w:val="21"/>
          <w:lang w:eastAsia="es-ES"/>
        </w:rPr>
        <w:t xml:space="preserve"> 2020/G01_01/00333 </w:t>
      </w:r>
    </w:p>
    <w:p w14:paraId="2E7DE6F2" w14:textId="77777777" w:rsidR="00B133EC"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Descripción:</w:t>
      </w:r>
      <w:r w:rsidRPr="00973028">
        <w:rPr>
          <w:rFonts w:ascii="Arial" w:eastAsia="Times New Roman" w:hAnsi="Arial"/>
          <w:color w:val="000000"/>
          <w:sz w:val="21"/>
          <w:szCs w:val="21"/>
          <w:lang w:eastAsia="es-ES"/>
        </w:rPr>
        <w:t xml:space="preserve"> Los hechos denunciados se concretaron en: </w:t>
      </w:r>
    </w:p>
    <w:p w14:paraId="4FF1CB15" w14:textId="65EEF3D1" w:rsidR="00B133EC" w:rsidRPr="00973028" w:rsidRDefault="002A47AA" w:rsidP="00C76D42">
      <w:pPr>
        <w:pStyle w:val="Prrafodelista"/>
        <w:numPr>
          <w:ilvl w:val="0"/>
          <w:numId w:val="51"/>
        </w:numPr>
        <w:spacing w:after="12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Existencia de vertederos ilegales en parcelas de propiedad privada y pública que funcionaban con conocimiento y consentimiento del Ayuntamiento, </w:t>
      </w:r>
    </w:p>
    <w:p w14:paraId="0F0F35C8" w14:textId="460E7D88" w:rsidR="00B133EC" w:rsidRPr="00973028" w:rsidRDefault="002A47AA" w:rsidP="00C76D42">
      <w:pPr>
        <w:pStyle w:val="Prrafodelista"/>
        <w:numPr>
          <w:ilvl w:val="0"/>
          <w:numId w:val="51"/>
        </w:numPr>
        <w:spacing w:after="12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lastRenderedPageBreak/>
        <w:t xml:space="preserve">Incumplimiento de la normativa autonómica y local para evitar la propagación de la plaga del “picudo rojo”, </w:t>
      </w:r>
    </w:p>
    <w:p w14:paraId="3419F8AD" w14:textId="77777777" w:rsidR="00B133EC" w:rsidRPr="00973028" w:rsidRDefault="002A47AA" w:rsidP="00C76D42">
      <w:pPr>
        <w:pStyle w:val="Prrafodelista"/>
        <w:numPr>
          <w:ilvl w:val="0"/>
          <w:numId w:val="51"/>
        </w:numPr>
        <w:spacing w:after="12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Irregularidades en el control de la fase de ejecución del “Contrato de Servicios de mantenimiento y conservación de los espacios verdes urbanos y arbolado viario de Benicàssim”, del “Contrato de Gestión del Servicio Público de limpieza viaria, transporte de residuos sólidos urbanos y residuos de jardinería, y la gestión del ecoparque municipal” y la </w:t>
      </w:r>
    </w:p>
    <w:p w14:paraId="3FB72201" w14:textId="29A17100" w:rsidR="002A47AA" w:rsidRPr="00973028" w:rsidRDefault="002A47AA" w:rsidP="00C76D42">
      <w:pPr>
        <w:pStyle w:val="Prrafodelista"/>
        <w:numPr>
          <w:ilvl w:val="0"/>
          <w:numId w:val="51"/>
        </w:numPr>
        <w:spacing w:after="240" w:line="276" w:lineRule="auto"/>
        <w:ind w:left="714" w:hanging="357"/>
        <w:contextualSpacing w:val="0"/>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Incorrecta gestión, utilización y funcionamiento del Ecoparque municipal y de la Planta de Reciclaje de Onda.</w:t>
      </w:r>
    </w:p>
    <w:p w14:paraId="76D6815E" w14:textId="21CAFAC0"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Tras la instrucción del oportuno procedimiento de investigación, en el que se efectuó el preceptivo trámite de audiencia a la administración denunciada, se evidenció: </w:t>
      </w:r>
      <w:r w:rsidRPr="00973028">
        <w:rPr>
          <w:rFonts w:ascii="Arial" w:eastAsia="Times New Roman" w:hAnsi="Arial"/>
          <w:b/>
          <w:bCs/>
          <w:color w:val="000000"/>
          <w:sz w:val="21"/>
          <w:szCs w:val="21"/>
          <w:lang w:eastAsia="es-ES"/>
        </w:rPr>
        <w:t>a)</w:t>
      </w:r>
      <w:r w:rsidRPr="00973028">
        <w:rPr>
          <w:rFonts w:ascii="Arial" w:eastAsia="Times New Roman" w:hAnsi="Arial"/>
          <w:color w:val="000000"/>
          <w:sz w:val="21"/>
          <w:szCs w:val="21"/>
          <w:lang w:eastAsia="es-ES"/>
        </w:rPr>
        <w:t xml:space="preserve"> En relación con los contratos de servicios de mantenimiento y conservación de los espacios verdes urbanos y arbolado viario, que la anterior adjudicataria y la actual, gestionaban irregularmente los residuos procedentes de los parques y </w:t>
      </w:r>
      <w:r w:rsidRPr="00F70424">
        <w:rPr>
          <w:rFonts w:ascii="Arial" w:eastAsia="Times New Roman" w:hAnsi="Arial"/>
          <w:color w:val="000000"/>
          <w:sz w:val="21"/>
          <w:szCs w:val="21"/>
          <w:lang w:eastAsia="es-ES"/>
        </w:rPr>
        <w:t>jardines municipales al estar depositándolos y valorizándolos/eliminándolos en vertederos ilegales, cuando tenían la obligación, de depositarlos en una planta o vertedero controlado, situación que no estaba siendo controlada por el responsable del contrato ni por el Ayuntamiento</w:t>
      </w:r>
      <w:r w:rsidR="006C393E" w:rsidRPr="00F70424">
        <w:rPr>
          <w:rFonts w:ascii="Arial" w:eastAsia="Times New Roman" w:hAnsi="Arial"/>
          <w:color w:val="000000"/>
          <w:sz w:val="21"/>
          <w:szCs w:val="21"/>
          <w:lang w:eastAsia="es-ES"/>
        </w:rPr>
        <w:t>;</w:t>
      </w:r>
      <w:r w:rsidRPr="00F70424">
        <w:rPr>
          <w:rFonts w:ascii="Arial" w:eastAsia="Times New Roman" w:hAnsi="Arial"/>
          <w:color w:val="000000"/>
          <w:sz w:val="21"/>
          <w:szCs w:val="21"/>
          <w:lang w:eastAsia="es-ES"/>
        </w:rPr>
        <w:t xml:space="preserve"> </w:t>
      </w:r>
      <w:r w:rsidRPr="00F70424">
        <w:rPr>
          <w:rFonts w:ascii="Arial" w:eastAsia="Times New Roman" w:hAnsi="Arial"/>
          <w:b/>
          <w:bCs/>
          <w:color w:val="000000"/>
          <w:sz w:val="21"/>
          <w:szCs w:val="21"/>
          <w:lang w:eastAsia="es-ES"/>
        </w:rPr>
        <w:t>b)</w:t>
      </w:r>
      <w:r w:rsidRPr="00F70424">
        <w:rPr>
          <w:rFonts w:ascii="Arial" w:eastAsia="Times New Roman" w:hAnsi="Arial"/>
          <w:color w:val="000000"/>
          <w:sz w:val="21"/>
          <w:szCs w:val="21"/>
          <w:lang w:eastAsia="es-ES"/>
        </w:rPr>
        <w:t xml:space="preserve"> En relación con el contrato de gestión del servicio público de limpieza viaria, mantenimiento de papeleras, recogida y transporte de residuos urbanos, voluminosos, y residuos de jardinería, así como la gestión y explotación de ecoparque de Benicàssim, que la adjudicataria estaría incumpliendo el pliego de prescripciones técnicas del contrato y la ordenanza municipal reguladora del servicio de recogida de residuos urbanos y gestión del ecoparque municipal, al permitir a las empresas privadas de jardinería depositaran residuos de poda en el ecoparque municipal (sin límite cuantitativo alguno), lo cual incrementó el coste de valorización/eliminación que soporta el ayuntamiento de Benicàssim</w:t>
      </w:r>
      <w:r w:rsidR="006C393E" w:rsidRPr="00F70424">
        <w:rPr>
          <w:rFonts w:ascii="Arial" w:eastAsia="Times New Roman" w:hAnsi="Arial"/>
          <w:color w:val="000000"/>
          <w:sz w:val="21"/>
          <w:szCs w:val="21"/>
          <w:lang w:eastAsia="es-ES"/>
        </w:rPr>
        <w:t>;</w:t>
      </w:r>
      <w:r w:rsidRPr="00F70424">
        <w:rPr>
          <w:rFonts w:ascii="Arial" w:eastAsia="Times New Roman" w:hAnsi="Arial"/>
          <w:color w:val="000000"/>
          <w:sz w:val="21"/>
          <w:szCs w:val="21"/>
          <w:lang w:eastAsia="es-ES"/>
        </w:rPr>
        <w:t xml:space="preserve"> y </w:t>
      </w:r>
      <w:r w:rsidRPr="00F70424">
        <w:rPr>
          <w:rFonts w:ascii="Arial" w:eastAsia="Times New Roman" w:hAnsi="Arial"/>
          <w:b/>
          <w:bCs/>
          <w:color w:val="000000"/>
          <w:sz w:val="21"/>
          <w:szCs w:val="21"/>
          <w:lang w:eastAsia="es-ES"/>
        </w:rPr>
        <w:t>c)</w:t>
      </w:r>
      <w:r w:rsidRPr="00F70424">
        <w:rPr>
          <w:rFonts w:ascii="Arial" w:eastAsia="Times New Roman" w:hAnsi="Arial"/>
          <w:color w:val="000000"/>
          <w:sz w:val="21"/>
          <w:szCs w:val="21"/>
          <w:lang w:eastAsia="es-ES"/>
        </w:rPr>
        <w:t xml:space="preserve"> En relación con el Ecoparque municipal que la instalación no se encontraba adaptada a las determinaciones establecidas en las normas técnicas de los Planes Integrales de Residuos de la Comunitat aprobados en el 2013 y 2019 y que su utilización como planta de transferencia</w:t>
      </w:r>
      <w:r w:rsidRPr="00973028">
        <w:rPr>
          <w:rFonts w:ascii="Arial" w:eastAsia="Times New Roman" w:hAnsi="Arial"/>
          <w:color w:val="000000"/>
          <w:sz w:val="21"/>
          <w:szCs w:val="21"/>
          <w:lang w:eastAsia="es-ES"/>
        </w:rPr>
        <w:t>, por parte de la mercantil adjudicataria, limita su eficiencia y produce un aumento de los gastos de eliminación/valorización que soporta el ayuntamiento.</w:t>
      </w:r>
    </w:p>
    <w:p w14:paraId="0CCD5770" w14:textId="77777777" w:rsidR="004B7EE2"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Resultado</w:t>
      </w:r>
      <w:bookmarkStart w:id="111" w:name="_Hlk63022979"/>
      <w:r w:rsidRPr="00973028">
        <w:rPr>
          <w:rFonts w:ascii="Arial" w:eastAsia="Times New Roman" w:hAnsi="Arial"/>
          <w:b/>
          <w:bCs/>
          <w:color w:val="000000"/>
          <w:sz w:val="21"/>
          <w:szCs w:val="21"/>
          <w:lang w:eastAsia="es-ES"/>
        </w:rPr>
        <w:t>:</w:t>
      </w:r>
      <w:r w:rsidRPr="00973028">
        <w:rPr>
          <w:rFonts w:ascii="Arial" w:eastAsia="Times New Roman" w:hAnsi="Arial"/>
          <w:color w:val="000000"/>
          <w:sz w:val="21"/>
          <w:szCs w:val="21"/>
          <w:lang w:eastAsia="es-ES"/>
        </w:rPr>
        <w:t xml:space="preserve"> Formulación de seis recomendaciones al Ayuntamiento de Benicàssim, destacando la necesidad d</w:t>
      </w:r>
      <w:r w:rsidRPr="00973028">
        <w:rPr>
          <w:rFonts w:ascii="Arial" w:hAnsi="Arial"/>
          <w:color w:val="000000"/>
          <w:sz w:val="21"/>
          <w:szCs w:val="21"/>
        </w:rPr>
        <w:t>e realizar auditorías externas respecto a la ejecución de los contratos analizados para acreditar el grado de cumplimiento de las obligaciones asumidas por los adjudicatarios, y la apertura de expedientes internos reservados para acreditar el cumplimiento de las obligaciones de los responsables de los contratos y del resultado de los mismo, si procede, incoar expedientes de exigencia de responsabilidad disciplinaria. R</w:t>
      </w:r>
      <w:r w:rsidRPr="00973028">
        <w:rPr>
          <w:rFonts w:ascii="Arial" w:eastAsia="Times New Roman" w:hAnsi="Arial"/>
          <w:color w:val="000000"/>
          <w:sz w:val="21"/>
          <w:szCs w:val="21"/>
          <w:lang w:eastAsia="es-ES"/>
        </w:rPr>
        <w:t xml:space="preserve">equiriéndose la remisión de un Plan de Implementación para su control y cumplimiento, abriendo la fase de seguimiento. </w:t>
      </w:r>
    </w:p>
    <w:p w14:paraId="640B935F" w14:textId="3C8CAC22"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Se puede consultar </w:t>
      </w:r>
      <w:hyperlink r:id="rId85" w:history="1">
        <w:r w:rsidR="00454255" w:rsidRPr="00454255">
          <w:rPr>
            <w:rStyle w:val="Hipervnculo"/>
            <w:rFonts w:ascii="Arial" w:eastAsia="Times New Roman" w:hAnsi="Arial"/>
            <w:sz w:val="21"/>
            <w:szCs w:val="21"/>
            <w:lang w:eastAsia="es-ES"/>
          </w:rPr>
          <w:t>aquí</w:t>
        </w:r>
      </w:hyperlink>
      <w:r w:rsidR="00454255">
        <w:rPr>
          <w:rFonts w:ascii="Arial" w:eastAsia="Times New Roman" w:hAnsi="Arial"/>
          <w:color w:val="000000"/>
          <w:sz w:val="21"/>
          <w:szCs w:val="21"/>
          <w:lang w:eastAsia="es-ES"/>
        </w:rPr>
        <w:t>.</w:t>
      </w:r>
      <w:r w:rsidRPr="00973028">
        <w:t xml:space="preserve"> </w:t>
      </w:r>
      <w:bookmarkEnd w:id="111"/>
    </w:p>
    <w:p w14:paraId="416AB97E" w14:textId="7777777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 xml:space="preserve">Fase de seguimiento: </w:t>
      </w:r>
      <w:r w:rsidRPr="00973028">
        <w:rPr>
          <w:rFonts w:ascii="Arial" w:eastAsia="Times New Roman" w:hAnsi="Arial"/>
          <w:color w:val="000000"/>
          <w:sz w:val="21"/>
          <w:szCs w:val="21"/>
          <w:lang w:eastAsia="es-ES"/>
        </w:rPr>
        <w:t>Pendiente de la remisión por el Ayuntamiento de Benicàssim del Plan de Implementación de las recomendaciones formuladas.</w:t>
      </w:r>
    </w:p>
    <w:p w14:paraId="137D316A" w14:textId="73A41E25"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112" w:name="_Toc67646275"/>
      <w:r w:rsidRPr="00973028">
        <w:rPr>
          <w:rFonts w:ascii="Arial" w:eastAsia="Times New Roman" w:hAnsi="Arial" w:cs="Arial"/>
          <w:b/>
          <w:color w:val="9D2235"/>
          <w:sz w:val="28"/>
          <w:szCs w:val="28"/>
        </w:rPr>
        <w:lastRenderedPageBreak/>
        <w:t xml:space="preserve">Denominación: Aeropuerto de Castellón, SL. Diversas </w:t>
      </w:r>
      <w:r w:rsidR="008A79F8">
        <w:rPr>
          <w:rFonts w:ascii="Arial" w:eastAsia="Times New Roman" w:hAnsi="Arial" w:cs="Arial"/>
          <w:b/>
          <w:color w:val="9D2235"/>
          <w:sz w:val="28"/>
          <w:szCs w:val="28"/>
        </w:rPr>
        <w:t>i</w:t>
      </w:r>
      <w:r w:rsidRPr="00973028">
        <w:rPr>
          <w:rFonts w:ascii="Arial" w:eastAsia="Times New Roman" w:hAnsi="Arial" w:cs="Arial"/>
          <w:b/>
          <w:color w:val="9D2235"/>
          <w:sz w:val="28"/>
          <w:szCs w:val="28"/>
        </w:rPr>
        <w:t>rregularidades advertidas en los informes elaborados por la Intervención General de la Generalitat</w:t>
      </w:r>
      <w:bookmarkEnd w:id="112"/>
    </w:p>
    <w:p w14:paraId="7F6CC9B6" w14:textId="77777777" w:rsidR="002A47AA" w:rsidRPr="00973028" w:rsidRDefault="002A47AA" w:rsidP="002A47AA">
      <w:pPr>
        <w:spacing w:after="240" w:line="276" w:lineRule="auto"/>
        <w:jc w:val="both"/>
        <w:rPr>
          <w:rFonts w:ascii="Arial" w:hAnsi="Arial"/>
          <w:color w:val="000000"/>
          <w:sz w:val="21"/>
          <w:szCs w:val="21"/>
        </w:rPr>
      </w:pPr>
      <w:r w:rsidRPr="00973028">
        <w:rPr>
          <w:rFonts w:ascii="Arial" w:hAnsi="Arial"/>
          <w:b/>
          <w:bCs/>
          <w:color w:val="000000"/>
          <w:sz w:val="21"/>
          <w:szCs w:val="21"/>
        </w:rPr>
        <w:t>Expediente:</w:t>
      </w:r>
      <w:r w:rsidRPr="00973028">
        <w:rPr>
          <w:rFonts w:ascii="Arial" w:hAnsi="Arial"/>
          <w:color w:val="000000"/>
          <w:sz w:val="21"/>
          <w:szCs w:val="21"/>
        </w:rPr>
        <w:t xml:space="preserve"> 2020/G01_01/000010 </w:t>
      </w:r>
    </w:p>
    <w:p w14:paraId="4ACE716C" w14:textId="77777777" w:rsidR="00B133EC" w:rsidRPr="00973028" w:rsidRDefault="002A47AA" w:rsidP="002A47AA">
      <w:pPr>
        <w:spacing w:after="240" w:line="276" w:lineRule="auto"/>
        <w:jc w:val="both"/>
        <w:rPr>
          <w:rFonts w:ascii="Arial" w:hAnsi="Arial"/>
          <w:color w:val="000000"/>
          <w:sz w:val="21"/>
          <w:szCs w:val="21"/>
        </w:rPr>
      </w:pPr>
      <w:r w:rsidRPr="00973028">
        <w:rPr>
          <w:rFonts w:ascii="Arial" w:hAnsi="Arial"/>
          <w:b/>
          <w:bCs/>
          <w:color w:val="000000"/>
          <w:sz w:val="21"/>
          <w:szCs w:val="21"/>
        </w:rPr>
        <w:t>Descripción:</w:t>
      </w:r>
      <w:r w:rsidRPr="00973028">
        <w:rPr>
          <w:rFonts w:ascii="Arial" w:hAnsi="Arial"/>
          <w:color w:val="000000"/>
          <w:sz w:val="21"/>
          <w:szCs w:val="21"/>
        </w:rPr>
        <w:t xml:space="preserve"> Los hechos denunciados se concretaron en: </w:t>
      </w:r>
    </w:p>
    <w:p w14:paraId="38A65578" w14:textId="0A62FDDE" w:rsidR="00B133EC" w:rsidRPr="00F70424" w:rsidRDefault="002A47AA" w:rsidP="00C76D42">
      <w:pPr>
        <w:pStyle w:val="Prrafodelista"/>
        <w:numPr>
          <w:ilvl w:val="0"/>
          <w:numId w:val="52"/>
        </w:numPr>
        <w:spacing w:after="120" w:line="276" w:lineRule="auto"/>
        <w:ind w:left="714" w:hanging="357"/>
        <w:contextualSpacing w:val="0"/>
        <w:jc w:val="both"/>
        <w:rPr>
          <w:rFonts w:ascii="Arial" w:hAnsi="Arial"/>
          <w:color w:val="000000"/>
          <w:sz w:val="21"/>
          <w:szCs w:val="21"/>
        </w:rPr>
      </w:pPr>
      <w:r w:rsidRPr="00F70424">
        <w:rPr>
          <w:rFonts w:ascii="Arial" w:hAnsi="Arial"/>
          <w:color w:val="000000"/>
          <w:sz w:val="21"/>
          <w:szCs w:val="21"/>
        </w:rPr>
        <w:t>Existencia de instrucciones internas que no cuentan con informes favorables de la Abogacía</w:t>
      </w:r>
      <w:r w:rsidR="006C393E" w:rsidRPr="00F70424">
        <w:rPr>
          <w:rFonts w:ascii="Arial" w:hAnsi="Arial"/>
          <w:color w:val="000000"/>
          <w:sz w:val="21"/>
          <w:szCs w:val="21"/>
        </w:rPr>
        <w:t>.</w:t>
      </w:r>
    </w:p>
    <w:p w14:paraId="54CC9900" w14:textId="77777777" w:rsidR="00B133EC" w:rsidRPr="00973028" w:rsidRDefault="002A47AA" w:rsidP="00C76D42">
      <w:pPr>
        <w:pStyle w:val="Prrafodelista"/>
        <w:numPr>
          <w:ilvl w:val="0"/>
          <w:numId w:val="52"/>
        </w:numPr>
        <w:spacing w:after="120" w:line="276" w:lineRule="auto"/>
        <w:ind w:left="714" w:hanging="357"/>
        <w:contextualSpacing w:val="0"/>
        <w:jc w:val="both"/>
        <w:rPr>
          <w:rFonts w:ascii="Arial" w:hAnsi="Arial"/>
          <w:color w:val="000000"/>
          <w:sz w:val="21"/>
          <w:szCs w:val="21"/>
        </w:rPr>
      </w:pPr>
      <w:r w:rsidRPr="00973028">
        <w:rPr>
          <w:rFonts w:ascii="Arial" w:hAnsi="Arial"/>
          <w:color w:val="000000"/>
          <w:sz w:val="21"/>
          <w:szCs w:val="21"/>
        </w:rPr>
        <w:t xml:space="preserve">Memorias preceptivas que están incompletas. </w:t>
      </w:r>
    </w:p>
    <w:p w14:paraId="5C1AD592" w14:textId="77777777" w:rsidR="00B133EC" w:rsidRPr="00973028" w:rsidRDefault="002A47AA" w:rsidP="00C76D42">
      <w:pPr>
        <w:pStyle w:val="Prrafodelista"/>
        <w:numPr>
          <w:ilvl w:val="0"/>
          <w:numId w:val="52"/>
        </w:numPr>
        <w:spacing w:after="120" w:line="276" w:lineRule="auto"/>
        <w:ind w:left="714" w:hanging="357"/>
        <w:contextualSpacing w:val="0"/>
        <w:jc w:val="both"/>
        <w:rPr>
          <w:rFonts w:ascii="Arial" w:hAnsi="Arial"/>
          <w:color w:val="000000"/>
          <w:sz w:val="21"/>
          <w:szCs w:val="21"/>
        </w:rPr>
      </w:pPr>
      <w:r w:rsidRPr="00973028">
        <w:rPr>
          <w:rFonts w:ascii="Arial" w:hAnsi="Arial"/>
          <w:color w:val="000000"/>
          <w:sz w:val="21"/>
          <w:szCs w:val="21"/>
        </w:rPr>
        <w:t xml:space="preserve">Prestación de servicios previos a la vigencia de contratos que los sustenten. </w:t>
      </w:r>
    </w:p>
    <w:p w14:paraId="56DABADE" w14:textId="77777777" w:rsidR="00B133EC" w:rsidRPr="00973028" w:rsidRDefault="002A47AA" w:rsidP="00C76D42">
      <w:pPr>
        <w:pStyle w:val="Prrafodelista"/>
        <w:numPr>
          <w:ilvl w:val="0"/>
          <w:numId w:val="52"/>
        </w:numPr>
        <w:spacing w:after="120" w:line="276" w:lineRule="auto"/>
        <w:ind w:left="714" w:hanging="357"/>
        <w:contextualSpacing w:val="0"/>
        <w:jc w:val="both"/>
        <w:rPr>
          <w:rFonts w:ascii="Arial" w:hAnsi="Arial"/>
          <w:color w:val="000000"/>
          <w:sz w:val="21"/>
          <w:szCs w:val="21"/>
        </w:rPr>
      </w:pPr>
      <w:r w:rsidRPr="00973028">
        <w:rPr>
          <w:rFonts w:ascii="Arial" w:hAnsi="Arial"/>
          <w:color w:val="000000"/>
          <w:sz w:val="21"/>
          <w:szCs w:val="21"/>
        </w:rPr>
        <w:t xml:space="preserve">Designación de los miembros de la mesa de contratación elegidos por la dirección general, cuando deberían ser designados por los seis miembros que componen su comisión ejecutiva. </w:t>
      </w:r>
    </w:p>
    <w:p w14:paraId="45FBE566" w14:textId="2BD99FF8" w:rsidR="002A47AA" w:rsidRPr="00973028" w:rsidRDefault="002A47AA" w:rsidP="00C76D42">
      <w:pPr>
        <w:pStyle w:val="Prrafodelista"/>
        <w:numPr>
          <w:ilvl w:val="0"/>
          <w:numId w:val="52"/>
        </w:numPr>
        <w:spacing w:after="240" w:line="276" w:lineRule="auto"/>
        <w:ind w:left="714" w:hanging="357"/>
        <w:contextualSpacing w:val="0"/>
        <w:jc w:val="both"/>
        <w:rPr>
          <w:rFonts w:ascii="Arial" w:hAnsi="Arial"/>
          <w:color w:val="000000"/>
          <w:sz w:val="21"/>
          <w:szCs w:val="21"/>
        </w:rPr>
      </w:pPr>
      <w:r w:rsidRPr="00973028">
        <w:rPr>
          <w:rFonts w:ascii="Arial" w:hAnsi="Arial"/>
          <w:color w:val="000000"/>
          <w:sz w:val="21"/>
          <w:szCs w:val="21"/>
        </w:rPr>
        <w:t>Posible fraccionamiento en la contratación de prestaciones.</w:t>
      </w:r>
    </w:p>
    <w:p w14:paraId="462DAF54" w14:textId="77777777" w:rsidR="00B133EC" w:rsidRPr="00973028" w:rsidRDefault="002A47AA" w:rsidP="002A47AA">
      <w:pPr>
        <w:spacing w:after="240" w:line="276" w:lineRule="auto"/>
        <w:jc w:val="both"/>
        <w:rPr>
          <w:rFonts w:ascii="Arial" w:hAnsi="Arial"/>
          <w:color w:val="000000"/>
          <w:sz w:val="21"/>
          <w:szCs w:val="21"/>
        </w:rPr>
      </w:pPr>
      <w:r w:rsidRPr="00973028">
        <w:rPr>
          <w:rFonts w:ascii="Arial" w:hAnsi="Arial"/>
          <w:color w:val="000000"/>
          <w:sz w:val="21"/>
          <w:szCs w:val="21"/>
        </w:rPr>
        <w:t xml:space="preserve">Tras la instrucción del oportuno procedimiento de investigación, en el que se efectuó el preceptivo trámite de audiencia a la administración denunciada, se evidenció: </w:t>
      </w:r>
    </w:p>
    <w:p w14:paraId="5223D07C" w14:textId="4BBD80CF" w:rsidR="00B133EC" w:rsidRPr="00F70424" w:rsidRDefault="006C393E" w:rsidP="00C76D42">
      <w:pPr>
        <w:pStyle w:val="Prrafodelista"/>
        <w:numPr>
          <w:ilvl w:val="0"/>
          <w:numId w:val="53"/>
        </w:numPr>
        <w:spacing w:after="120" w:line="276" w:lineRule="auto"/>
        <w:ind w:left="714" w:hanging="357"/>
        <w:contextualSpacing w:val="0"/>
        <w:jc w:val="both"/>
        <w:rPr>
          <w:rFonts w:ascii="Arial" w:hAnsi="Arial"/>
          <w:color w:val="000000"/>
          <w:sz w:val="21"/>
          <w:szCs w:val="21"/>
        </w:rPr>
      </w:pPr>
      <w:r w:rsidRPr="00F70424">
        <w:rPr>
          <w:rFonts w:ascii="Arial" w:hAnsi="Arial"/>
          <w:color w:val="000000"/>
          <w:sz w:val="21"/>
          <w:szCs w:val="21"/>
        </w:rPr>
        <w:t>E</w:t>
      </w:r>
      <w:r w:rsidR="002A47AA" w:rsidRPr="00F70424">
        <w:rPr>
          <w:rFonts w:ascii="Arial" w:hAnsi="Arial"/>
          <w:color w:val="000000"/>
          <w:sz w:val="21"/>
          <w:szCs w:val="21"/>
        </w:rPr>
        <w:t xml:space="preserve">n cuanto a la existencia de instrucciones internas que no cuentan con informes favorables de la Abogacía, esta irregularidad fue corregida en 2018, en el marco normativo vigente. </w:t>
      </w:r>
    </w:p>
    <w:p w14:paraId="2ACDDFF6" w14:textId="77777777" w:rsidR="00B133EC" w:rsidRPr="00F70424" w:rsidRDefault="002A47AA" w:rsidP="00C76D42">
      <w:pPr>
        <w:pStyle w:val="Prrafodelista"/>
        <w:numPr>
          <w:ilvl w:val="0"/>
          <w:numId w:val="53"/>
        </w:numPr>
        <w:spacing w:after="120" w:line="276" w:lineRule="auto"/>
        <w:ind w:left="714" w:hanging="357"/>
        <w:contextualSpacing w:val="0"/>
        <w:jc w:val="both"/>
        <w:rPr>
          <w:rFonts w:ascii="Arial" w:hAnsi="Arial"/>
          <w:color w:val="000000"/>
          <w:sz w:val="21"/>
          <w:szCs w:val="21"/>
        </w:rPr>
      </w:pPr>
      <w:r w:rsidRPr="00F70424">
        <w:rPr>
          <w:rFonts w:ascii="Arial" w:hAnsi="Arial"/>
          <w:color w:val="000000"/>
          <w:sz w:val="21"/>
          <w:szCs w:val="21"/>
        </w:rPr>
        <w:t xml:space="preserve">En relación con la designación de los miembros de la mesa de contratación elegidos por la dirección general, cuando deberían ser designados por los seis miembros que componen su comisión ejecutiva, la irregularidad fue subsanada. </w:t>
      </w:r>
    </w:p>
    <w:p w14:paraId="6867DD0F" w14:textId="5DCA941C" w:rsidR="002A47AA" w:rsidRPr="00F70424" w:rsidRDefault="002A47AA" w:rsidP="00C76D42">
      <w:pPr>
        <w:pStyle w:val="Prrafodelista"/>
        <w:numPr>
          <w:ilvl w:val="0"/>
          <w:numId w:val="53"/>
        </w:numPr>
        <w:spacing w:after="240" w:line="276" w:lineRule="auto"/>
        <w:ind w:left="714" w:hanging="357"/>
        <w:contextualSpacing w:val="0"/>
        <w:jc w:val="both"/>
        <w:rPr>
          <w:rFonts w:ascii="Arial" w:hAnsi="Arial"/>
          <w:color w:val="000000"/>
          <w:sz w:val="21"/>
          <w:szCs w:val="21"/>
        </w:rPr>
      </w:pPr>
      <w:r w:rsidRPr="00F70424">
        <w:rPr>
          <w:rFonts w:ascii="Arial" w:hAnsi="Arial"/>
          <w:color w:val="000000"/>
          <w:sz w:val="21"/>
          <w:szCs w:val="21"/>
        </w:rPr>
        <w:t>En cuanto al posible fraccionamiento en la contratación de prestaciones, se comprobó la práctica de un uso incorrecto del contrato menor afectando a los principios básicos que regulan la contratación pública, pudiendo haber ocasionado un resultado contrario al interés público</w:t>
      </w:r>
      <w:r w:rsidRPr="00F70424">
        <w:rPr>
          <w:rFonts w:ascii="Arial" w:hAnsi="Arial"/>
          <w:sz w:val="21"/>
          <w:szCs w:val="21"/>
        </w:rPr>
        <w:t>. Asimismo, se comprueba la e</w:t>
      </w:r>
      <w:r w:rsidRPr="00F70424">
        <w:rPr>
          <w:rFonts w:ascii="Arial" w:hAnsi="Arial"/>
          <w:color w:val="000000"/>
          <w:sz w:val="21"/>
          <w:szCs w:val="21"/>
        </w:rPr>
        <w:t xml:space="preserve">xistencia de indicios de conflicto de interés evidentes en el </w:t>
      </w:r>
      <w:r w:rsidR="006C393E" w:rsidRPr="00F70424">
        <w:rPr>
          <w:rFonts w:ascii="Arial" w:hAnsi="Arial"/>
          <w:color w:val="000000"/>
          <w:sz w:val="21"/>
          <w:szCs w:val="21"/>
        </w:rPr>
        <w:t>e</w:t>
      </w:r>
      <w:r w:rsidRPr="00F70424">
        <w:rPr>
          <w:rFonts w:ascii="Arial" w:hAnsi="Arial"/>
          <w:color w:val="000000"/>
          <w:sz w:val="21"/>
          <w:szCs w:val="21"/>
        </w:rPr>
        <w:t>x Director del Aeropuerto de Castellón y la Universidad Jaume I de Castellón.</w:t>
      </w:r>
    </w:p>
    <w:p w14:paraId="3A0AAB05" w14:textId="77777777" w:rsidR="002A47AA" w:rsidRPr="00973028" w:rsidRDefault="002A47AA" w:rsidP="002A47AA">
      <w:pPr>
        <w:spacing w:after="240" w:line="276" w:lineRule="auto"/>
        <w:jc w:val="both"/>
        <w:rPr>
          <w:rFonts w:ascii="Arial" w:hAnsi="Arial"/>
          <w:color w:val="000000"/>
          <w:sz w:val="21"/>
          <w:szCs w:val="21"/>
        </w:rPr>
      </w:pPr>
      <w:r w:rsidRPr="00973028">
        <w:rPr>
          <w:rFonts w:ascii="Arial" w:hAnsi="Arial"/>
          <w:b/>
          <w:bCs/>
          <w:color w:val="000000"/>
          <w:sz w:val="21"/>
          <w:szCs w:val="21"/>
        </w:rPr>
        <w:t>Resultado:</w:t>
      </w:r>
      <w:r w:rsidRPr="00973028">
        <w:rPr>
          <w:rFonts w:ascii="Arial" w:hAnsi="Arial"/>
          <w:color w:val="000000"/>
          <w:sz w:val="21"/>
          <w:szCs w:val="21"/>
        </w:rPr>
        <w:t xml:space="preserve"> Formulación de recomendaciones de mejora en el funcionamiento del Aeropuerto de Castellón, requiriéndose, remitiéndose las mismas a la Dirección General de Presupuestos y a la Intervención General de la Generalitat. Asimismo, se recomendó la elaboración de un Plan anual de contratación, para su control y cumplimiento.</w:t>
      </w:r>
    </w:p>
    <w:p w14:paraId="782FFBF2" w14:textId="32993134" w:rsidR="002A47AA" w:rsidRPr="00973028" w:rsidRDefault="002A47AA" w:rsidP="002A47AA">
      <w:pPr>
        <w:spacing w:after="240" w:line="276" w:lineRule="auto"/>
        <w:jc w:val="both"/>
        <w:rPr>
          <w:rFonts w:ascii="Arial" w:hAnsi="Arial"/>
          <w:color w:val="000000"/>
          <w:sz w:val="21"/>
          <w:szCs w:val="21"/>
        </w:rPr>
      </w:pPr>
      <w:r w:rsidRPr="00973028">
        <w:rPr>
          <w:rFonts w:ascii="Arial" w:hAnsi="Arial"/>
          <w:color w:val="000000"/>
          <w:sz w:val="21"/>
          <w:szCs w:val="21"/>
        </w:rPr>
        <w:t xml:space="preserve">Se puede consultar </w:t>
      </w:r>
      <w:hyperlink r:id="rId86" w:history="1">
        <w:r w:rsidR="00454255" w:rsidRPr="00454255">
          <w:rPr>
            <w:rStyle w:val="Hipervnculo"/>
            <w:rFonts w:ascii="Arial" w:hAnsi="Arial"/>
            <w:sz w:val="21"/>
            <w:szCs w:val="21"/>
          </w:rPr>
          <w:t>aquí</w:t>
        </w:r>
      </w:hyperlink>
      <w:r w:rsidR="00454255">
        <w:rPr>
          <w:rFonts w:ascii="Arial" w:hAnsi="Arial"/>
          <w:color w:val="000000"/>
          <w:sz w:val="21"/>
          <w:szCs w:val="21"/>
        </w:rPr>
        <w:t>.</w:t>
      </w:r>
      <w:r w:rsidRPr="00973028">
        <w:rPr>
          <w:rFonts w:ascii="Arial" w:hAnsi="Arial"/>
          <w:color w:val="000000"/>
          <w:sz w:val="21"/>
          <w:szCs w:val="21"/>
        </w:rPr>
        <w:t xml:space="preserve"> </w:t>
      </w:r>
    </w:p>
    <w:p w14:paraId="63E17044" w14:textId="77777777" w:rsidR="002A47AA" w:rsidRPr="00973028" w:rsidRDefault="002A47AA" w:rsidP="002A47AA">
      <w:pPr>
        <w:spacing w:after="240" w:line="276" w:lineRule="auto"/>
        <w:jc w:val="both"/>
        <w:rPr>
          <w:rFonts w:ascii="Arial" w:hAnsi="Arial"/>
          <w:color w:val="000000"/>
          <w:sz w:val="21"/>
          <w:szCs w:val="21"/>
        </w:rPr>
      </w:pPr>
      <w:r w:rsidRPr="00973028">
        <w:rPr>
          <w:rFonts w:ascii="Arial" w:hAnsi="Arial"/>
          <w:b/>
          <w:bCs/>
          <w:color w:val="000000"/>
          <w:sz w:val="21"/>
          <w:szCs w:val="21"/>
        </w:rPr>
        <w:t>Fase de seguimiento:</w:t>
      </w:r>
      <w:r w:rsidRPr="00973028">
        <w:rPr>
          <w:rFonts w:ascii="Arial" w:hAnsi="Arial"/>
          <w:color w:val="000000"/>
          <w:sz w:val="21"/>
          <w:szCs w:val="21"/>
        </w:rPr>
        <w:t xml:space="preserve"> Pendiente de la remisión del Plan de Anual de Contratación y de las recomendaciones formuladas. Pendiente de finalizar la fase de seguimiento. </w:t>
      </w:r>
    </w:p>
    <w:p w14:paraId="26306D60" w14:textId="6B030900" w:rsidR="002A47AA" w:rsidRPr="00973028" w:rsidRDefault="002A47AA" w:rsidP="00672ABA">
      <w:pPr>
        <w:pStyle w:val="Prrafodelista"/>
        <w:keepNext/>
        <w:numPr>
          <w:ilvl w:val="2"/>
          <w:numId w:val="24"/>
        </w:numPr>
        <w:suppressAutoHyphens/>
        <w:spacing w:before="360" w:after="240" w:line="276" w:lineRule="auto"/>
        <w:ind w:left="1134" w:hanging="1134"/>
        <w:jc w:val="both"/>
        <w:outlineLvl w:val="2"/>
        <w:rPr>
          <w:rFonts w:ascii="Arial" w:eastAsia="Times New Roman" w:hAnsi="Arial" w:cs="Arial"/>
          <w:b/>
          <w:color w:val="9D2235"/>
          <w:sz w:val="28"/>
          <w:szCs w:val="28"/>
        </w:rPr>
      </w:pPr>
      <w:bookmarkStart w:id="113" w:name="_Toc67646276"/>
      <w:r w:rsidRPr="00973028">
        <w:rPr>
          <w:rFonts w:ascii="Arial" w:eastAsia="Times New Roman" w:hAnsi="Arial" w:cs="Arial"/>
          <w:b/>
          <w:color w:val="9D2235"/>
          <w:sz w:val="28"/>
          <w:szCs w:val="28"/>
        </w:rPr>
        <w:lastRenderedPageBreak/>
        <w:t>Denominación: Ayuntamiento de Castelló de la Plana</w:t>
      </w:r>
      <w:r w:rsidR="00454255">
        <w:rPr>
          <w:rFonts w:ascii="Arial" w:eastAsia="Times New Roman" w:hAnsi="Arial" w:cs="Arial"/>
          <w:b/>
          <w:color w:val="9D2235"/>
          <w:sz w:val="28"/>
          <w:szCs w:val="28"/>
        </w:rPr>
        <w:t>. I</w:t>
      </w:r>
      <w:r w:rsidRPr="00973028">
        <w:rPr>
          <w:rFonts w:ascii="Arial" w:eastAsia="Times New Roman" w:hAnsi="Arial" w:cs="Arial"/>
          <w:b/>
          <w:color w:val="9D2235"/>
          <w:sz w:val="28"/>
          <w:szCs w:val="28"/>
        </w:rPr>
        <w:t>rregularidades en materia contractual, contratos menores</w:t>
      </w:r>
      <w:bookmarkEnd w:id="113"/>
    </w:p>
    <w:p w14:paraId="097478B5" w14:textId="7777777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Expediente:</w:t>
      </w:r>
      <w:r w:rsidRPr="00973028">
        <w:rPr>
          <w:rFonts w:ascii="Arial" w:eastAsia="Times New Roman" w:hAnsi="Arial"/>
          <w:color w:val="000000"/>
          <w:sz w:val="21"/>
          <w:szCs w:val="21"/>
          <w:lang w:eastAsia="es-ES"/>
        </w:rPr>
        <w:t xml:space="preserve"> 2020/G01_01/000275</w:t>
      </w:r>
    </w:p>
    <w:p w14:paraId="51B5F5F1" w14:textId="7777777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Descripción:</w:t>
      </w:r>
      <w:r w:rsidRPr="00973028">
        <w:rPr>
          <w:rFonts w:ascii="Arial" w:eastAsia="Times New Roman" w:hAnsi="Arial"/>
          <w:color w:val="000000"/>
          <w:sz w:val="21"/>
          <w:szCs w:val="21"/>
          <w:lang w:eastAsia="es-ES"/>
        </w:rPr>
        <w:t xml:space="preserve"> Los hechos denunciados se concretaron en posibles conductas contrarias a la normativa aplicable en materia contractual acontecidas en el Ayuntamiento de Castelló de la Plana.</w:t>
      </w:r>
    </w:p>
    <w:p w14:paraId="0C13E60F" w14:textId="77777777" w:rsidR="002A47AA" w:rsidRPr="00973028" w:rsidRDefault="002A47AA" w:rsidP="002A47AA">
      <w:pPr>
        <w:pStyle w:val="Standard"/>
        <w:spacing w:after="240" w:line="276" w:lineRule="auto"/>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Tras el estudio de la documentación se concluye que:</w:t>
      </w:r>
    </w:p>
    <w:p w14:paraId="709597A2" w14:textId="682A0FD4" w:rsidR="002A47AA" w:rsidRPr="00973028" w:rsidRDefault="002A47AA" w:rsidP="00C76D42">
      <w:pPr>
        <w:pStyle w:val="Standard"/>
        <w:numPr>
          <w:ilvl w:val="0"/>
          <w:numId w:val="54"/>
        </w:numPr>
        <w:spacing w:after="120" w:line="276" w:lineRule="auto"/>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En relación con la tramitación efectuada con la finalidad de contratar el Servicio de diseño de las estrategias para la rehabilitación sostenible de viviendas y la transición ecológica para la ciudad de Castelló de la Plana, mediante  el procedimiento de contrato menor, constan los informes de necesidad y de justificación de la contratación menor que exige la  Ley, pero uno de los informes se emite una vez ya se ha seleccionado a la mercantil que efectuará el servicio objeto del contrato, la mercantil Ecoperspectivas, S.L.</w:t>
      </w:r>
    </w:p>
    <w:p w14:paraId="7ED8C76A" w14:textId="34DFC2D5" w:rsidR="002A47AA" w:rsidRPr="00973028" w:rsidRDefault="002A47AA" w:rsidP="00C76D42">
      <w:pPr>
        <w:pStyle w:val="Standard"/>
        <w:numPr>
          <w:ilvl w:val="0"/>
          <w:numId w:val="54"/>
        </w:numPr>
        <w:spacing w:after="120" w:line="276" w:lineRule="auto"/>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En los informes obrantes en el expediente de contratación no se motiva la elección de las tres empresas a las que se invita a presentar oferta para la prestación del servicio que se pretende contratar. La LCSP no obliga a esta motivación, habiendo recaído en este caso en la Concejalía Delegada de Transición Ecológica la potestad de elección de las mercantiles. Se trata de una decisión política, siendo que la motivación es un requisito necesario en cualquier actuación administrativa.</w:t>
      </w:r>
    </w:p>
    <w:p w14:paraId="5C25FBDB" w14:textId="385A43D8" w:rsidR="002A47AA" w:rsidRPr="00973028" w:rsidRDefault="002A47AA" w:rsidP="00C76D42">
      <w:pPr>
        <w:pStyle w:val="Standard"/>
        <w:numPr>
          <w:ilvl w:val="0"/>
          <w:numId w:val="54"/>
        </w:numPr>
        <w:spacing w:after="120" w:line="276" w:lineRule="auto"/>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Únicamente se concede el plazo de 72 horas para presentar las ofertas a las mercantiles invitadas al proceso de selección, y aunque en la invitación se les solicita únicamente una propuesta económica, la mercantil Ecoperspectivas, S.L. es la única mercantil de las 3 invitadas que presenta un Proyecto que denomina “oferta técnica”, que se adapta, supuestamente, a las circunstancias y necesidades del municipio de Castelló de la Plana.</w:t>
      </w:r>
    </w:p>
    <w:p w14:paraId="700D34FC" w14:textId="65BAAF54" w:rsidR="002A47AA" w:rsidRPr="00973028" w:rsidRDefault="002A47AA" w:rsidP="00C76D42">
      <w:pPr>
        <w:pStyle w:val="Standard"/>
        <w:numPr>
          <w:ilvl w:val="0"/>
          <w:numId w:val="54"/>
        </w:numPr>
        <w:spacing w:after="120" w:line="276" w:lineRule="auto"/>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No consta acto administrativo de adjudicación a la mercantil Ecoperspectivas, S.L. del contrato de servicios. El artículo 118 de la LCSP no establece como requisito del expediente de contratación de un contrato menor la necesidad de un acto administrativo o resolución de adjudicación.</w:t>
      </w:r>
    </w:p>
    <w:p w14:paraId="098536FD" w14:textId="7BB01852" w:rsidR="002A47AA" w:rsidRPr="00973028" w:rsidRDefault="002A47AA" w:rsidP="00C76D42">
      <w:pPr>
        <w:pStyle w:val="Standard"/>
        <w:numPr>
          <w:ilvl w:val="0"/>
          <w:numId w:val="54"/>
        </w:numPr>
        <w:spacing w:after="240" w:line="276" w:lineRule="auto"/>
        <w:ind w:left="714" w:hanging="357"/>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Las operaciones contables de la relación de obligaciones de contratos menores engloban las tres fases de ejecución presupuestaria de autorización del gasto, disposición del gasto y reconocimiento de la obligación (ADO), lo que viene a indicar que no existe acto administrativo de adjudicación en los contratos menores.</w:t>
      </w:r>
    </w:p>
    <w:p w14:paraId="569B3E02" w14:textId="7777777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b/>
          <w:bCs/>
          <w:color w:val="000000"/>
          <w:sz w:val="21"/>
          <w:szCs w:val="21"/>
          <w:lang w:eastAsia="es-ES"/>
        </w:rPr>
        <w:t>Resultado:</w:t>
      </w:r>
      <w:r w:rsidRPr="00973028">
        <w:rPr>
          <w:rFonts w:ascii="Arial" w:eastAsia="Times New Roman" w:hAnsi="Arial"/>
          <w:color w:val="000000"/>
          <w:sz w:val="21"/>
          <w:szCs w:val="21"/>
          <w:lang w:eastAsia="es-ES"/>
        </w:rPr>
        <w:t xml:space="preserve"> Se procede a archivar el expediente, formulando recomendaciones al Ayuntamiento de Castelló de la Plana:</w:t>
      </w:r>
    </w:p>
    <w:p w14:paraId="420BBEC7" w14:textId="5E9C7E1F" w:rsidR="002A47AA" w:rsidRPr="00973028" w:rsidRDefault="002A47AA" w:rsidP="006F286F">
      <w:pPr>
        <w:pStyle w:val="Standard"/>
        <w:spacing w:after="120" w:line="276" w:lineRule="auto"/>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 xml:space="preserve">1ª.- Con el objetivo de velar por la mayor concurrencia que propugna la LCSP, el órgano de contratación debería conceder un plazo lo suficientemente amplio a las mercantiles invitadas para que presenten una oferta adaptada a las necesidades municipales y con la mejor </w:t>
      </w:r>
      <w:r w:rsidRPr="00973028">
        <w:rPr>
          <w:rFonts w:ascii="Arial" w:eastAsia="Times New Roman" w:hAnsi="Arial"/>
          <w:color w:val="000000"/>
          <w:kern w:val="2"/>
          <w:sz w:val="21"/>
          <w:szCs w:val="21"/>
          <w:lang w:eastAsia="es-ES"/>
        </w:rPr>
        <w:lastRenderedPageBreak/>
        <w:t>relación calidad-precio.</w:t>
      </w:r>
    </w:p>
    <w:p w14:paraId="17D21171" w14:textId="349F6492" w:rsidR="002A47AA" w:rsidRPr="00973028" w:rsidRDefault="002A47AA" w:rsidP="006F286F">
      <w:pPr>
        <w:pStyle w:val="Standard"/>
        <w:spacing w:after="120" w:line="276" w:lineRule="auto"/>
        <w:jc w:val="both"/>
        <w:rPr>
          <w:rFonts w:ascii="Arial" w:eastAsia="Times New Roman" w:hAnsi="Arial"/>
          <w:color w:val="000000"/>
          <w:kern w:val="2"/>
          <w:sz w:val="21"/>
          <w:szCs w:val="21"/>
          <w:lang w:eastAsia="es-ES"/>
        </w:rPr>
      </w:pPr>
      <w:r w:rsidRPr="00973028">
        <w:rPr>
          <w:rFonts w:ascii="Arial" w:eastAsia="Times New Roman" w:hAnsi="Arial"/>
          <w:color w:val="000000"/>
          <w:kern w:val="2"/>
          <w:sz w:val="21"/>
          <w:szCs w:val="21"/>
          <w:lang w:eastAsia="es-ES"/>
        </w:rPr>
        <w:t>2ª.- Todo acto o actuación administrativa debe ser motivada, siendo aplicable, aunque sea brevemente, en el documento en el que se indica la elección de las mercantiles a las que se invita a presentar oferta.</w:t>
      </w:r>
    </w:p>
    <w:p w14:paraId="70F3C961" w14:textId="77777777" w:rsidR="002A47AA" w:rsidRPr="00973028" w:rsidRDefault="002A47AA" w:rsidP="006F286F">
      <w:pPr>
        <w:spacing w:after="12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3ª.- Debe dictarse acto administrativo de adjudicación en los contratos menores, y debe darse traslado de este al Departamento de Contabilidad para que se anote en contabilidad las fases presupuestarias procedentes.</w:t>
      </w:r>
    </w:p>
    <w:p w14:paraId="2BA43DD6" w14:textId="714906DB" w:rsidR="002A47AA" w:rsidRPr="00973028" w:rsidRDefault="002A47AA" w:rsidP="002A47AA">
      <w:pPr>
        <w:spacing w:after="240" w:line="276" w:lineRule="auto"/>
        <w:jc w:val="both"/>
        <w:rPr>
          <w:rFonts w:ascii="Arial" w:hAnsi="Arial"/>
          <w:color w:val="000080"/>
          <w:sz w:val="21"/>
          <w:szCs w:val="21"/>
          <w:u w:val="single"/>
          <w:lang w:eastAsia="es-ES"/>
        </w:rPr>
      </w:pPr>
      <w:r w:rsidRPr="00973028">
        <w:rPr>
          <w:rFonts w:ascii="Arial" w:eastAsia="Times New Roman" w:hAnsi="Arial"/>
          <w:color w:val="000000"/>
          <w:sz w:val="21"/>
          <w:szCs w:val="21"/>
          <w:lang w:eastAsia="es-ES"/>
        </w:rPr>
        <w:t xml:space="preserve">Se puede encontrar la resolución </w:t>
      </w:r>
      <w:hyperlink r:id="rId87" w:history="1">
        <w:r w:rsidR="004A06EE" w:rsidRPr="004A06EE">
          <w:rPr>
            <w:rStyle w:val="Hipervnculo"/>
            <w:rFonts w:ascii="Arial" w:eastAsia="Times New Roman" w:hAnsi="Arial"/>
            <w:sz w:val="21"/>
            <w:szCs w:val="21"/>
            <w:lang w:eastAsia="es-ES"/>
          </w:rPr>
          <w:t>aquí</w:t>
        </w:r>
      </w:hyperlink>
      <w:r w:rsidR="004A06EE">
        <w:rPr>
          <w:rFonts w:ascii="Arial" w:eastAsia="Times New Roman" w:hAnsi="Arial"/>
          <w:color w:val="000000"/>
          <w:sz w:val="21"/>
          <w:szCs w:val="21"/>
          <w:lang w:eastAsia="es-ES"/>
        </w:rPr>
        <w:t>.</w:t>
      </w:r>
    </w:p>
    <w:p w14:paraId="1F7ACAA9" w14:textId="60E77A45"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hAnsi="Arial"/>
          <w:b/>
          <w:bCs/>
          <w:sz w:val="21"/>
          <w:szCs w:val="21"/>
        </w:rPr>
        <w:t xml:space="preserve">Fase de Seguimiento: </w:t>
      </w:r>
      <w:r w:rsidRPr="00973028">
        <w:rPr>
          <w:rFonts w:ascii="Arial" w:eastAsia="Times New Roman" w:hAnsi="Arial"/>
          <w:color w:val="000000"/>
          <w:sz w:val="21"/>
          <w:szCs w:val="21"/>
          <w:lang w:eastAsia="es-ES"/>
        </w:rPr>
        <w:t>No procede fase de seguimiento.</w:t>
      </w:r>
    </w:p>
    <w:p w14:paraId="327578C9" w14:textId="72391733" w:rsidR="002A47AA" w:rsidRPr="00973028" w:rsidRDefault="002A47AA" w:rsidP="00672ABA">
      <w:pPr>
        <w:pStyle w:val="Prrafodelista"/>
        <w:keepNext/>
        <w:numPr>
          <w:ilvl w:val="1"/>
          <w:numId w:val="24"/>
        </w:numPr>
        <w:suppressAutoHyphens/>
        <w:spacing w:before="360" w:after="240" w:line="276" w:lineRule="auto"/>
        <w:ind w:left="851" w:hanging="851"/>
        <w:jc w:val="both"/>
        <w:outlineLvl w:val="1"/>
        <w:rPr>
          <w:rFonts w:ascii="Arial" w:eastAsia="Times New Roman" w:hAnsi="Arial" w:cs="Arial"/>
          <w:b/>
          <w:color w:val="9D2235"/>
          <w:sz w:val="32"/>
          <w:szCs w:val="32"/>
        </w:rPr>
      </w:pPr>
      <w:bookmarkStart w:id="114" w:name="_Toc67646277"/>
      <w:r w:rsidRPr="00973028">
        <w:rPr>
          <w:rFonts w:ascii="Arial" w:eastAsia="Times New Roman" w:hAnsi="Arial" w:cs="Arial"/>
          <w:b/>
          <w:color w:val="9D2235"/>
          <w:sz w:val="32"/>
          <w:szCs w:val="32"/>
        </w:rPr>
        <w:t>Administraciones y entidades que no han aceptado las recomendaciones de la Agencia en las investigaciones finalizadas</w:t>
      </w:r>
      <w:bookmarkEnd w:id="114"/>
    </w:p>
    <w:p w14:paraId="3B08529C" w14:textId="64FFCAC7" w:rsidR="002A47AA" w:rsidRPr="00F70424" w:rsidRDefault="002A47AA" w:rsidP="002A47AA">
      <w:pPr>
        <w:autoSpaceDE w:val="0"/>
        <w:autoSpaceDN w:val="0"/>
        <w:adjustRightInd w:val="0"/>
        <w:spacing w:after="240" w:line="276" w:lineRule="auto"/>
        <w:jc w:val="both"/>
        <w:rPr>
          <w:rFonts w:ascii="Arial" w:hAnsi="Arial"/>
          <w:sz w:val="21"/>
          <w:szCs w:val="21"/>
        </w:rPr>
      </w:pPr>
      <w:r w:rsidRPr="00973028">
        <w:rPr>
          <w:rFonts w:ascii="Arial" w:hAnsi="Arial"/>
          <w:sz w:val="21"/>
          <w:szCs w:val="21"/>
        </w:rPr>
        <w:t xml:space="preserve">El artículo 40.4 del Reglamento de funcionamiento y régimen interior de la Agencia de 27 de junio de 2019 (DOGV núm. 8582, de 2.07.2019), establece que la Agencia comprobará que las autoridades competentes aplican las medidas administrativas, financieras, legislativas o disciplinarias que les ha recomendado, realizando su seguimiento mediante las actuaciones que considere </w:t>
      </w:r>
      <w:r w:rsidRPr="00F70424">
        <w:rPr>
          <w:rFonts w:ascii="Arial" w:hAnsi="Arial"/>
          <w:sz w:val="21"/>
          <w:szCs w:val="21"/>
        </w:rPr>
        <w:t>adecuadas.</w:t>
      </w:r>
    </w:p>
    <w:p w14:paraId="050BDADA" w14:textId="3FA0E6F0" w:rsidR="002A47AA" w:rsidRPr="00973028" w:rsidRDefault="002A47AA" w:rsidP="00B9275E">
      <w:pPr>
        <w:autoSpaceDE w:val="0"/>
        <w:autoSpaceDN w:val="0"/>
        <w:adjustRightInd w:val="0"/>
        <w:spacing w:after="240" w:line="276" w:lineRule="auto"/>
        <w:jc w:val="both"/>
        <w:rPr>
          <w:rFonts w:ascii="Arial" w:hAnsi="Arial"/>
          <w:sz w:val="21"/>
          <w:szCs w:val="21"/>
        </w:rPr>
      </w:pPr>
      <w:r w:rsidRPr="00F70424">
        <w:rPr>
          <w:rFonts w:ascii="Arial" w:hAnsi="Arial"/>
          <w:sz w:val="21"/>
          <w:szCs w:val="21"/>
        </w:rPr>
        <w:t>El apartado 5 del citado artículo</w:t>
      </w:r>
      <w:r w:rsidRPr="00F70424">
        <w:rPr>
          <w:rFonts w:ascii="Arial" w:hAnsi="Arial"/>
          <w:strike/>
          <w:sz w:val="21"/>
          <w:szCs w:val="21"/>
        </w:rPr>
        <w:t>,</w:t>
      </w:r>
      <w:r w:rsidRPr="00F70424">
        <w:rPr>
          <w:rFonts w:ascii="Arial" w:hAnsi="Arial"/>
          <w:sz w:val="21"/>
          <w:szCs w:val="21"/>
        </w:rPr>
        <w:t xml:space="preserve"> recoge que</w:t>
      </w:r>
      <w:r w:rsidR="006C393E" w:rsidRPr="00F70424">
        <w:rPr>
          <w:rFonts w:ascii="Arial" w:hAnsi="Arial"/>
          <w:sz w:val="21"/>
          <w:szCs w:val="21"/>
        </w:rPr>
        <w:t>,</w:t>
      </w:r>
      <w:r w:rsidRPr="00F70424">
        <w:rPr>
          <w:rFonts w:ascii="Arial" w:hAnsi="Arial"/>
          <w:sz w:val="21"/>
          <w:szCs w:val="21"/>
        </w:rPr>
        <w:t xml:space="preserve"> en caso de que las autoridades</w:t>
      </w:r>
      <w:r w:rsidRPr="00973028">
        <w:rPr>
          <w:rFonts w:ascii="Arial" w:hAnsi="Arial"/>
          <w:sz w:val="21"/>
          <w:szCs w:val="21"/>
        </w:rPr>
        <w:t xml:space="preserve"> afectadas no apliquen las recomendaciones propuestas ni justifiquen su inaplicación, la Agencia debe hacerlo constar en la memoria anual o en un informe extraordinario a las Corts, según corresponda. En cualquier caso, antes de hacer constar expresamente el incumplimiento, la Agencia debe comunicarlo, con la propuesta de memoria o informe, a la persona u órgano afectados a fin de que aleguen lo que crean conveniente.</w:t>
      </w:r>
    </w:p>
    <w:p w14:paraId="10F8BDA1" w14:textId="2E0B923E"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Durante el año 2020 únicamente el Ayuntamiento de Paterna ha comunicado a la Agencia que no iba aceptar e implementar las recomendaciones elevadas, en concreto en la Resolución final de investigación del expediente 2020/G01_01/000195 (23-2018) mantenimiento de las retribuciones de dedicación exclusiva a concejal no adscrita, detallada en el punto 3.4.15 de este apartado.</w:t>
      </w:r>
    </w:p>
    <w:p w14:paraId="67B16D4C" w14:textId="0AC1911E" w:rsidR="002A47AA" w:rsidRPr="00973028" w:rsidRDefault="002A47AA" w:rsidP="002A47AA">
      <w:pPr>
        <w:pStyle w:val="Standard"/>
        <w:tabs>
          <w:tab w:val="left" w:pos="450"/>
        </w:tabs>
        <w:spacing w:before="57" w:after="240" w:line="276" w:lineRule="auto"/>
        <w:jc w:val="both"/>
        <w:rPr>
          <w:rFonts w:ascii="Arial" w:hAnsi="Arial"/>
          <w:kern w:val="2"/>
          <w:sz w:val="21"/>
          <w:szCs w:val="21"/>
        </w:rPr>
      </w:pPr>
      <w:r w:rsidRPr="00973028">
        <w:rPr>
          <w:rFonts w:ascii="Arial" w:hAnsi="Arial"/>
          <w:kern w:val="2"/>
          <w:sz w:val="21"/>
          <w:szCs w:val="21"/>
        </w:rPr>
        <w:t>Mediante Resolución núm. 462 de 23 de octubre de 2020, final de la investigación, la Agencia elevó recomendación al Ayuntamiento de Paterna de realizar expediente de revisión de oficio del Decreto (exp</w:t>
      </w:r>
      <w:r w:rsidR="00CA00A9">
        <w:rPr>
          <w:rFonts w:ascii="Arial" w:hAnsi="Arial"/>
          <w:kern w:val="2"/>
          <w:sz w:val="21"/>
          <w:szCs w:val="21"/>
        </w:rPr>
        <w:t>.</w:t>
      </w:r>
      <w:r w:rsidRPr="00973028">
        <w:rPr>
          <w:rFonts w:ascii="Arial" w:hAnsi="Arial"/>
          <w:kern w:val="2"/>
          <w:sz w:val="21"/>
          <w:szCs w:val="21"/>
        </w:rPr>
        <w:t xml:space="preserve"> 062/2,2,1//2015-26), dictado el 13 de diciembre de 2017 por el que se regulariza la situación de la regidora no adscrita, otorgando efectos retroactivos desde la fecha del abandono del Grupo Municipal en el que estaba integrada.</w:t>
      </w:r>
    </w:p>
    <w:p w14:paraId="4BC3D1C5" w14:textId="5B23FA0B" w:rsidR="002A47AA" w:rsidRPr="00973028" w:rsidRDefault="002A47AA" w:rsidP="002A47AA">
      <w:pPr>
        <w:pStyle w:val="Standard"/>
        <w:tabs>
          <w:tab w:val="left" w:pos="450"/>
        </w:tabs>
        <w:spacing w:before="57" w:after="240" w:line="276" w:lineRule="auto"/>
        <w:jc w:val="both"/>
        <w:rPr>
          <w:rFonts w:ascii="Arial" w:hAnsi="Arial"/>
          <w:kern w:val="2"/>
          <w:sz w:val="21"/>
          <w:szCs w:val="21"/>
        </w:rPr>
      </w:pPr>
      <w:r w:rsidRPr="00973028">
        <w:rPr>
          <w:rFonts w:ascii="Arial" w:hAnsi="Arial"/>
          <w:kern w:val="2"/>
          <w:sz w:val="21"/>
          <w:szCs w:val="21"/>
        </w:rPr>
        <w:t>El Ayuntamiento de Paterna, mediante registro de entrada del 3 de diciembre de 2020, comunicó a la Agencia escrito de manifestaciones de un teniente de alcalde por el cual trasladaba la no aplicación de la recomendación, así como las motivaciones para ello.</w:t>
      </w:r>
    </w:p>
    <w:p w14:paraId="4119FE48" w14:textId="05E28228" w:rsidR="002A47AA" w:rsidRPr="00973028" w:rsidRDefault="002A47AA" w:rsidP="002A47AA">
      <w:pPr>
        <w:autoSpaceDE w:val="0"/>
        <w:autoSpaceDN w:val="0"/>
        <w:adjustRightInd w:val="0"/>
        <w:spacing w:after="240" w:line="276" w:lineRule="auto"/>
        <w:jc w:val="both"/>
        <w:rPr>
          <w:rFonts w:ascii="Arial" w:hAnsi="Arial"/>
          <w:sz w:val="21"/>
          <w:szCs w:val="21"/>
        </w:rPr>
      </w:pPr>
      <w:r w:rsidRPr="00973028">
        <w:rPr>
          <w:rFonts w:ascii="Arial" w:hAnsi="Arial"/>
          <w:sz w:val="21"/>
          <w:szCs w:val="21"/>
        </w:rPr>
        <w:lastRenderedPageBreak/>
        <w:t>Mediante Resolución núm. 659 de 23 de diciembre de 2020, la Agencia</w:t>
      </w:r>
      <w:r w:rsidR="00CA00A9">
        <w:rPr>
          <w:rFonts w:ascii="Arial" w:hAnsi="Arial"/>
          <w:sz w:val="21"/>
          <w:szCs w:val="21"/>
        </w:rPr>
        <w:t>,</w:t>
      </w:r>
      <w:r w:rsidRPr="00973028">
        <w:rPr>
          <w:rFonts w:ascii="Arial" w:hAnsi="Arial"/>
          <w:sz w:val="21"/>
          <w:szCs w:val="21"/>
        </w:rPr>
        <w:t xml:space="preserve"> tras analizar las manifestaciones, y viendo que no alteraban el sentido de la resolución final de la investigación, comunicó al Ayuntamiento de Paterna, que finalizaba la fase de seguimiento del expediente se haría constar expresamente en la memoria anual del ejercicio 2020 de la Agencia que será presentada a las Corts, su incumplimiento derivado de no aceptar la aplicación de las recomendaciones propuestas. Concediendo el plazo de alegaciones de 10 días.</w:t>
      </w:r>
    </w:p>
    <w:p w14:paraId="44352E5D" w14:textId="3BE5875D" w:rsidR="002A47AA" w:rsidRPr="00973028" w:rsidRDefault="002A47AA" w:rsidP="00B9275E">
      <w:pPr>
        <w:autoSpaceDE w:val="0"/>
        <w:autoSpaceDN w:val="0"/>
        <w:adjustRightInd w:val="0"/>
        <w:spacing w:after="240" w:line="276" w:lineRule="auto"/>
        <w:jc w:val="both"/>
        <w:rPr>
          <w:rFonts w:ascii="Arial" w:hAnsi="Arial"/>
          <w:sz w:val="21"/>
          <w:szCs w:val="21"/>
        </w:rPr>
      </w:pPr>
      <w:r w:rsidRPr="00973028">
        <w:rPr>
          <w:rFonts w:ascii="Arial" w:hAnsi="Arial"/>
          <w:sz w:val="21"/>
          <w:szCs w:val="21"/>
        </w:rPr>
        <w:t xml:space="preserve">El Ayuntamiento de Paterna presentó el 25 de enero de 2021 escrito de alegaciones, que no aportan elementos nuevos que alteren el sentido de la Resolución núm. 659 de 23 de diciembre de 2020. </w:t>
      </w:r>
    </w:p>
    <w:p w14:paraId="11500495" w14:textId="326FF9DE" w:rsidR="002A47AA" w:rsidRPr="00973028" w:rsidRDefault="002A47AA" w:rsidP="00672ABA">
      <w:pPr>
        <w:pStyle w:val="Prrafodelista"/>
        <w:keepNext/>
        <w:numPr>
          <w:ilvl w:val="1"/>
          <w:numId w:val="24"/>
        </w:numPr>
        <w:suppressAutoHyphens/>
        <w:spacing w:before="360" w:after="240" w:line="276" w:lineRule="auto"/>
        <w:ind w:left="851" w:hanging="851"/>
        <w:jc w:val="both"/>
        <w:outlineLvl w:val="1"/>
        <w:rPr>
          <w:rFonts w:ascii="Arial" w:eastAsia="Times New Roman" w:hAnsi="Arial" w:cs="Arial"/>
          <w:b/>
          <w:color w:val="9D2235"/>
          <w:sz w:val="32"/>
          <w:szCs w:val="32"/>
        </w:rPr>
      </w:pPr>
      <w:bookmarkStart w:id="115" w:name="_Toc67646278"/>
      <w:r w:rsidRPr="00973028">
        <w:rPr>
          <w:rFonts w:ascii="Arial" w:eastAsia="Times New Roman" w:hAnsi="Arial" w:cs="Arial"/>
          <w:b/>
          <w:color w:val="9D2235"/>
          <w:sz w:val="32"/>
          <w:szCs w:val="32"/>
        </w:rPr>
        <w:t>Colaboración con otras instituciones</w:t>
      </w:r>
      <w:bookmarkEnd w:id="115"/>
    </w:p>
    <w:p w14:paraId="539179BE" w14:textId="1F89F2FA"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Las funciones de la Agencia se ejercen, sin perjuicio de las que les corresponden de acuerdo con su normativa reguladora específica a la Sindicatura de Comptes, el Síndic de Greuges, el Consejo de Transparencia, Acceso a la Información Pública y Buen Gobierno, la Intervención General de la Generalitat, la Inspección General de Servicios, los órganos competentes en materia de incompatibilidades y conflictos de intereses y los órganos de control, supervisión y protectorado de las entidades incluidas en el ámbito de actuación correspondiente, y que actúa en todo caso en colaboración con estas instituciones y órganos. La Agencia aportará toda la información de que disponga y proporcionará el apoyo necesario a la institución u órgano que lleve a cabo la investigación o fiscalización correspondiente.</w:t>
      </w:r>
    </w:p>
    <w:p w14:paraId="681A41BD" w14:textId="0A3B1C64"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En cumplimiento de sus tareas la Agencia podrá proporcionar la colaboración, la asistencia y el intercambio de información con otras instituciones, órganos o entidades públicas mediante planes y programas conjuntos, convenios y protocolos de colaboración funcional, en el marco de la normativa aplicable.</w:t>
      </w:r>
    </w:p>
    <w:p w14:paraId="5258CB12" w14:textId="73E06C69"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 xml:space="preserve">La Agencia no tiene competencias en las funciones y materias que corresponden a la autoridad judicial, el </w:t>
      </w:r>
      <w:r w:rsidR="003803CD">
        <w:rPr>
          <w:rFonts w:ascii="Arial" w:hAnsi="Arial"/>
          <w:sz w:val="21"/>
          <w:szCs w:val="21"/>
        </w:rPr>
        <w:t>Ministerio Fiscal</w:t>
      </w:r>
      <w:r w:rsidRPr="00973028">
        <w:rPr>
          <w:rFonts w:ascii="Arial" w:hAnsi="Arial"/>
          <w:sz w:val="21"/>
          <w:szCs w:val="21"/>
        </w:rPr>
        <w:t xml:space="preserve"> y la policía judicial ni puede investigar los mismos hechos que han sido objeto de sus investigaciones. En caso de que la autoridad judicial o el </w:t>
      </w:r>
      <w:r w:rsidR="003803CD">
        <w:rPr>
          <w:rFonts w:ascii="Arial" w:hAnsi="Arial"/>
          <w:sz w:val="21"/>
          <w:szCs w:val="21"/>
        </w:rPr>
        <w:t>Ministerio Fiscal</w:t>
      </w:r>
      <w:r w:rsidRPr="00973028">
        <w:rPr>
          <w:rFonts w:ascii="Arial" w:hAnsi="Arial"/>
          <w:sz w:val="21"/>
          <w:szCs w:val="21"/>
        </w:rPr>
        <w:t xml:space="preserve"> inicien un procedimiento para determinar el relieve penal de unos hechos que constituyen al mismo tiempo el objeto de actuaciones de investigación de la Agencia, esta deberá </w:t>
      </w:r>
      <w:r w:rsidRPr="00973028">
        <w:rPr>
          <w:rFonts w:ascii="Arial" w:hAnsi="Arial"/>
          <w:b/>
          <w:bCs/>
          <w:sz w:val="21"/>
          <w:szCs w:val="21"/>
        </w:rPr>
        <w:t>interrumpir</w:t>
      </w:r>
      <w:r w:rsidRPr="00973028">
        <w:rPr>
          <w:rFonts w:ascii="Arial" w:hAnsi="Arial"/>
          <w:sz w:val="21"/>
          <w:szCs w:val="21"/>
        </w:rPr>
        <w:t xml:space="preserve"> sus actuaciones y aportar inmediatamente toda la información de la que dispone, además de proporcionar el apoyo necesario, siendo un órgano de </w:t>
      </w:r>
      <w:r w:rsidRPr="00973028">
        <w:rPr>
          <w:rFonts w:ascii="Arial" w:hAnsi="Arial"/>
          <w:b/>
          <w:bCs/>
          <w:sz w:val="21"/>
          <w:szCs w:val="21"/>
        </w:rPr>
        <w:t>apoyo y colaboración</w:t>
      </w:r>
      <w:r w:rsidRPr="00973028">
        <w:rPr>
          <w:rFonts w:ascii="Arial" w:hAnsi="Arial"/>
          <w:sz w:val="21"/>
          <w:szCs w:val="21"/>
        </w:rPr>
        <w:t xml:space="preserve"> con la autoridad judicial y el </w:t>
      </w:r>
      <w:r w:rsidR="003803CD">
        <w:rPr>
          <w:rFonts w:ascii="Arial" w:hAnsi="Arial"/>
          <w:sz w:val="21"/>
          <w:szCs w:val="21"/>
        </w:rPr>
        <w:t>Ministerio Fiscal</w:t>
      </w:r>
      <w:r w:rsidRPr="00973028">
        <w:rPr>
          <w:rFonts w:ascii="Arial" w:hAnsi="Arial"/>
          <w:sz w:val="21"/>
          <w:szCs w:val="21"/>
        </w:rPr>
        <w:t xml:space="preserve"> cuando sea requerida. La Agencia solicitará a la fiscalía información periódica respecto del trámite en que se encuentran las actuaciones iniciadas a instancia suya.</w:t>
      </w:r>
    </w:p>
    <w:p w14:paraId="6C94F213" w14:textId="75218589" w:rsidR="002A47AA" w:rsidRPr="00973028" w:rsidRDefault="002A47AA" w:rsidP="002A47AA">
      <w:pPr>
        <w:spacing w:after="240" w:line="276" w:lineRule="auto"/>
        <w:jc w:val="both"/>
        <w:rPr>
          <w:rFonts w:ascii="Arial" w:eastAsia="Times New Roman" w:hAnsi="Arial"/>
          <w:sz w:val="21"/>
          <w:szCs w:val="21"/>
          <w:lang w:eastAsia="es-ES"/>
        </w:rPr>
      </w:pPr>
      <w:r w:rsidRPr="00973028">
        <w:rPr>
          <w:rFonts w:ascii="Arial" w:eastAsia="Times New Roman" w:hAnsi="Arial"/>
          <w:sz w:val="21"/>
          <w:szCs w:val="21"/>
          <w:lang w:eastAsia="es-ES"/>
        </w:rPr>
        <w:t>Dentro de este entorno competencial, uno de los ámbitos de la actuación principales de la</w:t>
      </w:r>
      <w:r w:rsidRPr="00973028">
        <w:rPr>
          <w:rFonts w:ascii="Arial" w:eastAsia="Times New Roman" w:hAnsi="Arial"/>
          <w:b/>
          <w:bCs/>
          <w:sz w:val="21"/>
          <w:szCs w:val="21"/>
          <w:lang w:eastAsia="es-ES"/>
        </w:rPr>
        <w:t xml:space="preserve"> </w:t>
      </w:r>
      <w:r w:rsidRPr="00973028">
        <w:rPr>
          <w:rFonts w:ascii="Arial" w:eastAsia="Times New Roman" w:hAnsi="Arial"/>
          <w:color w:val="000000"/>
          <w:sz w:val="21"/>
          <w:szCs w:val="21"/>
          <w:lang w:eastAsia="es-ES"/>
        </w:rPr>
        <w:t xml:space="preserve">Agencia, </w:t>
      </w:r>
      <w:r w:rsidRPr="00973028">
        <w:rPr>
          <w:rFonts w:ascii="Arial" w:eastAsia="Times New Roman" w:hAnsi="Arial"/>
          <w:sz w:val="21"/>
          <w:szCs w:val="21"/>
          <w:lang w:eastAsia="es-ES"/>
        </w:rPr>
        <w:t xml:space="preserve">lo constituye su colaboración con la fiscalía y con autoridades judiciales en las actuaciones que éstas desarrollan en el ámbito de la investigación criminal. </w:t>
      </w:r>
      <w:r w:rsidRPr="00973028">
        <w:rPr>
          <w:rFonts w:ascii="Arial" w:eastAsia="Times New Roman" w:hAnsi="Arial"/>
          <w:color w:val="000000"/>
          <w:sz w:val="21"/>
          <w:szCs w:val="21"/>
          <w:lang w:eastAsia="es-ES"/>
        </w:rPr>
        <w:t xml:space="preserve">Para ello, la intervención de la Agencia se realiza al amparo de lo dispuesto en el artículo 5 de la Ley 11/2016, de 28 de noviembre, de la Generalitat que prevé que la misma </w:t>
      </w:r>
      <w:r w:rsidRPr="00973028">
        <w:rPr>
          <w:rFonts w:ascii="Arial" w:eastAsia="Times New Roman" w:hAnsi="Arial"/>
          <w:b/>
          <w:bCs/>
          <w:color w:val="000000"/>
          <w:sz w:val="21"/>
          <w:szCs w:val="21"/>
          <w:lang w:eastAsia="es-ES"/>
        </w:rPr>
        <w:t xml:space="preserve">pueda </w:t>
      </w:r>
      <w:r w:rsidRPr="00973028">
        <w:rPr>
          <w:rFonts w:ascii="Arial" w:eastAsia="Times New Roman" w:hAnsi="Arial"/>
          <w:b/>
          <w:bCs/>
          <w:color w:val="000000"/>
          <w:sz w:val="21"/>
          <w:szCs w:val="21"/>
          <w:lang w:eastAsia="es-ES"/>
        </w:rPr>
        <w:lastRenderedPageBreak/>
        <w:t xml:space="preserve">proporcionar el apoyo necesario a la autoridad judicial y al </w:t>
      </w:r>
      <w:r w:rsidR="003803CD">
        <w:rPr>
          <w:rFonts w:ascii="Arial" w:eastAsia="Times New Roman" w:hAnsi="Arial"/>
          <w:b/>
          <w:bCs/>
          <w:color w:val="000000"/>
          <w:sz w:val="21"/>
          <w:szCs w:val="21"/>
          <w:lang w:eastAsia="es-ES"/>
        </w:rPr>
        <w:t>Ministerio Fiscal</w:t>
      </w:r>
      <w:r w:rsidRPr="00973028">
        <w:rPr>
          <w:rFonts w:ascii="Arial" w:eastAsia="Times New Roman" w:hAnsi="Arial"/>
          <w:b/>
          <w:bCs/>
          <w:color w:val="000000"/>
          <w:sz w:val="21"/>
          <w:szCs w:val="21"/>
          <w:lang w:eastAsia="es-ES"/>
        </w:rPr>
        <w:t>, siendo un órgano de apoyo y colaboración cuando sea requerida.</w:t>
      </w:r>
    </w:p>
    <w:p w14:paraId="0F14FB06" w14:textId="0CEAE7DA" w:rsidR="002A47AA" w:rsidRPr="00973028" w:rsidRDefault="002A47AA" w:rsidP="002A47AA">
      <w:pPr>
        <w:spacing w:after="240" w:line="276" w:lineRule="auto"/>
        <w:jc w:val="both"/>
        <w:rPr>
          <w:rFonts w:ascii="Arial" w:eastAsia="Times New Roman" w:hAnsi="Arial"/>
          <w:sz w:val="21"/>
          <w:szCs w:val="21"/>
          <w:lang w:eastAsia="es-ES"/>
        </w:rPr>
      </w:pPr>
      <w:r w:rsidRPr="00973028">
        <w:rPr>
          <w:rFonts w:ascii="Arial" w:eastAsia="Times New Roman" w:hAnsi="Arial"/>
          <w:color w:val="000000"/>
          <w:sz w:val="21"/>
          <w:szCs w:val="21"/>
          <w:lang w:eastAsia="es-ES"/>
        </w:rPr>
        <w:t>En dicho sentido, el Reglamento de funcionamiento y régimen interior de la Agencia de 27 de junio de 2019 (DOGV núm. 8582, de 02.07.2019), establece en su artículo 10, apartado 3</w:t>
      </w:r>
      <w:r w:rsidR="00CA00A9">
        <w:rPr>
          <w:rFonts w:ascii="Arial" w:eastAsia="Times New Roman" w:hAnsi="Arial"/>
          <w:color w:val="000000"/>
          <w:sz w:val="21"/>
          <w:szCs w:val="21"/>
          <w:lang w:eastAsia="es-ES"/>
        </w:rPr>
        <w:t>,</w:t>
      </w:r>
      <w:r w:rsidRPr="00973028">
        <w:rPr>
          <w:rFonts w:ascii="Arial" w:eastAsia="Times New Roman" w:hAnsi="Arial"/>
          <w:color w:val="000000"/>
          <w:sz w:val="21"/>
          <w:szCs w:val="21"/>
          <w:lang w:eastAsia="es-ES"/>
        </w:rPr>
        <w:t xml:space="preserve"> que “En el contexto de la realización de diligencias de investigación penal, instrucción de causas y celebración de juicios, relacionados con las funciones de la Agencia y su ámbito de actuación, esta podrá colaborar con el </w:t>
      </w:r>
      <w:r w:rsidR="003803CD">
        <w:rPr>
          <w:rFonts w:ascii="Arial" w:eastAsia="Times New Roman" w:hAnsi="Arial"/>
          <w:color w:val="000000"/>
          <w:sz w:val="21"/>
          <w:szCs w:val="21"/>
          <w:lang w:eastAsia="es-ES"/>
        </w:rPr>
        <w:t>Ministerio Fiscal</w:t>
      </w:r>
      <w:r w:rsidRPr="00973028">
        <w:rPr>
          <w:rFonts w:ascii="Arial" w:eastAsia="Times New Roman" w:hAnsi="Arial"/>
          <w:color w:val="000000"/>
          <w:sz w:val="21"/>
          <w:szCs w:val="21"/>
          <w:lang w:eastAsia="es-ES"/>
        </w:rPr>
        <w:t xml:space="preserve">, los Juzgados y los Tribunales, cuando así se requiera, </w:t>
      </w:r>
      <w:r w:rsidRPr="00973028">
        <w:rPr>
          <w:rFonts w:ascii="Arial" w:eastAsia="Times New Roman" w:hAnsi="Arial"/>
          <w:b/>
          <w:bCs/>
          <w:color w:val="000000"/>
          <w:sz w:val="21"/>
          <w:szCs w:val="21"/>
          <w:lang w:eastAsia="es-ES"/>
        </w:rPr>
        <w:t>mediante la asistencia técnica y emisión de informes periciales por personal funcionario a su servicio, especializado en materia jurídico-administrativa, económica, contable y de control administrativo, y con conocimiento profundo de las administraciones y su sector público y los procedimientos administrativos.”</w:t>
      </w:r>
    </w:p>
    <w:p w14:paraId="10B0E2E2" w14:textId="77777777" w:rsidR="002A47AA" w:rsidRPr="00973028" w:rsidRDefault="002A47AA" w:rsidP="002A47AA">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En cumplimiento de la citada previsión normativa, han sido elaborados informes periciales requeridos por distintos órganos jurisdiccionales y por la fiscalía, concluidos y entregados en el ejercicio 2020. </w:t>
      </w:r>
    </w:p>
    <w:p w14:paraId="35A52F0C" w14:textId="62B91F1E" w:rsidR="002A47AA" w:rsidRPr="00973028" w:rsidRDefault="002A47AA" w:rsidP="002A47AA">
      <w:pPr>
        <w:spacing w:after="240" w:line="276" w:lineRule="auto"/>
        <w:jc w:val="both"/>
        <w:rPr>
          <w:rFonts w:ascii="Arial" w:eastAsia="Times New Roman" w:hAnsi="Arial"/>
          <w:b/>
          <w:bCs/>
          <w:color w:val="000000"/>
          <w:sz w:val="21"/>
          <w:szCs w:val="21"/>
          <w:lang w:eastAsia="es-ES"/>
        </w:rPr>
      </w:pPr>
      <w:r w:rsidRPr="00973028">
        <w:rPr>
          <w:rFonts w:ascii="Arial" w:eastAsia="Times New Roman" w:hAnsi="Arial"/>
          <w:color w:val="000000"/>
          <w:sz w:val="21"/>
          <w:szCs w:val="21"/>
          <w:lang w:eastAsia="es-ES"/>
        </w:rPr>
        <w:t xml:space="preserve">De esta manera la Agencia hasta la fecha </w:t>
      </w:r>
      <w:r w:rsidRPr="00973028">
        <w:rPr>
          <w:rFonts w:ascii="Arial" w:eastAsia="Times New Roman" w:hAnsi="Arial"/>
          <w:b/>
          <w:bCs/>
          <w:color w:val="000000"/>
          <w:sz w:val="21"/>
          <w:szCs w:val="21"/>
          <w:lang w:eastAsia="es-ES"/>
        </w:rPr>
        <w:t>ha aceptado su designación como perito judicial en 7 procedimientos judiciales, 5 casos solicitados por Juzgados de Instrucción de Val</w:t>
      </w:r>
      <w:r w:rsidR="00982B72">
        <w:rPr>
          <w:rFonts w:ascii="Arial" w:eastAsia="Times New Roman" w:hAnsi="Arial"/>
          <w:b/>
          <w:bCs/>
          <w:color w:val="000000"/>
          <w:sz w:val="21"/>
          <w:szCs w:val="21"/>
          <w:lang w:eastAsia="es-ES"/>
        </w:rPr>
        <w:t>è</w:t>
      </w:r>
      <w:r w:rsidRPr="00973028">
        <w:rPr>
          <w:rFonts w:ascii="Arial" w:eastAsia="Times New Roman" w:hAnsi="Arial"/>
          <w:b/>
          <w:bCs/>
          <w:color w:val="000000"/>
          <w:sz w:val="21"/>
          <w:szCs w:val="21"/>
          <w:lang w:eastAsia="es-ES"/>
        </w:rPr>
        <w:t xml:space="preserve">ncia, 1 caso solicitado por un Juzgado de Instrucción de Castellón y en 1 supuesto a solicitud de la Fiscalía Provincial de Valencia Sección de Delitos Económicos. </w:t>
      </w:r>
    </w:p>
    <w:p w14:paraId="2EB4E717" w14:textId="18BCEB51" w:rsidR="002A47AA" w:rsidRPr="00F70424" w:rsidRDefault="002A47AA" w:rsidP="00B9275E">
      <w:pPr>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Durante el año 2020 se han entregado 6 de los 7 dictámenes periciales encomendados, estando pendiente tan solo la finalización del informe solicitado por el Juzgado de Instrucción de Castellón, dado que se ha pedido vía judicial documentación complementaria para su elaboración. En dos de los casos de los seis informes periciales presentados, se ha procedido a la ratificación y sometimiento a las preguntas y aclaraciones solicitadas por las </w:t>
      </w:r>
      <w:r w:rsidRPr="00F70424">
        <w:rPr>
          <w:rFonts w:ascii="Arial" w:eastAsia="Times New Roman" w:hAnsi="Arial"/>
          <w:color w:val="000000"/>
          <w:sz w:val="21"/>
          <w:szCs w:val="21"/>
          <w:lang w:eastAsia="es-ES"/>
        </w:rPr>
        <w:t>partes en la fase de instrucción.</w:t>
      </w:r>
      <w:bookmarkStart w:id="116" w:name="_Hlk63062007"/>
    </w:p>
    <w:p w14:paraId="6E4C914D" w14:textId="136173C5" w:rsidR="002A47AA" w:rsidRPr="00F70424" w:rsidRDefault="002A47AA" w:rsidP="00672ABA">
      <w:pPr>
        <w:pStyle w:val="Prrafodelista"/>
        <w:keepNext/>
        <w:numPr>
          <w:ilvl w:val="1"/>
          <w:numId w:val="24"/>
        </w:numPr>
        <w:suppressAutoHyphens/>
        <w:spacing w:before="360" w:after="240" w:line="276" w:lineRule="auto"/>
        <w:ind w:left="851" w:hanging="851"/>
        <w:jc w:val="both"/>
        <w:outlineLvl w:val="1"/>
        <w:rPr>
          <w:rFonts w:ascii="Arial" w:eastAsia="Times New Roman" w:hAnsi="Arial" w:cs="Arial"/>
          <w:b/>
          <w:color w:val="9D2235"/>
          <w:sz w:val="32"/>
          <w:szCs w:val="32"/>
        </w:rPr>
      </w:pPr>
      <w:bookmarkStart w:id="117" w:name="_Toc67646279"/>
      <w:r w:rsidRPr="00F70424">
        <w:rPr>
          <w:rFonts w:ascii="Arial" w:eastAsia="Times New Roman" w:hAnsi="Arial" w:cs="Arial"/>
          <w:b/>
          <w:color w:val="9D2235"/>
          <w:sz w:val="32"/>
          <w:szCs w:val="32"/>
        </w:rPr>
        <w:t>Sistemas de Información</w:t>
      </w:r>
      <w:r w:rsidR="006C393E" w:rsidRPr="00F70424">
        <w:rPr>
          <w:rFonts w:ascii="Arial" w:eastAsia="Times New Roman" w:hAnsi="Arial" w:cs="Arial"/>
          <w:b/>
          <w:color w:val="9D2235"/>
          <w:sz w:val="32"/>
          <w:szCs w:val="32"/>
        </w:rPr>
        <w:t xml:space="preserve"> y Tecnologías</w:t>
      </w:r>
      <w:bookmarkEnd w:id="117"/>
    </w:p>
    <w:p w14:paraId="0A6F1E9A" w14:textId="02135403" w:rsidR="002A47AA" w:rsidRPr="00973028" w:rsidRDefault="002A47AA" w:rsidP="002A47AA">
      <w:pPr>
        <w:spacing w:after="240" w:line="276" w:lineRule="auto"/>
        <w:jc w:val="both"/>
        <w:rPr>
          <w:rFonts w:ascii="Arial" w:hAnsi="Arial"/>
          <w:sz w:val="21"/>
          <w:szCs w:val="21"/>
        </w:rPr>
      </w:pPr>
      <w:bookmarkStart w:id="118" w:name="_Hlk63161450"/>
      <w:r w:rsidRPr="00F70424">
        <w:rPr>
          <w:rFonts w:ascii="Arial" w:hAnsi="Arial"/>
          <w:sz w:val="21"/>
          <w:szCs w:val="21"/>
        </w:rPr>
        <w:t>El ejercicio 2020 se ha convertido en un reto absoluto para la actividad de los servicios TIC de la Agencia. La llegada de la pandemia ocasionó un despliegue tecnológico y una adaptación funcional de los sistemas a las restricciones de movilidad que se impusieron a raíz del estado de alarma. Por este motivo se desplegaron</w:t>
      </w:r>
      <w:r w:rsidR="006C393E" w:rsidRPr="00F70424">
        <w:rPr>
          <w:rFonts w:ascii="Arial" w:hAnsi="Arial"/>
          <w:sz w:val="21"/>
          <w:szCs w:val="21"/>
        </w:rPr>
        <w:t>,</w:t>
      </w:r>
      <w:r w:rsidRPr="00F70424">
        <w:rPr>
          <w:rFonts w:ascii="Arial" w:hAnsi="Arial"/>
          <w:sz w:val="21"/>
          <w:szCs w:val="21"/>
        </w:rPr>
        <w:t xml:space="preserve"> tanto en los equipos cliente como en los servidores y sistemas de la Agencia</w:t>
      </w:r>
      <w:r w:rsidR="006C393E" w:rsidRPr="00F70424">
        <w:rPr>
          <w:rFonts w:ascii="Arial" w:hAnsi="Arial"/>
          <w:sz w:val="21"/>
          <w:szCs w:val="21"/>
        </w:rPr>
        <w:t>,</w:t>
      </w:r>
      <w:r w:rsidRPr="00F70424">
        <w:rPr>
          <w:rFonts w:ascii="Arial" w:hAnsi="Arial"/>
          <w:sz w:val="21"/>
          <w:szCs w:val="21"/>
        </w:rPr>
        <w:t xml:space="preserve"> las aplicaciones y configuraciones necesarias para poner en funcionamiento, mediante VPN seguras, el teletrabajo para todo el personal de la Agencia.</w:t>
      </w:r>
    </w:p>
    <w:p w14:paraId="64414BF0"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Ante esta nueva situación y a fin de disponer de todos los medios necesarios para mantener el nivel de servicio de la Agencia, se ha adquirido el equipamiento tecnológico mínimo necesario para cada usuario estableciendo el equipo de trabajo necesario de forma que todos dispongan de terminales de comunicaciones en movilidad, equipos de procesamiento y dispositivos de visualización para realizar con plenas garantías su trabajo independientemente de su ubicación.</w:t>
      </w:r>
    </w:p>
    <w:p w14:paraId="1DABD49C" w14:textId="20111542" w:rsidR="002A47AA" w:rsidRPr="00F70424" w:rsidRDefault="002A47AA" w:rsidP="002A47AA">
      <w:pPr>
        <w:spacing w:after="240" w:line="276" w:lineRule="auto"/>
        <w:jc w:val="both"/>
        <w:rPr>
          <w:rFonts w:ascii="Arial" w:hAnsi="Arial"/>
          <w:sz w:val="21"/>
          <w:szCs w:val="21"/>
        </w:rPr>
      </w:pPr>
      <w:r w:rsidRPr="00973028">
        <w:rPr>
          <w:rFonts w:ascii="Arial" w:hAnsi="Arial"/>
          <w:sz w:val="21"/>
          <w:szCs w:val="21"/>
        </w:rPr>
        <w:lastRenderedPageBreak/>
        <w:t xml:space="preserve">En cuanto a los servicios dependientes de los Sistemas de Información, se han realizado actualizaciones funcionales y de seguridad del </w:t>
      </w:r>
      <w:r w:rsidR="00012862">
        <w:rPr>
          <w:rFonts w:ascii="Arial" w:hAnsi="Arial"/>
          <w:sz w:val="21"/>
          <w:szCs w:val="21"/>
        </w:rPr>
        <w:t>Buzón de Denuncias</w:t>
      </w:r>
      <w:r w:rsidRPr="00973028">
        <w:rPr>
          <w:rFonts w:ascii="Arial" w:hAnsi="Arial"/>
          <w:sz w:val="21"/>
          <w:szCs w:val="21"/>
        </w:rPr>
        <w:t xml:space="preserve">, principal canal de entrada de denuncias por parte de la ciudadanía. La existencia de este </w:t>
      </w:r>
      <w:r w:rsidR="00012862">
        <w:rPr>
          <w:rFonts w:ascii="Arial" w:hAnsi="Arial"/>
          <w:sz w:val="21"/>
          <w:szCs w:val="21"/>
        </w:rPr>
        <w:t>Buzón de Denuncias</w:t>
      </w:r>
      <w:r w:rsidRPr="00973028">
        <w:rPr>
          <w:rFonts w:ascii="Arial" w:hAnsi="Arial"/>
          <w:sz w:val="21"/>
          <w:szCs w:val="21"/>
        </w:rPr>
        <w:t xml:space="preserve"> garantiza el cumplimiento de los fines de la Agencia y sus obligaciones normativas, estableciendo un canal de comunicación anónimo y con todas las garantías para la persona denunciante, cumpliendo además con las obligaciones impuestas por la Directiva (UE) 2019/1937 del Parlamento Europeo y </w:t>
      </w:r>
      <w:r w:rsidRPr="00F70424">
        <w:rPr>
          <w:rFonts w:ascii="Arial" w:hAnsi="Arial"/>
          <w:sz w:val="21"/>
          <w:szCs w:val="21"/>
        </w:rPr>
        <w:t>de la Unión, de 23 de octubre de 2019, relativa a la protección de las personas que informen sobre infracciones del Derecho de la Unión.</w:t>
      </w:r>
    </w:p>
    <w:p w14:paraId="29B50BE3" w14:textId="77777777" w:rsidR="002A47AA" w:rsidRPr="00973028" w:rsidRDefault="002A47AA" w:rsidP="002A47AA">
      <w:pPr>
        <w:spacing w:after="240" w:line="276" w:lineRule="auto"/>
        <w:jc w:val="both"/>
        <w:rPr>
          <w:rFonts w:ascii="Arial" w:hAnsi="Arial"/>
          <w:sz w:val="21"/>
          <w:szCs w:val="21"/>
        </w:rPr>
      </w:pPr>
      <w:r w:rsidRPr="00F70424">
        <w:rPr>
          <w:rFonts w:ascii="Arial" w:hAnsi="Arial"/>
          <w:sz w:val="21"/>
          <w:szCs w:val="21"/>
        </w:rPr>
        <w:t xml:space="preserve">De forma paralela, y como parte fundamental del trabajo de la Agencia, la consolidación del proyecto de Administración Electrónica ha permitido la implementación de una administración sin papeles, desarrollando diseños </w:t>
      </w:r>
      <w:r w:rsidRPr="00F70424">
        <w:rPr>
          <w:rFonts w:ascii="Arial" w:hAnsi="Arial"/>
          <w:i/>
          <w:iCs/>
          <w:sz w:val="21"/>
          <w:szCs w:val="21"/>
        </w:rPr>
        <w:t>ad hoc</w:t>
      </w:r>
      <w:r w:rsidRPr="00F70424">
        <w:rPr>
          <w:rFonts w:ascii="Arial" w:hAnsi="Arial"/>
          <w:sz w:val="21"/>
          <w:szCs w:val="21"/>
        </w:rPr>
        <w:t xml:space="preserve"> para los expedientes de Análisis e Investigación, Protección del Denunciante y expediente</w:t>
      </w:r>
      <w:r w:rsidRPr="00973028">
        <w:rPr>
          <w:rFonts w:ascii="Arial" w:hAnsi="Arial"/>
          <w:sz w:val="21"/>
          <w:szCs w:val="21"/>
        </w:rPr>
        <w:t xml:space="preserve"> Sancionador. Estos desarrollos van a permitir que la tramitación de estos tipos de expedientes sea guiada, con homogeneidad en la documentación y tramitación y con incorporación de datos esenciales para su análisis más exhaustivo y explotación mediante cuadros de mando.</w:t>
      </w:r>
    </w:p>
    <w:p w14:paraId="0A38AEF7"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 xml:space="preserve">Uno de los canales de entrada de información procedente de la ciudadanía u otras administraciones ha sido la Sede Electrónica, que se ha mejorado incorporando funcionalidades y manuales útiles. </w:t>
      </w:r>
    </w:p>
    <w:p w14:paraId="45CE7CCC" w14:textId="5BC1C942"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La utilización del registro electrónico a través de la sede ha sido la forma de registro más utilizada en este año. La tabla siguiente muestra la comparación entre registros presenciales y telemáticos:</w:t>
      </w:r>
    </w:p>
    <w:p w14:paraId="480BD3AA" w14:textId="212151D6" w:rsidR="00A52EF7" w:rsidRPr="00973028" w:rsidRDefault="00A52EF7" w:rsidP="00A52EF7">
      <w:pPr>
        <w:pStyle w:val="Descripcin"/>
        <w:keepNext/>
        <w:jc w:val="center"/>
        <w:rPr>
          <w:rFonts w:ascii="Arial" w:hAnsi="Arial" w:cs="Arial"/>
          <w:smallCaps w:val="0"/>
          <w:sz w:val="18"/>
          <w:szCs w:val="20"/>
        </w:rPr>
      </w:pPr>
      <w:bookmarkStart w:id="119" w:name="_Toc67646351"/>
      <w:r w:rsidRPr="00973028">
        <w:rPr>
          <w:rFonts w:ascii="Arial" w:hAnsi="Arial" w:cs="Arial"/>
          <w:smallCaps w:val="0"/>
          <w:color w:val="9D2235" w:themeColor="accent1"/>
          <w:sz w:val="18"/>
          <w:szCs w:val="20"/>
        </w:rPr>
        <w:t xml:space="preserve">Tabla </w:t>
      </w:r>
      <w:r w:rsidRPr="00973028">
        <w:rPr>
          <w:rFonts w:ascii="Arial" w:hAnsi="Arial" w:cs="Arial"/>
          <w:smallCaps w:val="0"/>
          <w:color w:val="9D2235" w:themeColor="accent1"/>
          <w:sz w:val="18"/>
          <w:szCs w:val="20"/>
        </w:rPr>
        <w:fldChar w:fldCharType="begin"/>
      </w:r>
      <w:r w:rsidRPr="00973028">
        <w:rPr>
          <w:rFonts w:ascii="Arial" w:hAnsi="Arial" w:cs="Arial"/>
          <w:smallCaps w:val="0"/>
          <w:color w:val="9D2235" w:themeColor="accent1"/>
          <w:sz w:val="18"/>
          <w:szCs w:val="20"/>
        </w:rPr>
        <w:instrText xml:space="preserve"> SEQ Tabla \* ARABIC </w:instrText>
      </w:r>
      <w:r w:rsidRPr="00973028">
        <w:rPr>
          <w:rFonts w:ascii="Arial" w:hAnsi="Arial" w:cs="Arial"/>
          <w:smallCaps w:val="0"/>
          <w:color w:val="9D2235" w:themeColor="accent1"/>
          <w:sz w:val="18"/>
          <w:szCs w:val="20"/>
        </w:rPr>
        <w:fldChar w:fldCharType="separate"/>
      </w:r>
      <w:r w:rsidR="00ED7F0D">
        <w:rPr>
          <w:rFonts w:ascii="Arial" w:hAnsi="Arial" w:cs="Arial"/>
          <w:smallCaps w:val="0"/>
          <w:noProof/>
          <w:color w:val="9D2235" w:themeColor="accent1"/>
          <w:sz w:val="18"/>
          <w:szCs w:val="20"/>
        </w:rPr>
        <w:t>14</w:t>
      </w:r>
      <w:r w:rsidRPr="00973028">
        <w:rPr>
          <w:rFonts w:ascii="Arial" w:hAnsi="Arial" w:cs="Arial"/>
          <w:smallCaps w:val="0"/>
          <w:color w:val="9D2235" w:themeColor="accent1"/>
          <w:sz w:val="18"/>
          <w:szCs w:val="20"/>
        </w:rPr>
        <w:fldChar w:fldCharType="end"/>
      </w:r>
      <w:r w:rsidR="00B00F7A">
        <w:rPr>
          <w:rFonts w:ascii="Arial" w:hAnsi="Arial" w:cs="Arial"/>
          <w:smallCaps w:val="0"/>
          <w:color w:val="9D2235" w:themeColor="accent1"/>
          <w:sz w:val="18"/>
          <w:szCs w:val="20"/>
        </w:rPr>
        <w:t>.</w:t>
      </w:r>
      <w:r w:rsidRPr="00973028">
        <w:rPr>
          <w:rFonts w:ascii="Arial" w:hAnsi="Arial" w:cs="Arial"/>
          <w:smallCaps w:val="0"/>
          <w:color w:val="9D2235" w:themeColor="accent1"/>
          <w:sz w:val="18"/>
          <w:szCs w:val="20"/>
        </w:rPr>
        <w:t xml:space="preserve"> </w:t>
      </w:r>
      <w:r w:rsidRPr="00973028">
        <w:rPr>
          <w:rFonts w:ascii="Arial" w:hAnsi="Arial" w:cs="Arial"/>
          <w:smallCaps w:val="0"/>
          <w:sz w:val="18"/>
          <w:szCs w:val="20"/>
        </w:rPr>
        <w:t xml:space="preserve">Comparación entre </w:t>
      </w:r>
      <w:r w:rsidR="00C44CC0" w:rsidRPr="00973028">
        <w:rPr>
          <w:rFonts w:ascii="Arial" w:hAnsi="Arial" w:cs="Arial"/>
          <w:smallCaps w:val="0"/>
          <w:sz w:val="18"/>
          <w:szCs w:val="20"/>
        </w:rPr>
        <w:t>r</w:t>
      </w:r>
      <w:r w:rsidRPr="00973028">
        <w:rPr>
          <w:rFonts w:ascii="Arial" w:hAnsi="Arial" w:cs="Arial"/>
          <w:smallCaps w:val="0"/>
          <w:sz w:val="18"/>
          <w:szCs w:val="20"/>
        </w:rPr>
        <w:t>egistros presenciales y telemáticos</w:t>
      </w:r>
      <w:bookmarkEnd w:id="119"/>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534"/>
        <w:gridCol w:w="2297"/>
      </w:tblGrid>
      <w:tr w:rsidR="002C0DE6" w:rsidRPr="00973028" w14:paraId="5163EE7D" w14:textId="77777777" w:rsidTr="000867FC">
        <w:tc>
          <w:tcPr>
            <w:tcW w:w="5534" w:type="dxa"/>
            <w:shd w:val="clear" w:color="auto" w:fill="9D2235" w:themeFill="accent1"/>
            <w:vAlign w:val="center"/>
          </w:tcPr>
          <w:p w14:paraId="3132C6A2" w14:textId="7596A460" w:rsidR="002C0DE6" w:rsidRPr="00973028" w:rsidRDefault="002C0DE6" w:rsidP="000867FC">
            <w:pPr>
              <w:spacing w:after="240" w:line="276" w:lineRule="auto"/>
              <w:jc w:val="both"/>
              <w:rPr>
                <w:rFonts w:ascii="Arial" w:hAnsi="Arial"/>
                <w:b/>
                <w:bCs/>
                <w:color w:val="FFFFFF" w:themeColor="background1"/>
                <w:sz w:val="21"/>
                <w:szCs w:val="21"/>
              </w:rPr>
            </w:pPr>
            <w:r w:rsidRPr="00973028">
              <w:rPr>
                <w:rFonts w:ascii="Arial" w:hAnsi="Arial"/>
                <w:b/>
                <w:bCs/>
                <w:color w:val="FFFFFF" w:themeColor="background1"/>
                <w:sz w:val="21"/>
                <w:szCs w:val="21"/>
              </w:rPr>
              <w:t xml:space="preserve">Tipo de </w:t>
            </w:r>
            <w:r w:rsidR="00CA00A9">
              <w:rPr>
                <w:rFonts w:ascii="Arial" w:hAnsi="Arial"/>
                <w:b/>
                <w:bCs/>
                <w:color w:val="FFFFFF" w:themeColor="background1"/>
                <w:sz w:val="21"/>
                <w:szCs w:val="21"/>
              </w:rPr>
              <w:t>r</w:t>
            </w:r>
            <w:r w:rsidRPr="00973028">
              <w:rPr>
                <w:rFonts w:ascii="Arial" w:hAnsi="Arial"/>
                <w:b/>
                <w:bCs/>
                <w:color w:val="FFFFFF" w:themeColor="background1"/>
                <w:sz w:val="21"/>
                <w:szCs w:val="21"/>
              </w:rPr>
              <w:t>egistro</w:t>
            </w:r>
          </w:p>
        </w:tc>
        <w:tc>
          <w:tcPr>
            <w:tcW w:w="2297" w:type="dxa"/>
            <w:shd w:val="clear" w:color="auto" w:fill="9D2235" w:themeFill="accent1"/>
            <w:vAlign w:val="center"/>
          </w:tcPr>
          <w:p w14:paraId="03FB0E65" w14:textId="77777777" w:rsidR="002C0DE6" w:rsidRPr="00973028" w:rsidRDefault="002C0DE6" w:rsidP="000867FC">
            <w:pPr>
              <w:spacing w:after="240" w:line="276" w:lineRule="auto"/>
              <w:jc w:val="both"/>
              <w:rPr>
                <w:rFonts w:ascii="Arial" w:hAnsi="Arial"/>
                <w:b/>
                <w:bCs/>
                <w:color w:val="FFFFFF" w:themeColor="background1"/>
                <w:sz w:val="21"/>
                <w:szCs w:val="21"/>
              </w:rPr>
            </w:pPr>
            <w:r w:rsidRPr="00973028">
              <w:rPr>
                <w:rFonts w:ascii="Arial" w:hAnsi="Arial"/>
                <w:b/>
                <w:bCs/>
                <w:color w:val="FFFFFF" w:themeColor="background1"/>
                <w:sz w:val="21"/>
                <w:szCs w:val="21"/>
              </w:rPr>
              <w:t>Núm. de registros</w:t>
            </w:r>
          </w:p>
        </w:tc>
      </w:tr>
      <w:tr w:rsidR="002C0DE6" w:rsidRPr="00973028" w14:paraId="0F5126BB" w14:textId="77777777" w:rsidTr="000867FC">
        <w:tc>
          <w:tcPr>
            <w:tcW w:w="5534" w:type="dxa"/>
            <w:vAlign w:val="center"/>
          </w:tcPr>
          <w:p w14:paraId="01C11B4A" w14:textId="09C8CA1E" w:rsidR="002C0DE6" w:rsidRPr="00973028" w:rsidRDefault="002C0DE6" w:rsidP="000867FC">
            <w:pPr>
              <w:spacing w:after="240" w:line="276" w:lineRule="auto"/>
              <w:jc w:val="both"/>
              <w:rPr>
                <w:rFonts w:ascii="Arial" w:hAnsi="Arial"/>
                <w:sz w:val="21"/>
                <w:szCs w:val="21"/>
              </w:rPr>
            </w:pPr>
            <w:r w:rsidRPr="00973028">
              <w:rPr>
                <w:rFonts w:ascii="Arial" w:hAnsi="Arial"/>
                <w:sz w:val="21"/>
                <w:szCs w:val="21"/>
              </w:rPr>
              <w:t>Registros de entrada tele</w:t>
            </w:r>
            <w:r w:rsidRPr="00F70424">
              <w:rPr>
                <w:rFonts w:ascii="Arial" w:hAnsi="Arial"/>
                <w:sz w:val="21"/>
                <w:szCs w:val="21"/>
              </w:rPr>
              <w:t>mático</w:t>
            </w:r>
            <w:r w:rsidR="000867FC" w:rsidRPr="00F70424">
              <w:rPr>
                <w:rFonts w:ascii="Arial" w:hAnsi="Arial"/>
                <w:sz w:val="21"/>
                <w:szCs w:val="21"/>
              </w:rPr>
              <w:t>s</w:t>
            </w:r>
            <w:r w:rsidRPr="00973028">
              <w:rPr>
                <w:rFonts w:ascii="Arial" w:hAnsi="Arial"/>
                <w:sz w:val="21"/>
                <w:szCs w:val="21"/>
              </w:rPr>
              <w:t xml:space="preserve"> a través de sede electrónica</w:t>
            </w:r>
          </w:p>
        </w:tc>
        <w:tc>
          <w:tcPr>
            <w:tcW w:w="2297" w:type="dxa"/>
            <w:vAlign w:val="center"/>
          </w:tcPr>
          <w:p w14:paraId="68408C3E" w14:textId="77777777" w:rsidR="002C0DE6" w:rsidRPr="00973028" w:rsidRDefault="002C0DE6" w:rsidP="000867FC">
            <w:pPr>
              <w:spacing w:after="240" w:line="276" w:lineRule="auto"/>
              <w:jc w:val="center"/>
              <w:rPr>
                <w:rFonts w:ascii="Arial" w:hAnsi="Arial"/>
                <w:sz w:val="21"/>
                <w:szCs w:val="21"/>
              </w:rPr>
            </w:pPr>
            <w:r w:rsidRPr="00973028">
              <w:rPr>
                <w:rFonts w:ascii="Arial" w:hAnsi="Arial"/>
                <w:sz w:val="21"/>
                <w:szCs w:val="21"/>
              </w:rPr>
              <w:t>634</w:t>
            </w:r>
          </w:p>
        </w:tc>
      </w:tr>
      <w:tr w:rsidR="002C0DE6" w:rsidRPr="00973028" w14:paraId="6AC349AA" w14:textId="77777777" w:rsidTr="000867FC">
        <w:tc>
          <w:tcPr>
            <w:tcW w:w="5534" w:type="dxa"/>
            <w:vAlign w:val="center"/>
          </w:tcPr>
          <w:p w14:paraId="3747963F" w14:textId="77777777" w:rsidR="002C0DE6" w:rsidRPr="00973028" w:rsidRDefault="002C0DE6" w:rsidP="000867FC">
            <w:pPr>
              <w:spacing w:after="240" w:line="276" w:lineRule="auto"/>
              <w:jc w:val="both"/>
              <w:rPr>
                <w:rFonts w:ascii="Arial" w:hAnsi="Arial"/>
                <w:sz w:val="21"/>
                <w:szCs w:val="21"/>
              </w:rPr>
            </w:pPr>
            <w:r w:rsidRPr="00973028">
              <w:rPr>
                <w:rFonts w:ascii="Arial" w:hAnsi="Arial"/>
                <w:sz w:val="21"/>
                <w:szCs w:val="21"/>
              </w:rPr>
              <w:t>Registros presenciales</w:t>
            </w:r>
          </w:p>
        </w:tc>
        <w:tc>
          <w:tcPr>
            <w:tcW w:w="2297" w:type="dxa"/>
            <w:vAlign w:val="center"/>
          </w:tcPr>
          <w:p w14:paraId="505BBF36" w14:textId="77777777" w:rsidR="002C0DE6" w:rsidRPr="00973028" w:rsidRDefault="002C0DE6" w:rsidP="000867FC">
            <w:pPr>
              <w:spacing w:after="240" w:line="276" w:lineRule="auto"/>
              <w:jc w:val="center"/>
              <w:rPr>
                <w:rFonts w:ascii="Arial" w:hAnsi="Arial"/>
                <w:sz w:val="21"/>
                <w:szCs w:val="21"/>
              </w:rPr>
            </w:pPr>
            <w:r w:rsidRPr="00973028">
              <w:rPr>
                <w:rFonts w:ascii="Arial" w:hAnsi="Arial"/>
                <w:sz w:val="21"/>
                <w:szCs w:val="21"/>
              </w:rPr>
              <w:t>398</w:t>
            </w:r>
          </w:p>
        </w:tc>
      </w:tr>
    </w:tbl>
    <w:p w14:paraId="385AA3C3" w14:textId="77777777" w:rsidR="002A47AA" w:rsidRPr="00973028" w:rsidRDefault="002A47AA" w:rsidP="002A47AA">
      <w:pPr>
        <w:spacing w:after="240" w:line="276" w:lineRule="auto"/>
        <w:jc w:val="both"/>
        <w:rPr>
          <w:rFonts w:ascii="Arial" w:hAnsi="Arial"/>
          <w:sz w:val="21"/>
          <w:szCs w:val="21"/>
        </w:rPr>
      </w:pPr>
    </w:p>
    <w:p w14:paraId="08495200"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 xml:space="preserve">Durante este año 2020, todos los expedientes se han tramitado utilizando la aplicación de administración electrónica cuyo proyecto de implantación se inició en el año 2018 y ha finalizado en diciembre del 2020. Se han tramitado un total de 1103 expedientes electrónicos. La puesta en funcionamiento del servicio de notificación electrónica en nuestra sede ha mejorado la gestión de las notificaciones, la cuales, en una gran mayoría, se realizan a otras administraciones. </w:t>
      </w:r>
    </w:p>
    <w:p w14:paraId="221EC65B"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El servicio de portafirmas también ha sido uno de los más utilizados permitiendo que todo documento se firme de forma electrónica, quedando almacenado en el gestor documental y permitiendo su consulta para comprobar su integridad desde la sede electrónica a través del código seguro de verificación (CSV).</w:t>
      </w:r>
    </w:p>
    <w:p w14:paraId="1D4BD9B7"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lastRenderedPageBreak/>
        <w:t>La puesta en marcha de nuestra solución de administración electrónica ha permitido un teletrabajo efectivo y productivo y no únicamente como una respuesta ante la situación de pandemia, sino como una forma de gestión necesaria para las funciones propias de la Agencia.</w:t>
      </w:r>
    </w:p>
    <w:p w14:paraId="543DEB62" w14:textId="77777777" w:rsidR="002A47AA" w:rsidRPr="00973028" w:rsidRDefault="002A47AA" w:rsidP="002A47AA">
      <w:pPr>
        <w:spacing w:after="240" w:line="276" w:lineRule="auto"/>
        <w:jc w:val="both"/>
        <w:rPr>
          <w:rFonts w:ascii="Arial" w:hAnsi="Arial"/>
          <w:sz w:val="21"/>
          <w:szCs w:val="21"/>
        </w:rPr>
      </w:pPr>
      <w:r w:rsidRPr="00973028">
        <w:rPr>
          <w:rFonts w:ascii="Arial" w:hAnsi="Arial"/>
          <w:sz w:val="21"/>
          <w:szCs w:val="21"/>
        </w:rPr>
        <w:t>Mediante la Declaración de Aplicabilidad, en el ámbito del ENS en el ejercicio 2019, se obtuvo la relación de medidas de seguridad que resultan de aplicación al sistema de información de la Agencia. Estas medidas de obligado cumplimiento, a pesar del impacto que ha ocasionado la pandemia, se han comenzado a aplicar consiguiendo disponer de un servicio de correo electrónico seguro certificado por el Centro Criptológico Nacional, así como de un Firewall de nueva generación necesario para proteger la información y los Sistemas de Categoría Alta.</w:t>
      </w:r>
    </w:p>
    <w:bookmarkEnd w:id="44"/>
    <w:bookmarkEnd w:id="116"/>
    <w:bookmarkEnd w:id="118"/>
    <w:p w14:paraId="204A7A5B" w14:textId="6444BB6A" w:rsidR="00D60C98" w:rsidRPr="00973028" w:rsidRDefault="00D60C98" w:rsidP="00671CE2">
      <w:pPr>
        <w:keepNext/>
        <w:spacing w:after="0" w:line="240" w:lineRule="auto"/>
        <w:jc w:val="both"/>
        <w:rPr>
          <w:rFonts w:ascii="Arial" w:eastAsia="Times New Roman" w:hAnsi="Arial" w:cs="Arial"/>
          <w:b/>
          <w:bCs/>
          <w:smallCaps/>
          <w:color w:val="9D2235"/>
          <w:spacing w:val="-14"/>
          <w:kern w:val="2"/>
          <w:sz w:val="20"/>
          <w:szCs w:val="20"/>
          <w:lang w:eastAsia="es-ES"/>
        </w:rPr>
      </w:pPr>
    </w:p>
    <w:p w14:paraId="3BD6C0DA" w14:textId="38B141E3" w:rsidR="00D60C98" w:rsidRPr="00973028" w:rsidRDefault="00D60C98">
      <w:pPr>
        <w:rPr>
          <w:rFonts w:ascii="Arial" w:eastAsia="Times New Roman" w:hAnsi="Arial" w:cs="Arial"/>
          <w:b/>
          <w:bCs/>
          <w:smallCaps/>
          <w:color w:val="9D2235"/>
          <w:spacing w:val="-14"/>
          <w:kern w:val="2"/>
          <w:sz w:val="20"/>
          <w:szCs w:val="20"/>
          <w:lang w:eastAsia="es-ES"/>
        </w:rPr>
      </w:pPr>
      <w:r w:rsidRPr="00973028">
        <w:rPr>
          <w:rFonts w:ascii="Arial" w:eastAsia="Times New Roman" w:hAnsi="Arial" w:cs="Arial"/>
          <w:b/>
          <w:bCs/>
          <w:smallCaps/>
          <w:color w:val="9D2235"/>
          <w:spacing w:val="-14"/>
          <w:kern w:val="2"/>
          <w:sz w:val="20"/>
          <w:szCs w:val="20"/>
          <w:lang w:eastAsia="es-ES"/>
        </w:rPr>
        <w:br w:type="page"/>
      </w:r>
    </w:p>
    <w:p w14:paraId="03398161" w14:textId="58CBF2D4" w:rsidR="00D60C98" w:rsidRPr="00973028" w:rsidRDefault="00D60C98" w:rsidP="00671CE2">
      <w:pPr>
        <w:keepNext/>
        <w:spacing w:after="0" w:line="240" w:lineRule="auto"/>
        <w:jc w:val="both"/>
        <w:rPr>
          <w:rFonts w:ascii="Arial" w:eastAsia="Times New Roman" w:hAnsi="Arial" w:cs="Arial"/>
          <w:b/>
          <w:bCs/>
          <w:smallCaps/>
          <w:color w:val="9D2235"/>
          <w:spacing w:val="-14"/>
          <w:kern w:val="2"/>
          <w:sz w:val="20"/>
          <w:szCs w:val="20"/>
          <w:lang w:eastAsia="es-ES"/>
        </w:rPr>
      </w:pPr>
    </w:p>
    <w:p w14:paraId="232F8676" w14:textId="71460F5E" w:rsidR="004522FD" w:rsidRPr="00973028" w:rsidRDefault="004522FD" w:rsidP="00671CE2">
      <w:pPr>
        <w:keepNext/>
        <w:spacing w:after="0" w:line="240" w:lineRule="auto"/>
        <w:jc w:val="both"/>
        <w:rPr>
          <w:rFonts w:ascii="Arial" w:eastAsia="Times New Roman" w:hAnsi="Arial" w:cs="Arial"/>
          <w:b/>
          <w:bCs/>
          <w:smallCaps/>
          <w:color w:val="9D2235"/>
          <w:spacing w:val="-14"/>
          <w:kern w:val="2"/>
          <w:sz w:val="20"/>
          <w:szCs w:val="20"/>
          <w:lang w:eastAsia="es-ES"/>
        </w:rPr>
      </w:pPr>
    </w:p>
    <w:p w14:paraId="27C87353" w14:textId="4FFCF977" w:rsidR="004522FD" w:rsidRPr="00973028" w:rsidRDefault="004522FD" w:rsidP="00671CE2">
      <w:pPr>
        <w:keepNext/>
        <w:spacing w:after="0" w:line="240" w:lineRule="auto"/>
        <w:jc w:val="both"/>
        <w:rPr>
          <w:rFonts w:ascii="Arial" w:eastAsia="Times New Roman" w:hAnsi="Arial" w:cs="Arial"/>
          <w:b/>
          <w:bCs/>
          <w:smallCaps/>
          <w:color w:val="9D2235"/>
          <w:spacing w:val="-14"/>
          <w:kern w:val="2"/>
          <w:sz w:val="20"/>
          <w:szCs w:val="20"/>
          <w:lang w:eastAsia="es-ES"/>
        </w:rPr>
      </w:pPr>
    </w:p>
    <w:p w14:paraId="36FB1A8E" w14:textId="5A3688A2" w:rsidR="004522FD" w:rsidRPr="00973028" w:rsidRDefault="004522FD" w:rsidP="00671CE2">
      <w:pPr>
        <w:keepNext/>
        <w:spacing w:after="0" w:line="240" w:lineRule="auto"/>
        <w:jc w:val="both"/>
        <w:rPr>
          <w:rFonts w:ascii="Arial" w:eastAsia="Times New Roman" w:hAnsi="Arial" w:cs="Arial"/>
          <w:b/>
          <w:bCs/>
          <w:smallCaps/>
          <w:color w:val="9D2235"/>
          <w:spacing w:val="-14"/>
          <w:kern w:val="2"/>
          <w:sz w:val="20"/>
          <w:szCs w:val="20"/>
          <w:lang w:eastAsia="es-ES"/>
        </w:rPr>
      </w:pPr>
    </w:p>
    <w:p w14:paraId="0BFD4448" w14:textId="0E31463E" w:rsidR="004522FD" w:rsidRPr="00973028" w:rsidRDefault="004522FD" w:rsidP="00671CE2">
      <w:pPr>
        <w:keepNext/>
        <w:spacing w:after="0" w:line="240" w:lineRule="auto"/>
        <w:jc w:val="both"/>
        <w:rPr>
          <w:rFonts w:ascii="Arial" w:eastAsia="Times New Roman" w:hAnsi="Arial" w:cs="Arial"/>
          <w:b/>
          <w:bCs/>
          <w:smallCaps/>
          <w:color w:val="9D2235"/>
          <w:spacing w:val="-14"/>
          <w:kern w:val="2"/>
          <w:sz w:val="20"/>
          <w:szCs w:val="20"/>
          <w:lang w:eastAsia="es-ES"/>
        </w:rPr>
      </w:pPr>
    </w:p>
    <w:p w14:paraId="136061F6" w14:textId="739ADF00" w:rsidR="004522FD" w:rsidRPr="00973028" w:rsidRDefault="004522FD" w:rsidP="00671CE2">
      <w:pPr>
        <w:keepNext/>
        <w:spacing w:after="0" w:line="240" w:lineRule="auto"/>
        <w:jc w:val="both"/>
        <w:rPr>
          <w:rFonts w:ascii="Arial" w:eastAsia="Times New Roman" w:hAnsi="Arial" w:cs="Arial"/>
          <w:b/>
          <w:bCs/>
          <w:smallCaps/>
          <w:color w:val="9D2235"/>
          <w:spacing w:val="-14"/>
          <w:kern w:val="2"/>
          <w:sz w:val="20"/>
          <w:szCs w:val="20"/>
          <w:lang w:eastAsia="es-ES"/>
        </w:rPr>
      </w:pPr>
    </w:p>
    <w:p w14:paraId="1769EB87" w14:textId="557D5C81" w:rsidR="004522FD" w:rsidRPr="00973028" w:rsidRDefault="004522FD" w:rsidP="00671CE2">
      <w:pPr>
        <w:keepNext/>
        <w:spacing w:after="0" w:line="240" w:lineRule="auto"/>
        <w:jc w:val="both"/>
        <w:rPr>
          <w:rFonts w:ascii="Arial" w:eastAsia="Times New Roman" w:hAnsi="Arial" w:cs="Arial"/>
          <w:b/>
          <w:bCs/>
          <w:smallCaps/>
          <w:color w:val="9D2235"/>
          <w:spacing w:val="-14"/>
          <w:kern w:val="2"/>
          <w:sz w:val="20"/>
          <w:szCs w:val="20"/>
          <w:lang w:eastAsia="es-ES"/>
        </w:rPr>
      </w:pPr>
    </w:p>
    <w:p w14:paraId="45529F20" w14:textId="77777777" w:rsidR="004522FD" w:rsidRPr="00973028" w:rsidRDefault="004522FD" w:rsidP="00671CE2">
      <w:pPr>
        <w:keepNext/>
        <w:spacing w:after="0" w:line="240" w:lineRule="auto"/>
        <w:jc w:val="both"/>
        <w:rPr>
          <w:rFonts w:ascii="Arial" w:eastAsia="Times New Roman" w:hAnsi="Arial" w:cs="Arial"/>
          <w:b/>
          <w:bCs/>
          <w:smallCaps/>
          <w:color w:val="9D2235"/>
          <w:spacing w:val="-14"/>
          <w:kern w:val="2"/>
          <w:sz w:val="20"/>
          <w:szCs w:val="20"/>
          <w:lang w:eastAsia="es-ES"/>
        </w:rPr>
      </w:pPr>
    </w:p>
    <w:p w14:paraId="2909AAE8" w14:textId="68B1B1FE" w:rsidR="0078230B" w:rsidRPr="0078230B" w:rsidRDefault="004522FD" w:rsidP="0078230B">
      <w:pPr>
        <w:pStyle w:val="Prrafodelista"/>
        <w:keepNext/>
        <w:numPr>
          <w:ilvl w:val="0"/>
          <w:numId w:val="25"/>
        </w:numPr>
        <w:spacing w:after="0" w:line="240" w:lineRule="auto"/>
        <w:ind w:left="0" w:firstLine="0"/>
        <w:outlineLvl w:val="0"/>
        <w:rPr>
          <w:rFonts w:ascii="Arial" w:eastAsia="Times New Roman" w:hAnsi="Arial" w:cs="Arial"/>
          <w:b/>
          <w:bCs/>
          <w:color w:val="9D2235"/>
          <w:spacing w:val="-24"/>
          <w:kern w:val="2"/>
          <w:sz w:val="80"/>
          <w:szCs w:val="80"/>
          <w:lang w:eastAsia="es-ES"/>
        </w:rPr>
      </w:pPr>
      <w:r w:rsidRPr="00973028">
        <w:rPr>
          <w:rFonts w:ascii="Arial" w:eastAsia="Times New Roman" w:hAnsi="Arial" w:cs="Arial"/>
          <w:b/>
          <w:bCs/>
          <w:color w:val="9D2235"/>
          <w:spacing w:val="-24"/>
          <w:kern w:val="2"/>
          <w:sz w:val="80"/>
          <w:szCs w:val="80"/>
          <w:lang w:eastAsia="es-ES"/>
        </w:rPr>
        <w:br/>
      </w:r>
      <w:bookmarkStart w:id="120" w:name="_Toc67646280"/>
      <w:r w:rsidR="00671CE2" w:rsidRPr="00973028">
        <w:rPr>
          <w:rFonts w:ascii="Arial" w:eastAsia="Times New Roman" w:hAnsi="Arial" w:cs="Arial"/>
          <w:b/>
          <w:bCs/>
          <w:color w:val="9D2235"/>
          <w:spacing w:val="-24"/>
          <w:kern w:val="2"/>
          <w:sz w:val="80"/>
          <w:szCs w:val="80"/>
          <w:lang w:eastAsia="es-ES"/>
        </w:rPr>
        <w:t xml:space="preserve">Asuntos </w:t>
      </w:r>
      <w:r w:rsidR="004F2FD1" w:rsidRPr="00973028">
        <w:rPr>
          <w:rFonts w:ascii="Arial" w:eastAsia="Times New Roman" w:hAnsi="Arial" w:cs="Arial"/>
          <w:b/>
          <w:bCs/>
          <w:color w:val="9D2235"/>
          <w:spacing w:val="-24"/>
          <w:kern w:val="2"/>
          <w:sz w:val="80"/>
          <w:szCs w:val="80"/>
          <w:lang w:eastAsia="es-ES"/>
        </w:rPr>
        <w:t>j</w:t>
      </w:r>
      <w:r w:rsidR="00671CE2" w:rsidRPr="00973028">
        <w:rPr>
          <w:rFonts w:ascii="Arial" w:eastAsia="Times New Roman" w:hAnsi="Arial" w:cs="Arial"/>
          <w:b/>
          <w:bCs/>
          <w:color w:val="9D2235"/>
          <w:spacing w:val="-24"/>
          <w:kern w:val="2"/>
          <w:sz w:val="80"/>
          <w:szCs w:val="80"/>
          <w:lang w:eastAsia="es-ES"/>
        </w:rPr>
        <w:t>urídicos</w:t>
      </w:r>
      <w:bookmarkStart w:id="121" w:name="_Toc64984210"/>
      <w:bookmarkStart w:id="122" w:name="_Toc64988200"/>
      <w:bookmarkStart w:id="123" w:name="_Toc64988525"/>
      <w:bookmarkStart w:id="124" w:name="_Toc65239413"/>
      <w:bookmarkStart w:id="125" w:name="_Toc65239529"/>
      <w:bookmarkStart w:id="126" w:name="_Toc65239641"/>
      <w:bookmarkStart w:id="127" w:name="_Toc65746393"/>
      <w:bookmarkStart w:id="128" w:name="_Toc65746515"/>
      <w:bookmarkStart w:id="129" w:name="_Toc65746677"/>
      <w:bookmarkStart w:id="130" w:name="_Toc65759233"/>
      <w:bookmarkStart w:id="131" w:name="_Toc65759475"/>
      <w:bookmarkStart w:id="132" w:name="_Toc66450191"/>
      <w:bookmarkStart w:id="133" w:name="_Toc66450314"/>
      <w:bookmarkStart w:id="134" w:name="_Toc66451261"/>
      <w:bookmarkStart w:id="135" w:name="_Toc66451634"/>
      <w:bookmarkStart w:id="136" w:name="_Toc66451774"/>
      <w:bookmarkStart w:id="137" w:name="_Toc66451913"/>
      <w:bookmarkStart w:id="138" w:name="_Toc66452116"/>
      <w:bookmarkStart w:id="139" w:name="_Toc66689570"/>
      <w:bookmarkStart w:id="140" w:name="_Toc66873935"/>
      <w:bookmarkStart w:id="141" w:name="_Toc66874164"/>
      <w:bookmarkStart w:id="142" w:name="_Toc6687430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0078230B">
        <w:rPr>
          <w:rFonts w:ascii="Arial" w:eastAsia="Times New Roman" w:hAnsi="Arial" w:cs="Arial"/>
          <w:b/>
          <w:bCs/>
          <w:color w:val="9D2235"/>
          <w:spacing w:val="-24"/>
          <w:kern w:val="2"/>
          <w:sz w:val="80"/>
          <w:szCs w:val="80"/>
          <w:lang w:eastAsia="es-ES"/>
        </w:rPr>
        <w:br/>
      </w:r>
    </w:p>
    <w:p w14:paraId="40C1D593" w14:textId="412BFAFD" w:rsidR="006B510A" w:rsidRPr="00E973F1" w:rsidRDefault="006B510A" w:rsidP="00E973F1">
      <w:pPr>
        <w:pStyle w:val="Prrafodelista"/>
        <w:keepNext/>
        <w:numPr>
          <w:ilvl w:val="1"/>
          <w:numId w:val="25"/>
        </w:numPr>
        <w:spacing w:before="360" w:after="240" w:line="276" w:lineRule="auto"/>
        <w:ind w:left="851" w:hanging="851"/>
        <w:jc w:val="both"/>
        <w:outlineLvl w:val="1"/>
        <w:rPr>
          <w:rFonts w:ascii="Arial" w:eastAsia="Times New Roman" w:hAnsi="Arial" w:cs="Arial"/>
          <w:b/>
          <w:bCs/>
          <w:color w:val="9D2235" w:themeColor="accent1"/>
          <w:spacing w:val="-24"/>
          <w:kern w:val="2"/>
          <w:sz w:val="32"/>
          <w:szCs w:val="32"/>
          <w:lang w:eastAsia="es-ES"/>
        </w:rPr>
      </w:pPr>
      <w:bookmarkStart w:id="143" w:name="_Toc67646281"/>
      <w:r w:rsidRPr="00E973F1">
        <w:rPr>
          <w:rFonts w:ascii="Arial" w:eastAsia="Times New Roman" w:hAnsi="Arial" w:cs="Arial"/>
          <w:b/>
          <w:color w:val="9D2235" w:themeColor="accent1"/>
          <w:sz w:val="32"/>
          <w:szCs w:val="32"/>
        </w:rPr>
        <w:t>Funciones</w:t>
      </w:r>
      <w:bookmarkEnd w:id="143"/>
      <w:r w:rsidRPr="00E973F1">
        <w:rPr>
          <w:rFonts w:ascii="Arial" w:eastAsia="Times New Roman" w:hAnsi="Arial" w:cs="Arial"/>
          <w:b/>
          <w:color w:val="9D2235" w:themeColor="accent1"/>
          <w:sz w:val="32"/>
          <w:szCs w:val="32"/>
        </w:rPr>
        <w:t xml:space="preserve"> </w:t>
      </w:r>
    </w:p>
    <w:p w14:paraId="790641CF" w14:textId="231BEA7B"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Las funciones encomendadas a la unidad administrativa denominada </w:t>
      </w:r>
      <w:r w:rsidRPr="00973028">
        <w:rPr>
          <w:rFonts w:ascii="Arial" w:eastAsia="Times New Roman" w:hAnsi="Arial" w:cs="Arial"/>
          <w:i/>
          <w:iCs/>
          <w:sz w:val="21"/>
          <w:szCs w:val="21"/>
          <w:lang w:eastAsia="es-ES"/>
        </w:rPr>
        <w:t xml:space="preserve">Dirección de Asuntos Jurídicos </w:t>
      </w:r>
      <w:r w:rsidRPr="00973028">
        <w:rPr>
          <w:rFonts w:ascii="Arial" w:eastAsia="Times New Roman" w:hAnsi="Arial" w:cs="Arial"/>
          <w:sz w:val="21"/>
          <w:szCs w:val="21"/>
          <w:lang w:eastAsia="es-ES"/>
        </w:rPr>
        <w:t>vienen enumeradas</w:t>
      </w:r>
      <w:r w:rsidRPr="00973028">
        <w:rPr>
          <w:rFonts w:ascii="Arial" w:eastAsia="Times New Roman" w:hAnsi="Arial" w:cs="Arial"/>
          <w:i/>
          <w:iCs/>
          <w:sz w:val="21"/>
          <w:szCs w:val="21"/>
          <w:lang w:eastAsia="es-ES"/>
        </w:rPr>
        <w:t xml:space="preserve"> </w:t>
      </w:r>
      <w:r w:rsidRPr="00973028">
        <w:rPr>
          <w:rFonts w:ascii="Arial" w:eastAsia="Times New Roman" w:hAnsi="Arial" w:cs="Arial"/>
          <w:sz w:val="21"/>
          <w:szCs w:val="21"/>
          <w:lang w:eastAsia="es-ES"/>
        </w:rPr>
        <w:t>en</w:t>
      </w:r>
      <w:r w:rsidRPr="00973028">
        <w:rPr>
          <w:rFonts w:ascii="Arial" w:eastAsia="Times New Roman" w:hAnsi="Arial" w:cs="Arial"/>
          <w:i/>
          <w:iCs/>
          <w:sz w:val="21"/>
          <w:szCs w:val="21"/>
          <w:lang w:eastAsia="es-ES"/>
        </w:rPr>
        <w:t xml:space="preserve"> </w:t>
      </w:r>
      <w:r w:rsidRPr="00973028">
        <w:rPr>
          <w:rFonts w:ascii="Arial" w:eastAsia="Times New Roman" w:hAnsi="Arial" w:cs="Arial"/>
          <w:sz w:val="21"/>
          <w:szCs w:val="21"/>
          <w:lang w:eastAsia="es-ES"/>
        </w:rPr>
        <w:t>el artículo 21 del Reglamento de funcionamiento y régimen interior de 27 de junio de 2019 de la Agencia, que literalmente indica las siguientes:</w:t>
      </w:r>
    </w:p>
    <w:p w14:paraId="0017A51A" w14:textId="079E6F32" w:rsidR="006B510A" w:rsidRPr="00CA00A9" w:rsidRDefault="006B510A" w:rsidP="00CA00A9">
      <w:pPr>
        <w:pStyle w:val="Prrafodelista"/>
        <w:numPr>
          <w:ilvl w:val="0"/>
          <w:numId w:val="63"/>
        </w:numPr>
        <w:spacing w:after="120" w:line="276" w:lineRule="auto"/>
        <w:ind w:left="1423" w:hanging="357"/>
        <w:contextualSpacing w:val="0"/>
        <w:jc w:val="both"/>
        <w:rPr>
          <w:rFonts w:ascii="Arial" w:eastAsia="Times New Roman" w:hAnsi="Arial" w:cs="Arial"/>
          <w:sz w:val="21"/>
          <w:szCs w:val="21"/>
          <w:lang w:eastAsia="es-ES"/>
        </w:rPr>
      </w:pPr>
      <w:r w:rsidRPr="00CA00A9">
        <w:rPr>
          <w:rFonts w:ascii="Arial" w:eastAsia="Times New Roman" w:hAnsi="Arial" w:cs="Arial"/>
          <w:sz w:val="21"/>
          <w:szCs w:val="21"/>
          <w:lang w:eastAsia="es-ES"/>
        </w:rPr>
        <w:t>Dirigir, coordinar y supervisar el funcionamiento y la organización de las unidades dependientes.</w:t>
      </w:r>
    </w:p>
    <w:p w14:paraId="26259683" w14:textId="2B35D306" w:rsidR="006B510A" w:rsidRPr="00973028" w:rsidRDefault="006B510A" w:rsidP="00CA00A9">
      <w:pPr>
        <w:pStyle w:val="Prrafodelista"/>
        <w:numPr>
          <w:ilvl w:val="0"/>
          <w:numId w:val="63"/>
        </w:numPr>
        <w:spacing w:after="120" w:line="276" w:lineRule="auto"/>
        <w:ind w:left="1423"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Efectuar las tareas correspondientes al asesoramiento jurídico de la Agencia, así como emitir los informes jurídicos preceptivos y aquellos otros que se soliciten por la dirección de la Agencia.</w:t>
      </w:r>
    </w:p>
    <w:p w14:paraId="0B0BDEAF" w14:textId="2229CAB5" w:rsidR="006B510A" w:rsidRPr="00973028" w:rsidRDefault="006B510A" w:rsidP="00CA00A9">
      <w:pPr>
        <w:pStyle w:val="Prrafodelista"/>
        <w:numPr>
          <w:ilvl w:val="0"/>
          <w:numId w:val="63"/>
        </w:numPr>
        <w:spacing w:after="120" w:line="276" w:lineRule="auto"/>
        <w:ind w:left="1423"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Prestar asesoría legal a la persona denunciante sobre los hechos relacionados con la denuncia, así como sobre los procedimientos que se interpongan en su contra con motivo de la misma.</w:t>
      </w:r>
    </w:p>
    <w:p w14:paraId="616A9E70" w14:textId="179FE3B0" w:rsidR="006B510A" w:rsidRPr="00973028" w:rsidRDefault="006B510A" w:rsidP="00CA00A9">
      <w:pPr>
        <w:pStyle w:val="Prrafodelista"/>
        <w:numPr>
          <w:ilvl w:val="0"/>
          <w:numId w:val="63"/>
        </w:numPr>
        <w:spacing w:after="120" w:line="276" w:lineRule="auto"/>
        <w:ind w:left="1423"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Velar por la protección de las personas denunciantes, informantes y alertadoras, proponer la adopción de medidas que garanticen su protección, y en particular preservar su indemnidad personal y profesional.</w:t>
      </w:r>
    </w:p>
    <w:p w14:paraId="524D17BC" w14:textId="24694DA3" w:rsidR="006B510A" w:rsidRPr="00973028" w:rsidRDefault="006B510A" w:rsidP="00CA00A9">
      <w:pPr>
        <w:pStyle w:val="Prrafodelista"/>
        <w:numPr>
          <w:ilvl w:val="0"/>
          <w:numId w:val="63"/>
        </w:numPr>
        <w:spacing w:after="120" w:line="276" w:lineRule="auto"/>
        <w:ind w:left="1423"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Efectuar las propuestas de otorgamiento del estatuto de la persona denunciante y de resolución de cualquier incidencia que pueda surgir en relación con el mismo.</w:t>
      </w:r>
    </w:p>
    <w:p w14:paraId="72947A75" w14:textId="2B55BF6C" w:rsidR="006B510A" w:rsidRPr="00973028" w:rsidRDefault="006B510A" w:rsidP="00CA00A9">
      <w:pPr>
        <w:pStyle w:val="Prrafodelista"/>
        <w:numPr>
          <w:ilvl w:val="0"/>
          <w:numId w:val="63"/>
        </w:numPr>
        <w:spacing w:after="120" w:line="276" w:lineRule="auto"/>
        <w:ind w:left="1423"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Elaborar y proponer las modificaciones legislativas y reglamentarias que afecten o se refieran a la Agencia.</w:t>
      </w:r>
    </w:p>
    <w:p w14:paraId="452AE1AD" w14:textId="27C468FE" w:rsidR="006B510A" w:rsidRPr="00973028" w:rsidRDefault="006B510A" w:rsidP="00CA00A9">
      <w:pPr>
        <w:pStyle w:val="Prrafodelista"/>
        <w:numPr>
          <w:ilvl w:val="0"/>
          <w:numId w:val="63"/>
        </w:numPr>
        <w:spacing w:after="120" w:line="276" w:lineRule="auto"/>
        <w:ind w:left="1423"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Cumplir con la función certificadora de las actuaciones generadas por la Agencia y de secretaria general.</w:t>
      </w:r>
    </w:p>
    <w:p w14:paraId="19207767" w14:textId="336B5C9D" w:rsidR="006B510A" w:rsidRPr="00973028" w:rsidRDefault="006B510A" w:rsidP="00CA00A9">
      <w:pPr>
        <w:pStyle w:val="Prrafodelista"/>
        <w:numPr>
          <w:ilvl w:val="0"/>
          <w:numId w:val="63"/>
        </w:numPr>
        <w:spacing w:after="120" w:line="276" w:lineRule="auto"/>
        <w:ind w:left="1423"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lastRenderedPageBreak/>
        <w:t>Tramitar los convenios a suscribir por la Agencia, sin perjuicio de la elaboración de propuestas, impulso y seguimiento por la unidad administrativa que corresponda.</w:t>
      </w:r>
    </w:p>
    <w:p w14:paraId="0D915DD2" w14:textId="539F7189" w:rsidR="006B510A" w:rsidRPr="00973028" w:rsidRDefault="006B510A" w:rsidP="00CA00A9">
      <w:pPr>
        <w:pStyle w:val="Prrafodelista"/>
        <w:numPr>
          <w:ilvl w:val="0"/>
          <w:numId w:val="63"/>
        </w:numPr>
        <w:spacing w:after="120" w:line="276" w:lineRule="auto"/>
        <w:ind w:left="1423"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Instruir y tramitar los expedientes relativos a la imposición de las sanciones previstas en la Ley 11/2016, de 28 de noviembre, de la Generalitat.</w:t>
      </w:r>
    </w:p>
    <w:p w14:paraId="1CC90BFF" w14:textId="2FCC184E" w:rsidR="006B510A" w:rsidRPr="00973028" w:rsidRDefault="006B510A" w:rsidP="00CA00A9">
      <w:pPr>
        <w:pStyle w:val="Prrafodelista"/>
        <w:numPr>
          <w:ilvl w:val="0"/>
          <w:numId w:val="63"/>
        </w:numPr>
        <w:spacing w:after="120" w:line="276" w:lineRule="auto"/>
        <w:ind w:left="1423"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Ejercer la representación y defensa en juicio de la Agencia.</w:t>
      </w:r>
    </w:p>
    <w:p w14:paraId="67DDECC8" w14:textId="7CACB0D4" w:rsidR="006B510A" w:rsidRPr="00973028" w:rsidRDefault="006B510A" w:rsidP="00CA00A9">
      <w:pPr>
        <w:pStyle w:val="Prrafodelista"/>
        <w:numPr>
          <w:ilvl w:val="0"/>
          <w:numId w:val="63"/>
        </w:numPr>
        <w:spacing w:after="120" w:line="276" w:lineRule="auto"/>
        <w:ind w:left="1423"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Tramitar y proponer la resolución de las peticiones de acceso a la información pública que se formulen.</w:t>
      </w:r>
    </w:p>
    <w:p w14:paraId="47D1A8DF" w14:textId="286BAB0C" w:rsidR="006B510A" w:rsidRPr="00973028" w:rsidRDefault="006B510A" w:rsidP="00CA00A9">
      <w:pPr>
        <w:pStyle w:val="Prrafodelista"/>
        <w:numPr>
          <w:ilvl w:val="0"/>
          <w:numId w:val="63"/>
        </w:numPr>
        <w:spacing w:after="120" w:line="276" w:lineRule="auto"/>
        <w:ind w:left="1423"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Tramitar los procedimientos de responsabilidad patrimonial.</w:t>
      </w:r>
    </w:p>
    <w:p w14:paraId="51484249" w14:textId="2D339116" w:rsidR="006B510A" w:rsidRPr="00973028" w:rsidRDefault="006B510A" w:rsidP="00CA00A9">
      <w:pPr>
        <w:pStyle w:val="Prrafodelista"/>
        <w:numPr>
          <w:ilvl w:val="0"/>
          <w:numId w:val="63"/>
        </w:numPr>
        <w:spacing w:after="120" w:line="276" w:lineRule="auto"/>
        <w:ind w:left="1423"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Instruir y tramitar los expedientes disciplinarios del personal de la Agencia.</w:t>
      </w:r>
    </w:p>
    <w:p w14:paraId="5C23CB1A" w14:textId="0CF0AAED" w:rsidR="006B510A" w:rsidRPr="00973028" w:rsidRDefault="006B510A" w:rsidP="00CA00A9">
      <w:pPr>
        <w:pStyle w:val="Prrafodelista"/>
        <w:numPr>
          <w:ilvl w:val="0"/>
          <w:numId w:val="63"/>
        </w:numPr>
        <w:spacing w:after="240" w:line="276" w:lineRule="auto"/>
        <w:ind w:left="1423"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Aquellas otras que se le asignen por el director o directora de la Agencia.</w:t>
      </w:r>
    </w:p>
    <w:p w14:paraId="7AE94AC7" w14:textId="77777777" w:rsidR="007B54B5"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Otras funciones que también corresponden a la Dirección de Asuntos Jurídicos son la de ejercer la secretaría del Consejo de Participación, prevista en el artículo 25.1 del Reglamento de funcionamiento y régimen interior; las tareas relacionadas con el Registro de convenios propio de la Agencia, a que se refiere el artículo 87 del Reglamento, que se adscribe a dicha unidad; y la gestión del Registro de acuerdos y resoluciones de la Dirección de la Agencia, contemplado en el artículo 89 del Reglamento.</w:t>
      </w:r>
    </w:p>
    <w:p w14:paraId="3527D3C2" w14:textId="51C7E6B9"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Asimismo, en cumplimiento de la función certificadora de las actuaciones generadas por la Agencia y de secretaría general atribuida a la Dirección de Asuntos Jurídicos, corresponde a esta ser miembro de hecho y de derecho de las mesas técnicas y de negociación de las condiciones de trabajo del personal al servicio de la Agencia, a cuyo efecto realiza las tareas ordinarias de secretaría y elaboración de las actas de sus reuniones, así como el asesoramiento jurídico que corresponda en cada caso.</w:t>
      </w:r>
    </w:p>
    <w:p w14:paraId="3FFA7808" w14:textId="12360614" w:rsidR="006B510A" w:rsidRPr="00E973F1" w:rsidRDefault="006B510A" w:rsidP="00E973F1">
      <w:pPr>
        <w:pStyle w:val="Prrafodelista"/>
        <w:keepNext/>
        <w:numPr>
          <w:ilvl w:val="1"/>
          <w:numId w:val="25"/>
        </w:numPr>
        <w:spacing w:before="360" w:after="240" w:line="276" w:lineRule="auto"/>
        <w:ind w:left="851" w:hanging="851"/>
        <w:jc w:val="both"/>
        <w:outlineLvl w:val="1"/>
        <w:rPr>
          <w:rFonts w:ascii="Arial" w:eastAsia="Times New Roman" w:hAnsi="Arial" w:cs="Arial"/>
          <w:b/>
          <w:color w:val="9D2235" w:themeColor="accent1"/>
          <w:sz w:val="32"/>
          <w:szCs w:val="32"/>
        </w:rPr>
      </w:pPr>
      <w:bookmarkStart w:id="144" w:name="_Toc67646282"/>
      <w:r w:rsidRPr="00E973F1">
        <w:rPr>
          <w:rFonts w:ascii="Arial" w:eastAsia="Times New Roman" w:hAnsi="Arial" w:cs="Arial"/>
          <w:b/>
          <w:color w:val="9D2235" w:themeColor="accent1"/>
          <w:sz w:val="32"/>
          <w:szCs w:val="32"/>
        </w:rPr>
        <w:t>Marco normativo</w:t>
      </w:r>
      <w:bookmarkEnd w:id="144"/>
    </w:p>
    <w:p w14:paraId="3465B863" w14:textId="6CD9D388"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color w:val="000000"/>
          <w:sz w:val="21"/>
          <w:szCs w:val="21"/>
          <w:lang w:eastAsia="es-ES"/>
        </w:rPr>
        <w:t xml:space="preserve">Con la </w:t>
      </w:r>
      <w:hyperlink r:id="rId88" w:history="1">
        <w:r w:rsidRPr="00973028">
          <w:rPr>
            <w:rStyle w:val="Hipervnculo"/>
            <w:rFonts w:ascii="Arial" w:eastAsia="Times New Roman" w:hAnsi="Arial" w:cs="Arial"/>
            <w:sz w:val="21"/>
            <w:szCs w:val="21"/>
            <w:lang w:eastAsia="es-ES"/>
          </w:rPr>
          <w:t>Ley 11/2016, de 28 de noviembre, de la Generalitat,</w:t>
        </w:r>
      </w:hyperlink>
      <w:r w:rsidRPr="00973028">
        <w:rPr>
          <w:rFonts w:ascii="Arial" w:eastAsia="Times New Roman" w:hAnsi="Arial" w:cs="Arial"/>
          <w:color w:val="0033CC"/>
          <w:sz w:val="21"/>
          <w:szCs w:val="21"/>
          <w:lang w:eastAsia="es-ES"/>
        </w:rPr>
        <w:t xml:space="preserve"> </w:t>
      </w:r>
      <w:r w:rsidRPr="00973028">
        <w:rPr>
          <w:rFonts w:ascii="Arial" w:eastAsia="Times New Roman" w:hAnsi="Arial" w:cs="Arial"/>
          <w:sz w:val="21"/>
          <w:szCs w:val="21"/>
          <w:lang w:eastAsia="es-ES"/>
        </w:rPr>
        <w:t>se crea la Agencia de Prevención y Lucha contra el Fraude y la Corrupción de la Comunitat Valenciana (Agencia Valenciana Antifraude o AVAF),</w:t>
      </w:r>
      <w:r w:rsidRPr="00973028">
        <w:rPr>
          <w:rFonts w:ascii="Arial" w:eastAsia="Times New Roman" w:hAnsi="Arial" w:cs="Arial"/>
          <w:color w:val="000000"/>
          <w:sz w:val="21"/>
          <w:szCs w:val="21"/>
          <w:lang w:eastAsia="es-ES"/>
        </w:rPr>
        <w:t xml:space="preserve"> destinada a prevenir y erradicar el fraude y la corrupción de las instituciones públicas valencianas y para el impulso de la integridad y la ética pública, además del fomento de una cultura de buenas prácticas y de rechazo del fraude y la corrupción en el diseño, la ejecución y la evaluación de políticas públicas y en la gestión de recursos públicos.</w:t>
      </w:r>
    </w:p>
    <w:p w14:paraId="3D5F7320"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color w:val="000000"/>
          <w:sz w:val="21"/>
          <w:szCs w:val="21"/>
          <w:lang w:eastAsia="es-ES"/>
        </w:rPr>
        <w:t xml:space="preserve">La AVAF se constituye, dentro del territorio valenciano, como organismo especializado con referencia y en desarrollo de lo establecido en la Resolución 58/4 de la Asamblea General de Naciones Unidas, por la que se aprueba </w:t>
      </w:r>
      <w:hyperlink r:id="rId89" w:history="1">
        <w:r w:rsidRPr="00973028">
          <w:rPr>
            <w:rStyle w:val="Hipervnculo"/>
            <w:rFonts w:ascii="Arial" w:eastAsia="Times New Roman" w:hAnsi="Arial" w:cs="Arial"/>
            <w:sz w:val="21"/>
            <w:szCs w:val="21"/>
            <w:lang w:eastAsia="es-ES"/>
          </w:rPr>
          <w:t>la Convención de las Naciones Unidas contra la Corrupción</w:t>
        </w:r>
      </w:hyperlink>
      <w:r w:rsidRPr="00973028">
        <w:rPr>
          <w:rFonts w:ascii="Arial" w:eastAsia="Times New Roman" w:hAnsi="Arial" w:cs="Arial"/>
          <w:color w:val="000000"/>
          <w:sz w:val="21"/>
          <w:szCs w:val="21"/>
          <w:lang w:eastAsia="es-ES"/>
        </w:rPr>
        <w:t>, hecha en Nueva York el 31 de octubre de 2003. Dicha Convención entró en vigor en España mediante instrumento de ratificación publicado en el Boletín Oficial del Estado núm. 171 de 19 de julio de 2006, formando parte, por tanto, del ordenamiento jurídico interno conforme a lo previsto en el artículo 96 de la Constitución Española.</w:t>
      </w:r>
    </w:p>
    <w:p w14:paraId="01E119CC" w14:textId="77777777" w:rsidR="006B510A" w:rsidRPr="00973028" w:rsidRDefault="006B510A" w:rsidP="007B54B5">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lastRenderedPageBreak/>
        <w:t>En concreto, el capítulo I de la citada Ley 11/2016, de 28 de noviembre, de la Generalitat, bajo la rúbrica “Disposiciones generales”,</w:t>
      </w:r>
      <w:r w:rsidRPr="00973028">
        <w:rPr>
          <w:rFonts w:ascii="Arial" w:eastAsia="Times New Roman" w:hAnsi="Arial" w:cs="Arial"/>
          <w:i/>
          <w:iCs/>
          <w:color w:val="000000"/>
          <w:sz w:val="21"/>
          <w:szCs w:val="21"/>
          <w:lang w:eastAsia="es-ES"/>
        </w:rPr>
        <w:t xml:space="preserve"> </w:t>
      </w:r>
      <w:r w:rsidRPr="00973028">
        <w:rPr>
          <w:rFonts w:ascii="Arial" w:eastAsia="Times New Roman" w:hAnsi="Arial" w:cs="Arial"/>
          <w:color w:val="000000"/>
          <w:sz w:val="21"/>
          <w:szCs w:val="21"/>
          <w:lang w:eastAsia="es-ES"/>
        </w:rPr>
        <w:t>trata en sus artículos 1 a 5, del objeto de dicha Ley, la naturaleza jurídica de la Agencia, su régimen jurídico y ámbito de actuación subjetivo, sus funciones y fines, y la delimitación y relaciones con otros organismos.</w:t>
      </w:r>
    </w:p>
    <w:p w14:paraId="009FCBCA" w14:textId="77777777" w:rsidR="007B54B5"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color w:val="000000"/>
          <w:sz w:val="21"/>
          <w:szCs w:val="21"/>
          <w:lang w:eastAsia="es-ES"/>
        </w:rPr>
        <w:t>Destaca en su articulado su adscripción a las Corts Valencianes como persona jurídica con personalidad jurídica propia y su independencia en el ejercicio de sus funciones, garantía imprescindible de imparcialidad y neutralidad política para el adecuado desarrollo de su específica y especializada misión de control del sector público valenciano y de sus instituciones en sus diferentes facetas: prevención, investigación, protección y en su caso sanción.</w:t>
      </w:r>
    </w:p>
    <w:p w14:paraId="78970CC9" w14:textId="77777777" w:rsidR="007B54B5"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color w:val="000000"/>
          <w:sz w:val="21"/>
          <w:szCs w:val="21"/>
          <w:lang w:eastAsia="es-ES"/>
        </w:rPr>
        <w:t>A tenor de lo dispuesto en los artículos 1 y 4 de la Ley 11/2016, se atribuyen a la AVAF determinadas funciones,</w:t>
      </w:r>
      <w:r w:rsidRPr="00973028">
        <w:rPr>
          <w:rFonts w:ascii="Arial" w:eastAsia="Times New Roman" w:hAnsi="Arial" w:cs="Arial"/>
          <w:sz w:val="21"/>
          <w:szCs w:val="21"/>
          <w:lang w:eastAsia="es-ES"/>
        </w:rPr>
        <w:t xml:space="preserve"> a saber: la prevención y la investigación de posibles casos de uso o destino irregular de fondos públicos y de conductas opuestas a la integridad o contrarias a los principios de objetividad, eficacia y sumisión plena a la ley y al derecho; la prevención y la alerta con relación a conductas del personal al servicio de las entidades públicas que comporten el uso o abuso en beneficio privado de informaciones obtenidas por razón de sus funciones o de cualquier otro aprovechamiento contrario al ordenamiento jurídico; y la investigación de actos u omisiones que pudieran ser constitutivos de infracción administrativa, disciplinaria o penal y, en función de los resultados de la investigación, instar la incoación de los procedimientos que corresponda para depurar las responsabilidades que pudieran corresponder.</w:t>
      </w:r>
    </w:p>
    <w:p w14:paraId="7AAF6B06" w14:textId="46710343"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color w:val="000000"/>
          <w:sz w:val="21"/>
          <w:szCs w:val="21"/>
          <w:lang w:eastAsia="es-ES"/>
        </w:rPr>
        <w:t>Asimismo, se le encomienda el impulso de medidas contra la corrupción, la realización de recomendaciones y asesoramiento a las administraciones y entidades públicas de su ámbito de actuación, la colaboración con otros organismos públicos con funciones complementarias, la formación de los servidores públicos en la prevención del fraude y la realización de programas de sensibilización dirigidos a la ciudadanía.</w:t>
      </w:r>
    </w:p>
    <w:p w14:paraId="2728B107" w14:textId="2E2264FF" w:rsidR="007B54B5"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También es competencia de la AVAF la protección de las personas que denuncian, alertan o comunican hechos que pueden dar lugar a responsabilidades legales dentro de este ámbito y velar </w:t>
      </w:r>
      <w:r w:rsidR="00AA16EE" w:rsidRPr="00973028">
        <w:rPr>
          <w:rFonts w:ascii="Arial" w:eastAsia="Times New Roman" w:hAnsi="Arial" w:cs="Arial"/>
          <w:sz w:val="21"/>
          <w:szCs w:val="21"/>
          <w:lang w:eastAsia="es-ES"/>
        </w:rPr>
        <w:t>por</w:t>
      </w:r>
      <w:r w:rsidRPr="00973028">
        <w:rPr>
          <w:rFonts w:ascii="Arial" w:eastAsia="Times New Roman" w:hAnsi="Arial" w:cs="Arial"/>
          <w:sz w:val="21"/>
          <w:szCs w:val="21"/>
          <w:lang w:eastAsia="es-ES"/>
        </w:rPr>
        <w:t xml:space="preserve"> que estas personas no sufran represalias como consecuencia de la información proporcionada, conforme dispone el artículo 14 de</w:t>
      </w:r>
      <w:r w:rsidRPr="00973028">
        <w:rPr>
          <w:rFonts w:ascii="Arial" w:eastAsia="Times New Roman" w:hAnsi="Arial" w:cs="Arial"/>
          <w:color w:val="000000"/>
          <w:sz w:val="21"/>
          <w:szCs w:val="21"/>
          <w:lang w:eastAsia="es-ES"/>
        </w:rPr>
        <w:t xml:space="preserve"> la Ley 11/2016</w:t>
      </w:r>
      <w:r w:rsidRPr="00973028">
        <w:rPr>
          <w:rFonts w:ascii="Arial" w:eastAsia="Times New Roman" w:hAnsi="Arial" w:cs="Arial"/>
          <w:sz w:val="21"/>
          <w:szCs w:val="21"/>
          <w:lang w:eastAsia="es-ES"/>
        </w:rPr>
        <w:t xml:space="preserve">. </w:t>
      </w:r>
    </w:p>
    <w:p w14:paraId="757FF7D5" w14:textId="77777777" w:rsidR="007B54B5"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Además, la AVAF tiene potestad sancionadora, exigiendo responsabilidad a aquellas personas físicas o jurídicas que incumplan las medidas de protección de las personas denunciantes, filtren información en el curso de las investigaciones, obstaculicen sus procedimientos de investigación, no comuniquen hechos que sean susceptibles de ser considerados constitutivos de conductas fraudulentas o de corrupción o contrarios al interés general, o realicen denuncias manifiestamente falsas (artículos 17 y siguientes de la Ley 11/2016).</w:t>
      </w:r>
    </w:p>
    <w:p w14:paraId="111E2B8B" w14:textId="5805E71C"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A su vez, la Ley 11/2016, de 28 de noviembre, de la Generalitat, de creación de la Agencia, fue desarrollada mediante el </w:t>
      </w:r>
      <w:hyperlink r:id="rId90" w:history="1">
        <w:r w:rsidRPr="00973028">
          <w:rPr>
            <w:rStyle w:val="Hipervnculo"/>
            <w:rFonts w:ascii="Arial" w:eastAsia="Times New Roman" w:hAnsi="Arial" w:cs="Arial"/>
            <w:sz w:val="21"/>
            <w:szCs w:val="21"/>
            <w:lang w:eastAsia="es-ES"/>
          </w:rPr>
          <w:t>Reglamento de funcionamiento y régimen interior de 27 de junio de 2019 de la Agencia (DOGV núm. 8582, de 2. 07.2019)</w:t>
        </w:r>
      </w:hyperlink>
      <w:r w:rsidRPr="00973028">
        <w:rPr>
          <w:rFonts w:ascii="Arial" w:eastAsia="Times New Roman" w:hAnsi="Arial" w:cs="Arial"/>
          <w:sz w:val="21"/>
          <w:szCs w:val="21"/>
          <w:lang w:eastAsia="es-ES"/>
        </w:rPr>
        <w:t>, en cumplimiento de lo previsto en la disposición transitoria primera y varios preceptos de dicha Ley.</w:t>
      </w:r>
    </w:p>
    <w:p w14:paraId="3ABF3CCE"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lastRenderedPageBreak/>
        <w:t>La aprobación y rodaje de dicho Reglamento durante más de un año ha permitido consolidar el funcionamiento de la Agencia a nivel interno y externo. A nivel interno, se ha fortalecido la estructura organizativa de la Agencia y se ha avanzado en la articulación y distribución de funciones en sus diferentes unidades administrativas y la coordinación entre las mismas.</w:t>
      </w:r>
      <w:r w:rsidRPr="00973028">
        <w:rPr>
          <w:rStyle w:val="Refdecomentario"/>
          <w:rFonts w:ascii="Arial" w:hAnsi="Arial" w:cs="Arial"/>
          <w:sz w:val="21"/>
          <w:szCs w:val="21"/>
        </w:rPr>
        <w:t xml:space="preserve"> A</w:t>
      </w:r>
      <w:r w:rsidRPr="00973028">
        <w:rPr>
          <w:rStyle w:val="Refdecomentario"/>
        </w:rPr>
        <w:t xml:space="preserve"> </w:t>
      </w:r>
      <w:r w:rsidRPr="00973028">
        <w:rPr>
          <w:rFonts w:ascii="Arial" w:eastAsia="Times New Roman" w:hAnsi="Arial" w:cs="Arial"/>
          <w:sz w:val="21"/>
          <w:szCs w:val="21"/>
          <w:lang w:eastAsia="es-ES"/>
        </w:rPr>
        <w:t xml:space="preserve">nivel externo, las bases regulatorias de su actividad se han materializado en el desarrollo de procedimientos administrativos que hacen realidad las funciones y los fines de la Agencia, permitiendo mostrar este organismo público como una herramienta eficaz y eficiente para la prevención y lucha contra el fraude y la corrupción. </w:t>
      </w:r>
    </w:p>
    <w:p w14:paraId="0801D299" w14:textId="044985FA"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En definitiva, la Ley y su Reglamento han venido a dotar a la Agencia, durante el año 2020, de una seguridad jurídica que es coherente, dentro de las posibilidades y competencias autonómicas valencianas, con la citada Convención de Naciones Unidas contra la Corrupción y con el Derecho de la Unión Europea dentro de este ámbito, generando un marco normativo estable, integrado y claro</w:t>
      </w:r>
      <w:r w:rsidRPr="00B370C9">
        <w:rPr>
          <w:rFonts w:ascii="Arial" w:eastAsia="Times New Roman" w:hAnsi="Arial" w:cs="Arial"/>
          <w:sz w:val="21"/>
          <w:szCs w:val="21"/>
          <w:lang w:eastAsia="es-ES"/>
        </w:rPr>
        <w:t>; si bien, es necesario reconocer, como se expondrá más adelante, que para su pleno funcionamiento se echa en falta una regulación estatal integral de prevención y lucha contra la corrupción, cuya ausencia se hace cada vez más evidente</w:t>
      </w:r>
      <w:r w:rsidR="00B370C9" w:rsidRPr="00B370C9">
        <w:rPr>
          <w:rFonts w:ascii="Arial" w:eastAsia="Times New Roman" w:hAnsi="Arial" w:cs="Arial"/>
          <w:sz w:val="21"/>
          <w:szCs w:val="21"/>
          <w:lang w:eastAsia="es-ES"/>
        </w:rPr>
        <w:t>.</w:t>
      </w:r>
    </w:p>
    <w:p w14:paraId="39BD976D" w14:textId="4CCDE3FF"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Por otra parte, la </w:t>
      </w:r>
      <w:hyperlink r:id="rId91" w:history="1">
        <w:r w:rsidRPr="00973028">
          <w:rPr>
            <w:rStyle w:val="Hipervnculo"/>
            <w:rFonts w:ascii="Arial" w:eastAsia="Times New Roman" w:hAnsi="Arial" w:cs="Arial"/>
            <w:sz w:val="21"/>
            <w:szCs w:val="21"/>
            <w:lang w:eastAsia="es-ES"/>
          </w:rPr>
          <w:t>Resolución de 5 de octubre de 2020 concreta el ámbito de actuación material de la AVAF</w:t>
        </w:r>
      </w:hyperlink>
      <w:r w:rsidRPr="00973028">
        <w:rPr>
          <w:rFonts w:ascii="Arial" w:eastAsia="Times New Roman" w:hAnsi="Arial" w:cs="Arial"/>
          <w:sz w:val="21"/>
          <w:szCs w:val="21"/>
          <w:lang w:eastAsia="es-ES"/>
        </w:rPr>
        <w:t>, a los efectos de la aplicación de la Ley 11/2016, de 28 de noviembre, de la Generalitat, y de su Reglamento de funcionamiento y régimen interior de 27 de junio de 2019, en los siguientes hechos o conductas:</w:t>
      </w:r>
    </w:p>
    <w:p w14:paraId="401F66D6" w14:textId="5A8C2C17" w:rsidR="006B510A" w:rsidRPr="00CA00A9" w:rsidRDefault="006B510A" w:rsidP="00CA00A9">
      <w:pPr>
        <w:pStyle w:val="Prrafodelista"/>
        <w:numPr>
          <w:ilvl w:val="0"/>
          <w:numId w:val="64"/>
        </w:numPr>
        <w:spacing w:after="120" w:line="276" w:lineRule="auto"/>
        <w:ind w:left="1281" w:hanging="357"/>
        <w:contextualSpacing w:val="0"/>
        <w:jc w:val="both"/>
        <w:rPr>
          <w:rFonts w:ascii="Arial" w:eastAsia="Times New Roman" w:hAnsi="Arial" w:cs="Arial"/>
          <w:sz w:val="21"/>
          <w:szCs w:val="21"/>
          <w:lang w:eastAsia="es-ES"/>
        </w:rPr>
      </w:pPr>
      <w:r w:rsidRPr="00CA00A9">
        <w:rPr>
          <w:rFonts w:ascii="Arial" w:eastAsia="Times New Roman" w:hAnsi="Arial" w:cs="Arial"/>
          <w:sz w:val="21"/>
          <w:szCs w:val="21"/>
          <w:lang w:eastAsia="es-ES"/>
        </w:rPr>
        <w:t>Corrupción: Uso o desviación de poder o de recursos de procedencia pública para fines distintos de los concedidos; uso o abuso del poder público para obtener ventajas, beneficios o cualquier otro aprovechamiento particular, propio o de terceros, o para cualquier otro fin contrario al ordenamiento jurídico.</w:t>
      </w:r>
    </w:p>
    <w:p w14:paraId="44828F5D" w14:textId="04CBE327" w:rsidR="006B510A" w:rsidRPr="00CA00A9" w:rsidRDefault="006B510A" w:rsidP="00CA00A9">
      <w:pPr>
        <w:pStyle w:val="Prrafodelista"/>
        <w:numPr>
          <w:ilvl w:val="0"/>
          <w:numId w:val="64"/>
        </w:numPr>
        <w:spacing w:after="120" w:line="276" w:lineRule="auto"/>
        <w:ind w:left="1281" w:hanging="357"/>
        <w:contextualSpacing w:val="0"/>
        <w:jc w:val="both"/>
        <w:rPr>
          <w:rFonts w:ascii="Arial" w:eastAsia="Times New Roman" w:hAnsi="Arial" w:cs="Arial"/>
          <w:sz w:val="21"/>
          <w:szCs w:val="21"/>
          <w:lang w:eastAsia="es-ES"/>
        </w:rPr>
      </w:pPr>
      <w:r w:rsidRPr="00CA00A9">
        <w:rPr>
          <w:rFonts w:ascii="Arial" w:eastAsia="Times New Roman" w:hAnsi="Arial" w:cs="Arial"/>
          <w:sz w:val="21"/>
          <w:szCs w:val="21"/>
          <w:lang w:eastAsia="es-ES"/>
        </w:rPr>
        <w:t>Fraude: Acto tendente a eludir una disposición legal de forma engañosa; uso inapropiado y perjudicial de los recursos y activos de una organización, contrario a la verdad y a la rectitud; uso o destino irregular de fondos o patrimonio públicos.</w:t>
      </w:r>
    </w:p>
    <w:p w14:paraId="4D2FB345" w14:textId="77D01106" w:rsidR="006B510A" w:rsidRPr="00CA00A9" w:rsidRDefault="006B510A" w:rsidP="00CA00A9">
      <w:pPr>
        <w:pStyle w:val="Prrafodelista"/>
        <w:numPr>
          <w:ilvl w:val="0"/>
          <w:numId w:val="64"/>
        </w:numPr>
        <w:spacing w:after="120" w:line="276" w:lineRule="auto"/>
        <w:ind w:left="1281" w:hanging="357"/>
        <w:contextualSpacing w:val="0"/>
        <w:jc w:val="both"/>
        <w:rPr>
          <w:rFonts w:ascii="Arial" w:eastAsia="Times New Roman" w:hAnsi="Arial" w:cs="Arial"/>
          <w:sz w:val="21"/>
          <w:szCs w:val="21"/>
          <w:lang w:eastAsia="es-ES"/>
        </w:rPr>
      </w:pPr>
      <w:r w:rsidRPr="00CA00A9">
        <w:rPr>
          <w:rFonts w:ascii="Arial" w:eastAsia="Times New Roman" w:hAnsi="Arial" w:cs="Arial"/>
          <w:sz w:val="21"/>
          <w:szCs w:val="21"/>
          <w:lang w:eastAsia="es-ES"/>
        </w:rPr>
        <w:t>Irregularidades administrativas y comportamientos constitutivos de infracción administrativa o disciplinaria, en los que subyace una situación potencial de fraude o corrupción.</w:t>
      </w:r>
    </w:p>
    <w:p w14:paraId="43A6E1D2" w14:textId="006FCAAF" w:rsidR="006B510A" w:rsidRPr="00CA00A9" w:rsidRDefault="006B510A" w:rsidP="00CA00A9">
      <w:pPr>
        <w:pStyle w:val="Prrafodelista"/>
        <w:numPr>
          <w:ilvl w:val="0"/>
          <w:numId w:val="64"/>
        </w:numPr>
        <w:spacing w:after="240" w:line="276" w:lineRule="auto"/>
        <w:ind w:left="1281" w:hanging="357"/>
        <w:contextualSpacing w:val="0"/>
        <w:jc w:val="both"/>
        <w:rPr>
          <w:rFonts w:ascii="Arial" w:eastAsia="Times New Roman" w:hAnsi="Arial" w:cs="Arial"/>
          <w:sz w:val="21"/>
          <w:szCs w:val="21"/>
          <w:lang w:eastAsia="es-ES"/>
        </w:rPr>
      </w:pPr>
      <w:r w:rsidRPr="00CA00A9">
        <w:rPr>
          <w:rFonts w:ascii="Arial" w:eastAsia="Times New Roman" w:hAnsi="Arial" w:cs="Arial"/>
          <w:sz w:val="21"/>
          <w:szCs w:val="21"/>
          <w:lang w:eastAsia="es-ES"/>
        </w:rPr>
        <w:t>Conductas y actividades reprochables por ser contrarias a la objetividad, a la imparcialidad, a la eficacia, a la probidad, a la integridad, a la ética pública y al buen gobierno, así como la realización de gastos superfluos e innecesarios de fondos de procedencia pública, impliquen o no una infracción directa del ordenamiento jurídico positivo.</w:t>
      </w:r>
    </w:p>
    <w:p w14:paraId="74321F3C"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En relación con la razón, contenido o asuntos que son competencia o función de la Agencia, la propia denominación de la entidad creada mediante la Ley 11/2016, de 28 de noviembre, de la Generalitat, “Agencia de Prevención y Lucha contra el Fraude y la Corrupción”, incorpora como objeto y finalidad de su actuación los términos de “prevención y lucha contra el fraude y la corrupción”, pero se mencionan a lo largo de dicho texto legal, además, otras </w:t>
      </w:r>
      <w:r w:rsidRPr="00973028">
        <w:rPr>
          <w:rFonts w:ascii="Arial" w:eastAsia="Times New Roman" w:hAnsi="Arial" w:cs="Arial"/>
          <w:sz w:val="21"/>
          <w:szCs w:val="21"/>
          <w:lang w:eastAsia="es-ES"/>
        </w:rPr>
        <w:lastRenderedPageBreak/>
        <w:t xml:space="preserve">muchas expresiones, tales como “beneficio particular o personal”, “impulso de la integridad y ética pública”, “fraude y corrupción en la gestión de los recursos públicos”, “uso o destino irregular de fondos públicos”, “conductas opuestas a la integridad o contrarias a los principios de objetividad, eficacia y sumisión plena a la ley y al derecho”, “uso o abuso en beneficio privado de información, aprovechamiento contrario al ordenamiento jurídico”, “infracciones administrativas, disciplinarias o penales”, “irregularidades que pueden dar lugar a responsabilidades legales”, o “acciones u omisiones dolosas o culposas con cualquier grado de negligencia”. </w:t>
      </w:r>
    </w:p>
    <w:p w14:paraId="120FB95B"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Es por ello que, en ejercicio de la facultad contenida en la disposición final primera del Reglamento de funcionamiento y régimen interior de la Agencia, se dicta la citada Resolución de 5 de octubre de 2020, con objeto de especificar los asuntos en que debe intervenir la Agencia, proporcionando una mayor seguridad jurídica, tanto al personal funcionario al servicio de la misma en el ejercicio de sus funciones, como a todas aquellas personas, físicas o jurídicas, a las que pueda afectar esta normativa o que por cualquier motivo deban relacionarse con la Agencia como consecuencia o por razón de sus funciones. </w:t>
      </w:r>
    </w:p>
    <w:p w14:paraId="34476EBF" w14:textId="77777777" w:rsidR="007B54B5"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Las anteriores acepciones conceptuales se han construido como consecuencia del trabajo de inmersión realizado en las normas, recomendaciones e instrumentos internacionales más relevantes sobre esta materia, y en las corrientes doctrinales más avanzadas dentro del panorama jurídico español. </w:t>
      </w:r>
    </w:p>
    <w:p w14:paraId="3E34996F" w14:textId="5C2DB1BA"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Junto a la Ley, el Reglamento y la citada Resolución sobre el ámbito de actuación material, integra el marco normativo de la Agencia la </w:t>
      </w:r>
      <w:hyperlink r:id="rId92" w:history="1">
        <w:r w:rsidRPr="00973028">
          <w:rPr>
            <w:rStyle w:val="Hipervnculo"/>
            <w:rFonts w:ascii="Arial" w:eastAsia="Times New Roman" w:hAnsi="Arial" w:cs="Arial"/>
            <w:sz w:val="21"/>
            <w:szCs w:val="21"/>
            <w:lang w:eastAsia="es-ES"/>
          </w:rPr>
          <w:t xml:space="preserve">Resolución de 25 de abril de 2018, por la que se crea el Buzón de </w:t>
        </w:r>
        <w:r w:rsidR="00310412">
          <w:rPr>
            <w:rStyle w:val="Hipervnculo"/>
            <w:rFonts w:ascii="Arial" w:eastAsia="Times New Roman" w:hAnsi="Arial" w:cs="Arial"/>
            <w:sz w:val="21"/>
            <w:szCs w:val="21"/>
            <w:lang w:eastAsia="es-ES"/>
          </w:rPr>
          <w:t>D</w:t>
        </w:r>
        <w:r w:rsidRPr="00973028">
          <w:rPr>
            <w:rStyle w:val="Hipervnculo"/>
            <w:rFonts w:ascii="Arial" w:eastAsia="Times New Roman" w:hAnsi="Arial" w:cs="Arial"/>
            <w:sz w:val="21"/>
            <w:szCs w:val="21"/>
            <w:lang w:eastAsia="es-ES"/>
          </w:rPr>
          <w:t>enuncias y se regula su funcionamiento</w:t>
        </w:r>
      </w:hyperlink>
      <w:r w:rsidRPr="00973028">
        <w:rPr>
          <w:rFonts w:ascii="Arial" w:eastAsia="Times New Roman" w:hAnsi="Arial" w:cs="Arial"/>
          <w:sz w:val="21"/>
          <w:szCs w:val="21"/>
          <w:lang w:eastAsia="es-ES"/>
        </w:rPr>
        <w:t>. Esta herramienta tecnológica, que está ubicada en nuestra página web</w:t>
      </w:r>
      <w:r w:rsidRPr="00973028">
        <w:rPr>
          <w:rFonts w:ascii="Arial" w:hAnsi="Arial" w:cs="Arial"/>
          <w:sz w:val="21"/>
          <w:szCs w:val="21"/>
        </w:rPr>
        <w:t xml:space="preserve"> </w:t>
      </w:r>
      <w:hyperlink r:id="rId93" w:history="1">
        <w:r w:rsidR="007238F2" w:rsidRPr="00AA3954">
          <w:rPr>
            <w:rStyle w:val="Hipervnculo"/>
            <w:rFonts w:ascii="Arial" w:hAnsi="Arial" w:cs="Arial"/>
            <w:sz w:val="21"/>
            <w:szCs w:val="21"/>
          </w:rPr>
          <w:t>https://www.antifraucv.es</w:t>
        </w:r>
      </w:hyperlink>
      <w:r w:rsidRPr="00973028">
        <w:rPr>
          <w:rFonts w:ascii="Arial" w:eastAsia="Times New Roman" w:hAnsi="Arial" w:cs="Arial"/>
          <w:sz w:val="21"/>
          <w:szCs w:val="21"/>
          <w:lang w:eastAsia="es-ES"/>
        </w:rPr>
        <w:t>, un año más ha estado a disposición de la ciudadanía en general y de las personas al servicio de las administraciones públicas en particular, para facilitar, de forma identificada o anónima, la comunicación de irregularidades procedentes del ámbito de actuación subjetivo de la Agencia: administraciones públicas radicadas en nuestro territorio y sector público vinculado, universidades públicas valencianas, corporaciones de derecho público, concesionarios, contratistas y subcontratistas de la administración, perceptores de subvenciones, instituciones autonómicas en cuanto a su actividad administrativa y presupuestaria, partidos políticos, organizaciones sindicales y organizaciones empresariales y cualquier entidad, cualquiera que sea su tipología o forma de constitución, que esté financiada mayoritariamente por las administraciones públicas o sujeta al dominio efectivo de estas.</w:t>
      </w:r>
    </w:p>
    <w:p w14:paraId="25AC49E0"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Completa este marco normativo la </w:t>
      </w:r>
      <w:hyperlink r:id="rId94" w:history="1">
        <w:r w:rsidRPr="00973028">
          <w:rPr>
            <w:rStyle w:val="Hipervnculo"/>
            <w:rFonts w:ascii="Arial" w:eastAsia="Times New Roman" w:hAnsi="Arial" w:cs="Arial"/>
            <w:sz w:val="21"/>
            <w:szCs w:val="21"/>
            <w:lang w:eastAsia="es-ES"/>
          </w:rPr>
          <w:t>Resolución de 15 de octubre de 2019 por la que se determina la composición del Consejo de Participación de la AVAF</w:t>
        </w:r>
      </w:hyperlink>
      <w:r w:rsidRPr="00973028">
        <w:rPr>
          <w:rFonts w:ascii="Arial" w:eastAsia="Times New Roman" w:hAnsi="Arial" w:cs="Arial"/>
          <w:color w:val="9D2235" w:themeColor="accent1"/>
          <w:sz w:val="21"/>
          <w:szCs w:val="21"/>
          <w:lang w:eastAsia="es-ES"/>
        </w:rPr>
        <w:t xml:space="preserve">. </w:t>
      </w:r>
      <w:r w:rsidRPr="00973028">
        <w:rPr>
          <w:rFonts w:ascii="Arial" w:eastAsia="Times New Roman" w:hAnsi="Arial" w:cs="Arial"/>
          <w:sz w:val="21"/>
          <w:szCs w:val="21"/>
          <w:lang w:eastAsia="es-ES"/>
        </w:rPr>
        <w:t>Dicho Consejo de Participación es el órgano asesor y de consulta y cauce para la participación de la sociedad civil y de personas expertas, dentro del ámbito de la prevención y lucha contra el fraude y la corrupción, la transparencia en la actividad pública y la calidad democrática, en aras al mejor cumplimiento de las funciones y fines de esta Agencia. Su finalidad es impulsar la vinculación de la Agencia con la sociedad civil y la ciudadanía</w:t>
      </w:r>
      <w:r w:rsidRPr="00973028">
        <w:rPr>
          <w:rStyle w:val="Refdecomentario"/>
          <w:rFonts w:ascii="Arial" w:hAnsi="Arial" w:cs="Arial"/>
          <w:sz w:val="21"/>
          <w:szCs w:val="21"/>
        </w:rPr>
        <w:t>, f</w:t>
      </w:r>
      <w:r w:rsidRPr="00973028">
        <w:rPr>
          <w:rFonts w:ascii="Arial" w:eastAsia="Times New Roman" w:hAnsi="Arial" w:cs="Arial"/>
          <w:sz w:val="21"/>
          <w:szCs w:val="21"/>
          <w:lang w:eastAsia="es-ES"/>
        </w:rPr>
        <w:t xml:space="preserve">acilitando su comunicación y relación. El Consejo fue creado mediante </w:t>
      </w:r>
      <w:hyperlink r:id="rId95" w:history="1">
        <w:r w:rsidRPr="00973028">
          <w:rPr>
            <w:rStyle w:val="Hipervnculo"/>
            <w:rFonts w:ascii="Arial" w:eastAsia="Times New Roman" w:hAnsi="Arial" w:cs="Arial"/>
            <w:sz w:val="21"/>
            <w:szCs w:val="21"/>
            <w:lang w:eastAsia="es-ES"/>
          </w:rPr>
          <w:t>Resolución de 12 de febrero de 2019 que abría plazo dirigido a las organizaciones cívicas interesadas para la presentación de candidaturas</w:t>
        </w:r>
      </w:hyperlink>
      <w:r w:rsidRPr="00973028">
        <w:rPr>
          <w:rFonts w:ascii="Arial" w:eastAsia="Times New Roman" w:hAnsi="Arial" w:cs="Arial"/>
          <w:sz w:val="21"/>
          <w:szCs w:val="21"/>
          <w:lang w:eastAsia="es-ES"/>
        </w:rPr>
        <w:t xml:space="preserve"> para ocupar sus vocalías. </w:t>
      </w:r>
      <w:r w:rsidRPr="00973028">
        <w:rPr>
          <w:rFonts w:ascii="Arial" w:eastAsia="Times New Roman" w:hAnsi="Arial" w:cs="Arial"/>
          <w:sz w:val="21"/>
          <w:szCs w:val="21"/>
          <w:lang w:eastAsia="es-ES"/>
        </w:rPr>
        <w:lastRenderedPageBreak/>
        <w:t xml:space="preserve">Su regulación, funciones, composición, régimen de reuniones y funcionamiento viene contenida asimismo en los </w:t>
      </w:r>
      <w:hyperlink r:id="rId96" w:history="1">
        <w:r w:rsidRPr="00973028">
          <w:rPr>
            <w:rStyle w:val="Hipervnculo"/>
            <w:rFonts w:ascii="Arial" w:eastAsia="Times New Roman" w:hAnsi="Arial" w:cs="Arial"/>
            <w:sz w:val="21"/>
            <w:szCs w:val="21"/>
            <w:lang w:eastAsia="es-ES"/>
          </w:rPr>
          <w:t>artículos 24 a 26 del Reglamento de funcionamiento y régimen interior de la Agencia.</w:t>
        </w:r>
      </w:hyperlink>
    </w:p>
    <w:p w14:paraId="5D9C1F6E" w14:textId="2AAFEFD6"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Por último, la </w:t>
      </w:r>
      <w:hyperlink r:id="rId97" w:anchor="boc/iniciativa/clau/189589287465552" w:history="1">
        <w:r w:rsidRPr="00973028">
          <w:rPr>
            <w:rStyle w:val="Hipervnculo"/>
            <w:rFonts w:ascii="Arial" w:eastAsia="Times New Roman" w:hAnsi="Arial" w:cs="Arial"/>
            <w:sz w:val="21"/>
            <w:szCs w:val="21"/>
            <w:lang w:eastAsia="es-ES"/>
          </w:rPr>
          <w:t>Resolución de 7 de enero de 2019 crea el Consejo de Dirección de la Agencia de Prevención y Lucha contra el Fraude y la Corrupción de la Comunitat Valenciana</w:t>
        </w:r>
      </w:hyperlink>
      <w:r w:rsidRPr="00973028">
        <w:rPr>
          <w:rFonts w:ascii="Arial" w:eastAsia="Times New Roman" w:hAnsi="Arial" w:cs="Arial"/>
          <w:sz w:val="21"/>
          <w:szCs w:val="21"/>
          <w:lang w:eastAsia="es-ES"/>
        </w:rPr>
        <w:t>, como órgano colegiado de asesoramiento y asistencia al director o directora de la Agencia para la deliberación, propuesta y coordinación de las funciones y actuaciones propias de la misma.</w:t>
      </w:r>
    </w:p>
    <w:p w14:paraId="33A0B9DE" w14:textId="773C289D" w:rsidR="006B510A" w:rsidRPr="00E973F1" w:rsidRDefault="006B510A" w:rsidP="00E973F1">
      <w:pPr>
        <w:pStyle w:val="Prrafodelista"/>
        <w:keepNext/>
        <w:numPr>
          <w:ilvl w:val="1"/>
          <w:numId w:val="25"/>
        </w:numPr>
        <w:spacing w:before="360" w:after="240" w:line="276" w:lineRule="auto"/>
        <w:ind w:left="851" w:hanging="851"/>
        <w:jc w:val="both"/>
        <w:outlineLvl w:val="1"/>
        <w:rPr>
          <w:rFonts w:ascii="Arial" w:eastAsia="Times New Roman" w:hAnsi="Arial" w:cs="Arial"/>
          <w:b/>
          <w:color w:val="9D2235" w:themeColor="accent1"/>
          <w:sz w:val="32"/>
          <w:szCs w:val="32"/>
        </w:rPr>
      </w:pPr>
      <w:bookmarkStart w:id="145" w:name="_Toc67646283"/>
      <w:r w:rsidRPr="00E973F1">
        <w:rPr>
          <w:rFonts w:ascii="Arial" w:eastAsia="Times New Roman" w:hAnsi="Arial" w:cs="Arial"/>
          <w:b/>
          <w:color w:val="9D2235" w:themeColor="accent1"/>
          <w:sz w:val="32"/>
          <w:szCs w:val="32"/>
        </w:rPr>
        <w:t>Actualización del Proyecto de Ley de la Generalitat, de la Función Pública Valenciana. Propuesta de enmiendas</w:t>
      </w:r>
      <w:bookmarkEnd w:id="145"/>
    </w:p>
    <w:p w14:paraId="380757D6" w14:textId="0A1B604D" w:rsidR="006B510A" w:rsidRPr="00973028" w:rsidRDefault="006B510A" w:rsidP="007B54B5">
      <w:pPr>
        <w:spacing w:after="240" w:line="276" w:lineRule="auto"/>
        <w:jc w:val="both"/>
        <w:rPr>
          <w:rStyle w:val="Hipervnculo"/>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Como explicábamos en la Memoria de actividad de la Agencia correspondiente al ejercicio 2019, si nos fijamos en el derecho comparado, por su cercanía y semejanzas especialmente en cuanto a la organización territorial del Estado, destaca la </w:t>
      </w:r>
      <w:hyperlink r:id="rId98" w:history="1">
        <w:r w:rsidRPr="00973028">
          <w:rPr>
            <w:rStyle w:val="Hipervnculo"/>
            <w:rFonts w:ascii="Arial" w:eastAsia="Times New Roman" w:hAnsi="Arial" w:cs="Arial"/>
            <w:sz w:val="21"/>
            <w:szCs w:val="21"/>
            <w:lang w:eastAsia="es-ES"/>
          </w:rPr>
          <w:t>Ley italiana número 190, de 6 de noviembre de 2012, sobre disposiciones para la prevención y represión de la corrupción y la ilegalidad en la administración pública,</w:t>
        </w:r>
      </w:hyperlink>
      <w:r w:rsidRPr="00973028">
        <w:rPr>
          <w:rFonts w:ascii="Arial" w:eastAsia="Times New Roman" w:hAnsi="Arial" w:cs="Arial"/>
          <w:sz w:val="21"/>
          <w:szCs w:val="21"/>
          <w:lang w:eastAsia="es-ES"/>
        </w:rPr>
        <w:t xml:space="preserve"> modificada posteriormente en el </w:t>
      </w:r>
      <w:hyperlink r:id="rId99" w:history="1">
        <w:r w:rsidRPr="00F70424">
          <w:rPr>
            <w:rStyle w:val="Hipervnculo"/>
            <w:rFonts w:ascii="Arial" w:eastAsia="Times New Roman" w:hAnsi="Arial" w:cs="Arial"/>
            <w:sz w:val="21"/>
            <w:szCs w:val="21"/>
            <w:lang w:eastAsia="es-ES"/>
          </w:rPr>
          <w:t>año 2014</w:t>
        </w:r>
      </w:hyperlink>
      <w:r w:rsidRPr="00F70424">
        <w:rPr>
          <w:rFonts w:ascii="Arial" w:eastAsia="Times New Roman" w:hAnsi="Arial" w:cs="Arial"/>
          <w:sz w:val="21"/>
          <w:szCs w:val="21"/>
          <w:lang w:eastAsia="es-ES"/>
        </w:rPr>
        <w:t xml:space="preserve"> </w:t>
      </w:r>
      <w:r w:rsidRPr="00973028">
        <w:rPr>
          <w:rFonts w:ascii="Arial" w:eastAsia="Times New Roman" w:hAnsi="Arial" w:cs="Arial"/>
          <w:sz w:val="21"/>
          <w:szCs w:val="21"/>
          <w:lang w:eastAsia="es-ES"/>
        </w:rPr>
        <w:t xml:space="preserve">y completada por la </w:t>
      </w:r>
      <w:r w:rsidRPr="00973028">
        <w:rPr>
          <w:rFonts w:ascii="Arial" w:eastAsia="Times New Roman" w:hAnsi="Arial" w:cs="Arial"/>
          <w:sz w:val="21"/>
          <w:szCs w:val="21"/>
          <w:lang w:eastAsia="es-ES"/>
        </w:rPr>
        <w:fldChar w:fldCharType="begin"/>
      </w:r>
      <w:r w:rsidRPr="00973028">
        <w:rPr>
          <w:rFonts w:ascii="Arial" w:eastAsia="Times New Roman" w:hAnsi="Arial" w:cs="Arial"/>
          <w:sz w:val="21"/>
          <w:szCs w:val="21"/>
          <w:lang w:eastAsia="es-ES"/>
        </w:rPr>
        <w:instrText xml:space="preserve"> HYPERLINK "https://www.giurisprudenzapenale.com/wp-content/uploads/2017/12/legge-179-30-11-2017.pdf" </w:instrText>
      </w:r>
      <w:r w:rsidRPr="00973028">
        <w:rPr>
          <w:rFonts w:ascii="Arial" w:eastAsia="Times New Roman" w:hAnsi="Arial" w:cs="Arial"/>
          <w:sz w:val="21"/>
          <w:szCs w:val="21"/>
          <w:lang w:eastAsia="es-ES"/>
        </w:rPr>
      </w:r>
      <w:r w:rsidRPr="00973028">
        <w:rPr>
          <w:rFonts w:ascii="Arial" w:eastAsia="Times New Roman" w:hAnsi="Arial" w:cs="Arial"/>
          <w:sz w:val="21"/>
          <w:szCs w:val="21"/>
          <w:lang w:eastAsia="es-ES"/>
        </w:rPr>
        <w:fldChar w:fldCharType="separate"/>
      </w:r>
      <w:r w:rsidRPr="00973028">
        <w:rPr>
          <w:rStyle w:val="Hipervnculo"/>
          <w:rFonts w:ascii="Arial" w:eastAsia="Times New Roman" w:hAnsi="Arial" w:cs="Arial"/>
          <w:sz w:val="21"/>
          <w:szCs w:val="21"/>
          <w:lang w:eastAsia="es-ES"/>
        </w:rPr>
        <w:t>Ley número 179 de 30 de noviembre de 2017 de protección de autores de denuncias.</w:t>
      </w:r>
    </w:p>
    <w:p w14:paraId="736F60AD" w14:textId="7C221C9E"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fldChar w:fldCharType="end"/>
      </w:r>
      <w:r w:rsidRPr="00973028">
        <w:rPr>
          <w:rFonts w:ascii="Arial" w:eastAsia="Times New Roman" w:hAnsi="Arial" w:cs="Arial"/>
          <w:sz w:val="21"/>
          <w:szCs w:val="21"/>
          <w:lang w:eastAsia="es-ES"/>
        </w:rPr>
        <w:t>La primera de las citadas leyes italianas creaba en el año 2012 un nuevo organismo, como punto de referencia nacional de las políticas anticorrupción, el cual</w:t>
      </w:r>
      <w:r w:rsidRPr="00973028">
        <w:rPr>
          <w:rStyle w:val="Refdecomentario"/>
          <w:rFonts w:ascii="Arial" w:hAnsi="Arial" w:cs="Arial"/>
          <w:sz w:val="21"/>
          <w:szCs w:val="21"/>
        </w:rPr>
        <w:t>, p</w:t>
      </w:r>
      <w:r w:rsidRPr="00973028">
        <w:rPr>
          <w:rFonts w:ascii="Arial" w:eastAsia="Times New Roman" w:hAnsi="Arial" w:cs="Arial"/>
          <w:sz w:val="21"/>
          <w:szCs w:val="21"/>
          <w:lang w:eastAsia="es-ES"/>
        </w:rPr>
        <w:t xml:space="preserve">oco después, se transformó en la denominada </w:t>
      </w:r>
      <w:r w:rsidRPr="00973028">
        <w:rPr>
          <w:rFonts w:ascii="Arial" w:eastAsia="Times New Roman" w:hAnsi="Arial" w:cs="Arial"/>
          <w:i/>
          <w:iCs/>
          <w:sz w:val="21"/>
          <w:szCs w:val="21"/>
          <w:lang w:eastAsia="es-ES"/>
        </w:rPr>
        <w:t>Autoridad Nacional de Lucha Contra la Corrupción (ANAC),</w:t>
      </w:r>
      <w:r w:rsidRPr="00973028">
        <w:rPr>
          <w:rFonts w:ascii="Arial" w:eastAsia="Times New Roman" w:hAnsi="Arial" w:cs="Arial"/>
          <w:sz w:val="21"/>
          <w:szCs w:val="21"/>
          <w:lang w:eastAsia="es-ES"/>
        </w:rPr>
        <w:t xml:space="preserve"> la cual ostenta desde 2014, competencias en materia de control y vigilancia de los contratos públicos, incluidas potestades de sanción y de propuesta de modificación legislativa.</w:t>
      </w:r>
    </w:p>
    <w:p w14:paraId="37778E4D"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Desde entonces, se ha producido en Italia un progresivo fortalecimiento de esta Autoridad, a través de la intensificación de su independencia y la acumulación en su seno, no solo de las competencias y el personal de la ya suprimida </w:t>
      </w:r>
      <w:r w:rsidRPr="00973028">
        <w:rPr>
          <w:rFonts w:ascii="Arial" w:eastAsia="Times New Roman" w:hAnsi="Arial" w:cs="Arial"/>
          <w:i/>
          <w:iCs/>
          <w:sz w:val="21"/>
          <w:szCs w:val="21"/>
          <w:lang w:eastAsia="es-ES"/>
        </w:rPr>
        <w:t>Autoridad de Supervisión de la Contratación Pública</w:t>
      </w:r>
      <w:r w:rsidRPr="00973028">
        <w:rPr>
          <w:rFonts w:ascii="Arial" w:eastAsia="Times New Roman" w:hAnsi="Arial" w:cs="Arial"/>
          <w:sz w:val="21"/>
          <w:szCs w:val="21"/>
          <w:lang w:eastAsia="es-ES"/>
        </w:rPr>
        <w:t>, sino además de todas las funciones en materia de transparencia y anticorrupción.</w:t>
      </w:r>
    </w:p>
    <w:p w14:paraId="53911C31"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Completando este sistema, la segunda de las leyes italianas referenciadas, aprobada en 2017, recoge una serie de disposiciones para la protección de los autores de informes o denuncias relacionadas con posibles delitos o irregularidades que hayan tenido conocimiento en el contexto de una relación laboral pública o privada. A tal efecto, esta Ley modificaba el artículo 54 bis del Decreto legislativo de 30 de marzo de 2001, núm. 165, relativo a la protección de los empleados públicos que denuncian infracciones en interés de la integridad de la administración pública y la transparencia. </w:t>
      </w:r>
    </w:p>
    <w:p w14:paraId="14DA8884"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Dicha regulación general de la función pública italiana establece, entre otras cuestiones, que estas personas no podrán ser sancionadas, degradadas, transferidas o sometidas a medidas organizativas que tengan efectos negativos directos o indirectos sobre sus condiciones laborales. En caso de producirse tales hechos, estos deben ser comunicados por el interesado o por las organizaciones sindicales a la ANAC, a fin de ejercer las acciones </w:t>
      </w:r>
      <w:r w:rsidRPr="00973028">
        <w:rPr>
          <w:rFonts w:ascii="Arial" w:eastAsia="Times New Roman" w:hAnsi="Arial" w:cs="Arial"/>
          <w:sz w:val="21"/>
          <w:szCs w:val="21"/>
          <w:lang w:eastAsia="es-ES"/>
        </w:rPr>
        <w:lastRenderedPageBreak/>
        <w:t>de garantía y disciplinarias que corresponda. En concreto, se impondrán sanciones a quienes infrinjan las medidas de protección de las personas denunciantes y también a quienes presenten denuncias falsas o denuncias infundadas de forma intencionada o con negligencia grave. Añade dicha norma de nuestro país vecino, ya desde 2017, que no se puede revelar la identidad del denunciante, y que se deben establecer canales de denuncia que permitan el uso de métodos informáticos y promover las herramientas de cifrado precisas para garantizar la confidencialidad de la identidad del denunciante, del contenido de las denuncias y de los hechos y documentación relacionados.</w:t>
      </w:r>
    </w:p>
    <w:p w14:paraId="78FD2F8A" w14:textId="7640A916"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Teniendo en cuenta este antecedente y otros de nuestro entorno más inmediato, así como lo dispuesto en la Directiva (UE) 2019/1937, del Parlamento Europeo y del Consejo de 23 de octubre de 2019, sobre protección de las personas que denuncien infracciones del Derecho de la Unión, a la que nos referiremos detenidamente en el epígrafe siguiente de esta Memoria y en su recomendación final, </w:t>
      </w:r>
      <w:hyperlink r:id="rId100" w:history="1">
        <w:r w:rsidRPr="00973028">
          <w:rPr>
            <w:rStyle w:val="Hipervnculo"/>
            <w:rFonts w:ascii="Arial" w:eastAsia="Times New Roman" w:hAnsi="Arial" w:cs="Arial"/>
            <w:sz w:val="21"/>
            <w:szCs w:val="21"/>
            <w:lang w:eastAsia="es-ES"/>
          </w:rPr>
          <w:t>la AVAF en fecha 10 de marzo de 2020</w:t>
        </w:r>
      </w:hyperlink>
      <w:r w:rsidRPr="00973028">
        <w:rPr>
          <w:rFonts w:ascii="Arial" w:eastAsia="Times New Roman" w:hAnsi="Arial" w:cs="Arial"/>
          <w:sz w:val="21"/>
          <w:szCs w:val="21"/>
          <w:lang w:eastAsia="es-ES"/>
        </w:rPr>
        <w:t xml:space="preserve">, una vez presentado el Proyecto de Ley de la Generalitat de la Función Pública Valenciana y abierto el trámite parlamentario correspondiente, </w:t>
      </w:r>
      <w:hyperlink r:id="rId101" w:history="1">
        <w:r w:rsidRPr="00973028">
          <w:rPr>
            <w:rStyle w:val="Hipervnculo"/>
            <w:rFonts w:ascii="Arial" w:eastAsia="Times New Roman" w:hAnsi="Arial" w:cs="Arial"/>
            <w:sz w:val="21"/>
            <w:szCs w:val="21"/>
            <w:lang w:eastAsia="es-ES"/>
          </w:rPr>
          <w:t>remitió a l</w:t>
        </w:r>
        <w:r w:rsidR="003C7F9D" w:rsidRPr="00973028">
          <w:rPr>
            <w:rStyle w:val="Hipervnculo"/>
            <w:rFonts w:ascii="Arial" w:eastAsia="Times New Roman" w:hAnsi="Arial" w:cs="Arial"/>
            <w:sz w:val="21"/>
            <w:szCs w:val="21"/>
            <w:lang w:eastAsia="es-ES"/>
          </w:rPr>
          <w:t>a</w:t>
        </w:r>
        <w:r w:rsidRPr="00973028">
          <w:rPr>
            <w:rStyle w:val="Hipervnculo"/>
            <w:rFonts w:ascii="Arial" w:eastAsia="Times New Roman" w:hAnsi="Arial" w:cs="Arial"/>
            <w:sz w:val="21"/>
            <w:szCs w:val="21"/>
            <w:lang w:eastAsia="es-ES"/>
          </w:rPr>
          <w:t>s Corts su propuesta de enmiendas al texto del proyecto</w:t>
        </w:r>
      </w:hyperlink>
      <w:r w:rsidRPr="00973028">
        <w:rPr>
          <w:rFonts w:ascii="Arial" w:eastAsia="Times New Roman" w:hAnsi="Arial" w:cs="Arial"/>
          <w:sz w:val="21"/>
          <w:szCs w:val="21"/>
          <w:lang w:eastAsia="es-ES"/>
        </w:rPr>
        <w:t>, cuyo texto completo puede visualizarse en nuestra página web.</w:t>
      </w:r>
    </w:p>
    <w:p w14:paraId="73600E2C"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Se procede a continuación a exponer, de forma sintética, el contenido y la motivación de dicha propuesta que tiene carácter eminentemente técnico y que, de ser incorporada al futuro texto de la Ley de la Función Pública Valenciana, situaría a la Comunitat Valenciana de nuevo en la vanguardia española dentro de este ámbito, tanto a nivel territorial como respecto del propio Estado español, transponiendo en nuestro territorio una parte importante del contenido de la referida Directiva antes de su fecha tope, que devendrá el 17 de diciembre de este año 2021.</w:t>
      </w:r>
    </w:p>
    <w:p w14:paraId="7B0A1B18" w14:textId="3565BE44" w:rsidR="006B510A" w:rsidRPr="00973028" w:rsidRDefault="006B510A" w:rsidP="007B54B5">
      <w:pPr>
        <w:spacing w:after="240" w:line="276" w:lineRule="auto"/>
        <w:jc w:val="both"/>
        <w:rPr>
          <w:rFonts w:ascii="Arial" w:eastAsia="Times New Roman" w:hAnsi="Arial" w:cs="Arial"/>
          <w:color w:val="9D2235" w:themeColor="accent1"/>
          <w:sz w:val="21"/>
          <w:szCs w:val="21"/>
          <w:lang w:eastAsia="es-ES"/>
        </w:rPr>
      </w:pPr>
      <w:r w:rsidRPr="00973028">
        <w:rPr>
          <w:rFonts w:ascii="Arial" w:eastAsia="Times New Roman" w:hAnsi="Arial" w:cs="Arial"/>
          <w:sz w:val="21"/>
          <w:szCs w:val="21"/>
          <w:lang w:eastAsia="es-ES"/>
        </w:rPr>
        <w:t>En concreto, la propuesta de enmiendas formulada por la AVAF afecta los artículos 4.a), 78, 97, 98, 99 y 141.1 del Proyecto de Ley.</w:t>
      </w:r>
      <w:r w:rsidRPr="00973028">
        <w:rPr>
          <w:rFonts w:ascii="Arial" w:eastAsia="Times New Roman" w:hAnsi="Arial" w:cs="Arial"/>
          <w:color w:val="9D2235" w:themeColor="accent1"/>
          <w:sz w:val="21"/>
          <w:szCs w:val="21"/>
          <w:lang w:eastAsia="es-ES"/>
        </w:rPr>
        <w:t xml:space="preserve"> </w:t>
      </w:r>
      <w:r w:rsidRPr="00973028">
        <w:rPr>
          <w:rFonts w:ascii="Arial" w:eastAsia="Times New Roman" w:hAnsi="Arial" w:cs="Arial"/>
          <w:sz w:val="21"/>
          <w:szCs w:val="21"/>
          <w:lang w:eastAsia="es-ES"/>
        </w:rPr>
        <w:t>En función de la materia, esta propuesta de enmiendas la podemos clasificar de la siguiente forma:</w:t>
      </w:r>
    </w:p>
    <w:p w14:paraId="19C639B8" w14:textId="1201105A" w:rsidR="007B54B5" w:rsidRPr="00973028" w:rsidRDefault="006B510A" w:rsidP="00672ABA">
      <w:pPr>
        <w:pStyle w:val="Prrafodelista"/>
        <w:numPr>
          <w:ilvl w:val="0"/>
          <w:numId w:val="29"/>
        </w:numPr>
        <w:spacing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El primer grupo, relativo al derecho de protección del personal empleado público que denuncie irregularidades y a la necesidad del establecimiento de canales de denuncias internos (artículo 78)</w:t>
      </w:r>
      <w:r w:rsidR="007B54B5" w:rsidRPr="00973028">
        <w:rPr>
          <w:rFonts w:ascii="Arial" w:eastAsia="Times New Roman" w:hAnsi="Arial" w:cs="Arial"/>
          <w:sz w:val="21"/>
          <w:szCs w:val="21"/>
          <w:lang w:eastAsia="es-ES"/>
        </w:rPr>
        <w:t>.</w:t>
      </w:r>
    </w:p>
    <w:p w14:paraId="18DA0632" w14:textId="77777777" w:rsidR="006B510A" w:rsidRPr="00973028" w:rsidRDefault="006B510A" w:rsidP="00672ABA">
      <w:pPr>
        <w:pStyle w:val="Prrafodelista"/>
        <w:numPr>
          <w:ilvl w:val="0"/>
          <w:numId w:val="29"/>
        </w:numPr>
        <w:spacing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El segundo grupo, en lo que se refiere a la necesaria homogeneización de varias cuestiones relacionadas con los derechos y deberes del personal empleado público y principios éticos y de conducta con la normativa estatal de referencia (artículos 97, 98 y 99).</w:t>
      </w:r>
    </w:p>
    <w:p w14:paraId="671E2890" w14:textId="6EDF1A5B" w:rsidR="006B510A" w:rsidRPr="00973028" w:rsidRDefault="006B510A" w:rsidP="00AA16EE">
      <w:pPr>
        <w:pStyle w:val="Prrafodelista"/>
        <w:numPr>
          <w:ilvl w:val="0"/>
          <w:numId w:val="29"/>
        </w:numPr>
        <w:spacing w:after="24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El tercer grupo, respecto del encaje de la Agencia y del personal que presta servicios en la misma dentro del texto del Proyecto de Ley según su naturaleza y funciones y fines (artículos 4.a y 141.1).</w:t>
      </w:r>
    </w:p>
    <w:p w14:paraId="469FE643" w14:textId="77777777" w:rsidR="007B54B5"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Respecto al </w:t>
      </w:r>
      <w:r w:rsidRPr="00973028">
        <w:rPr>
          <w:rFonts w:ascii="Arial" w:eastAsia="Times New Roman" w:hAnsi="Arial" w:cs="Arial"/>
          <w:b/>
          <w:bCs/>
          <w:sz w:val="21"/>
          <w:szCs w:val="21"/>
          <w:lang w:eastAsia="es-ES"/>
        </w:rPr>
        <w:t xml:space="preserve">primer grupo de propuestas de enmiendas </w:t>
      </w:r>
      <w:r w:rsidRPr="00973028">
        <w:rPr>
          <w:rFonts w:ascii="Arial" w:eastAsia="Times New Roman" w:hAnsi="Arial" w:cs="Arial"/>
          <w:sz w:val="21"/>
          <w:szCs w:val="21"/>
          <w:lang w:eastAsia="es-ES"/>
        </w:rPr>
        <w:t>mencionado</w:t>
      </w:r>
      <w:r w:rsidRPr="00973028">
        <w:rPr>
          <w:rFonts w:ascii="Arial" w:eastAsia="Times New Roman" w:hAnsi="Arial" w:cs="Arial"/>
          <w:b/>
          <w:bCs/>
          <w:sz w:val="21"/>
          <w:szCs w:val="21"/>
          <w:lang w:eastAsia="es-ES"/>
        </w:rPr>
        <w:t>,</w:t>
      </w:r>
      <w:r w:rsidRPr="00973028">
        <w:rPr>
          <w:rFonts w:ascii="Arial" w:eastAsia="Times New Roman" w:hAnsi="Arial" w:cs="Arial"/>
          <w:sz w:val="21"/>
          <w:szCs w:val="21"/>
          <w:lang w:eastAsia="es-ES"/>
        </w:rPr>
        <w:t xml:space="preserve"> que afecta al </w:t>
      </w:r>
      <w:r w:rsidRPr="00973028">
        <w:rPr>
          <w:rFonts w:ascii="Arial" w:eastAsia="Times New Roman" w:hAnsi="Arial" w:cs="Arial"/>
          <w:b/>
          <w:bCs/>
          <w:sz w:val="21"/>
          <w:szCs w:val="21"/>
          <w:lang w:eastAsia="es-ES"/>
        </w:rPr>
        <w:t>artículo 78</w:t>
      </w:r>
      <w:r w:rsidRPr="00973028">
        <w:rPr>
          <w:rFonts w:ascii="Arial" w:eastAsia="Times New Roman" w:hAnsi="Arial" w:cs="Arial"/>
          <w:sz w:val="21"/>
          <w:szCs w:val="21"/>
          <w:lang w:eastAsia="es-ES"/>
        </w:rPr>
        <w:t xml:space="preserve"> de la futura Ley de la Función Pública Valenciana, bajo la rúbrica </w:t>
      </w:r>
      <w:r w:rsidRPr="00973028">
        <w:rPr>
          <w:rFonts w:ascii="Arial" w:eastAsia="Times New Roman" w:hAnsi="Arial" w:cs="Arial"/>
          <w:b/>
          <w:bCs/>
          <w:sz w:val="21"/>
          <w:szCs w:val="21"/>
          <w:lang w:eastAsia="es-ES"/>
        </w:rPr>
        <w:t>“Régimen del derecho a la protección del personal empleado público que denuncie irregularidades”</w:t>
      </w:r>
      <w:r w:rsidRPr="00973028">
        <w:rPr>
          <w:rFonts w:ascii="Arial" w:eastAsia="Times New Roman" w:hAnsi="Arial" w:cs="Arial"/>
          <w:sz w:val="21"/>
          <w:szCs w:val="21"/>
          <w:lang w:eastAsia="es-ES"/>
        </w:rPr>
        <w:t xml:space="preserve">, la recomendación de esta Agencia pasa por recordar que la redacción de este precepto no </w:t>
      </w:r>
      <w:r w:rsidRPr="00973028">
        <w:rPr>
          <w:rFonts w:ascii="Arial" w:eastAsia="Times New Roman" w:hAnsi="Arial" w:cs="Arial"/>
          <w:sz w:val="21"/>
          <w:szCs w:val="21"/>
          <w:lang w:eastAsia="es-ES"/>
        </w:rPr>
        <w:lastRenderedPageBreak/>
        <w:t>puede quedar al margen de los mandatos internacionales (</w:t>
      </w:r>
      <w:hyperlink r:id="rId102" w:history="1">
        <w:r w:rsidRPr="00973028">
          <w:rPr>
            <w:rStyle w:val="Hipervnculo"/>
            <w:rFonts w:ascii="Arial" w:eastAsia="Times New Roman" w:hAnsi="Arial" w:cs="Arial"/>
            <w:sz w:val="21"/>
            <w:szCs w:val="21"/>
            <w:lang w:eastAsia="es-ES"/>
          </w:rPr>
          <w:t>Convención de Naciones Unidas contra la Corrupción</w:t>
        </w:r>
      </w:hyperlink>
      <w:r w:rsidRPr="00973028">
        <w:rPr>
          <w:rFonts w:ascii="Arial" w:eastAsia="Times New Roman" w:hAnsi="Arial" w:cs="Arial"/>
          <w:sz w:val="21"/>
          <w:szCs w:val="21"/>
          <w:lang w:eastAsia="es-ES"/>
        </w:rPr>
        <w:t>) y europeos (</w:t>
      </w:r>
      <w:hyperlink r:id="rId103" w:history="1">
        <w:r w:rsidRPr="00973028">
          <w:rPr>
            <w:rStyle w:val="Hipervnculo"/>
            <w:rFonts w:ascii="Arial" w:eastAsia="Times New Roman" w:hAnsi="Arial" w:cs="Arial"/>
            <w:sz w:val="21"/>
            <w:szCs w:val="21"/>
            <w:lang w:eastAsia="es-ES"/>
          </w:rPr>
          <w:t>Directiva UE 2019/1937</w:t>
        </w:r>
      </w:hyperlink>
      <w:r w:rsidRPr="00973028">
        <w:rPr>
          <w:rFonts w:ascii="Arial" w:eastAsia="Times New Roman" w:hAnsi="Arial" w:cs="Arial"/>
          <w:sz w:val="21"/>
          <w:szCs w:val="21"/>
          <w:lang w:eastAsia="es-ES"/>
        </w:rPr>
        <w:t>), así como de la legislación autonómica ya vigente (</w:t>
      </w:r>
      <w:hyperlink r:id="rId104" w:history="1">
        <w:r w:rsidRPr="00973028">
          <w:rPr>
            <w:rStyle w:val="Hipervnculo"/>
            <w:rFonts w:ascii="Arial" w:eastAsia="Times New Roman" w:hAnsi="Arial" w:cs="Arial"/>
            <w:sz w:val="21"/>
            <w:szCs w:val="21"/>
            <w:lang w:eastAsia="es-ES"/>
          </w:rPr>
          <w:t>Ley 11/2016</w:t>
        </w:r>
      </w:hyperlink>
      <w:hyperlink r:id="rId105" w:history="1">
        <w:r w:rsidRPr="00973028">
          <w:rPr>
            <w:rStyle w:val="Hipervnculo"/>
            <w:rFonts w:ascii="Arial" w:eastAsia="Times New Roman" w:hAnsi="Arial" w:cs="Arial"/>
            <w:sz w:val="21"/>
            <w:szCs w:val="21"/>
            <w:lang w:eastAsia="es-ES"/>
          </w:rPr>
          <w:t>, Ley 22/2018</w:t>
        </w:r>
      </w:hyperlink>
      <w:r w:rsidRPr="00973028">
        <w:rPr>
          <w:rFonts w:ascii="Arial" w:eastAsia="Times New Roman" w:hAnsi="Arial" w:cs="Arial"/>
          <w:sz w:val="21"/>
          <w:szCs w:val="21"/>
          <w:lang w:eastAsia="es-ES"/>
        </w:rPr>
        <w:t xml:space="preserve">, </w:t>
      </w:r>
      <w:hyperlink r:id="rId106" w:history="1">
        <w:r w:rsidRPr="00973028">
          <w:rPr>
            <w:rStyle w:val="Hipervnculo"/>
            <w:rFonts w:ascii="Arial" w:eastAsia="Times New Roman" w:hAnsi="Arial" w:cs="Arial"/>
            <w:sz w:val="21"/>
            <w:szCs w:val="21"/>
            <w:lang w:eastAsia="es-ES"/>
          </w:rPr>
          <w:t>Resolución de 4 de febrero de 2020 que aprueba el Plan de actuación de la Inspección General de Servicios 2020-2021</w:t>
        </w:r>
      </w:hyperlink>
      <w:r w:rsidRPr="00973028">
        <w:rPr>
          <w:rFonts w:ascii="Arial" w:eastAsia="Times New Roman" w:hAnsi="Arial" w:cs="Arial"/>
          <w:sz w:val="21"/>
          <w:szCs w:val="21"/>
          <w:lang w:eastAsia="es-ES"/>
        </w:rPr>
        <w:t xml:space="preserve">) y la jurisprudencia del Tribunal Supremo, entre otras </w:t>
      </w:r>
      <w:hyperlink r:id="rId107" w:history="1">
        <w:r w:rsidRPr="00973028">
          <w:rPr>
            <w:rStyle w:val="Hipervnculo"/>
            <w:rFonts w:ascii="Arial" w:eastAsia="Times New Roman" w:hAnsi="Arial" w:cs="Arial"/>
            <w:sz w:val="21"/>
            <w:szCs w:val="21"/>
            <w:lang w:eastAsia="es-ES"/>
          </w:rPr>
          <w:t>Sentencias núm. 35/2020 de 6 de febrero de 2020</w:t>
        </w:r>
      </w:hyperlink>
      <w:r w:rsidRPr="00973028">
        <w:rPr>
          <w:rFonts w:ascii="Arial" w:eastAsia="Times New Roman" w:hAnsi="Arial" w:cs="Arial"/>
          <w:sz w:val="21"/>
          <w:szCs w:val="21"/>
          <w:lang w:eastAsia="es-ES"/>
        </w:rPr>
        <w:t xml:space="preserve"> y </w:t>
      </w:r>
      <w:hyperlink r:id="rId108" w:history="1">
        <w:r w:rsidRPr="00973028">
          <w:rPr>
            <w:rStyle w:val="Hipervnculo"/>
            <w:rFonts w:ascii="Arial" w:eastAsia="Times New Roman" w:hAnsi="Arial" w:cs="Arial"/>
            <w:sz w:val="21"/>
            <w:szCs w:val="21"/>
            <w:lang w:eastAsia="es-ES"/>
          </w:rPr>
          <w:t>núm. 54/2019 de 6 de febrero de 2019</w:t>
        </w:r>
      </w:hyperlink>
      <w:r w:rsidRPr="00973028">
        <w:rPr>
          <w:rFonts w:ascii="Arial" w:eastAsia="Times New Roman" w:hAnsi="Arial" w:cs="Arial"/>
          <w:color w:val="9D2235" w:themeColor="accent1"/>
          <w:sz w:val="21"/>
          <w:szCs w:val="21"/>
          <w:lang w:eastAsia="es-ES"/>
        </w:rPr>
        <w:t>,</w:t>
      </w:r>
      <w:r w:rsidRPr="00973028">
        <w:rPr>
          <w:rFonts w:ascii="Arial" w:eastAsia="Times New Roman" w:hAnsi="Arial" w:cs="Arial"/>
          <w:sz w:val="21"/>
          <w:szCs w:val="21"/>
          <w:lang w:eastAsia="es-ES"/>
        </w:rPr>
        <w:t xml:space="preserve"> ambas de la Sala de lo Penal del Tribunal Supremo.</w:t>
      </w:r>
    </w:p>
    <w:p w14:paraId="3ABDE6E2" w14:textId="414D1EB5"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En este sentido, el texto de este precepto propuesto por la Agencia incorpora, en aras a la seguridad jurídica en relación con este derecho de protección del personal empleado público, la mención a la procedencia de aplicar la Ley 11/2016, de 28 de noviembre, de la Generalitat, de la Agencia de Prevención y Lucha contra el Fraude y la Corrupción de la Comunitat Valenciana, por corresponder a esta garantizar aquel derecho.</w:t>
      </w:r>
    </w:p>
    <w:p w14:paraId="568E5C79"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También se introduce la especificación de que la persona que realiza la alerta o denuncia podrá identificarse o ser anónima. Si opta por identificarse deberá mantenerse la confidencialidad, de tal forma que la identidad del denunciante o alertador no podrá ser revelada, ni desvelar información que pudiera permitir su identificación, salvo que aquel preste su consentimiento o exista un requerimiento judicial.</w:t>
      </w:r>
    </w:p>
    <w:p w14:paraId="41A5F730" w14:textId="0BC23994"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Igualmente se añade, en concordancia con la Directiva (UE) 2019/1937 y la normativa autonómica señalada, ya aprobada y vigente, la previsión de la existencia de canales de denuncia. Así, en administraciones públicas radicadas en el territorio de la Comunitat Valenciana, sector público vinculado y otras personas jurídicas públicas, se establecerán canales de denuncia internos, que sean seguros, accesibles y fiables, que garanticen el anonimato y la confidencialidad, y el seguimiento diligente de la denuncia o alerta. Dichos canales deberán existir cuando la administración pública o la entidad tenga más de 50 trabajadores o el municipio cuente con más de 10.000 habitantes. En todo caso, se podrá utilizar como canal externo de denuncias el Buzón de </w:t>
      </w:r>
      <w:r w:rsidR="00310412">
        <w:rPr>
          <w:rFonts w:ascii="Arial" w:eastAsia="Times New Roman" w:hAnsi="Arial" w:cs="Arial"/>
          <w:sz w:val="21"/>
          <w:szCs w:val="21"/>
          <w:lang w:eastAsia="es-ES"/>
        </w:rPr>
        <w:t>D</w:t>
      </w:r>
      <w:r w:rsidRPr="00973028">
        <w:rPr>
          <w:rFonts w:ascii="Arial" w:eastAsia="Times New Roman" w:hAnsi="Arial" w:cs="Arial"/>
          <w:sz w:val="21"/>
          <w:szCs w:val="21"/>
          <w:lang w:eastAsia="es-ES"/>
        </w:rPr>
        <w:t>enuncias disponible en la página web de la Agencia de Prevención y Lucha contra el Fraude y la Corrupción de la Comunitat Valenciana.</w:t>
      </w:r>
    </w:p>
    <w:p w14:paraId="46804568"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Reconocer la posibilidad de la denuncia anónima es la mejor forma de proteger a la persona que denuncia, informa, comunica o alerta irregularidades. La inmensa mayoría de los empleados públicos no se atreven a denunciar por temor a ser represaliados, siendo habitual en estos casos el ensañamiento con los denunciantes, testigos o peritos. Proteger su identidad o guardar confidencialidad es la mejor forma de luchar contra la corrupción y las malas prácticas. </w:t>
      </w:r>
    </w:p>
    <w:p w14:paraId="334CDFF2"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Lo importante no es la persona que informa, alerta o denuncia, sino los hechos o conductas respecto de los que se emite el informe o la alerta o que se contienen en la denuncia. No es el quién sino el qué. Exigir que el denunciante se identifique desincentiva las denuncias y </w:t>
      </w:r>
      <w:r w:rsidRPr="00973028">
        <w:rPr>
          <w:rFonts w:ascii="Arial" w:eastAsia="Times New Roman" w:hAnsi="Arial" w:cs="Arial"/>
          <w:sz w:val="21"/>
          <w:szCs w:val="21"/>
          <w:lang w:eastAsia="es-ES"/>
        </w:rPr>
        <w:lastRenderedPageBreak/>
        <w:t>fomenta la ley del silencio; conduce a quien presencia unos hechos o tiene cierta información a seguir mirando hacia otro lado para evitar problemas. De este modo, se provoca el efecto inverso al deseado: el incremento del fraude y la corrupción por aquellos que incurren en estos hechos, sabedores de que las personas de su entorno no se atreven a dar el paso. Ello viene a ser constatado cuando esta Agencia comprueba, en el ejercicio de sus funciones una y otra vez, que la primera actuación de la persona denunciada, al conocer la existencia de una denuncia que le puede afectar, se dirige a averiguar quién ha sido el denunciante. Entonces empieza la persecución y el denunciado se convierte en represaliador.</w:t>
      </w:r>
    </w:p>
    <w:p w14:paraId="2F5BBD24"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Por otra parte, en respuesta a quienes temen el daño que pudiera causar una denuncia anónima, cabe recordar que esta no inicia por sí misma un procedimiento de forma automática, sino que se trata de una fuente de información, lo que exige un correcto y necesario examen por parte del órgano o autoridad receptor, puesto que aquella incita, o no, a su actuación de oficio tras el análisis de verosimilitud de los hechos y conductas. Tal análisis o valoración debe ser apreciado en su conjunto, junto con otros indicios o elementos de prueba. </w:t>
      </w:r>
    </w:p>
    <w:p w14:paraId="0F6D3863"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En definitiva, la denuncia anónima no puede ni debe ser rechazada por ser anónima, ni debe impedir la apertura de una investigación, sino que simplemente exige un análisis reforzado para su toma en consideración, ponderando la coherencia y la posible veracidad de los datos.</w:t>
      </w:r>
    </w:p>
    <w:p w14:paraId="12903216" w14:textId="6C1C37AD"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Al mismo tiempo se resalta que las denuncias falsas se sancionan disciplinariamente, en el propio Proyecto de Ley de Función Pública (artículo 171.1.t), en la Ley 11/2016, de 28 de noviembre, de la Generalitat, de la Agencia (artículo 18.II.1.d), y asimismo penalmente (artículo 456 </w:t>
      </w:r>
      <w:r w:rsidR="00126AD7">
        <w:rPr>
          <w:rFonts w:ascii="Arial" w:eastAsia="Times New Roman" w:hAnsi="Arial" w:cs="Arial"/>
          <w:sz w:val="21"/>
          <w:szCs w:val="21"/>
          <w:lang w:eastAsia="es-ES"/>
        </w:rPr>
        <w:t xml:space="preserve">del </w:t>
      </w:r>
      <w:r w:rsidRPr="00973028">
        <w:rPr>
          <w:rFonts w:ascii="Arial" w:eastAsia="Times New Roman" w:hAnsi="Arial" w:cs="Arial"/>
          <w:sz w:val="21"/>
          <w:szCs w:val="21"/>
          <w:lang w:eastAsia="es-ES"/>
        </w:rPr>
        <w:t>Código Penal), por lo que los mecanismos para su tacha están oportunamente regulados.</w:t>
      </w:r>
    </w:p>
    <w:p w14:paraId="27C11D0F"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En España, en ámbitos de actuación como los de la Agencia Tributaria, la Inspección de la Seguridad Social, la Inspección de Trabajo, la Comisión Nacional de los Mercados y la Competencia, el blanqueo de capitales o la protección de datos, se admiten las denuncias anónimas, toda vez que constituyen una fuente importantísima de información. </w:t>
      </w:r>
    </w:p>
    <w:p w14:paraId="15B52C33"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Igualmente, vienen admitiéndose las denuncias anónimas en el ámbito de las empresas, sobre todo las grandes empresas, pues dichas denuncias ayudan a detectar posibles irregularidades que pueden poner en riesgo la actividad y el negocio empresarial. </w:t>
      </w:r>
    </w:p>
    <w:p w14:paraId="1A8F55C2"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También, como ha quedado dicho, la denuncia anónima es admitida por la AVAF desde mayo de 2018 en el territorio de la Comunitat Valenciana sin que ello ocasione ningún problema, al igual que se está realizando, a través de sus propias oficinas antifraude, en Cataluña y en las Islas Baleares. </w:t>
      </w:r>
    </w:p>
    <w:p w14:paraId="450063A3"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Por lo que se refiere al </w:t>
      </w:r>
      <w:r w:rsidRPr="00973028">
        <w:rPr>
          <w:rFonts w:ascii="Arial" w:eastAsia="Times New Roman" w:hAnsi="Arial" w:cs="Arial"/>
          <w:b/>
          <w:bCs/>
          <w:sz w:val="21"/>
          <w:szCs w:val="21"/>
          <w:lang w:eastAsia="es-ES"/>
        </w:rPr>
        <w:t>segundo grupo de propuestas de enmiendas</w:t>
      </w:r>
      <w:r w:rsidRPr="00973028">
        <w:rPr>
          <w:rFonts w:ascii="Arial" w:eastAsia="Times New Roman" w:hAnsi="Arial" w:cs="Arial"/>
          <w:sz w:val="21"/>
          <w:szCs w:val="21"/>
          <w:lang w:eastAsia="es-ES"/>
        </w:rPr>
        <w:t>, se pone de relieve que, a través de ellas, la Agencia busca la necesaria homogeneización de varios puntos relacionados con los derechos y deberes del personal empleado público y los principios éticos y de conducta que deben regir sus actuaciones con la normativa estatal de referencia (</w:t>
      </w:r>
      <w:r w:rsidRPr="00973028">
        <w:rPr>
          <w:rFonts w:ascii="Arial" w:eastAsia="Times New Roman" w:hAnsi="Arial" w:cs="Arial"/>
          <w:b/>
          <w:bCs/>
          <w:sz w:val="21"/>
          <w:szCs w:val="21"/>
          <w:lang w:eastAsia="es-ES"/>
        </w:rPr>
        <w:t>artículos 97, 98 y 99</w:t>
      </w:r>
      <w:r w:rsidRPr="00973028">
        <w:rPr>
          <w:rFonts w:ascii="Arial" w:eastAsia="Times New Roman" w:hAnsi="Arial" w:cs="Arial"/>
          <w:sz w:val="21"/>
          <w:szCs w:val="21"/>
          <w:lang w:eastAsia="es-ES"/>
        </w:rPr>
        <w:t xml:space="preserve"> del Proyecto de Ley y los artículos 52, 53 y 54 del texto refundido de la Ley del Estatuto Básico del Empleado Público).</w:t>
      </w:r>
    </w:p>
    <w:p w14:paraId="562ED23C" w14:textId="4CDDC19F"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lastRenderedPageBreak/>
        <w:t xml:space="preserve">Concretamente en el artículo 97 del Proyecto de </w:t>
      </w:r>
      <w:r w:rsidR="00310412">
        <w:rPr>
          <w:rFonts w:ascii="Arial" w:eastAsia="Times New Roman" w:hAnsi="Arial" w:cs="Arial"/>
          <w:sz w:val="21"/>
          <w:szCs w:val="21"/>
          <w:lang w:eastAsia="es-ES"/>
        </w:rPr>
        <w:t>L</w:t>
      </w:r>
      <w:r w:rsidRPr="00973028">
        <w:rPr>
          <w:rFonts w:ascii="Arial" w:eastAsia="Times New Roman" w:hAnsi="Arial" w:cs="Arial"/>
          <w:sz w:val="21"/>
          <w:szCs w:val="21"/>
          <w:lang w:eastAsia="es-ES"/>
        </w:rPr>
        <w:t>ey se propone la incorporación de la expresión “código de conducta” y se mejora la redacción del precepto a fin de posibilitar la elaboración y aprobación de códigos éticos en cualquier ámbito o sector de las administraciones públicas.</w:t>
      </w:r>
    </w:p>
    <w:p w14:paraId="1D7451BB"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Los códigos éticos y de conducta, generalizados en los países de nuestro entorno y cada vez más frecuentes en las empresas, constituyen mecanismos de integridad, pues establecen estándares de comportamiento mediante la recopilación de valores y normas o pautas éticas y de conducta claras y accesibles que se predican tanto de la organización a la que se pertenece como de sus integrantes.</w:t>
      </w:r>
    </w:p>
    <w:p w14:paraId="73505DE2"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Por otra parte, se propone adaptar la rúbrica actual de los artículos 98 y 99 del Proyecto de Ley, siendo sustituidas, respectivamente, por las de “principios éticos” y “principios de conducta”, por resultar ser menciones más concretas y apropiadas, además de acordes con la norma básica reguladora de los empleados públicos (TREBEP).</w:t>
      </w:r>
    </w:p>
    <w:p w14:paraId="3026007C" w14:textId="7D112155"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El primer principio ético debe ser el “respeto a la Constitución y al resto del ordenamiento jurídico” (principio de legalidad), y el “ejercicio de sus atribuciones según el principio de dedicación al servicio público absteniéndose no solo de conductas contrarias al mismo, sino también de cualesquiera otras que comprometan la neutralidad en el ejercicio de los servicios públicos”. Asimismo, se echa en falta en el Proyecto de </w:t>
      </w:r>
      <w:r w:rsidR="00310412">
        <w:rPr>
          <w:rFonts w:ascii="Arial" w:eastAsia="Times New Roman" w:hAnsi="Arial" w:cs="Arial"/>
          <w:sz w:val="21"/>
          <w:szCs w:val="21"/>
          <w:lang w:eastAsia="es-ES"/>
        </w:rPr>
        <w:t>L</w:t>
      </w:r>
      <w:r w:rsidRPr="00973028">
        <w:rPr>
          <w:rFonts w:ascii="Arial" w:eastAsia="Times New Roman" w:hAnsi="Arial" w:cs="Arial"/>
          <w:sz w:val="21"/>
          <w:szCs w:val="21"/>
          <w:lang w:eastAsia="es-ES"/>
        </w:rPr>
        <w:t>ey, como principio de conducta, el siguiente: “Poner en conocimiento de sus superiores o de los órganos competentes las propuestas que consideren adecuadas para mejorar el desarrollo de las funciones de la unidad en la que estén destinados. A estos efectos se podrá prever la creación de la instancia adecuada competente para centralizar la recepción de las propuestas de los empleados públicos o administrados que sirvan para mejorar la eficacia en el servicio”.</w:t>
      </w:r>
    </w:p>
    <w:p w14:paraId="77A7BB78"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La incorporación de estos extremos, que constituyen normativa básica del Estado, se adapta a determinados requerimientos que impone la Directiva (UE) 2019/1937 del Parlamento Europeo y del Consejo, de 23 de octubre de 2019, relativa a la protección de las personas que informen sobre infracciones del Derecho de la Unión (DOUE de 26.11.2019).</w:t>
      </w:r>
    </w:p>
    <w:p w14:paraId="577013E5"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Por último, por lo que respecta al </w:t>
      </w:r>
      <w:r w:rsidRPr="00973028">
        <w:rPr>
          <w:rFonts w:ascii="Arial" w:eastAsia="Times New Roman" w:hAnsi="Arial" w:cs="Arial"/>
          <w:b/>
          <w:bCs/>
          <w:sz w:val="21"/>
          <w:szCs w:val="21"/>
          <w:lang w:eastAsia="es-ES"/>
        </w:rPr>
        <w:t>tercer grupo de propuestas de enmiendas</w:t>
      </w:r>
      <w:r w:rsidRPr="00973028">
        <w:rPr>
          <w:rFonts w:ascii="Arial" w:eastAsia="Times New Roman" w:hAnsi="Arial" w:cs="Arial"/>
          <w:sz w:val="21"/>
          <w:szCs w:val="21"/>
          <w:lang w:eastAsia="es-ES"/>
        </w:rPr>
        <w:t xml:space="preserve">, se propone, a fin de disipar dudas y evitar interpretaciones </w:t>
      </w:r>
      <w:r w:rsidRPr="00973028">
        <w:rPr>
          <w:rFonts w:ascii="Arial" w:eastAsia="Times New Roman" w:hAnsi="Arial" w:cs="Arial"/>
          <w:i/>
          <w:iCs/>
          <w:sz w:val="21"/>
          <w:szCs w:val="21"/>
          <w:lang w:eastAsia="es-ES"/>
        </w:rPr>
        <w:t>ad hoc</w:t>
      </w:r>
      <w:r w:rsidRPr="00973028">
        <w:rPr>
          <w:rFonts w:ascii="Arial" w:eastAsia="Times New Roman" w:hAnsi="Arial" w:cs="Arial"/>
          <w:sz w:val="21"/>
          <w:szCs w:val="21"/>
          <w:lang w:eastAsia="es-ES"/>
        </w:rPr>
        <w:t xml:space="preserve">, la inclusión de la AVAF en el epígrafe correspondiente </w:t>
      </w:r>
      <w:r w:rsidRPr="00973028">
        <w:rPr>
          <w:rFonts w:ascii="Arial" w:eastAsia="Times New Roman" w:hAnsi="Arial" w:cs="Arial"/>
          <w:b/>
          <w:bCs/>
          <w:sz w:val="21"/>
          <w:szCs w:val="21"/>
          <w:lang w:eastAsia="es-ES"/>
        </w:rPr>
        <w:t>del artículo 4.a)</w:t>
      </w:r>
      <w:r w:rsidRPr="00973028">
        <w:rPr>
          <w:rFonts w:ascii="Arial" w:eastAsia="Times New Roman" w:hAnsi="Arial" w:cs="Arial"/>
          <w:sz w:val="21"/>
          <w:szCs w:val="21"/>
          <w:lang w:eastAsia="es-ES"/>
        </w:rPr>
        <w:t xml:space="preserve"> del Proyecto de Ley, junto a otras instituciones estatutarias, a través de la incorporación en el actual redactado, a continuación de la referencia al “personal al servicio de las Corts Valencianes”, de la expresión “y sus entidades adscritas”. </w:t>
      </w:r>
    </w:p>
    <w:p w14:paraId="0FF9F32A"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Ello permite armonizar lo establecido en la futura Ley de Función Pública Valenciana con lo dispuesto en el artículo 29 de la Ley 11/2016, de 28 de noviembre, de la Generalitat, de creación de la Agencia, y en su Reglamento de funcionamiento y régimen interior, habida cuenta que la Agencia es una entidad adscrita a las Corts Valencianes, que actúa con independencia de las administraciones públicas y que en todo caso se integra por personal funcionario de carrera procedente de estas, ya que conforme a esta regulación, el personal de la AVAF se rige por su Ley de creación, por su Reglamento de funcionamiento y régimen interior, por la normativa reguladora del personal de las Corts y, en su defecto, por la legislación aplicable en materia de función pública valenciana. </w:t>
      </w:r>
    </w:p>
    <w:p w14:paraId="24A657BF" w14:textId="7893CAC9"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lastRenderedPageBreak/>
        <w:t>Por último, se propone adicionar una nueva letra en el artículo 141.1 del Proyecto de Ley de Función Pública en la que expresamente se recoja, dentro de la relación de supuestos en los que procede la declaración de la situación administrativa de servicios especiales, al personal funcionario cuando sea adscrito a los servicios de l</w:t>
      </w:r>
      <w:r w:rsidR="003C7F9D" w:rsidRPr="00973028">
        <w:rPr>
          <w:rFonts w:ascii="Arial" w:eastAsia="Times New Roman" w:hAnsi="Arial" w:cs="Arial"/>
          <w:sz w:val="21"/>
          <w:szCs w:val="21"/>
          <w:lang w:eastAsia="es-ES"/>
        </w:rPr>
        <w:t>a</w:t>
      </w:r>
      <w:r w:rsidRPr="00973028">
        <w:rPr>
          <w:rFonts w:ascii="Arial" w:eastAsia="Times New Roman" w:hAnsi="Arial" w:cs="Arial"/>
          <w:sz w:val="21"/>
          <w:szCs w:val="21"/>
          <w:lang w:eastAsia="es-ES"/>
        </w:rPr>
        <w:t>s Corts, de la Sindicatura de Comptes, del Síndic de Greuges, de la Agencia de Prevención y Lucha contra el Fraude y la Corrupción de la Comunitat Valenciana, del Consell Jurídic Consultiu, del Consell Valencià de Cultura, de la Acadèmia Valenciana de la Llengua, y del Comité Econòmic i Social. Ello viene siendo reconocido ampliamente por las diferentes administraciones públicas y la jurisprudencia.</w:t>
      </w:r>
    </w:p>
    <w:p w14:paraId="1E930204"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La razón de ser de esta previsión legal obedece a la necesidad de que los derechos de estos funcionarios y funcionarias en su administración de origen no se vean mermados como consecuencia de las nuevas tareas que realizan en estas instituciones o entidades externas a aquélla; funciones que son de control, fiscalización, investigación, emisión de informes o sanción, en relación precisamente con actuaciones de las mismas administraciones públicas de las que proceden.</w:t>
      </w:r>
    </w:p>
    <w:p w14:paraId="71E89679" w14:textId="0E398588"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Ello vendría a evitar, como ha ocurrido hasta el momento, que la Dirección General de Función Pública de la administración de la Generalitat o concretamente el Ayuntamiento de Albal, pese a los antecedentes administrativos aplicados por otras administraciones públicas con similar regulación, que declaran en situación de servicios especiales a su personal funcionario (Ministerio de Política Territorial y Función Pública en reiteradísimas ocasiones, Diputación de Val</w:t>
      </w:r>
      <w:r w:rsidR="00D13AB4">
        <w:rPr>
          <w:rFonts w:ascii="Arial" w:eastAsia="Times New Roman" w:hAnsi="Arial" w:cs="Arial"/>
          <w:sz w:val="21"/>
          <w:szCs w:val="21"/>
          <w:lang w:eastAsia="es-ES"/>
        </w:rPr>
        <w:t>e</w:t>
      </w:r>
      <w:r w:rsidRPr="00973028">
        <w:rPr>
          <w:rFonts w:ascii="Arial" w:eastAsia="Times New Roman" w:hAnsi="Arial" w:cs="Arial"/>
          <w:sz w:val="21"/>
          <w:szCs w:val="21"/>
          <w:lang w:eastAsia="es-ES"/>
        </w:rPr>
        <w:t xml:space="preserve">ncia y Ayuntamientos de Barcelona, Godella, Llíria y Oviedo), denieguen esta posibilidad al personal que procediendo de aquellas se ha incorporado en la Agencia con un puesto definitivo. </w:t>
      </w:r>
    </w:p>
    <w:p w14:paraId="22D5ED25"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Igualmente, el pase a esta situación de servicios especiales así lo corroboran, entre otras, la </w:t>
      </w:r>
      <w:hyperlink r:id="rId109" w:history="1">
        <w:r w:rsidRPr="00973028">
          <w:rPr>
            <w:rStyle w:val="Hipervnculo"/>
            <w:rFonts w:ascii="Arial" w:eastAsia="Times New Roman" w:hAnsi="Arial" w:cs="Arial"/>
            <w:sz w:val="21"/>
            <w:szCs w:val="21"/>
            <w:lang w:eastAsia="es-ES"/>
          </w:rPr>
          <w:t>Sentencia núm. 783/2004 de 10 de junio de 2004 del Tribunal Superior de Justicia de Madrid, Sala de lo Contencioso Sección Séptima</w:t>
        </w:r>
      </w:hyperlink>
      <w:r w:rsidRPr="00973028">
        <w:rPr>
          <w:rFonts w:ascii="Arial" w:eastAsia="Times New Roman" w:hAnsi="Arial" w:cs="Arial"/>
          <w:sz w:val="21"/>
          <w:szCs w:val="21"/>
          <w:lang w:eastAsia="es-ES"/>
        </w:rPr>
        <w:t xml:space="preserve">; la </w:t>
      </w:r>
      <w:hyperlink r:id="rId110" w:history="1">
        <w:r w:rsidRPr="00973028">
          <w:rPr>
            <w:rStyle w:val="Hipervnculo"/>
            <w:rFonts w:ascii="Arial" w:eastAsia="Times New Roman" w:hAnsi="Arial" w:cs="Arial"/>
            <w:sz w:val="21"/>
            <w:szCs w:val="21"/>
            <w:lang w:eastAsia="es-ES"/>
          </w:rPr>
          <w:t>Sentencia núm. 1393/2004 de 3 de noviembre de 2004 del Tribunal Superior de Justicia de Madrid, Sala de lo Contencioso Sección Séptima</w:t>
        </w:r>
      </w:hyperlink>
      <w:r w:rsidRPr="00973028">
        <w:rPr>
          <w:rFonts w:ascii="Arial" w:eastAsia="Times New Roman" w:hAnsi="Arial" w:cs="Arial"/>
          <w:sz w:val="21"/>
          <w:szCs w:val="21"/>
          <w:lang w:eastAsia="es-ES"/>
        </w:rPr>
        <w:t xml:space="preserve">; la </w:t>
      </w:r>
      <w:hyperlink r:id="rId111" w:history="1">
        <w:r w:rsidRPr="00973028">
          <w:rPr>
            <w:rStyle w:val="Hipervnculo"/>
            <w:rFonts w:ascii="Arial" w:eastAsia="Times New Roman" w:hAnsi="Arial" w:cs="Arial"/>
            <w:sz w:val="21"/>
            <w:szCs w:val="21"/>
            <w:lang w:eastAsia="es-ES"/>
          </w:rPr>
          <w:t>Sentencia núm. 963/2013 de 26 de septiembre de 2013 del Tribunal Superior de Justicia de Cataluña, Sala de lo Contencioso Sección Cuarta</w:t>
        </w:r>
      </w:hyperlink>
      <w:r w:rsidRPr="00973028">
        <w:rPr>
          <w:rFonts w:ascii="Arial" w:eastAsia="Times New Roman" w:hAnsi="Arial" w:cs="Arial"/>
          <w:sz w:val="21"/>
          <w:szCs w:val="21"/>
          <w:lang w:eastAsia="es-ES"/>
        </w:rPr>
        <w:t xml:space="preserve">; y la </w:t>
      </w:r>
      <w:hyperlink r:id="rId112" w:history="1">
        <w:r w:rsidRPr="00973028">
          <w:rPr>
            <w:rStyle w:val="Hipervnculo"/>
            <w:rFonts w:ascii="Arial" w:eastAsia="Times New Roman" w:hAnsi="Arial" w:cs="Arial"/>
            <w:sz w:val="21"/>
            <w:szCs w:val="21"/>
            <w:lang w:eastAsia="es-ES"/>
          </w:rPr>
          <w:t>Sentencia núm. 475/2014 de 27 de junio de 2014 del Tribunal Superior de Justicia de Cataluña, Sala de lo Contencioso Sección Cuarta.</w:t>
        </w:r>
      </w:hyperlink>
    </w:p>
    <w:p w14:paraId="47E86203" w14:textId="77777777" w:rsidR="006B510A" w:rsidRPr="00973028" w:rsidRDefault="006B510A" w:rsidP="007B54B5">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El personal funcionario de carrera que acceda a puestos en estas instituciones o entidades externas a las administraciones públicas, por razón de movilidad y en atención a sus conocimientos y experiencia adquiridos, así como a su mérito y capacidad, debe tener garantizados, no solo el principio de igualdad de trato frente a sus compañeros y prohibición de cualquier tipo de discriminación, sino también los derechos que le sean más favorables a la hora de decidir su futuro profesional, siendo la situación de servicios especiales la única que cubre dichas garantías. Al mismo tiempo, esta situación administrativa contribuye a asegurar que la actuación de este personal en el ejercicio de sus funciones en órganos de control externo se realice conforme a los principios de independencia, imparcialidad y objetividad.</w:t>
      </w:r>
    </w:p>
    <w:p w14:paraId="45AE7596" w14:textId="72A7C63B" w:rsidR="006B510A" w:rsidRDefault="006B510A" w:rsidP="0078230B">
      <w:pPr>
        <w:spacing w:after="36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lastRenderedPageBreak/>
        <w:t>En semanas sucesivas a la presentación en las Corts de esta propuesta de enmiendas al Proyecto de Ley de Función Pública Valenciana, la AVAF celebró reuniones con cada uno de los grupos parlamentarios de las Corts, en las que explicó todos los detalles de aquellas, además de la motivación específica en cada caso. A estos mismos efectos se realizó una reunión con el director general de Función Pública y personal funcionario responsable en dicha Dirección General.</w:t>
      </w:r>
    </w:p>
    <w:p w14:paraId="296CC9C2" w14:textId="6D5EDF51" w:rsidR="00E83778" w:rsidRDefault="00E83778" w:rsidP="0078230B">
      <w:pPr>
        <w:spacing w:after="360" w:line="276" w:lineRule="auto"/>
        <w:jc w:val="both"/>
        <w:rPr>
          <w:rFonts w:ascii="Arial" w:eastAsia="Times New Roman" w:hAnsi="Arial" w:cs="Arial"/>
          <w:sz w:val="21"/>
          <w:szCs w:val="21"/>
          <w:lang w:eastAsia="es-ES"/>
        </w:rPr>
      </w:pPr>
    </w:p>
    <w:p w14:paraId="6BAA1A56" w14:textId="77777777" w:rsidR="005D6D8B" w:rsidRDefault="005D6D8B" w:rsidP="0078230B">
      <w:pPr>
        <w:spacing w:after="360" w:line="276" w:lineRule="auto"/>
        <w:jc w:val="both"/>
        <w:rPr>
          <w:rFonts w:ascii="Arial" w:eastAsia="Times New Roman" w:hAnsi="Arial" w:cs="Arial"/>
          <w:sz w:val="21"/>
          <w:szCs w:val="21"/>
          <w:lang w:eastAsia="es-ES"/>
        </w:rPr>
      </w:pPr>
    </w:p>
    <w:p w14:paraId="19C4C4DC" w14:textId="6ED13D6A" w:rsidR="007B54B5" w:rsidRPr="00E973F1" w:rsidRDefault="006B510A" w:rsidP="00E973F1">
      <w:pPr>
        <w:pStyle w:val="Prrafodelista"/>
        <w:keepNext/>
        <w:numPr>
          <w:ilvl w:val="1"/>
          <w:numId w:val="25"/>
        </w:numPr>
        <w:spacing w:before="360" w:after="240" w:line="276" w:lineRule="auto"/>
        <w:ind w:left="851" w:hanging="851"/>
        <w:contextualSpacing w:val="0"/>
        <w:jc w:val="both"/>
        <w:outlineLvl w:val="1"/>
        <w:rPr>
          <w:rFonts w:ascii="Arial" w:eastAsia="Times New Roman" w:hAnsi="Arial" w:cs="Arial"/>
          <w:b/>
          <w:color w:val="9D2235" w:themeColor="accent1"/>
          <w:sz w:val="32"/>
          <w:szCs w:val="32"/>
        </w:rPr>
      </w:pPr>
      <w:bookmarkStart w:id="146" w:name="_Toc67646284"/>
      <w:bookmarkStart w:id="147" w:name="_Hlk63420038"/>
      <w:r w:rsidRPr="00E973F1">
        <w:rPr>
          <w:rFonts w:ascii="Arial" w:eastAsia="Times New Roman" w:hAnsi="Arial" w:cs="Arial"/>
          <w:b/>
          <w:color w:val="9D2235" w:themeColor="accent1"/>
          <w:sz w:val="32"/>
          <w:szCs w:val="32"/>
        </w:rPr>
        <w:t>Transposición de la Directiva (UE) 2019/1937, del Parlamento Europeo y del Consejo de 23 de octubre de 2019, relativa a la protección de las personas que informan sobre infracciones del Derecho de la Unión</w:t>
      </w:r>
      <w:bookmarkEnd w:id="146"/>
    </w:p>
    <w:p w14:paraId="7E1D0BE2" w14:textId="23EA4E79" w:rsidR="006B510A" w:rsidRPr="00E973F1" w:rsidRDefault="006B510A" w:rsidP="00E973F1">
      <w:pPr>
        <w:pStyle w:val="Prrafodelista"/>
        <w:keepNext/>
        <w:numPr>
          <w:ilvl w:val="2"/>
          <w:numId w:val="25"/>
        </w:numPr>
        <w:spacing w:before="360" w:after="240" w:line="276" w:lineRule="auto"/>
        <w:ind w:left="1134" w:hanging="1134"/>
        <w:contextualSpacing w:val="0"/>
        <w:jc w:val="both"/>
        <w:outlineLvl w:val="2"/>
        <w:rPr>
          <w:rFonts w:ascii="Arial" w:eastAsia="Times New Roman" w:hAnsi="Arial" w:cs="Arial"/>
          <w:b/>
          <w:color w:val="9D2235" w:themeColor="accent1"/>
          <w:sz w:val="32"/>
          <w:szCs w:val="32"/>
        </w:rPr>
      </w:pPr>
      <w:bookmarkStart w:id="148" w:name="_Toc67646285"/>
      <w:r w:rsidRPr="00E973F1">
        <w:rPr>
          <w:rFonts w:ascii="Arial" w:eastAsia="Times New Roman" w:hAnsi="Arial" w:cs="Arial"/>
          <w:b/>
          <w:color w:val="9D2235" w:themeColor="accent1"/>
          <w:sz w:val="28"/>
          <w:szCs w:val="28"/>
        </w:rPr>
        <w:t>Estado del procedimiento de elaboración de la normativa para la transposición en España de la Directiva (UE) 2019/1937</w:t>
      </w:r>
      <w:bookmarkEnd w:id="147"/>
      <w:bookmarkEnd w:id="148"/>
    </w:p>
    <w:p w14:paraId="3B5DD36A" w14:textId="77777777" w:rsidR="006B510A" w:rsidRPr="00973028" w:rsidRDefault="006B510A" w:rsidP="003135D0">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Con la publicación en el Diario Oficial de la Unión Europea (DOUE) el 26 de noviembre de 2019 de la </w:t>
      </w:r>
      <w:hyperlink r:id="rId113" w:history="1">
        <w:r w:rsidRPr="00973028">
          <w:rPr>
            <w:rStyle w:val="Hipervnculo"/>
            <w:rFonts w:ascii="Arial" w:eastAsia="Times New Roman" w:hAnsi="Arial" w:cs="Arial"/>
            <w:sz w:val="21"/>
            <w:szCs w:val="21"/>
            <w:lang w:eastAsia="es-ES"/>
          </w:rPr>
          <w:t>Directiva (UE) 2019/1937 del Parlamento Europeo y del Consejo, de 23 de octubre de 2019, relativa a la protección de las personas que informan sobre infracciones del Derecho de la Unión,</w:t>
        </w:r>
      </w:hyperlink>
      <w:r w:rsidRPr="00973028">
        <w:rPr>
          <w:rFonts w:ascii="Arial" w:eastAsia="Times New Roman" w:hAnsi="Arial" w:cs="Arial"/>
          <w:color w:val="0070C0"/>
          <w:sz w:val="21"/>
          <w:szCs w:val="21"/>
          <w:lang w:eastAsia="es-ES"/>
        </w:rPr>
        <w:t xml:space="preserve"> </w:t>
      </w:r>
      <w:r w:rsidRPr="00973028">
        <w:rPr>
          <w:rFonts w:ascii="Arial" w:eastAsia="Times New Roman" w:hAnsi="Arial" w:cs="Arial"/>
          <w:color w:val="000000"/>
          <w:sz w:val="21"/>
          <w:szCs w:val="21"/>
          <w:lang w:eastAsia="es-ES"/>
        </w:rPr>
        <w:t>asistimos a la aparición de un nuevo marco europeo en materia de protección a personas que denuncian o alertan de hechos o conductas contrarios al interés público.</w:t>
      </w:r>
    </w:p>
    <w:p w14:paraId="078AD782" w14:textId="1C247186" w:rsidR="006B510A" w:rsidRPr="00973028" w:rsidRDefault="006B510A" w:rsidP="003135D0">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Cabe recordar que las Directivas son un instrumento armonizador de las legislaciones internas de los países miembros de la Unión Europea, que obligan a los Estados miembros destinatarios en cuanto al resultado a conseguir, pero dejan a estos la libertad para elegir el acto jurídico de conversión </w:t>
      </w:r>
      <w:r w:rsidRPr="00F70424">
        <w:rPr>
          <w:rFonts w:ascii="Arial" w:eastAsia="Times New Roman" w:hAnsi="Arial" w:cs="Arial"/>
          <w:color w:val="000000"/>
          <w:sz w:val="21"/>
          <w:szCs w:val="21"/>
          <w:lang w:eastAsia="es-ES"/>
        </w:rPr>
        <w:t>de aqu</w:t>
      </w:r>
      <w:r w:rsidR="008E4051" w:rsidRPr="00F70424">
        <w:rPr>
          <w:rFonts w:ascii="Arial" w:eastAsia="Times New Roman" w:hAnsi="Arial" w:cs="Arial"/>
          <w:color w:val="000000"/>
          <w:sz w:val="21"/>
          <w:szCs w:val="21"/>
          <w:lang w:eastAsia="es-ES"/>
        </w:rPr>
        <w:t>e</w:t>
      </w:r>
      <w:r w:rsidRPr="00F70424">
        <w:rPr>
          <w:rFonts w:ascii="Arial" w:eastAsia="Times New Roman" w:hAnsi="Arial" w:cs="Arial"/>
          <w:color w:val="000000"/>
          <w:sz w:val="21"/>
          <w:szCs w:val="21"/>
          <w:lang w:eastAsia="es-ES"/>
        </w:rPr>
        <w:t>llas en normas de Derecho interno. Así pues, las Directivas son normas comunitarias que responden</w:t>
      </w:r>
      <w:r w:rsidRPr="00973028">
        <w:rPr>
          <w:rFonts w:ascii="Arial" w:eastAsia="Times New Roman" w:hAnsi="Arial" w:cs="Arial"/>
          <w:color w:val="000000"/>
          <w:sz w:val="21"/>
          <w:szCs w:val="21"/>
          <w:lang w:eastAsia="es-ES"/>
        </w:rPr>
        <w:t xml:space="preserve"> a la necesidad de implicar a las instancias nacionales en la conformación de un ordenamiento jurídico que reposa, no en un reparto de materias sino en una asignación de fines.</w:t>
      </w:r>
    </w:p>
    <w:p w14:paraId="1105E01A" w14:textId="77777777" w:rsidR="006B510A" w:rsidRPr="00973028" w:rsidRDefault="006B510A" w:rsidP="003135D0">
      <w:pPr>
        <w:spacing w:after="240" w:line="276" w:lineRule="auto"/>
        <w:jc w:val="both"/>
        <w:rPr>
          <w:rFonts w:ascii="Arial" w:eastAsia="Times New Roman" w:hAnsi="Arial" w:cs="Arial"/>
          <w:b/>
          <w:bCs/>
          <w:color w:val="000000"/>
          <w:sz w:val="21"/>
          <w:szCs w:val="21"/>
          <w:lang w:eastAsia="es-ES"/>
        </w:rPr>
      </w:pPr>
      <w:r w:rsidRPr="00973028">
        <w:rPr>
          <w:rFonts w:ascii="Arial" w:eastAsia="Times New Roman" w:hAnsi="Arial" w:cs="Arial"/>
          <w:color w:val="000000"/>
          <w:sz w:val="21"/>
          <w:szCs w:val="21"/>
          <w:lang w:eastAsia="es-ES"/>
        </w:rPr>
        <w:t xml:space="preserve">La transposición de las Directivas al ordenamiento jurídico interno de cada Estado miembro tiene un plazo, que para el caso de </w:t>
      </w:r>
      <w:r w:rsidRPr="00973028">
        <w:rPr>
          <w:rFonts w:ascii="Arial" w:eastAsia="Times New Roman" w:hAnsi="Arial" w:cs="Arial"/>
          <w:sz w:val="21"/>
          <w:szCs w:val="21"/>
          <w:lang w:eastAsia="es-ES"/>
        </w:rPr>
        <w:t>la Directiva (UE) 2019/1937</w:t>
      </w:r>
      <w:r w:rsidRPr="00973028">
        <w:rPr>
          <w:rFonts w:ascii="Arial" w:eastAsia="Times New Roman" w:hAnsi="Arial" w:cs="Arial"/>
          <w:color w:val="000000"/>
          <w:sz w:val="21"/>
          <w:szCs w:val="21"/>
          <w:lang w:eastAsia="es-ES"/>
        </w:rPr>
        <w:t xml:space="preserve"> </w:t>
      </w:r>
      <w:r w:rsidRPr="00973028">
        <w:rPr>
          <w:rFonts w:ascii="Arial" w:eastAsia="Times New Roman" w:hAnsi="Arial" w:cs="Arial"/>
          <w:b/>
          <w:bCs/>
          <w:color w:val="000000"/>
          <w:sz w:val="21"/>
          <w:szCs w:val="21"/>
          <w:lang w:eastAsia="es-ES"/>
        </w:rPr>
        <w:t>finaliza el próximo 17 de diciembre de 2021.</w:t>
      </w:r>
    </w:p>
    <w:p w14:paraId="3C9032B7" w14:textId="77777777" w:rsidR="006B510A" w:rsidRPr="00973028" w:rsidRDefault="006B510A" w:rsidP="003135D0">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En desarrollo de los trabajos de transposición de esta Directiva, el </w:t>
      </w:r>
      <w:hyperlink r:id="rId114" w:history="1">
        <w:r w:rsidRPr="00973028">
          <w:rPr>
            <w:rStyle w:val="Hipervnculo"/>
            <w:rFonts w:ascii="Arial" w:eastAsia="Times New Roman" w:hAnsi="Arial" w:cs="Arial"/>
            <w:b/>
            <w:bCs/>
            <w:sz w:val="21"/>
            <w:szCs w:val="21"/>
            <w:lang w:eastAsia="es-ES"/>
          </w:rPr>
          <w:t>IV Plan de Gobierno Abierto de España 2020-2024</w:t>
        </w:r>
      </w:hyperlink>
      <w:r w:rsidRPr="00973028">
        <w:rPr>
          <w:rFonts w:ascii="Arial" w:eastAsia="Times New Roman" w:hAnsi="Arial" w:cs="Arial"/>
          <w:color w:val="000000"/>
          <w:sz w:val="21"/>
          <w:szCs w:val="21"/>
          <w:lang w:eastAsia="es-ES"/>
        </w:rPr>
        <w:t xml:space="preserve">, aprobado por el Gobierno, recoge diez compromisos que asumen las Administraciones públicas para reforzar la transparencia y la rendición de cuentas, mejorar la participación, establecer sistemas de integridad pública, y </w:t>
      </w:r>
      <w:r w:rsidRPr="00973028">
        <w:rPr>
          <w:rFonts w:ascii="Arial" w:eastAsia="Times New Roman" w:hAnsi="Arial" w:cs="Arial"/>
          <w:color w:val="000000"/>
          <w:sz w:val="21"/>
          <w:szCs w:val="21"/>
          <w:lang w:eastAsia="es-ES"/>
        </w:rPr>
        <w:lastRenderedPageBreak/>
        <w:t>formar y sensibilizar a la ciudadanía y al personal empleado público en materia de gobierno abierto con el objetivo de contribuir a una sociedad más justa, pacífica e inclusiva.</w:t>
      </w:r>
    </w:p>
    <w:p w14:paraId="115F166A" w14:textId="01805FDB" w:rsidR="006B510A" w:rsidRPr="00973028" w:rsidRDefault="006B510A" w:rsidP="003135D0">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En concreto, dentro del </w:t>
      </w:r>
      <w:r w:rsidRPr="00973028">
        <w:rPr>
          <w:rFonts w:ascii="Arial" w:eastAsia="Times New Roman" w:hAnsi="Arial" w:cs="Arial"/>
          <w:b/>
          <w:bCs/>
          <w:color w:val="000000"/>
          <w:sz w:val="21"/>
          <w:szCs w:val="21"/>
          <w:lang w:eastAsia="es-ES"/>
        </w:rPr>
        <w:t>eje de “Integridad”</w:t>
      </w:r>
      <w:r w:rsidRPr="00973028">
        <w:rPr>
          <w:rFonts w:ascii="Arial" w:eastAsia="Times New Roman" w:hAnsi="Arial" w:cs="Arial"/>
          <w:i/>
          <w:iCs/>
          <w:color w:val="000000"/>
          <w:sz w:val="21"/>
          <w:szCs w:val="21"/>
          <w:lang w:eastAsia="es-ES"/>
        </w:rPr>
        <w:t xml:space="preserve"> </w:t>
      </w:r>
      <w:r w:rsidRPr="00973028">
        <w:rPr>
          <w:rFonts w:ascii="Arial" w:eastAsia="Times New Roman" w:hAnsi="Arial" w:cs="Arial"/>
          <w:color w:val="000000"/>
          <w:sz w:val="21"/>
          <w:szCs w:val="21"/>
          <w:lang w:eastAsia="es-ES"/>
        </w:rPr>
        <w:t xml:space="preserve">de este IV Plan de Gobierno Abierto se incluye como compromiso número 6 el relativo a la “Protección de denunciantes”, cuya finalidad es literalmente la siguiente: </w:t>
      </w:r>
    </w:p>
    <w:p w14:paraId="07EB9F87" w14:textId="77777777" w:rsidR="006B510A" w:rsidRPr="00973028" w:rsidRDefault="006B510A" w:rsidP="003135D0">
      <w:pPr>
        <w:spacing w:after="240" w:line="276" w:lineRule="auto"/>
        <w:ind w:left="708"/>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“Transponer al ordenamiento jurídico español la Directiva (UE) 2019/1937 de 23 de octubre de 2019, relativa a la protección de las personas que informen sobre infracciones del derecho de la UE. Aprobar un marco jurídico uniforme que garantice la protección de las personas que faciliten información para la detección de delitos o infracciones legales en el seno de una organización, ya sea pública o privada, y contribuir de ese modo a una mejor implementación de la ley.”</w:t>
      </w:r>
    </w:p>
    <w:p w14:paraId="256C7CE6" w14:textId="77777777" w:rsidR="006B510A" w:rsidRPr="00973028" w:rsidRDefault="006B510A" w:rsidP="003135D0">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Con este objetivo, el </w:t>
      </w:r>
      <w:r w:rsidRPr="00973028">
        <w:rPr>
          <w:rFonts w:ascii="Arial" w:eastAsia="Times New Roman" w:hAnsi="Arial" w:cs="Arial"/>
          <w:b/>
          <w:bCs/>
          <w:color w:val="000000"/>
          <w:sz w:val="21"/>
          <w:szCs w:val="21"/>
          <w:lang w:eastAsia="es-ES"/>
        </w:rPr>
        <w:t xml:space="preserve">Ministerio de Justicia </w:t>
      </w:r>
      <w:r w:rsidRPr="00973028">
        <w:rPr>
          <w:rFonts w:ascii="Arial" w:eastAsia="Times New Roman" w:hAnsi="Arial" w:cs="Arial"/>
          <w:color w:val="000000"/>
          <w:sz w:val="21"/>
          <w:szCs w:val="21"/>
          <w:lang w:eastAsia="es-ES"/>
        </w:rPr>
        <w:t>constituyó a mediados del año pasado un</w:t>
      </w:r>
      <w:r w:rsidRPr="00973028">
        <w:rPr>
          <w:rFonts w:ascii="Arial" w:eastAsia="Times New Roman" w:hAnsi="Arial" w:cs="Arial"/>
          <w:b/>
          <w:bCs/>
          <w:color w:val="000000"/>
          <w:sz w:val="21"/>
          <w:szCs w:val="21"/>
          <w:lang w:eastAsia="es-ES"/>
        </w:rPr>
        <w:t xml:space="preserve"> Grupo de Trabajo </w:t>
      </w:r>
      <w:r w:rsidRPr="00973028">
        <w:rPr>
          <w:rFonts w:ascii="Arial" w:eastAsia="Times New Roman" w:hAnsi="Arial" w:cs="Arial"/>
          <w:color w:val="000000"/>
          <w:sz w:val="21"/>
          <w:szCs w:val="21"/>
          <w:lang w:eastAsia="es-ES"/>
        </w:rPr>
        <w:t>en el seno de la Sección de Derecho Público de la Comisión General de Codificación, encargado de preparar la propuesta de texto articulado para la transposición.</w:t>
      </w:r>
    </w:p>
    <w:p w14:paraId="7A76F220" w14:textId="77777777" w:rsidR="006B510A" w:rsidRPr="00973028" w:rsidRDefault="006B510A" w:rsidP="003135D0">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Durante el último trimestre de 2020, el citado Grupo de Trabajo ha mantenido reuniones con varios grupos de interés en la materia, como organizaciones y asociaciones civiles. </w:t>
      </w:r>
    </w:p>
    <w:p w14:paraId="19C523EC" w14:textId="77777777" w:rsidR="006B510A" w:rsidRPr="00973028" w:rsidRDefault="006B510A" w:rsidP="003135D0">
      <w:pPr>
        <w:spacing w:after="240" w:line="276" w:lineRule="auto"/>
        <w:jc w:val="both"/>
        <w:rPr>
          <w:rFonts w:ascii="Arial" w:eastAsia="Times New Roman" w:hAnsi="Arial" w:cs="Arial"/>
          <w:sz w:val="21"/>
          <w:szCs w:val="21"/>
          <w:lang w:eastAsia="es-ES"/>
        </w:rPr>
      </w:pPr>
      <w:r w:rsidRPr="00973028">
        <w:rPr>
          <w:rFonts w:ascii="Arial" w:eastAsia="Times New Roman" w:hAnsi="Arial" w:cs="Arial"/>
          <w:color w:val="000000"/>
          <w:sz w:val="21"/>
          <w:szCs w:val="21"/>
          <w:lang w:eastAsia="es-ES"/>
        </w:rPr>
        <w:t xml:space="preserve">Asimismo, el pasado 4 de noviembre de 2020 representantes del Ministerio de Justicia convocaron a los </w:t>
      </w:r>
      <w:r w:rsidRPr="00973028">
        <w:rPr>
          <w:rFonts w:ascii="Arial" w:eastAsia="Times New Roman" w:hAnsi="Arial" w:cs="Arial"/>
          <w:b/>
          <w:bCs/>
          <w:color w:val="000000"/>
          <w:sz w:val="21"/>
          <w:szCs w:val="21"/>
          <w:lang w:eastAsia="es-ES"/>
        </w:rPr>
        <w:t xml:space="preserve">miembros de la Red de Oficinas y Agencias Antifraude </w:t>
      </w:r>
      <w:r w:rsidRPr="00973028">
        <w:rPr>
          <w:rFonts w:ascii="Arial" w:eastAsia="Times New Roman" w:hAnsi="Arial" w:cs="Arial"/>
          <w:color w:val="000000"/>
          <w:sz w:val="21"/>
          <w:szCs w:val="21"/>
          <w:lang w:eastAsia="es-ES"/>
        </w:rPr>
        <w:t>de España, de la que forma parte la AVAF, junto con la Oficina Antifraude de Cataluña, la Oficina de Prevención y Lucha contra la Corrupción en las Islas Baleares, la Oficina para la Transparencia y las Buenas Prácticas del Ayuntamiento de Barcelona, la Oficina Municipal contra el Fraude y la Corrupción del Ayuntamiento de Madrid, la Agencia de Transparencia del Área Metropolitana de Barcelona, el Consejo de Cuentas de Galicia, la Audiencia de Cuentas de Canarias, el Servicio Nacional de Coordinación Antifraude y la Oficina Independiente de Regulación y Supervisión de la Contratación.</w:t>
      </w:r>
    </w:p>
    <w:p w14:paraId="033A5F93" w14:textId="77777777" w:rsidR="006B510A" w:rsidRPr="00973028" w:rsidRDefault="006B510A" w:rsidP="003135D0">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En la mencionada reunión, la Red de Oficinas y Agencias Antifraude expuso al Ministerio sus respectivas experiencias en la prevención y lucha contra la corrupción y la protección de las personas denunciantes; función respecto de esta última en la que la AVAF goza de un papel destacado al ser la única entidad dentro del territorio nacional que viene desarrollando esta competencia.</w:t>
      </w:r>
    </w:p>
    <w:p w14:paraId="21EF4070" w14:textId="77777777" w:rsidR="006B510A" w:rsidRPr="00973028" w:rsidRDefault="006B510A" w:rsidP="003135D0">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Indica el citado IV Plan de Gobierno Abierto en este punto que la finalidad de la transposición de la Directiva es resolver el problema de la inexistencia de normas mínimas de protección para aquellas personas que, en el contexto de sus actividades laborales, tanto en el sector público como en el sector privado, tienen conocimiento de infracciones, violaciones o fraude de ley y quieren informar sobre ellas. </w:t>
      </w:r>
    </w:p>
    <w:p w14:paraId="6A134743" w14:textId="0B27885D" w:rsidR="006B510A" w:rsidRPr="00973028" w:rsidRDefault="006B510A" w:rsidP="003135D0">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A tales efectos, los objetivos fijados por el Ministerio de Justicia para la consecución del citado compromiso son, literalmente los siguientes:</w:t>
      </w:r>
    </w:p>
    <w:p w14:paraId="21DBDE5B" w14:textId="77777777" w:rsidR="003135D0" w:rsidRPr="00973028" w:rsidRDefault="006B510A" w:rsidP="003135D0">
      <w:pPr>
        <w:tabs>
          <w:tab w:val="left" w:pos="567"/>
        </w:tabs>
        <w:spacing w:after="120" w:line="276" w:lineRule="auto"/>
        <w:ind w:left="567"/>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“Establecer una regulación para proteger a todas las personas denunciantes que informen sobre corrupción o fraudes y violaciones de las leyes de los países de la Unión Europea, mediante el establecimiento de canales protegidos de denuncias y la </w:t>
      </w:r>
      <w:r w:rsidRPr="00973028">
        <w:rPr>
          <w:rFonts w:ascii="Arial" w:eastAsia="Times New Roman" w:hAnsi="Arial" w:cs="Arial"/>
          <w:color w:val="000000"/>
          <w:sz w:val="21"/>
          <w:szCs w:val="21"/>
          <w:lang w:eastAsia="es-ES"/>
        </w:rPr>
        <w:lastRenderedPageBreak/>
        <w:t>prohibición de represalias contra quienes denuncien irregularidades en empresas privadas y organismos públicos.</w:t>
      </w:r>
    </w:p>
    <w:p w14:paraId="4ADF57AD" w14:textId="77777777" w:rsidR="003135D0" w:rsidRPr="00973028" w:rsidRDefault="006B510A" w:rsidP="003135D0">
      <w:pPr>
        <w:tabs>
          <w:tab w:val="left" w:pos="567"/>
        </w:tabs>
        <w:spacing w:after="120" w:line="276" w:lineRule="auto"/>
        <w:ind w:left="567"/>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Poder explotar el potencial de protección del que denuncia para reforzar la aplicación y el cumplimiento de la legislación en todos los ámbitos. </w:t>
      </w:r>
    </w:p>
    <w:p w14:paraId="439DEA58" w14:textId="77777777" w:rsidR="003135D0" w:rsidRPr="00973028" w:rsidRDefault="006B510A" w:rsidP="003135D0">
      <w:pPr>
        <w:tabs>
          <w:tab w:val="left" w:pos="567"/>
        </w:tabs>
        <w:spacing w:after="120" w:line="276" w:lineRule="auto"/>
        <w:ind w:left="567"/>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Reforzar el ejercicio del derecho a la libertad de expresión e información.</w:t>
      </w:r>
    </w:p>
    <w:p w14:paraId="60A6ADA9" w14:textId="517654BE" w:rsidR="006B510A" w:rsidRPr="00973028" w:rsidRDefault="006B510A" w:rsidP="003135D0">
      <w:pPr>
        <w:tabs>
          <w:tab w:val="left" w:pos="567"/>
        </w:tabs>
        <w:spacing w:after="120" w:line="276" w:lineRule="auto"/>
        <w:ind w:left="567"/>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Tal y como prevé la Directiva, establecer un aparato institucional adecuado para garantizar la protección del denunciante a través de la autoridad que designe el Estado Miembro.”</w:t>
      </w:r>
    </w:p>
    <w:p w14:paraId="3DD6A456" w14:textId="0F581F48" w:rsidR="006B510A" w:rsidRPr="00973028" w:rsidRDefault="006B510A" w:rsidP="003135D0">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Se destaca a continuación como compromiso del Gobierno de la nación el siguiente:</w:t>
      </w:r>
    </w:p>
    <w:p w14:paraId="6E6B42EB" w14:textId="77777777" w:rsidR="006B510A" w:rsidRPr="00973028" w:rsidRDefault="006B510A" w:rsidP="003135D0">
      <w:pPr>
        <w:spacing w:after="240" w:line="276" w:lineRule="auto"/>
        <w:ind w:left="567"/>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“La iniciativa debe ser prioritaria, ya que será un instrumento especialmente útil en la lucha integral contra la corrupción, y la protección de las personas que denuncien el incumplimiento de infracciones y violaciones de la ley, tanto en el ámbito público como en el privado”.</w:t>
      </w:r>
    </w:p>
    <w:p w14:paraId="40A28A1A" w14:textId="77777777" w:rsidR="006B510A" w:rsidRPr="00973028" w:rsidRDefault="006B510A" w:rsidP="003135D0">
      <w:pPr>
        <w:pStyle w:val="Default"/>
        <w:spacing w:after="240" w:line="276" w:lineRule="auto"/>
        <w:jc w:val="both"/>
        <w:rPr>
          <w:rFonts w:eastAsia="Times New Roman"/>
          <w:sz w:val="21"/>
          <w:szCs w:val="21"/>
          <w:lang w:eastAsia="es-ES"/>
        </w:rPr>
      </w:pPr>
      <w:r w:rsidRPr="00973028">
        <w:rPr>
          <w:rFonts w:eastAsia="Times New Roman"/>
          <w:sz w:val="21"/>
          <w:szCs w:val="21"/>
          <w:lang w:eastAsia="es-ES"/>
        </w:rPr>
        <w:t>Durante la redacción de esta Memoria de actividades, en el mes de enero de 2021, con el objetivo de ofrecer participación a la ciudadanía y con carácter previo a la elaboración del texto normativo, el Ministerio de Justicia ha sustanciado el trámite de la “</w:t>
      </w:r>
      <w:r w:rsidRPr="00973028">
        <w:rPr>
          <w:rFonts w:eastAsia="Times New Roman"/>
          <w:b/>
          <w:bCs/>
          <w:sz w:val="21"/>
          <w:szCs w:val="21"/>
          <w:lang w:eastAsia="es-ES"/>
        </w:rPr>
        <w:t xml:space="preserve">Consulta pública sobre la transposición de la Directiva </w:t>
      </w:r>
      <w:r w:rsidRPr="00973028">
        <w:rPr>
          <w:b/>
          <w:bCs/>
          <w:sz w:val="21"/>
          <w:szCs w:val="21"/>
        </w:rPr>
        <w:t>(UE) 2019/1937</w:t>
      </w:r>
      <w:r w:rsidRPr="00973028">
        <w:rPr>
          <w:rFonts w:eastAsia="Times New Roman"/>
          <w:sz w:val="21"/>
          <w:szCs w:val="21"/>
          <w:lang w:eastAsia="es-ES"/>
        </w:rPr>
        <w:t xml:space="preserve"> del Parlamento Europeo y del Consejo, de 23 de octubre de 2019, relativa a la protección de las personas que informan sobre infracciones del Derecho de la Unión.”</w:t>
      </w:r>
    </w:p>
    <w:p w14:paraId="22385CFF" w14:textId="77777777" w:rsidR="006B510A" w:rsidRPr="00973028" w:rsidRDefault="006B510A" w:rsidP="003135D0">
      <w:pPr>
        <w:pStyle w:val="Default"/>
        <w:spacing w:after="240" w:line="276" w:lineRule="auto"/>
        <w:jc w:val="both"/>
        <w:rPr>
          <w:rFonts w:eastAsia="Times New Roman"/>
          <w:sz w:val="21"/>
          <w:szCs w:val="21"/>
          <w:lang w:eastAsia="es-ES"/>
        </w:rPr>
      </w:pPr>
      <w:r w:rsidRPr="00973028">
        <w:rPr>
          <w:rFonts w:eastAsia="Times New Roman"/>
          <w:sz w:val="21"/>
          <w:szCs w:val="21"/>
          <w:lang w:eastAsia="es-ES"/>
        </w:rPr>
        <w:t xml:space="preserve">Mediante la presentación el pasado 27 de enero de 2021 de un </w:t>
      </w:r>
      <w:hyperlink r:id="rId115" w:history="1">
        <w:r w:rsidRPr="00973028">
          <w:rPr>
            <w:rStyle w:val="Hipervnculo"/>
            <w:rFonts w:eastAsia="Times New Roman"/>
            <w:sz w:val="21"/>
            <w:szCs w:val="21"/>
            <w:lang w:eastAsia="es-ES"/>
          </w:rPr>
          <w:t>escrito de alegaciones a la citada consulta pública,</w:t>
        </w:r>
      </w:hyperlink>
      <w:r w:rsidRPr="00973028">
        <w:rPr>
          <w:rFonts w:eastAsia="Times New Roman"/>
          <w:color w:val="auto"/>
          <w:sz w:val="21"/>
          <w:szCs w:val="21"/>
          <w:lang w:eastAsia="es-ES"/>
        </w:rPr>
        <w:t xml:space="preserve"> que se encuentra disponible en nuestra página web, l</w:t>
      </w:r>
      <w:r w:rsidRPr="00973028">
        <w:rPr>
          <w:rFonts w:eastAsia="Times New Roman"/>
          <w:sz w:val="21"/>
          <w:szCs w:val="21"/>
          <w:lang w:eastAsia="es-ES"/>
        </w:rPr>
        <w:t>a AVAF ha participado en este trámite trasladando su experiencia y realizando aportaciones que estima pueden ser de interés para la elaboración del correspondiente Anteproyecto de Ley.</w:t>
      </w:r>
    </w:p>
    <w:p w14:paraId="2A66FD79" w14:textId="77777777" w:rsidR="006B510A" w:rsidRPr="00973028" w:rsidRDefault="006B510A" w:rsidP="003135D0">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El calendario para la transposición de la Directiva, tras la consulta pública previa, incluye los siguientes hitos a realizar durante el primer semestre de 2021: someter el resultado de la consulta a Consejo de Ministros, a fin de decidir los siguientes trámites y, en particular, sobre las consultas, dictámenes e informes que resulten convenientes; el trámite de audiencia e información pública; y la incorporación de informes de otros órganos, como la Oficina de Coordinación y Calidad Normativa del </w:t>
      </w:r>
      <w:r w:rsidRPr="00973028">
        <w:rPr>
          <w:rFonts w:ascii="Arial" w:hAnsi="Arial" w:cs="Arial"/>
          <w:color w:val="2A2A2A"/>
          <w:sz w:val="21"/>
          <w:szCs w:val="21"/>
          <w:shd w:val="clear" w:color="auto" w:fill="FFFFFF"/>
        </w:rPr>
        <w:t>Ministerio de la Presidencia, Relaciones con las Cortes y Memoria Democrática</w:t>
      </w:r>
      <w:r w:rsidRPr="00973028">
        <w:rPr>
          <w:rFonts w:ascii="Arial" w:eastAsia="Times New Roman" w:hAnsi="Arial" w:cs="Arial"/>
          <w:sz w:val="21"/>
          <w:szCs w:val="21"/>
          <w:lang w:eastAsia="es-ES"/>
        </w:rPr>
        <w:t>, la Federación Española de Municipios y Provincias, la Dirección General de Coordinación Autonómica y Local del Ministerio de Política Territorial y Función Pública, la Agencia Española de Protección de Datos y la Secretaría General Técnica del Ministerio de Justicia.</w:t>
      </w:r>
    </w:p>
    <w:p w14:paraId="25BE9300" w14:textId="77777777" w:rsidR="006B510A" w:rsidRPr="00973028" w:rsidRDefault="006B510A" w:rsidP="003135D0">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Se proyecta que junto con el Ministerio de Justicia participen los Ministerios de Hacienda, Asuntos Económicos y Transformación Digital, Industria, Comercio y Turismo, Transportes, Movilidad y Agenda Urbana, Transición ecológica, Trabajo y Economía Social, Política Territorial y Función Pública y Consejo de Seguridad Nuclear. Además de otros organismos como la Oficina de Coordinación y Calidad Normativa, el Consejo de Estado, la Comisión </w:t>
      </w:r>
      <w:r w:rsidRPr="00973028">
        <w:rPr>
          <w:rFonts w:ascii="Arial" w:eastAsia="Times New Roman" w:hAnsi="Arial" w:cs="Arial"/>
          <w:sz w:val="21"/>
          <w:szCs w:val="21"/>
          <w:lang w:eastAsia="es-ES"/>
        </w:rPr>
        <w:lastRenderedPageBreak/>
        <w:t>General de Secretarios de Estado y Subsecretarios y el Consejo de Ministros, para su remisión posterior, una vez aprobado el Proyecto de ley, al Congreso de los Diputados.</w:t>
      </w:r>
    </w:p>
    <w:p w14:paraId="09D24DE7" w14:textId="77777777" w:rsidR="006B510A" w:rsidRPr="00973028" w:rsidRDefault="006B510A" w:rsidP="003135D0">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Durante el segundo semestre de 2021, se establece la emisión del dictamen del Consejo de Estado sobre el texto propuesto y el posterior envío a la Comisión de Secretarios de Estado y Subsecretarios y al Consejo de Ministros para su aprobación como Proyecto de ley, en diciembre de este año según la previsión.</w:t>
      </w:r>
    </w:p>
    <w:p w14:paraId="6BF0E5E1" w14:textId="77777777" w:rsidR="006B510A" w:rsidRPr="00973028" w:rsidRDefault="006B510A" w:rsidP="003135D0">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Tras la aprobación del Proyecto de ley, el mismo se trasladará al Congreso de los Diputados para su tramitación parlamentaria, dando por hecho el mencionado calendario que esto se producirá ya en 2022.</w:t>
      </w:r>
    </w:p>
    <w:p w14:paraId="5DD5FF50" w14:textId="77777777" w:rsidR="006B510A" w:rsidRPr="00973028" w:rsidRDefault="006B510A" w:rsidP="003135D0">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En consecuencia, no se contempla la posibilidad de que la Directiva (UE) 2019/1937 esté transpuesta antes del plazo límite fijado, que finaliza el 17 de diciembre de 2021.</w:t>
      </w:r>
    </w:p>
    <w:p w14:paraId="10A299DB" w14:textId="42B4BBFD" w:rsidR="006B510A" w:rsidRPr="00973028" w:rsidRDefault="006B510A" w:rsidP="003135D0">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El retraso en la transposición de Directivas en España sigue siendo un problema persistente, y si bien teóricamente la Directiva entra en vigor una vez transpuesta, una consolidada</w:t>
      </w:r>
      <w:r w:rsidRPr="00973028">
        <w:rPr>
          <w:rFonts w:ascii="Arial" w:eastAsia="Times New Roman" w:hAnsi="Arial" w:cs="Arial"/>
          <w:b/>
          <w:bCs/>
          <w:sz w:val="21"/>
          <w:szCs w:val="21"/>
          <w:lang w:eastAsia="es-ES"/>
        </w:rPr>
        <w:t xml:space="preserve"> doctrina del Tribunal de Justicia Europeo </w:t>
      </w:r>
      <w:r w:rsidRPr="00973028">
        <w:rPr>
          <w:rFonts w:ascii="Arial" w:eastAsia="Times New Roman" w:hAnsi="Arial" w:cs="Arial"/>
          <w:sz w:val="21"/>
          <w:szCs w:val="21"/>
          <w:lang w:eastAsia="es-ES"/>
        </w:rPr>
        <w:t xml:space="preserve">considera que una Directiva, que no ha sido transpuesta, </w:t>
      </w:r>
      <w:r w:rsidRPr="00973028">
        <w:rPr>
          <w:rFonts w:ascii="Arial" w:eastAsia="Times New Roman" w:hAnsi="Arial" w:cs="Arial"/>
          <w:b/>
          <w:bCs/>
          <w:sz w:val="21"/>
          <w:szCs w:val="21"/>
          <w:lang w:eastAsia="es-ES"/>
        </w:rPr>
        <w:t xml:space="preserve">puede tener ciertos efectos directos </w:t>
      </w:r>
      <w:r w:rsidRPr="00973028">
        <w:rPr>
          <w:rFonts w:ascii="Arial" w:eastAsia="Times New Roman" w:hAnsi="Arial" w:cs="Arial"/>
          <w:sz w:val="21"/>
          <w:szCs w:val="21"/>
          <w:lang w:eastAsia="es-ES"/>
        </w:rPr>
        <w:t>cuando se producen las siguientes circunstancias, a saber:</w:t>
      </w:r>
    </w:p>
    <w:p w14:paraId="48F51B28" w14:textId="77777777" w:rsidR="006B510A" w:rsidRPr="00973028" w:rsidRDefault="006B510A" w:rsidP="00672ABA">
      <w:pPr>
        <w:pStyle w:val="Prrafodelista"/>
        <w:numPr>
          <w:ilvl w:val="0"/>
          <w:numId w:val="38"/>
        </w:numPr>
        <w:spacing w:after="120" w:line="276" w:lineRule="auto"/>
        <w:ind w:left="1281"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Cuando la transposición a la legislación nacional no se ha producido o se produce incorrectamente.</w:t>
      </w:r>
    </w:p>
    <w:p w14:paraId="7E1FBAFF" w14:textId="77777777" w:rsidR="006B510A" w:rsidRPr="00973028" w:rsidRDefault="006B510A" w:rsidP="00672ABA">
      <w:pPr>
        <w:pStyle w:val="Prrafodelista"/>
        <w:numPr>
          <w:ilvl w:val="0"/>
          <w:numId w:val="38"/>
        </w:numPr>
        <w:spacing w:after="120" w:line="276" w:lineRule="auto"/>
        <w:ind w:left="1281"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Si los términos de la Directiva son incondicionales y suficientemente claros y precisos.</w:t>
      </w:r>
    </w:p>
    <w:p w14:paraId="523178D1" w14:textId="772126AE" w:rsidR="006B510A" w:rsidRPr="00973028" w:rsidRDefault="006B510A" w:rsidP="00672ABA">
      <w:pPr>
        <w:pStyle w:val="Prrafodelista"/>
        <w:numPr>
          <w:ilvl w:val="0"/>
          <w:numId w:val="38"/>
        </w:numPr>
        <w:spacing w:after="240" w:line="276" w:lineRule="auto"/>
        <w:ind w:left="1281"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Si los términos de la Directiva atribuyen derechos a los particulares.</w:t>
      </w:r>
    </w:p>
    <w:p w14:paraId="207F96EF" w14:textId="4DD5E250" w:rsidR="006B510A" w:rsidRPr="00973028" w:rsidRDefault="006B510A" w:rsidP="003135D0">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Los juzgados y tribunales nacionales no podrán aplicar, durante este período, normas nacionales que resulten incompatibles con la Directiva, si los derechos son incondicionales y suficientemente precisos. En este sentido dispone el artículo 47 de la Carta de los Derechos Fundamentales de la Unión Europea:</w:t>
      </w:r>
    </w:p>
    <w:p w14:paraId="547F38FD" w14:textId="4D187E82" w:rsidR="006B510A" w:rsidRPr="00973028" w:rsidRDefault="006B510A" w:rsidP="003135D0">
      <w:pPr>
        <w:spacing w:after="240" w:line="276" w:lineRule="auto"/>
        <w:ind w:left="708"/>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 “Toda persona cuyos derechos y libertades garantizados por el Derecho de la Unión hayan sido violados, tiene derecho a la tutela judicial efectiva (...). Toda persona tiene derecho a que su causa sea oída equitativa y públicamente y dentro de un plazo razonable por un juez independiente e imparcial, establecido previamente por la Ley (…)”.</w:t>
      </w:r>
    </w:p>
    <w:p w14:paraId="0B73356A" w14:textId="163A8AE1" w:rsidR="006B510A" w:rsidRPr="008E4051" w:rsidRDefault="006B510A" w:rsidP="008E4051">
      <w:pPr>
        <w:spacing w:after="240" w:line="276" w:lineRule="auto"/>
        <w:jc w:val="both"/>
        <w:rPr>
          <w:rFonts w:ascii="Arial" w:eastAsia="Times New Roman" w:hAnsi="Arial" w:cs="Arial"/>
          <w:sz w:val="21"/>
          <w:szCs w:val="21"/>
          <w:lang w:eastAsia="es-ES"/>
        </w:rPr>
      </w:pPr>
      <w:r w:rsidRPr="00F70424">
        <w:rPr>
          <w:rFonts w:ascii="Arial" w:eastAsia="Times New Roman" w:hAnsi="Arial" w:cs="Arial"/>
          <w:sz w:val="21"/>
          <w:szCs w:val="21"/>
          <w:lang w:eastAsia="es-ES"/>
        </w:rPr>
        <w:t xml:space="preserve">Al margen de los trabajos emprendidos por el Gobierno de la nación para la transposición de la Directiva (UE) 2019/1937, </w:t>
      </w:r>
      <w:r w:rsidR="008E4051" w:rsidRPr="00F70424">
        <w:rPr>
          <w:rFonts w:ascii="Arial" w:eastAsia="Times New Roman" w:hAnsi="Arial" w:cs="Arial"/>
          <w:sz w:val="21"/>
          <w:szCs w:val="21"/>
          <w:lang w:eastAsia="es-ES"/>
        </w:rPr>
        <w:t>d</w:t>
      </w:r>
      <w:r w:rsidRPr="00F70424">
        <w:rPr>
          <w:rFonts w:ascii="Arial" w:hAnsi="Arial" w:cs="Arial"/>
          <w:color w:val="000000"/>
          <w:sz w:val="21"/>
          <w:szCs w:val="21"/>
        </w:rPr>
        <w:t>urante el año 2020 hemos asistido, una vez más, a la presentación de diferentes iniciativas legislativas de medidas de lucha contra la corrupción y protección de las personas denunciantes</w:t>
      </w:r>
      <w:r w:rsidRPr="00973028">
        <w:rPr>
          <w:rFonts w:ascii="Arial" w:hAnsi="Arial" w:cs="Arial"/>
          <w:color w:val="000000"/>
          <w:sz w:val="21"/>
          <w:szCs w:val="21"/>
        </w:rPr>
        <w:t xml:space="preserve"> tanto en el ámbito estatal como en el autonómico.</w:t>
      </w:r>
    </w:p>
    <w:p w14:paraId="49C3EDA8" w14:textId="479257E1" w:rsidR="006B510A" w:rsidRPr="00973028" w:rsidRDefault="006B510A" w:rsidP="003135D0">
      <w:pPr>
        <w:pStyle w:val="NormalWeb"/>
        <w:shd w:val="clear" w:color="auto" w:fill="FFFFFF"/>
        <w:spacing w:before="0" w:beforeAutospacing="0" w:after="240" w:line="276" w:lineRule="auto"/>
        <w:jc w:val="both"/>
        <w:rPr>
          <w:rFonts w:ascii="Arial" w:hAnsi="Arial" w:cs="Arial"/>
          <w:color w:val="000000"/>
          <w:sz w:val="21"/>
          <w:szCs w:val="21"/>
        </w:rPr>
      </w:pPr>
      <w:r w:rsidRPr="00973028">
        <w:rPr>
          <w:rFonts w:ascii="Arial" w:hAnsi="Arial" w:cs="Arial"/>
          <w:color w:val="000000"/>
          <w:sz w:val="21"/>
          <w:szCs w:val="21"/>
        </w:rPr>
        <w:t>En concreto,</w:t>
      </w:r>
      <w:r w:rsidRPr="00973028">
        <w:rPr>
          <w:rFonts w:ascii="Arial" w:hAnsi="Arial" w:cs="Arial"/>
          <w:b/>
          <w:bCs/>
          <w:color w:val="000000"/>
          <w:sz w:val="21"/>
          <w:szCs w:val="21"/>
        </w:rPr>
        <w:t xml:space="preserve"> a nivel estatal</w:t>
      </w:r>
      <w:r w:rsidRPr="00973028">
        <w:rPr>
          <w:rFonts w:ascii="Arial" w:hAnsi="Arial" w:cs="Arial"/>
          <w:color w:val="000000"/>
          <w:sz w:val="21"/>
          <w:szCs w:val="21"/>
        </w:rPr>
        <w:t>, el Congreso de los Diputados ha continuado la tramitación de las siguientes iniciativas:</w:t>
      </w:r>
    </w:p>
    <w:p w14:paraId="7C812E07" w14:textId="77777777" w:rsidR="006B510A" w:rsidRPr="00973028" w:rsidRDefault="006B510A" w:rsidP="00672ABA">
      <w:pPr>
        <w:pStyle w:val="NormalWeb"/>
        <w:numPr>
          <w:ilvl w:val="0"/>
          <w:numId w:val="37"/>
        </w:numPr>
        <w:shd w:val="clear" w:color="auto" w:fill="FFFFFF"/>
        <w:spacing w:before="0" w:beforeAutospacing="0" w:after="120" w:line="276" w:lineRule="auto"/>
        <w:jc w:val="both"/>
        <w:rPr>
          <w:rFonts w:ascii="Arial" w:hAnsi="Arial" w:cs="Arial"/>
          <w:sz w:val="21"/>
          <w:szCs w:val="21"/>
        </w:rPr>
      </w:pPr>
      <w:r w:rsidRPr="00973028">
        <w:rPr>
          <w:rFonts w:ascii="Arial" w:hAnsi="Arial" w:cs="Arial"/>
          <w:color w:val="000000"/>
          <w:sz w:val="21"/>
          <w:szCs w:val="21"/>
        </w:rPr>
        <w:lastRenderedPageBreak/>
        <w:t>17 de enero de 2020</w:t>
      </w:r>
      <w:r w:rsidRPr="00973028">
        <w:rPr>
          <w:rFonts w:ascii="Arial" w:hAnsi="Arial" w:cs="Arial"/>
          <w:b/>
          <w:bCs/>
          <w:color w:val="000000"/>
          <w:sz w:val="21"/>
          <w:szCs w:val="21"/>
        </w:rPr>
        <w:t xml:space="preserve"> </w:t>
      </w:r>
      <w:hyperlink r:id="rId116" w:tgtFrame="_top" w:history="1">
        <w:r w:rsidRPr="00973028">
          <w:rPr>
            <w:rStyle w:val="Hipervnculo"/>
            <w:rFonts w:ascii="Arial" w:hAnsi="Arial" w:cs="Arial"/>
            <w:b/>
            <w:bCs/>
            <w:sz w:val="21"/>
            <w:szCs w:val="21"/>
          </w:rPr>
          <w:t>Proposición de Ley de medidas de lucha contra la corrupción, a iniciativa del Grupo Parlamentario Ciudadanos.</w:t>
        </w:r>
      </w:hyperlink>
    </w:p>
    <w:p w14:paraId="02CFC73F" w14:textId="11266690" w:rsidR="006B510A" w:rsidRPr="00973028" w:rsidRDefault="006B510A" w:rsidP="003135D0">
      <w:pPr>
        <w:pStyle w:val="NormalWeb"/>
        <w:shd w:val="clear" w:color="auto" w:fill="FFFFFF"/>
        <w:spacing w:before="0" w:beforeAutospacing="0" w:after="120" w:line="276" w:lineRule="auto"/>
        <w:ind w:left="709"/>
        <w:jc w:val="both"/>
        <w:rPr>
          <w:rFonts w:ascii="Arial" w:hAnsi="Arial" w:cs="Arial"/>
          <w:color w:val="000000"/>
          <w:sz w:val="21"/>
          <w:szCs w:val="21"/>
        </w:rPr>
      </w:pPr>
      <w:r w:rsidRPr="00973028">
        <w:rPr>
          <w:rFonts w:ascii="Arial" w:hAnsi="Arial" w:cs="Arial"/>
          <w:color w:val="000000"/>
          <w:sz w:val="21"/>
          <w:szCs w:val="21"/>
        </w:rPr>
        <w:t xml:space="preserve">En la </w:t>
      </w:r>
      <w:r w:rsidRPr="00CF523A">
        <w:rPr>
          <w:rFonts w:ascii="Arial" w:hAnsi="Arial" w:cs="Arial"/>
          <w:color w:val="000000"/>
          <w:sz w:val="21"/>
          <w:szCs w:val="21"/>
        </w:rPr>
        <w:t xml:space="preserve">siguiente </w:t>
      </w:r>
      <w:hyperlink r:id="rId117" w:history="1">
        <w:r w:rsidRPr="00CF523A">
          <w:rPr>
            <w:rStyle w:val="Hipervnculo"/>
            <w:rFonts w:ascii="Arial" w:hAnsi="Arial" w:cs="Arial"/>
            <w:sz w:val="21"/>
            <w:szCs w:val="21"/>
          </w:rPr>
          <w:t>dirección web</w:t>
        </w:r>
      </w:hyperlink>
      <w:r w:rsidRPr="00CF523A">
        <w:rPr>
          <w:rFonts w:ascii="Arial" w:hAnsi="Arial" w:cs="Arial"/>
          <w:color w:val="000000"/>
          <w:sz w:val="21"/>
          <w:szCs w:val="21"/>
        </w:rPr>
        <w:t xml:space="preserve"> se</w:t>
      </w:r>
      <w:r w:rsidRPr="00973028">
        <w:rPr>
          <w:rFonts w:ascii="Arial" w:hAnsi="Arial" w:cs="Arial"/>
          <w:color w:val="000000"/>
          <w:sz w:val="21"/>
          <w:szCs w:val="21"/>
        </w:rPr>
        <w:t xml:space="preserve"> pueden consultar las intervenciones de cada uno de los grupos parlamentarios y la subsiguiente votación de esta iniciativa, que finalizó con el rechazo de la proposición formulada. </w:t>
      </w:r>
    </w:p>
    <w:p w14:paraId="5FF78E77" w14:textId="77777777" w:rsidR="006B510A" w:rsidRPr="00973028" w:rsidRDefault="006B510A" w:rsidP="00672ABA">
      <w:pPr>
        <w:pStyle w:val="NormalWeb"/>
        <w:numPr>
          <w:ilvl w:val="0"/>
          <w:numId w:val="37"/>
        </w:numPr>
        <w:shd w:val="clear" w:color="auto" w:fill="FFFFFF"/>
        <w:spacing w:before="0" w:beforeAutospacing="0" w:after="120" w:line="276" w:lineRule="auto"/>
        <w:jc w:val="both"/>
        <w:rPr>
          <w:rFonts w:ascii="Arial" w:hAnsi="Arial" w:cs="Arial"/>
          <w:sz w:val="21"/>
          <w:szCs w:val="21"/>
        </w:rPr>
      </w:pPr>
      <w:r w:rsidRPr="00973028">
        <w:rPr>
          <w:rFonts w:ascii="Arial" w:hAnsi="Arial" w:cs="Arial"/>
          <w:color w:val="000000"/>
          <w:sz w:val="21"/>
          <w:szCs w:val="21"/>
        </w:rPr>
        <w:t xml:space="preserve">21 de febrero de 2020 </w:t>
      </w:r>
      <w:hyperlink r:id="rId118" w:tgtFrame="_top" w:history="1">
        <w:r w:rsidRPr="00973028">
          <w:rPr>
            <w:rStyle w:val="Hipervnculo"/>
            <w:rFonts w:ascii="Arial" w:hAnsi="Arial" w:cs="Arial"/>
            <w:b/>
            <w:bCs/>
            <w:sz w:val="21"/>
            <w:szCs w:val="21"/>
          </w:rPr>
          <w:t>Proposición de Ley de protección integral de los denunciantes de corrupción, por el Grupo Parlamentario VOX</w:t>
        </w:r>
      </w:hyperlink>
    </w:p>
    <w:p w14:paraId="37214824" w14:textId="246AFD0A" w:rsidR="006B510A" w:rsidRPr="00973028" w:rsidRDefault="006B510A" w:rsidP="003135D0">
      <w:pPr>
        <w:pStyle w:val="NormalWeb"/>
        <w:shd w:val="clear" w:color="auto" w:fill="FFFFFF"/>
        <w:spacing w:before="0" w:beforeAutospacing="0" w:after="120" w:line="276" w:lineRule="auto"/>
        <w:ind w:left="720"/>
        <w:jc w:val="both"/>
        <w:rPr>
          <w:rFonts w:ascii="Arial" w:hAnsi="Arial" w:cs="Arial"/>
          <w:sz w:val="21"/>
          <w:szCs w:val="21"/>
        </w:rPr>
      </w:pPr>
      <w:r w:rsidRPr="00973028">
        <w:rPr>
          <w:rFonts w:ascii="Arial" w:hAnsi="Arial" w:cs="Arial"/>
          <w:color w:val="000000"/>
          <w:sz w:val="21"/>
          <w:szCs w:val="21"/>
        </w:rPr>
        <w:t xml:space="preserve">Según la información oficial publicada en </w:t>
      </w:r>
      <w:r w:rsidRPr="00CF523A">
        <w:rPr>
          <w:rFonts w:ascii="Arial" w:hAnsi="Arial" w:cs="Arial"/>
          <w:color w:val="000000"/>
          <w:sz w:val="21"/>
          <w:szCs w:val="21"/>
        </w:rPr>
        <w:t xml:space="preserve">la </w:t>
      </w:r>
      <w:hyperlink r:id="rId119" w:tgtFrame="_top" w:history="1">
        <w:r w:rsidRPr="00CF523A">
          <w:rPr>
            <w:rStyle w:val="Hipervnculo"/>
            <w:rFonts w:ascii="Arial" w:hAnsi="Arial" w:cs="Arial"/>
            <w:sz w:val="21"/>
            <w:szCs w:val="21"/>
          </w:rPr>
          <w:t>página web del Congreso de los Diputados</w:t>
        </w:r>
      </w:hyperlink>
      <w:r w:rsidRPr="00CF523A">
        <w:rPr>
          <w:rFonts w:ascii="Arial" w:hAnsi="Arial" w:cs="Arial"/>
          <w:color w:val="000000"/>
          <w:sz w:val="21"/>
          <w:szCs w:val="21"/>
        </w:rPr>
        <w:t>, desde el pasado 22 de abril de 2020,</w:t>
      </w:r>
      <w:r w:rsidRPr="00973028">
        <w:rPr>
          <w:rFonts w:ascii="Arial" w:hAnsi="Arial" w:cs="Arial"/>
          <w:color w:val="000000"/>
          <w:sz w:val="21"/>
          <w:szCs w:val="21"/>
        </w:rPr>
        <w:t xml:space="preserve"> la citada proposición se encuentra pendiente de toma de consideración en el Pleno.</w:t>
      </w:r>
    </w:p>
    <w:p w14:paraId="3AA70786" w14:textId="77777777" w:rsidR="006B510A" w:rsidRPr="00973028" w:rsidRDefault="006B510A" w:rsidP="00672ABA">
      <w:pPr>
        <w:pStyle w:val="NormalWeb"/>
        <w:numPr>
          <w:ilvl w:val="0"/>
          <w:numId w:val="37"/>
        </w:numPr>
        <w:shd w:val="clear" w:color="auto" w:fill="FFFFFF"/>
        <w:spacing w:before="0" w:beforeAutospacing="0" w:after="120" w:line="276" w:lineRule="auto"/>
        <w:jc w:val="both"/>
        <w:rPr>
          <w:rFonts w:ascii="Arial" w:hAnsi="Arial" w:cs="Arial"/>
          <w:sz w:val="21"/>
          <w:szCs w:val="21"/>
        </w:rPr>
      </w:pPr>
      <w:r w:rsidRPr="00973028">
        <w:rPr>
          <w:rFonts w:ascii="Arial" w:hAnsi="Arial" w:cs="Arial"/>
          <w:color w:val="000000"/>
          <w:sz w:val="21"/>
          <w:szCs w:val="21"/>
        </w:rPr>
        <w:t xml:space="preserve">15 de enero de 2021 </w:t>
      </w:r>
      <w:hyperlink r:id="rId120" w:anchor="page=1" w:tgtFrame="_top" w:history="1">
        <w:r w:rsidRPr="00973028">
          <w:rPr>
            <w:rStyle w:val="Hipervnculo"/>
            <w:rFonts w:ascii="Arial" w:hAnsi="Arial" w:cs="Arial"/>
            <w:b/>
            <w:bCs/>
            <w:sz w:val="21"/>
            <w:szCs w:val="21"/>
          </w:rPr>
          <w:t>Proposición de Ley Orgánica de medidas de lucha contra la corrupción y para la protección de los alertadores, por el Grupo Parlamentario Ciudadanos</w:t>
        </w:r>
      </w:hyperlink>
      <w:r w:rsidRPr="00973028">
        <w:rPr>
          <w:rFonts w:ascii="Arial" w:hAnsi="Arial" w:cs="Arial"/>
          <w:b/>
          <w:bCs/>
          <w:color w:val="000000"/>
          <w:sz w:val="21"/>
          <w:szCs w:val="21"/>
        </w:rPr>
        <w:t>.</w:t>
      </w:r>
    </w:p>
    <w:p w14:paraId="34D87D44" w14:textId="50DCE23E" w:rsidR="006B510A" w:rsidRPr="00CA0FAA" w:rsidRDefault="006B510A" w:rsidP="00CA0FAA">
      <w:pPr>
        <w:pStyle w:val="NormalWeb"/>
        <w:shd w:val="clear" w:color="auto" w:fill="FFFFFF"/>
        <w:spacing w:before="0" w:beforeAutospacing="0" w:after="120" w:line="276" w:lineRule="auto"/>
        <w:ind w:left="720"/>
        <w:jc w:val="both"/>
        <w:rPr>
          <w:rFonts w:ascii="Arial" w:hAnsi="Arial" w:cs="Arial"/>
          <w:color w:val="000000"/>
          <w:sz w:val="21"/>
          <w:szCs w:val="21"/>
        </w:rPr>
      </w:pPr>
      <w:r w:rsidRPr="00973028">
        <w:rPr>
          <w:rFonts w:ascii="Arial" w:hAnsi="Arial" w:cs="Arial"/>
          <w:color w:val="000000"/>
          <w:sz w:val="21"/>
          <w:szCs w:val="21"/>
        </w:rPr>
        <w:t xml:space="preserve">A fecha de redacción de esta memoria la proposición de Ley </w:t>
      </w:r>
      <w:r w:rsidRPr="00C615F5">
        <w:rPr>
          <w:rFonts w:ascii="Arial" w:hAnsi="Arial" w:cs="Arial"/>
          <w:sz w:val="21"/>
          <w:szCs w:val="21"/>
        </w:rPr>
        <w:t xml:space="preserve">Orgánica </w:t>
      </w:r>
      <w:hyperlink r:id="rId121" w:history="1">
        <w:r w:rsidRPr="00C615F5">
          <w:rPr>
            <w:rStyle w:val="Hipervnculo"/>
            <w:rFonts w:ascii="Arial" w:hAnsi="Arial" w:cs="Arial"/>
            <w:sz w:val="21"/>
            <w:szCs w:val="21"/>
          </w:rPr>
          <w:t>se encuentra pendiente de respuesta del Gobierno</w:t>
        </w:r>
      </w:hyperlink>
      <w:r w:rsidRPr="00CF523A">
        <w:rPr>
          <w:rFonts w:ascii="Arial" w:hAnsi="Arial" w:cs="Arial"/>
          <w:color w:val="000000"/>
          <w:sz w:val="21"/>
          <w:szCs w:val="21"/>
        </w:rPr>
        <w:t>, cuya contestación debe e</w:t>
      </w:r>
      <w:r w:rsidRPr="00973028">
        <w:rPr>
          <w:rFonts w:ascii="Arial" w:hAnsi="Arial" w:cs="Arial"/>
          <w:color w:val="000000"/>
          <w:sz w:val="21"/>
          <w:szCs w:val="21"/>
        </w:rPr>
        <w:t>mitirse antes del 6 de marzo del año en curso.</w:t>
      </w:r>
    </w:p>
    <w:p w14:paraId="06DE2D6A" w14:textId="77777777" w:rsidR="006B510A" w:rsidRPr="00973028" w:rsidRDefault="006B510A" w:rsidP="003135D0">
      <w:pPr>
        <w:pStyle w:val="NormalWeb"/>
        <w:shd w:val="clear" w:color="auto" w:fill="FFFFFF"/>
        <w:spacing w:before="0" w:beforeAutospacing="0" w:after="240" w:line="276" w:lineRule="auto"/>
        <w:jc w:val="both"/>
        <w:rPr>
          <w:rFonts w:ascii="Arial" w:hAnsi="Arial" w:cs="Arial"/>
          <w:color w:val="000000"/>
          <w:sz w:val="21"/>
          <w:szCs w:val="21"/>
        </w:rPr>
      </w:pPr>
      <w:r w:rsidRPr="00973028">
        <w:rPr>
          <w:rFonts w:ascii="Arial" w:hAnsi="Arial" w:cs="Arial"/>
          <w:color w:val="000000"/>
          <w:sz w:val="21"/>
          <w:szCs w:val="21"/>
        </w:rPr>
        <w:t xml:space="preserve">Por otra parte, </w:t>
      </w:r>
      <w:r w:rsidRPr="00973028">
        <w:rPr>
          <w:rFonts w:ascii="Arial" w:hAnsi="Arial" w:cs="Arial"/>
          <w:b/>
          <w:bCs/>
          <w:color w:val="000000"/>
          <w:sz w:val="21"/>
          <w:szCs w:val="21"/>
        </w:rPr>
        <w:t>a nivel autonómico</w:t>
      </w:r>
      <w:r w:rsidRPr="00973028">
        <w:rPr>
          <w:rFonts w:ascii="Arial" w:hAnsi="Arial" w:cs="Arial"/>
          <w:color w:val="000000"/>
          <w:sz w:val="21"/>
          <w:szCs w:val="21"/>
        </w:rPr>
        <w:t>, las iniciativas en trámite durante 2020 han sido las siguientes:</w:t>
      </w:r>
    </w:p>
    <w:p w14:paraId="32AA7C38" w14:textId="6329BA23" w:rsidR="006B510A" w:rsidRPr="00973028" w:rsidRDefault="001400EF" w:rsidP="00672ABA">
      <w:pPr>
        <w:pStyle w:val="NormalWeb"/>
        <w:numPr>
          <w:ilvl w:val="0"/>
          <w:numId w:val="37"/>
        </w:numPr>
        <w:spacing w:before="0" w:beforeAutospacing="0" w:after="120" w:line="276" w:lineRule="auto"/>
        <w:jc w:val="both"/>
        <w:rPr>
          <w:rFonts w:ascii="Arial" w:hAnsi="Arial" w:cs="Arial"/>
          <w:sz w:val="21"/>
          <w:szCs w:val="21"/>
        </w:rPr>
      </w:pPr>
      <w:hyperlink r:id="rId122" w:tgtFrame="_top" w:history="1">
        <w:r w:rsidR="006B510A" w:rsidRPr="00973028">
          <w:rPr>
            <w:rStyle w:val="Hipervnculo"/>
            <w:rFonts w:ascii="Arial" w:hAnsi="Arial" w:cs="Arial"/>
            <w:b/>
            <w:bCs/>
            <w:sz w:val="21"/>
            <w:szCs w:val="21"/>
          </w:rPr>
          <w:t>Anteproyecto de Ley por la que se regula la Agencia de Prevención y Lucha contra el Fraude y la Corrupción de la Comunidad de Castilla y León y se establece el estatuto de las personas denunciantes.</w:t>
        </w:r>
      </w:hyperlink>
      <w:r w:rsidR="003135D0" w:rsidRPr="00973028">
        <w:rPr>
          <w:rFonts w:ascii="Arial" w:hAnsi="Arial" w:cs="Arial"/>
          <w:color w:val="D8C1BD" w:themeColor="accent5"/>
          <w:sz w:val="21"/>
          <w:szCs w:val="21"/>
        </w:rPr>
        <w:t xml:space="preserve"> </w:t>
      </w:r>
      <w:r w:rsidR="006B510A" w:rsidRPr="00973028">
        <w:rPr>
          <w:rFonts w:ascii="Arial" w:hAnsi="Arial" w:cs="Arial"/>
          <w:color w:val="000000"/>
          <w:sz w:val="21"/>
          <w:szCs w:val="21"/>
        </w:rPr>
        <w:t xml:space="preserve">La Consejería de Transparencia, Ordenación del Territorio y Acción Exterior </w:t>
      </w:r>
      <w:hyperlink r:id="rId123" w:history="1">
        <w:r w:rsidR="006B510A" w:rsidRPr="00C615F5">
          <w:rPr>
            <w:rStyle w:val="Hipervnculo"/>
            <w:rFonts w:ascii="Arial" w:hAnsi="Arial" w:cs="Arial"/>
            <w:sz w:val="21"/>
            <w:szCs w:val="21"/>
          </w:rPr>
          <w:t>publicó en el espacio de Gobierno Abierto</w:t>
        </w:r>
      </w:hyperlink>
      <w:r w:rsidR="006B510A" w:rsidRPr="00973028">
        <w:rPr>
          <w:rFonts w:ascii="Arial" w:hAnsi="Arial" w:cs="Arial"/>
          <w:color w:val="000000"/>
          <w:sz w:val="21"/>
          <w:szCs w:val="21"/>
        </w:rPr>
        <w:t xml:space="preserve"> el texto del Anteproyecto de Ley por el que se regula la Agencia de Prevención y Lucha contra el Fraude y la Corrupción de la Comunidad de Castilla y León y se establece el estatuto de las personas denunciantes, que se sometió a los trámites de participación ciudadana, audiencia e información pública, finalizados el 24 de febrero de 2020.</w:t>
      </w:r>
    </w:p>
    <w:p w14:paraId="41D89573" w14:textId="6D92C092" w:rsidR="006B510A" w:rsidRPr="00C67269" w:rsidRDefault="001400EF" w:rsidP="00C67269">
      <w:pPr>
        <w:pStyle w:val="NormalWeb"/>
        <w:numPr>
          <w:ilvl w:val="0"/>
          <w:numId w:val="37"/>
        </w:numPr>
        <w:spacing w:before="0" w:beforeAutospacing="0" w:after="120" w:line="276" w:lineRule="auto"/>
        <w:jc w:val="both"/>
        <w:rPr>
          <w:rFonts w:ascii="Arial" w:hAnsi="Arial" w:cs="Arial"/>
          <w:b/>
          <w:bCs/>
          <w:sz w:val="21"/>
          <w:szCs w:val="21"/>
          <w:u w:val="single"/>
        </w:rPr>
      </w:pPr>
      <w:hyperlink r:id="rId124" w:history="1">
        <w:r w:rsidR="00C67269" w:rsidRPr="00C615F5">
          <w:rPr>
            <w:rStyle w:val="Hipervnculo"/>
            <w:rFonts w:ascii="Arial" w:hAnsi="Arial" w:cs="Arial"/>
            <w:b/>
            <w:bCs/>
            <w:sz w:val="21"/>
            <w:szCs w:val="21"/>
          </w:rPr>
          <w:t>Proposición de Ley de protección sobre los informantes de posibles infracciones del derecho en la Comunidad de Madrid.</w:t>
        </w:r>
      </w:hyperlink>
      <w:r w:rsidR="00C67269" w:rsidRPr="00C67269">
        <w:rPr>
          <w:rFonts w:ascii="Arial" w:hAnsi="Arial" w:cs="Arial"/>
          <w:sz w:val="21"/>
          <w:szCs w:val="21"/>
        </w:rPr>
        <w:t xml:space="preserve"> </w:t>
      </w:r>
      <w:r w:rsidR="006B510A" w:rsidRPr="00C67269">
        <w:rPr>
          <w:rFonts w:ascii="Arial" w:hAnsi="Arial" w:cs="Arial"/>
          <w:sz w:val="21"/>
          <w:szCs w:val="21"/>
        </w:rPr>
        <w:t xml:space="preserve">En fecha 23 de diciembre de 2020 se publicó en el </w:t>
      </w:r>
      <w:r w:rsidR="006B510A" w:rsidRPr="00C67269">
        <w:rPr>
          <w:rFonts w:ascii="Arial" w:hAnsi="Arial" w:cs="Arial"/>
          <w:i/>
          <w:iCs/>
          <w:sz w:val="21"/>
          <w:szCs w:val="21"/>
        </w:rPr>
        <w:t xml:space="preserve">Boletín </w:t>
      </w:r>
      <w:r w:rsidR="006B510A" w:rsidRPr="00C67269">
        <w:rPr>
          <w:rFonts w:ascii="Arial" w:hAnsi="Arial" w:cs="Arial"/>
          <w:i/>
          <w:iCs/>
          <w:sz w:val="21"/>
          <w:szCs w:val="21"/>
        </w:rPr>
        <w:lastRenderedPageBreak/>
        <w:t>Oficial de la Asamblea de Madrid</w:t>
      </w:r>
      <w:r w:rsidR="006B510A" w:rsidRPr="00C67269">
        <w:rPr>
          <w:rFonts w:ascii="Arial" w:hAnsi="Arial" w:cs="Arial"/>
          <w:sz w:val="21"/>
          <w:szCs w:val="21"/>
        </w:rPr>
        <w:t xml:space="preserve"> núm. 98 el Acuerdo del Pleno de la Asamblea de Madrid, de 17 de diciembre de 2020, por el que se toma en consideración la Proposición de Ley presentada por el Grupo Parlamentario de Ciudadanos, de protección sobre los informantes de posibles infracciones del derecho en la Comunidad de Madrid.</w:t>
      </w:r>
    </w:p>
    <w:p w14:paraId="2F5DE729" w14:textId="11671F07" w:rsidR="006B510A" w:rsidRPr="00973028" w:rsidRDefault="006B510A" w:rsidP="003135D0">
      <w:pPr>
        <w:pStyle w:val="NormalWeb"/>
        <w:spacing w:before="0" w:beforeAutospacing="0" w:after="120" w:line="276" w:lineRule="auto"/>
        <w:ind w:left="720"/>
        <w:jc w:val="both"/>
        <w:rPr>
          <w:rFonts w:ascii="Arial" w:hAnsi="Arial" w:cs="Arial"/>
          <w:sz w:val="21"/>
          <w:szCs w:val="21"/>
        </w:rPr>
      </w:pPr>
      <w:r w:rsidRPr="00973028">
        <w:rPr>
          <w:rFonts w:ascii="Arial" w:hAnsi="Arial" w:cs="Arial"/>
          <w:color w:val="000000"/>
          <w:sz w:val="21"/>
          <w:szCs w:val="21"/>
        </w:rPr>
        <w:t xml:space="preserve">En fecha 21 de enero de 2021 se publicó en el </w:t>
      </w:r>
      <w:r w:rsidRPr="00973028">
        <w:rPr>
          <w:rFonts w:ascii="Arial" w:hAnsi="Arial" w:cs="Arial"/>
          <w:i/>
          <w:iCs/>
          <w:color w:val="000000"/>
          <w:sz w:val="21"/>
          <w:szCs w:val="21"/>
        </w:rPr>
        <w:t>Boletín Oficial de la Asamblea de Madrid</w:t>
      </w:r>
      <w:r w:rsidRPr="00973028">
        <w:rPr>
          <w:rFonts w:ascii="Arial" w:hAnsi="Arial" w:cs="Arial"/>
          <w:color w:val="000000"/>
          <w:sz w:val="21"/>
          <w:szCs w:val="21"/>
        </w:rPr>
        <w:t xml:space="preserve"> núm. 101 el Acuerdo de la Mesa de la Diputación Permanente de la Asamblea, de fecha 18 de enero de 2021, por el que se abre el plazo de presentación de enmiendas y de consideraciones ciudadanas; y su envío a la Comisión de Justicia, Interior y Víctima.</w:t>
      </w:r>
    </w:p>
    <w:p w14:paraId="4079D175" w14:textId="77777777" w:rsidR="006B510A" w:rsidRPr="00973028" w:rsidRDefault="001400EF" w:rsidP="00672ABA">
      <w:pPr>
        <w:pStyle w:val="NormalWeb"/>
        <w:numPr>
          <w:ilvl w:val="0"/>
          <w:numId w:val="37"/>
        </w:numPr>
        <w:spacing w:before="0" w:beforeAutospacing="0" w:after="120" w:line="276" w:lineRule="auto"/>
        <w:jc w:val="both"/>
        <w:rPr>
          <w:rFonts w:ascii="Arial" w:hAnsi="Arial" w:cs="Arial"/>
          <w:sz w:val="21"/>
          <w:szCs w:val="21"/>
        </w:rPr>
      </w:pPr>
      <w:hyperlink r:id="rId125" w:tgtFrame="_top" w:history="1">
        <w:r w:rsidR="006B510A" w:rsidRPr="00973028">
          <w:rPr>
            <w:rStyle w:val="Hipervnculo"/>
            <w:rFonts w:ascii="Arial" w:hAnsi="Arial" w:cs="Arial"/>
            <w:b/>
            <w:bCs/>
            <w:sz w:val="21"/>
            <w:szCs w:val="21"/>
          </w:rPr>
          <w:t>Proyecto de Ley de lucha contra el fraude y la corrupción en Andalucía y protección de la persona denunciante</w:t>
        </w:r>
      </w:hyperlink>
      <w:r w:rsidR="006B510A" w:rsidRPr="00973028">
        <w:rPr>
          <w:rFonts w:ascii="Arial" w:hAnsi="Arial" w:cs="Arial"/>
          <w:b/>
          <w:bCs/>
          <w:color w:val="000080"/>
          <w:sz w:val="21"/>
          <w:szCs w:val="21"/>
          <w:u w:val="single"/>
        </w:rPr>
        <w:t xml:space="preserve">. </w:t>
      </w:r>
    </w:p>
    <w:p w14:paraId="1C654CDF" w14:textId="5C30C3DD" w:rsidR="006B510A" w:rsidRPr="00973028" w:rsidRDefault="006B510A" w:rsidP="003135D0">
      <w:pPr>
        <w:pStyle w:val="NormalWeb"/>
        <w:keepNext/>
        <w:spacing w:before="0" w:beforeAutospacing="0" w:after="120" w:line="276" w:lineRule="auto"/>
        <w:ind w:left="720"/>
        <w:jc w:val="both"/>
        <w:rPr>
          <w:rFonts w:ascii="Arial" w:hAnsi="Arial" w:cs="Arial"/>
          <w:sz w:val="21"/>
          <w:szCs w:val="21"/>
        </w:rPr>
      </w:pPr>
      <w:r w:rsidRPr="00973028">
        <w:rPr>
          <w:rFonts w:ascii="Arial" w:hAnsi="Arial" w:cs="Arial"/>
          <w:color w:val="000000"/>
          <w:sz w:val="21"/>
          <w:szCs w:val="21"/>
        </w:rPr>
        <w:t xml:space="preserve">En fecha 9 de febrero de 2021 el Consejo de Gobierno de la Junta de Andalucía ha acordado la </w:t>
      </w:r>
      <w:hyperlink r:id="rId126" w:history="1">
        <w:r w:rsidRPr="00C615F5">
          <w:rPr>
            <w:rStyle w:val="Hipervnculo"/>
            <w:rFonts w:ascii="Arial" w:hAnsi="Arial" w:cs="Arial"/>
            <w:sz w:val="21"/>
            <w:szCs w:val="21"/>
          </w:rPr>
          <w:t>remisión al Parlamento de Andalucía</w:t>
        </w:r>
      </w:hyperlink>
      <w:r w:rsidRPr="00973028">
        <w:rPr>
          <w:rFonts w:ascii="Arial" w:hAnsi="Arial" w:cs="Arial"/>
          <w:color w:val="000000"/>
          <w:sz w:val="21"/>
          <w:szCs w:val="21"/>
        </w:rPr>
        <w:t xml:space="preserve"> del Proyecto de </w:t>
      </w:r>
      <w:r w:rsidR="00C24960">
        <w:rPr>
          <w:rFonts w:ascii="Arial" w:hAnsi="Arial" w:cs="Arial"/>
          <w:color w:val="000000"/>
          <w:sz w:val="21"/>
          <w:szCs w:val="21"/>
        </w:rPr>
        <w:t>L</w:t>
      </w:r>
      <w:r w:rsidRPr="00973028">
        <w:rPr>
          <w:rFonts w:ascii="Arial" w:hAnsi="Arial" w:cs="Arial"/>
          <w:color w:val="000000"/>
          <w:sz w:val="21"/>
          <w:szCs w:val="21"/>
        </w:rPr>
        <w:t>ey contra el fraude y la corrupción y protección de la persona denunciante para su debate y aprobación.</w:t>
      </w:r>
    </w:p>
    <w:p w14:paraId="22D631A1" w14:textId="4874B4C6" w:rsidR="006B510A" w:rsidRPr="00973028" w:rsidRDefault="006B510A" w:rsidP="003135D0">
      <w:pPr>
        <w:pStyle w:val="NormalWeb"/>
        <w:spacing w:before="0" w:beforeAutospacing="0" w:after="120" w:line="276" w:lineRule="auto"/>
        <w:ind w:left="720"/>
        <w:jc w:val="both"/>
        <w:rPr>
          <w:rFonts w:ascii="Arial" w:hAnsi="Arial" w:cs="Arial"/>
          <w:sz w:val="21"/>
          <w:szCs w:val="21"/>
        </w:rPr>
      </w:pPr>
    </w:p>
    <w:p w14:paraId="7E0C698F" w14:textId="6C2DF3F5" w:rsidR="006B510A" w:rsidRPr="007F6F69" w:rsidRDefault="006B510A" w:rsidP="00E973F1">
      <w:pPr>
        <w:pStyle w:val="Prrafodelista"/>
        <w:keepNext/>
        <w:numPr>
          <w:ilvl w:val="2"/>
          <w:numId w:val="25"/>
        </w:numPr>
        <w:spacing w:before="360" w:after="240" w:line="276" w:lineRule="auto"/>
        <w:ind w:left="1134" w:hanging="1225"/>
        <w:contextualSpacing w:val="0"/>
        <w:jc w:val="both"/>
        <w:outlineLvl w:val="2"/>
        <w:rPr>
          <w:rFonts w:ascii="Arial" w:eastAsia="Times New Roman" w:hAnsi="Arial" w:cs="Arial"/>
          <w:b/>
          <w:color w:val="9D2235" w:themeColor="accent1"/>
          <w:sz w:val="28"/>
          <w:szCs w:val="28"/>
        </w:rPr>
      </w:pPr>
      <w:bookmarkStart w:id="149" w:name="_Hlk63420068"/>
      <w:bookmarkStart w:id="150" w:name="_Toc67646286"/>
      <w:r w:rsidRPr="00E973F1">
        <w:rPr>
          <w:rFonts w:ascii="Arial" w:eastAsia="Times New Roman" w:hAnsi="Arial" w:cs="Arial"/>
          <w:b/>
          <w:color w:val="9D2235" w:themeColor="accent1"/>
          <w:sz w:val="28"/>
          <w:szCs w:val="28"/>
        </w:rPr>
        <w:t>Algunas aportaciones para una adecuada transposición de la Directiva (UE) 2019/</w:t>
      </w:r>
      <w:r w:rsidRPr="007F6F69">
        <w:rPr>
          <w:rFonts w:ascii="Arial" w:eastAsia="Times New Roman" w:hAnsi="Arial" w:cs="Arial"/>
          <w:b/>
          <w:color w:val="9D2235" w:themeColor="accent1"/>
          <w:sz w:val="28"/>
          <w:szCs w:val="28"/>
        </w:rPr>
        <w:t>1937</w:t>
      </w:r>
      <w:bookmarkEnd w:id="149"/>
      <w:bookmarkEnd w:id="150"/>
    </w:p>
    <w:p w14:paraId="08B68D2A" w14:textId="364B2D7B" w:rsidR="006B510A" w:rsidRPr="00973028" w:rsidRDefault="006B510A" w:rsidP="003135D0">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La AVAF, como única autoridad en estos momentos en España que ofrece protección a las personas que denuncian fraude, corrupción o irregularidades que pueden dar lugar a responsabilidades legales, trabaja para que su experiencia sea exportada a otros territorios, especialmente a nivel nacional a fin de que se efectúe una adecuada y completa transposición al ordenamiento jurídico español de la Directiva (UE) 2019/1937, relativa a la protección de personas que denuncian infracciones del Derecho de la Unión.</w:t>
      </w:r>
    </w:p>
    <w:p w14:paraId="5E524B70" w14:textId="77777777" w:rsidR="006B510A" w:rsidRPr="00973028" w:rsidRDefault="006B510A" w:rsidP="003135D0">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sz w:val="21"/>
          <w:szCs w:val="21"/>
          <w:lang w:eastAsia="es-ES"/>
        </w:rPr>
        <w:t xml:space="preserve">El </w:t>
      </w:r>
      <w:hyperlink r:id="rId127" w:history="1">
        <w:r w:rsidRPr="00973028">
          <w:rPr>
            <w:rStyle w:val="Hipervnculo"/>
            <w:rFonts w:ascii="Arial" w:eastAsia="Times New Roman" w:hAnsi="Arial" w:cs="Arial"/>
            <w:sz w:val="21"/>
            <w:szCs w:val="21"/>
            <w:lang w:eastAsia="es-ES"/>
          </w:rPr>
          <w:t>informe de la Comisión Europea de 30 de septiembre de 2020 sobre el Estado de Derecho de los 27 en 2020</w:t>
        </w:r>
      </w:hyperlink>
      <w:r w:rsidRPr="00973028">
        <w:rPr>
          <w:rFonts w:ascii="Arial" w:eastAsia="Times New Roman" w:hAnsi="Arial" w:cs="Arial"/>
          <w:sz w:val="21"/>
          <w:szCs w:val="21"/>
          <w:lang w:eastAsia="es-ES"/>
        </w:rPr>
        <w:t xml:space="preserve">, comunicado al Parlamento Europeo, al Consejo, al Comité Económico y Social Europeo y al Comité de las Regiones, en el capítulo concerniente a España, evidencia como problemas, entre otros, la falta de un marco de protección de los denunciantes de corrupción y que España no tenga una estrategia global contra esta lacra. Añade que, </w:t>
      </w:r>
      <w:r w:rsidRPr="00973028">
        <w:rPr>
          <w:rFonts w:ascii="Arial" w:eastAsia="Times New Roman" w:hAnsi="Arial" w:cs="Arial"/>
          <w:color w:val="000000"/>
          <w:sz w:val="21"/>
          <w:szCs w:val="21"/>
          <w:lang w:eastAsia="es-ES"/>
        </w:rPr>
        <w:t>según el último Eurobarómetro, el 94% de los españoles considera que la corrupción está extendida, frente al 71% de la media europea; y el 58% señaló verse afectado personalmente por la corrupción en su vida cotidiana, frente al 26% de media en la Unión Europea.</w:t>
      </w:r>
    </w:p>
    <w:p w14:paraId="0CAD979A" w14:textId="17B1211C" w:rsidR="006B510A" w:rsidRPr="00973028" w:rsidRDefault="006B510A" w:rsidP="003135D0">
      <w:pPr>
        <w:spacing w:after="240" w:line="276" w:lineRule="auto"/>
        <w:jc w:val="both"/>
        <w:rPr>
          <w:rFonts w:ascii="Arial" w:eastAsia="Times New Roman" w:hAnsi="Arial" w:cs="Arial"/>
          <w:sz w:val="21"/>
          <w:szCs w:val="21"/>
          <w:lang w:eastAsia="es-ES"/>
        </w:rPr>
      </w:pPr>
      <w:bookmarkStart w:id="151" w:name="_Hlk67468350"/>
      <w:r w:rsidRPr="00973028">
        <w:rPr>
          <w:rFonts w:ascii="Arial" w:eastAsia="Times New Roman" w:hAnsi="Arial" w:cs="Arial"/>
          <w:sz w:val="21"/>
          <w:szCs w:val="21"/>
          <w:lang w:eastAsia="es-ES"/>
        </w:rPr>
        <w:t xml:space="preserve">No cabe duda de que la transposición de la Directiva (UE) 2019/1937 debe aprovecharse como una oportunidad única de introducir en nuestro Derecho positivo medidas de lucha contra la corrupción y de protección de las personas que la denuncian, así como de delimitar nuevos marcos de integridad y ética pública. Una correcta transposición de la Directiva supone cambios trascendentales, pero también ofrece riesgos y peligros. Serán precisas </w:t>
      </w:r>
      <w:r w:rsidRPr="00973028">
        <w:rPr>
          <w:rFonts w:ascii="Arial" w:eastAsia="Times New Roman" w:hAnsi="Arial" w:cs="Arial"/>
          <w:sz w:val="21"/>
          <w:szCs w:val="21"/>
          <w:lang w:eastAsia="es-ES"/>
        </w:rPr>
        <w:lastRenderedPageBreak/>
        <w:t xml:space="preserve">importantes reformas en nuestro ordenamiento </w:t>
      </w:r>
      <w:r w:rsidRPr="00C66AF3">
        <w:rPr>
          <w:rFonts w:ascii="Arial" w:eastAsia="Times New Roman" w:hAnsi="Arial" w:cs="Arial"/>
          <w:sz w:val="21"/>
          <w:szCs w:val="21"/>
          <w:lang w:eastAsia="es-ES"/>
        </w:rPr>
        <w:t>jurídico estatal, como se describe en el apartado 7.5 de esta Memoria dentro del capítulo “Recomendaciones</w:t>
      </w:r>
      <w:r w:rsidRPr="00973028">
        <w:rPr>
          <w:rFonts w:ascii="Arial" w:eastAsia="Times New Roman" w:hAnsi="Arial" w:cs="Arial"/>
          <w:sz w:val="21"/>
          <w:szCs w:val="21"/>
          <w:lang w:eastAsia="es-ES"/>
        </w:rPr>
        <w:t xml:space="preserve">”, que deben pasar por la aprobación de una Ley específica e integral de lucha contra la corrupción, así como por la revisión de un grupo importante de normas reguladoras del sector privado y otras del sector público, entre las que debe tener cabida también la modificación de leyes procesales y del propio Código Penal, y leyes reguladoras de la función pública y laborales. </w:t>
      </w:r>
    </w:p>
    <w:p w14:paraId="0F3E5A73" w14:textId="014FDD7B" w:rsidR="006B510A" w:rsidRPr="00973028" w:rsidRDefault="006B510A" w:rsidP="003135D0">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En opinión de esta Agencia, entre las </w:t>
      </w:r>
      <w:r w:rsidRPr="00973028">
        <w:rPr>
          <w:rFonts w:ascii="Arial" w:eastAsia="Times New Roman" w:hAnsi="Arial" w:cs="Arial"/>
          <w:b/>
          <w:bCs/>
          <w:sz w:val="21"/>
          <w:szCs w:val="21"/>
          <w:lang w:eastAsia="es-ES"/>
        </w:rPr>
        <w:t xml:space="preserve">líneas básicas para efectuar una adecuada transposición de la Directiva </w:t>
      </w:r>
      <w:r w:rsidRPr="00973028">
        <w:rPr>
          <w:rFonts w:ascii="Arial" w:eastAsia="Times New Roman" w:hAnsi="Arial" w:cs="Arial"/>
          <w:sz w:val="21"/>
          <w:szCs w:val="21"/>
          <w:lang w:eastAsia="es-ES"/>
        </w:rPr>
        <w:t>(UE) 2019/1937 en España, desde la AVAF se proponen las siguientes:</w:t>
      </w:r>
    </w:p>
    <w:p w14:paraId="6620A24D" w14:textId="4D84A71D" w:rsidR="006B510A" w:rsidRPr="00973028" w:rsidRDefault="006B510A" w:rsidP="00672ABA">
      <w:pPr>
        <w:pStyle w:val="Prrafodelista"/>
        <w:numPr>
          <w:ilvl w:val="0"/>
          <w:numId w:val="30"/>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La </w:t>
      </w:r>
      <w:r w:rsidRPr="00973028">
        <w:rPr>
          <w:rFonts w:ascii="Arial" w:eastAsia="Times New Roman" w:hAnsi="Arial" w:cs="Arial"/>
          <w:b/>
          <w:bCs/>
          <w:sz w:val="21"/>
          <w:szCs w:val="21"/>
          <w:lang w:eastAsia="es-ES"/>
        </w:rPr>
        <w:t>nueva regulación ha de ser integral</w:t>
      </w:r>
      <w:r w:rsidRPr="00973028">
        <w:rPr>
          <w:rFonts w:ascii="Arial" w:eastAsia="Times New Roman" w:hAnsi="Arial" w:cs="Arial"/>
          <w:sz w:val="21"/>
          <w:szCs w:val="21"/>
          <w:lang w:eastAsia="es-ES"/>
        </w:rPr>
        <w:t xml:space="preserve">, pues la Directiva presenta como objetivo combatir las actividades ilegales y los abusos que se producen tanto en el sector público como en el sector privado, y luchar contra el fraude, la corrupción y las infracciones en todas las materias a que se refiere el artículo 2 de aquella, así como </w:t>
      </w:r>
      <w:r w:rsidR="00563D14">
        <w:rPr>
          <w:rFonts w:ascii="Arial" w:eastAsia="Times New Roman" w:hAnsi="Arial" w:cs="Arial"/>
          <w:sz w:val="21"/>
          <w:szCs w:val="21"/>
          <w:lang w:eastAsia="es-ES"/>
        </w:rPr>
        <w:t>c</w:t>
      </w:r>
      <w:r w:rsidRPr="00973028">
        <w:rPr>
          <w:rFonts w:ascii="Arial" w:eastAsia="Times New Roman" w:hAnsi="Arial" w:cs="Arial"/>
          <w:sz w:val="21"/>
          <w:szCs w:val="21"/>
          <w:lang w:eastAsia="es-ES"/>
        </w:rPr>
        <w:t>ualquier otra que pueda perjudicar a los intereses generales.</w:t>
      </w:r>
    </w:p>
    <w:p w14:paraId="4B4DE824" w14:textId="7550EA3A" w:rsidR="003135D0" w:rsidRPr="00973028" w:rsidRDefault="006B510A" w:rsidP="00672ABA">
      <w:pPr>
        <w:pStyle w:val="Prrafodelista"/>
        <w:numPr>
          <w:ilvl w:val="0"/>
          <w:numId w:val="30"/>
        </w:numPr>
        <w:spacing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Al igual que ya ha hecho Italia o Francia, debe crearse una </w:t>
      </w:r>
      <w:r w:rsidRPr="00973028">
        <w:rPr>
          <w:rFonts w:ascii="Arial" w:eastAsia="Times New Roman" w:hAnsi="Arial" w:cs="Arial"/>
          <w:b/>
          <w:bCs/>
          <w:sz w:val="21"/>
          <w:szCs w:val="21"/>
          <w:lang w:eastAsia="es-ES"/>
        </w:rPr>
        <w:t>Autoridad Nacional de Lucha contra la Corrupción</w:t>
      </w:r>
      <w:r w:rsidRPr="00973028">
        <w:rPr>
          <w:rFonts w:ascii="Arial" w:eastAsia="Times New Roman" w:hAnsi="Arial" w:cs="Arial"/>
          <w:sz w:val="21"/>
          <w:szCs w:val="21"/>
          <w:lang w:eastAsia="es-ES"/>
        </w:rPr>
        <w:t xml:space="preserve">, con personalidad jurídica propia y plena capacidad de obrar para el cumplimiento de sus fines, </w:t>
      </w:r>
      <w:r w:rsidRPr="00973028">
        <w:rPr>
          <w:rFonts w:ascii="Arial" w:eastAsia="Times New Roman" w:hAnsi="Arial" w:cs="Arial"/>
          <w:b/>
          <w:bCs/>
          <w:sz w:val="21"/>
          <w:szCs w:val="21"/>
          <w:lang w:eastAsia="es-ES"/>
        </w:rPr>
        <w:t>independiente de las administraciones públicas y de su sector público, y adscrita al Congreso de los Diputados</w:t>
      </w:r>
      <w:r w:rsidRPr="00973028">
        <w:rPr>
          <w:rFonts w:ascii="Arial" w:eastAsia="Times New Roman" w:hAnsi="Arial" w:cs="Arial"/>
          <w:sz w:val="21"/>
          <w:szCs w:val="21"/>
          <w:lang w:eastAsia="es-ES"/>
        </w:rPr>
        <w:t>, debiendo rendir cuentas tanto al órgano de poder legislativo como a la ciudadanía.</w:t>
      </w:r>
    </w:p>
    <w:p w14:paraId="70C2A2F1" w14:textId="0AAD1765" w:rsidR="006B510A" w:rsidRPr="00973028" w:rsidRDefault="006B510A" w:rsidP="00672ABA">
      <w:pPr>
        <w:pStyle w:val="Prrafodelista"/>
        <w:numPr>
          <w:ilvl w:val="0"/>
          <w:numId w:val="30"/>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Esta autoridad independiente debe tener </w:t>
      </w:r>
      <w:r w:rsidRPr="00973028">
        <w:rPr>
          <w:rFonts w:ascii="Arial" w:eastAsia="Times New Roman" w:hAnsi="Arial" w:cs="Arial"/>
          <w:b/>
          <w:bCs/>
          <w:sz w:val="21"/>
          <w:szCs w:val="21"/>
          <w:lang w:eastAsia="es-ES"/>
        </w:rPr>
        <w:t>conocimiento, experiencia y solvencia</w:t>
      </w:r>
      <w:r w:rsidRPr="00973028">
        <w:rPr>
          <w:rFonts w:ascii="Arial" w:eastAsia="Times New Roman" w:hAnsi="Arial" w:cs="Arial"/>
          <w:sz w:val="21"/>
          <w:szCs w:val="21"/>
          <w:lang w:eastAsia="es-ES"/>
        </w:rPr>
        <w:t xml:space="preserve">, y ser </w:t>
      </w:r>
      <w:r w:rsidRPr="00973028">
        <w:rPr>
          <w:rFonts w:ascii="Arial" w:eastAsia="Times New Roman" w:hAnsi="Arial" w:cs="Arial"/>
          <w:b/>
          <w:bCs/>
          <w:sz w:val="21"/>
          <w:szCs w:val="21"/>
          <w:lang w:eastAsia="es-ES"/>
        </w:rPr>
        <w:t>neutral</w:t>
      </w:r>
      <w:r w:rsidRPr="00973028">
        <w:rPr>
          <w:rFonts w:ascii="Arial" w:eastAsia="Times New Roman" w:hAnsi="Arial" w:cs="Arial"/>
          <w:sz w:val="21"/>
          <w:szCs w:val="21"/>
          <w:lang w:eastAsia="es-ES"/>
        </w:rPr>
        <w:t xml:space="preserve"> desde el punto de vista político.</w:t>
      </w:r>
    </w:p>
    <w:p w14:paraId="5F02558D" w14:textId="13A57BF9" w:rsidR="006B510A" w:rsidRPr="00B370C9" w:rsidRDefault="006B510A" w:rsidP="00672ABA">
      <w:pPr>
        <w:pStyle w:val="Prrafodelista"/>
        <w:numPr>
          <w:ilvl w:val="0"/>
          <w:numId w:val="30"/>
        </w:numPr>
        <w:spacing w:after="120" w:line="276" w:lineRule="auto"/>
        <w:contextualSpacing w:val="0"/>
        <w:jc w:val="both"/>
        <w:rPr>
          <w:rFonts w:ascii="Arial" w:eastAsia="Times New Roman" w:hAnsi="Arial" w:cs="Arial"/>
          <w:sz w:val="21"/>
          <w:szCs w:val="21"/>
          <w:lang w:eastAsia="es-ES"/>
        </w:rPr>
      </w:pPr>
      <w:r w:rsidRPr="00B370C9">
        <w:rPr>
          <w:rFonts w:ascii="Arial" w:eastAsia="Times New Roman" w:hAnsi="Arial" w:cs="Arial"/>
          <w:sz w:val="21"/>
          <w:szCs w:val="21"/>
          <w:lang w:eastAsia="es-ES"/>
        </w:rPr>
        <w:t xml:space="preserve">Es necesario </w:t>
      </w:r>
      <w:r w:rsidRPr="00B370C9">
        <w:rPr>
          <w:rFonts w:ascii="Arial" w:eastAsia="Times New Roman" w:hAnsi="Arial" w:cs="Arial"/>
          <w:b/>
          <w:bCs/>
          <w:sz w:val="21"/>
          <w:szCs w:val="21"/>
          <w:lang w:eastAsia="es-ES"/>
        </w:rPr>
        <w:t>delimitar el ámbito de actuación</w:t>
      </w:r>
      <w:r w:rsidRPr="00B370C9">
        <w:rPr>
          <w:rFonts w:ascii="Arial" w:eastAsia="Times New Roman" w:hAnsi="Arial" w:cs="Arial"/>
          <w:sz w:val="21"/>
          <w:szCs w:val="21"/>
          <w:lang w:eastAsia="es-ES"/>
        </w:rPr>
        <w:t xml:space="preserve"> de dicha Autoridad: el ámbito material, precisando conceptos como fraude, corrupción u otro tipo de irregularidades de los que debe conocer; el ámbito subjetivo, o relación de aquellos sujetos sobre los que la Autoridad debe desplegar sus funciones; y el ámbito territorial, con respeto a la organización territorial del Estado y a las competencias de las Comunidades Autónomas.</w:t>
      </w:r>
      <w:r w:rsidR="00E43E48" w:rsidRPr="00B370C9">
        <w:rPr>
          <w:rFonts w:ascii="Arial" w:eastAsia="Times New Roman" w:hAnsi="Arial" w:cs="Arial"/>
          <w:sz w:val="21"/>
          <w:szCs w:val="21"/>
          <w:lang w:eastAsia="es-ES"/>
        </w:rPr>
        <w:t xml:space="preserve"> </w:t>
      </w:r>
    </w:p>
    <w:p w14:paraId="3FFF8F4F" w14:textId="31EDD736" w:rsidR="006B510A" w:rsidRPr="00973028" w:rsidRDefault="006B510A" w:rsidP="00672ABA">
      <w:pPr>
        <w:pStyle w:val="Prrafodelista"/>
        <w:numPr>
          <w:ilvl w:val="0"/>
          <w:numId w:val="30"/>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Han de </w:t>
      </w:r>
      <w:r w:rsidRPr="00973028">
        <w:rPr>
          <w:rFonts w:ascii="Arial" w:eastAsia="Times New Roman" w:hAnsi="Arial" w:cs="Arial"/>
          <w:b/>
          <w:bCs/>
          <w:sz w:val="21"/>
          <w:szCs w:val="21"/>
          <w:lang w:eastAsia="es-ES"/>
        </w:rPr>
        <w:t>especificarse sus funciones</w:t>
      </w:r>
      <w:r w:rsidRPr="00973028">
        <w:rPr>
          <w:rFonts w:ascii="Arial" w:eastAsia="Times New Roman" w:hAnsi="Arial" w:cs="Arial"/>
          <w:sz w:val="21"/>
          <w:szCs w:val="21"/>
          <w:lang w:eastAsia="es-ES"/>
        </w:rPr>
        <w:t>: protección a las personas que denuncian, informan o alertan, potestad sancionadora, investigación de denuncias y actuaciones de oficio, prevención, formación y sensibilización, realización de informes y recomendaciones, elaboración de planes nacionales y de una memoria anual, entre otras.</w:t>
      </w:r>
    </w:p>
    <w:p w14:paraId="3BCCA749" w14:textId="57216339" w:rsidR="006B510A" w:rsidRPr="00973028" w:rsidRDefault="006B510A" w:rsidP="00672ABA">
      <w:pPr>
        <w:pStyle w:val="Prrafodelista"/>
        <w:numPr>
          <w:ilvl w:val="0"/>
          <w:numId w:val="30"/>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En virtud de dichas funciones, deberá valorarse la </w:t>
      </w:r>
      <w:r w:rsidRPr="00973028">
        <w:rPr>
          <w:rFonts w:ascii="Arial" w:eastAsia="Times New Roman" w:hAnsi="Arial" w:cs="Arial"/>
          <w:b/>
          <w:bCs/>
          <w:sz w:val="21"/>
          <w:szCs w:val="21"/>
          <w:lang w:eastAsia="es-ES"/>
        </w:rPr>
        <w:t xml:space="preserve">integración </w:t>
      </w:r>
      <w:r w:rsidRPr="00973028">
        <w:rPr>
          <w:rFonts w:ascii="Arial" w:eastAsia="Times New Roman" w:hAnsi="Arial" w:cs="Arial"/>
          <w:sz w:val="21"/>
          <w:szCs w:val="21"/>
          <w:lang w:eastAsia="es-ES"/>
        </w:rPr>
        <w:t xml:space="preserve">en la Autoridad Nacional de Lucha contra la Corrupción de </w:t>
      </w:r>
      <w:r w:rsidRPr="00973028">
        <w:rPr>
          <w:rFonts w:ascii="Arial" w:eastAsia="Times New Roman" w:hAnsi="Arial" w:cs="Arial"/>
          <w:b/>
          <w:bCs/>
          <w:sz w:val="21"/>
          <w:szCs w:val="21"/>
          <w:lang w:eastAsia="es-ES"/>
        </w:rPr>
        <w:t>algunas estructuras estatales ya existentes</w:t>
      </w:r>
      <w:r w:rsidRPr="00973028">
        <w:rPr>
          <w:rFonts w:ascii="Arial" w:eastAsia="Times New Roman" w:hAnsi="Arial" w:cs="Arial"/>
          <w:sz w:val="21"/>
          <w:szCs w:val="21"/>
          <w:lang w:eastAsia="es-ES"/>
        </w:rPr>
        <w:t xml:space="preserve"> cuyas funciones pueden resituarse bajo el mismo paraguas: la regulación, supervisión y evaluación de la contratación pública, la coordinación de las acciones encaminadas a proteger los intereses financieros de la Unión Europea o el control de los conflictos de intereses de altos cargos.</w:t>
      </w:r>
    </w:p>
    <w:p w14:paraId="1F44D5A1" w14:textId="22076B59" w:rsidR="006B510A" w:rsidRPr="00973028" w:rsidRDefault="006B510A" w:rsidP="00672ABA">
      <w:pPr>
        <w:pStyle w:val="Prrafodelista"/>
        <w:numPr>
          <w:ilvl w:val="0"/>
          <w:numId w:val="30"/>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Se implantarán </w:t>
      </w:r>
      <w:r w:rsidRPr="00973028">
        <w:rPr>
          <w:rFonts w:ascii="Arial" w:eastAsia="Times New Roman" w:hAnsi="Arial" w:cs="Arial"/>
          <w:b/>
          <w:bCs/>
          <w:sz w:val="21"/>
          <w:szCs w:val="21"/>
          <w:lang w:eastAsia="es-ES"/>
        </w:rPr>
        <w:t>canales obligatorios de denuncias</w:t>
      </w:r>
      <w:r w:rsidRPr="00973028">
        <w:rPr>
          <w:rFonts w:ascii="Arial" w:eastAsia="Times New Roman" w:hAnsi="Arial" w:cs="Arial"/>
          <w:sz w:val="21"/>
          <w:szCs w:val="21"/>
          <w:lang w:eastAsia="es-ES"/>
        </w:rPr>
        <w:t>, internos y externos, en el sector público y en el privado, con exigencia para su establecimiento por debajo de los mínimos planteados en la Directiva, dada la configuración de nuestros ayuntamientos y municipios, y pequeñas y medianas empresas.</w:t>
      </w:r>
    </w:p>
    <w:p w14:paraId="3BBD1089" w14:textId="7331A878" w:rsidR="006B510A" w:rsidRPr="00973028" w:rsidRDefault="006B510A" w:rsidP="00672ABA">
      <w:pPr>
        <w:pStyle w:val="Prrafodelista"/>
        <w:numPr>
          <w:ilvl w:val="0"/>
          <w:numId w:val="30"/>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lastRenderedPageBreak/>
        <w:t xml:space="preserve">Será imprescindible determinar y asegurar la </w:t>
      </w:r>
      <w:r w:rsidRPr="00973028">
        <w:rPr>
          <w:rFonts w:ascii="Arial" w:eastAsia="Times New Roman" w:hAnsi="Arial" w:cs="Arial"/>
          <w:b/>
          <w:bCs/>
          <w:sz w:val="21"/>
          <w:szCs w:val="21"/>
          <w:lang w:eastAsia="es-ES"/>
        </w:rPr>
        <w:t>confidencialidad</w:t>
      </w:r>
      <w:r w:rsidRPr="00973028">
        <w:rPr>
          <w:rFonts w:ascii="Arial" w:eastAsia="Times New Roman" w:hAnsi="Arial" w:cs="Arial"/>
          <w:sz w:val="21"/>
          <w:szCs w:val="21"/>
          <w:lang w:eastAsia="es-ES"/>
        </w:rPr>
        <w:t xml:space="preserve"> de todos los datos, documentos e informaciones que se manejen.</w:t>
      </w:r>
    </w:p>
    <w:p w14:paraId="572B3C7F" w14:textId="41F8BAA4" w:rsidR="006B510A" w:rsidRPr="00973028" w:rsidRDefault="006B510A" w:rsidP="00672ABA">
      <w:pPr>
        <w:pStyle w:val="Prrafodelista"/>
        <w:numPr>
          <w:ilvl w:val="0"/>
          <w:numId w:val="30"/>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Debe permitirse la</w:t>
      </w:r>
      <w:r w:rsidRPr="00973028">
        <w:rPr>
          <w:rFonts w:ascii="Arial" w:eastAsia="Times New Roman" w:hAnsi="Arial" w:cs="Arial"/>
          <w:b/>
          <w:bCs/>
          <w:sz w:val="21"/>
          <w:szCs w:val="21"/>
          <w:lang w:eastAsia="es-ES"/>
        </w:rPr>
        <w:t xml:space="preserve"> denuncia anónima</w:t>
      </w:r>
      <w:r w:rsidRPr="00973028">
        <w:rPr>
          <w:rFonts w:ascii="Arial" w:eastAsia="Times New Roman" w:hAnsi="Arial" w:cs="Arial"/>
          <w:sz w:val="21"/>
          <w:szCs w:val="21"/>
          <w:lang w:eastAsia="es-ES"/>
        </w:rPr>
        <w:t xml:space="preserve"> como fuente de información, lo cual es admitido de forma clara y contundente en nuestra jurisprudencia. El anonimato es la mejor forma de proteger a un denunciante.</w:t>
      </w:r>
    </w:p>
    <w:p w14:paraId="5502F81B" w14:textId="692B4CEC" w:rsidR="006B510A" w:rsidRPr="00973028" w:rsidRDefault="006B510A" w:rsidP="00672ABA">
      <w:pPr>
        <w:pStyle w:val="Prrafodelista"/>
        <w:numPr>
          <w:ilvl w:val="0"/>
          <w:numId w:val="30"/>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b/>
          <w:bCs/>
          <w:color w:val="000000"/>
          <w:sz w:val="21"/>
          <w:szCs w:val="21"/>
          <w:lang w:eastAsia="es-ES"/>
        </w:rPr>
        <w:t>En ningún caso</w:t>
      </w:r>
      <w:r w:rsidRPr="00973028">
        <w:rPr>
          <w:rFonts w:ascii="Arial" w:eastAsia="Times New Roman" w:hAnsi="Arial" w:cs="Arial"/>
          <w:color w:val="000000"/>
          <w:sz w:val="21"/>
          <w:szCs w:val="21"/>
          <w:lang w:eastAsia="es-ES"/>
        </w:rPr>
        <w:t xml:space="preserve">, la denuncia de estos hechos o conductas supondrá una </w:t>
      </w:r>
      <w:r w:rsidRPr="00973028">
        <w:rPr>
          <w:rFonts w:ascii="Arial" w:eastAsia="Times New Roman" w:hAnsi="Arial" w:cs="Arial"/>
          <w:b/>
          <w:bCs/>
          <w:color w:val="000000"/>
          <w:sz w:val="21"/>
          <w:szCs w:val="21"/>
          <w:lang w:eastAsia="es-ES"/>
        </w:rPr>
        <w:t xml:space="preserve">infracción del deber de sigilo </w:t>
      </w:r>
      <w:r w:rsidRPr="00973028">
        <w:rPr>
          <w:rFonts w:ascii="Arial" w:eastAsia="Times New Roman" w:hAnsi="Arial" w:cs="Arial"/>
          <w:color w:val="000000"/>
          <w:sz w:val="21"/>
          <w:szCs w:val="21"/>
          <w:lang w:eastAsia="es-ES"/>
        </w:rPr>
        <w:t xml:space="preserve">impuesto al personal empleado respecto de los asuntos que conozca por razón de sus funciones, </w:t>
      </w:r>
      <w:r w:rsidRPr="00973028">
        <w:rPr>
          <w:rFonts w:ascii="Arial" w:eastAsia="Times New Roman" w:hAnsi="Arial" w:cs="Arial"/>
          <w:b/>
          <w:bCs/>
          <w:color w:val="000000"/>
          <w:sz w:val="21"/>
          <w:szCs w:val="21"/>
          <w:lang w:eastAsia="es-ES"/>
        </w:rPr>
        <w:t>ni tampoco responsabilidad</w:t>
      </w:r>
      <w:r w:rsidRPr="00973028">
        <w:rPr>
          <w:rFonts w:ascii="Arial" w:eastAsia="Times New Roman" w:hAnsi="Arial" w:cs="Arial"/>
          <w:color w:val="000000"/>
          <w:sz w:val="21"/>
          <w:szCs w:val="21"/>
          <w:lang w:eastAsia="es-ES"/>
        </w:rPr>
        <w:t xml:space="preserve"> de ningún tipo en relación con dicha revelación.</w:t>
      </w:r>
    </w:p>
    <w:p w14:paraId="6E3A325E" w14:textId="6BEE86AA" w:rsidR="006B510A" w:rsidRPr="00973028" w:rsidRDefault="006B510A" w:rsidP="00672ABA">
      <w:pPr>
        <w:pStyle w:val="Prrafodelista"/>
        <w:numPr>
          <w:ilvl w:val="0"/>
          <w:numId w:val="30"/>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color w:val="000000"/>
          <w:sz w:val="21"/>
          <w:szCs w:val="21"/>
          <w:lang w:eastAsia="es-ES"/>
        </w:rPr>
        <w:t xml:space="preserve">Se </w:t>
      </w:r>
      <w:r w:rsidRPr="00973028">
        <w:rPr>
          <w:rFonts w:ascii="Arial" w:eastAsia="Times New Roman" w:hAnsi="Arial" w:cs="Arial"/>
          <w:b/>
          <w:bCs/>
          <w:color w:val="000000"/>
          <w:sz w:val="21"/>
          <w:szCs w:val="21"/>
          <w:lang w:eastAsia="es-ES"/>
        </w:rPr>
        <w:t>prohibirán las represalias</w:t>
      </w:r>
      <w:r w:rsidRPr="00973028">
        <w:rPr>
          <w:rFonts w:ascii="Arial" w:eastAsia="Times New Roman" w:hAnsi="Arial" w:cs="Arial"/>
          <w:color w:val="000000"/>
          <w:sz w:val="21"/>
          <w:szCs w:val="21"/>
          <w:lang w:eastAsia="es-ES"/>
        </w:rPr>
        <w:t xml:space="preserve"> como consecuencia de haber presentado una denuncia, y </w:t>
      </w:r>
      <w:r w:rsidRPr="00973028">
        <w:rPr>
          <w:rFonts w:ascii="Arial" w:eastAsia="Times New Roman" w:hAnsi="Arial" w:cs="Arial"/>
          <w:b/>
          <w:bCs/>
          <w:color w:val="000000"/>
          <w:sz w:val="21"/>
          <w:szCs w:val="21"/>
          <w:lang w:eastAsia="es-ES"/>
        </w:rPr>
        <w:t>se asegurará la reparación integral del daño</w:t>
      </w:r>
      <w:r w:rsidRPr="00973028">
        <w:rPr>
          <w:rFonts w:ascii="Arial" w:eastAsia="Times New Roman" w:hAnsi="Arial" w:cs="Arial"/>
          <w:color w:val="000000"/>
          <w:sz w:val="21"/>
          <w:szCs w:val="21"/>
          <w:lang w:eastAsia="es-ES"/>
        </w:rPr>
        <w:t xml:space="preserve"> y el reconocimiento a la ejemplaridad de quienes denuncian en aras al bien común.</w:t>
      </w:r>
    </w:p>
    <w:p w14:paraId="458C3F96" w14:textId="47469470" w:rsidR="006B510A" w:rsidRPr="00973028" w:rsidRDefault="006B510A" w:rsidP="00672ABA">
      <w:pPr>
        <w:pStyle w:val="Prrafodelista"/>
        <w:numPr>
          <w:ilvl w:val="0"/>
          <w:numId w:val="30"/>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Debe corresponder al presunto represaliador probar que el perjuicio causado al denunciante no fue consecuencia de la denuncia interpuesta; esto es, deberá establecerse en estos casos la </w:t>
      </w:r>
      <w:r w:rsidRPr="00973028">
        <w:rPr>
          <w:rFonts w:ascii="Arial" w:eastAsia="Times New Roman" w:hAnsi="Arial" w:cs="Arial"/>
          <w:b/>
          <w:bCs/>
          <w:sz w:val="21"/>
          <w:szCs w:val="21"/>
          <w:lang w:eastAsia="es-ES"/>
        </w:rPr>
        <w:t>inversión de la carga de la prueba</w:t>
      </w:r>
      <w:r w:rsidRPr="00973028">
        <w:rPr>
          <w:rFonts w:ascii="Arial" w:eastAsia="Times New Roman" w:hAnsi="Arial" w:cs="Arial"/>
          <w:sz w:val="21"/>
          <w:szCs w:val="21"/>
          <w:lang w:eastAsia="es-ES"/>
        </w:rPr>
        <w:t>.</w:t>
      </w:r>
    </w:p>
    <w:p w14:paraId="5BF92A32" w14:textId="0D904D08" w:rsidR="006B510A" w:rsidRPr="00973028" w:rsidRDefault="006B510A" w:rsidP="00672ABA">
      <w:pPr>
        <w:pStyle w:val="Prrafodelista"/>
        <w:numPr>
          <w:ilvl w:val="0"/>
          <w:numId w:val="30"/>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En relación con las </w:t>
      </w:r>
      <w:r w:rsidRPr="00973028">
        <w:rPr>
          <w:rFonts w:ascii="Arial" w:eastAsia="Times New Roman" w:hAnsi="Arial" w:cs="Arial"/>
          <w:b/>
          <w:bCs/>
          <w:sz w:val="21"/>
          <w:szCs w:val="21"/>
          <w:lang w:eastAsia="es-ES"/>
        </w:rPr>
        <w:t>personas denunciantes</w:t>
      </w:r>
      <w:r w:rsidRPr="00973028">
        <w:rPr>
          <w:rFonts w:ascii="Arial" w:eastAsia="Times New Roman" w:hAnsi="Arial" w:cs="Arial"/>
          <w:sz w:val="21"/>
          <w:szCs w:val="21"/>
          <w:lang w:eastAsia="es-ES"/>
        </w:rPr>
        <w:t xml:space="preserve">, deberán especificarse sus </w:t>
      </w:r>
      <w:r w:rsidRPr="00973028">
        <w:rPr>
          <w:rFonts w:ascii="Arial" w:eastAsia="Times New Roman" w:hAnsi="Arial" w:cs="Arial"/>
          <w:b/>
          <w:bCs/>
          <w:sz w:val="21"/>
          <w:szCs w:val="21"/>
          <w:lang w:eastAsia="es-ES"/>
        </w:rPr>
        <w:t>derechos y deberes</w:t>
      </w:r>
      <w:r w:rsidRPr="00973028">
        <w:rPr>
          <w:rFonts w:ascii="Arial" w:eastAsia="Times New Roman" w:hAnsi="Arial" w:cs="Arial"/>
          <w:sz w:val="21"/>
          <w:szCs w:val="21"/>
          <w:lang w:eastAsia="es-ES"/>
        </w:rPr>
        <w:t xml:space="preserve"> (estatuto de protección), y el concepto de denunciante de buena fe.</w:t>
      </w:r>
    </w:p>
    <w:p w14:paraId="7A2A273E" w14:textId="58AF5905" w:rsidR="006B510A" w:rsidRPr="00973028" w:rsidRDefault="006B510A" w:rsidP="00672ABA">
      <w:pPr>
        <w:pStyle w:val="Prrafodelista"/>
        <w:numPr>
          <w:ilvl w:val="0"/>
          <w:numId w:val="30"/>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Será necesario articular la </w:t>
      </w:r>
      <w:r w:rsidRPr="00973028">
        <w:rPr>
          <w:rFonts w:ascii="Arial" w:eastAsia="Times New Roman" w:hAnsi="Arial" w:cs="Arial"/>
          <w:b/>
          <w:bCs/>
          <w:sz w:val="21"/>
          <w:szCs w:val="21"/>
          <w:lang w:eastAsia="es-ES"/>
        </w:rPr>
        <w:t>coordinación entre los controles e investigaciones administrativos y penales,</w:t>
      </w:r>
      <w:r w:rsidRPr="00973028">
        <w:rPr>
          <w:rFonts w:ascii="Arial" w:eastAsia="Times New Roman" w:hAnsi="Arial" w:cs="Arial"/>
          <w:sz w:val="21"/>
          <w:szCs w:val="21"/>
          <w:lang w:eastAsia="es-ES"/>
        </w:rPr>
        <w:t xml:space="preserve"> e integrar en el sistema de control la información procedente de medios de comunicación y de los denunciantes.</w:t>
      </w:r>
    </w:p>
    <w:p w14:paraId="64A857B3" w14:textId="06990D22" w:rsidR="006B510A" w:rsidRPr="00973028" w:rsidRDefault="006B510A" w:rsidP="00672ABA">
      <w:pPr>
        <w:pStyle w:val="Prrafodelista"/>
        <w:numPr>
          <w:ilvl w:val="0"/>
          <w:numId w:val="30"/>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La corrupción es perseguible no solo desde el </w:t>
      </w:r>
      <w:r w:rsidRPr="00973028">
        <w:rPr>
          <w:rFonts w:ascii="Arial" w:eastAsia="Times New Roman" w:hAnsi="Arial" w:cs="Arial"/>
          <w:b/>
          <w:bCs/>
          <w:sz w:val="21"/>
          <w:szCs w:val="21"/>
          <w:lang w:eastAsia="es-ES"/>
        </w:rPr>
        <w:t>ámbito penal</w:t>
      </w:r>
      <w:r w:rsidRPr="00973028">
        <w:rPr>
          <w:rFonts w:ascii="Arial" w:eastAsia="Times New Roman" w:hAnsi="Arial" w:cs="Arial"/>
          <w:sz w:val="21"/>
          <w:szCs w:val="21"/>
          <w:lang w:eastAsia="es-ES"/>
        </w:rPr>
        <w:t>, sino también desde el</w:t>
      </w:r>
      <w:r w:rsidRPr="00973028">
        <w:rPr>
          <w:rFonts w:ascii="Arial" w:eastAsia="Times New Roman" w:hAnsi="Arial" w:cs="Arial"/>
          <w:b/>
          <w:bCs/>
          <w:sz w:val="21"/>
          <w:szCs w:val="21"/>
          <w:lang w:eastAsia="es-ES"/>
        </w:rPr>
        <w:t xml:space="preserve"> ámbito administrativo</w:t>
      </w:r>
      <w:r w:rsidRPr="00973028">
        <w:rPr>
          <w:rFonts w:ascii="Arial" w:eastAsia="Times New Roman" w:hAnsi="Arial" w:cs="Arial"/>
          <w:sz w:val="21"/>
          <w:szCs w:val="21"/>
          <w:lang w:eastAsia="es-ES"/>
        </w:rPr>
        <w:t xml:space="preserve"> (sancionador y disciplinario), y a tal efecto, deben ponerse en valor principios como la </w:t>
      </w:r>
      <w:r w:rsidRPr="00973028">
        <w:rPr>
          <w:rFonts w:ascii="Arial" w:eastAsia="Times New Roman" w:hAnsi="Arial" w:cs="Arial"/>
          <w:color w:val="000000"/>
          <w:sz w:val="21"/>
          <w:szCs w:val="21"/>
          <w:lang w:eastAsia="es-ES"/>
        </w:rPr>
        <w:t>objetividad, la imparcialidad, la integridad y ética pública, la honestidad y la rendición de cuentas.</w:t>
      </w:r>
    </w:p>
    <w:p w14:paraId="1AC544ED" w14:textId="694C17AE" w:rsidR="006B510A" w:rsidRPr="00973028" w:rsidRDefault="006B510A" w:rsidP="00672ABA">
      <w:pPr>
        <w:pStyle w:val="Prrafodelista"/>
        <w:numPr>
          <w:ilvl w:val="0"/>
          <w:numId w:val="30"/>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Se implementará un enfoque basado en el </w:t>
      </w:r>
      <w:r w:rsidRPr="00973028">
        <w:rPr>
          <w:rFonts w:ascii="Arial" w:eastAsia="Times New Roman" w:hAnsi="Arial" w:cs="Arial"/>
          <w:b/>
          <w:bCs/>
          <w:sz w:val="21"/>
          <w:szCs w:val="21"/>
          <w:lang w:eastAsia="es-ES"/>
        </w:rPr>
        <w:t>análisis de riesgos para detectar las irregularidades y el fraude,</w:t>
      </w:r>
      <w:r w:rsidRPr="00973028">
        <w:rPr>
          <w:rFonts w:ascii="Arial" w:eastAsia="Times New Roman" w:hAnsi="Arial" w:cs="Arial"/>
          <w:sz w:val="21"/>
          <w:szCs w:val="21"/>
          <w:lang w:eastAsia="es-ES"/>
        </w:rPr>
        <w:t xml:space="preserve"> incluido el uso de herramientas informáticas.</w:t>
      </w:r>
    </w:p>
    <w:p w14:paraId="0CA161A2" w14:textId="4E40C2B2" w:rsidR="006B510A" w:rsidRPr="00973028" w:rsidRDefault="006B510A" w:rsidP="00672ABA">
      <w:pPr>
        <w:pStyle w:val="Prrafodelista"/>
        <w:numPr>
          <w:ilvl w:val="0"/>
          <w:numId w:val="30"/>
        </w:numPr>
        <w:spacing w:after="24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La nueva autoridad estatal de lucha contra la corrupción y protección del denunciante debe </w:t>
      </w:r>
      <w:r w:rsidRPr="00973028">
        <w:rPr>
          <w:rFonts w:ascii="Arial" w:eastAsia="Times New Roman" w:hAnsi="Arial" w:cs="Arial"/>
          <w:b/>
          <w:bCs/>
          <w:sz w:val="21"/>
          <w:szCs w:val="21"/>
          <w:lang w:eastAsia="es-ES"/>
        </w:rPr>
        <w:t>coordinarse con las Comunidades Autónomas y las oficinas y agencias ya existentes</w:t>
      </w:r>
      <w:r w:rsidRPr="00973028">
        <w:rPr>
          <w:rFonts w:ascii="Arial" w:eastAsia="Times New Roman" w:hAnsi="Arial" w:cs="Arial"/>
          <w:sz w:val="21"/>
          <w:szCs w:val="21"/>
          <w:lang w:eastAsia="es-ES"/>
        </w:rPr>
        <w:t>. Deberán armonizarse las legislaciones y contemplar determinadas normas básicas y exigencias mínimas. Además, la autoridad nacional asumirá funciones en aquellos territorios en los que no existan dichas entidades.</w:t>
      </w:r>
    </w:p>
    <w:p w14:paraId="619A92D6" w14:textId="4F6C8AB9" w:rsidR="006B510A" w:rsidRPr="00973028" w:rsidRDefault="006B510A" w:rsidP="003135D0">
      <w:pPr>
        <w:spacing w:after="240" w:line="276" w:lineRule="auto"/>
        <w:jc w:val="both"/>
        <w:rPr>
          <w:rFonts w:ascii="Arial" w:eastAsia="Times New Roman" w:hAnsi="Arial" w:cs="Arial"/>
          <w:color w:val="222222"/>
          <w:sz w:val="21"/>
          <w:szCs w:val="21"/>
          <w:lang w:eastAsia="es-ES"/>
        </w:rPr>
      </w:pPr>
      <w:r w:rsidRPr="00973028">
        <w:rPr>
          <w:rFonts w:ascii="Arial" w:eastAsia="Times New Roman" w:hAnsi="Arial" w:cs="Arial"/>
          <w:color w:val="222222"/>
          <w:sz w:val="21"/>
          <w:szCs w:val="21"/>
          <w:lang w:eastAsia="es-ES"/>
        </w:rPr>
        <w:t xml:space="preserve">Por otra parte, se hace necesario destacar que con la aprobación de la Directiva (UE) 2019/1937, relativa a la protección de las personas que informen sobre infracciones del Derecho de la Unión, se recoge la necesidad que los Estados miembros designen a “autoridades competentes” para recibir y gestionar las denuncias (artículo 6), y obliga a estas autoridades que tengan en cuenta las experiencias de otras autoridades competentes (artículo 12). </w:t>
      </w:r>
    </w:p>
    <w:bookmarkEnd w:id="151"/>
    <w:p w14:paraId="536907B5" w14:textId="1212AFF4" w:rsidR="006B510A" w:rsidRPr="00973028" w:rsidRDefault="006B510A" w:rsidP="003135D0">
      <w:pPr>
        <w:spacing w:after="240" w:line="276" w:lineRule="auto"/>
        <w:jc w:val="both"/>
        <w:rPr>
          <w:rFonts w:ascii="Arial" w:eastAsia="Times New Roman" w:hAnsi="Arial" w:cs="Arial"/>
          <w:color w:val="222222"/>
          <w:sz w:val="21"/>
          <w:szCs w:val="21"/>
          <w:lang w:eastAsia="es-ES"/>
        </w:rPr>
      </w:pPr>
      <w:r w:rsidRPr="00973028">
        <w:rPr>
          <w:rFonts w:ascii="Arial" w:eastAsia="Times New Roman" w:hAnsi="Arial" w:cs="Arial"/>
          <w:color w:val="222222"/>
          <w:sz w:val="21"/>
          <w:szCs w:val="21"/>
          <w:lang w:eastAsia="es-ES"/>
        </w:rPr>
        <w:t xml:space="preserve">En desarrollo de esta obligación, la </w:t>
      </w:r>
      <w:r w:rsidRPr="00973028">
        <w:rPr>
          <w:rFonts w:ascii="Arial" w:eastAsia="Times New Roman" w:hAnsi="Arial" w:cs="Arial"/>
          <w:b/>
          <w:bCs/>
          <w:sz w:val="21"/>
          <w:szCs w:val="21"/>
          <w:lang w:eastAsia="es-ES"/>
        </w:rPr>
        <w:t xml:space="preserve">Red de Autoridades Europeas de Integridad y Alertadores </w:t>
      </w:r>
      <w:r w:rsidRPr="00973028">
        <w:rPr>
          <w:rFonts w:ascii="Arial" w:eastAsia="Times New Roman" w:hAnsi="Arial" w:cs="Arial"/>
          <w:sz w:val="21"/>
          <w:szCs w:val="21"/>
          <w:lang w:eastAsia="es-ES"/>
        </w:rPr>
        <w:t xml:space="preserve">(en sus siglas en inglés, </w:t>
      </w:r>
      <w:r w:rsidRPr="00973028">
        <w:rPr>
          <w:rFonts w:ascii="Arial" w:eastAsia="Times New Roman" w:hAnsi="Arial" w:cs="Arial"/>
          <w:b/>
          <w:bCs/>
          <w:sz w:val="21"/>
          <w:szCs w:val="21"/>
          <w:lang w:eastAsia="es-ES"/>
        </w:rPr>
        <w:t>NEIWA</w:t>
      </w:r>
      <w:r w:rsidRPr="00973028">
        <w:rPr>
          <w:rFonts w:ascii="Arial" w:eastAsia="Times New Roman" w:hAnsi="Arial" w:cs="Arial"/>
          <w:sz w:val="21"/>
          <w:szCs w:val="21"/>
          <w:lang w:eastAsia="es-ES"/>
        </w:rPr>
        <w:t xml:space="preserve">) </w:t>
      </w:r>
      <w:r w:rsidRPr="00973028">
        <w:rPr>
          <w:rFonts w:ascii="Arial" w:eastAsia="Times New Roman" w:hAnsi="Arial" w:cs="Arial"/>
          <w:color w:val="222222"/>
          <w:sz w:val="21"/>
          <w:szCs w:val="21"/>
          <w:lang w:eastAsia="es-ES"/>
        </w:rPr>
        <w:t xml:space="preserve">está formada por </w:t>
      </w:r>
      <w:r w:rsidRPr="00973028">
        <w:rPr>
          <w:rFonts w:ascii="Arial" w:eastAsia="Times New Roman" w:hAnsi="Arial" w:cs="Arial"/>
          <w:sz w:val="21"/>
          <w:szCs w:val="21"/>
          <w:lang w:eastAsia="es-ES"/>
        </w:rPr>
        <w:t>autoridades europeas que tienen como objetivo la promoción y salvaguarda de la integridad en sus respectivos Estados, gestionan e investigan denuncias como órganos de control externo, y asesoran y protegen a personas que denuncian o alertan sobre hechos irregulares.</w:t>
      </w:r>
    </w:p>
    <w:p w14:paraId="26C25519" w14:textId="71F4E7D3" w:rsidR="006B510A" w:rsidRPr="00973028" w:rsidRDefault="006B510A" w:rsidP="003135D0">
      <w:pPr>
        <w:spacing w:after="240" w:line="276" w:lineRule="auto"/>
        <w:jc w:val="both"/>
        <w:rPr>
          <w:rFonts w:ascii="Arial" w:eastAsia="Times New Roman" w:hAnsi="Arial" w:cs="Arial"/>
          <w:sz w:val="21"/>
          <w:szCs w:val="21"/>
          <w:lang w:eastAsia="es-ES"/>
        </w:rPr>
      </w:pPr>
      <w:r w:rsidRPr="00973028">
        <w:rPr>
          <w:rFonts w:ascii="Arial" w:eastAsia="Times New Roman" w:hAnsi="Arial" w:cs="Arial"/>
          <w:color w:val="000000"/>
          <w:sz w:val="21"/>
          <w:szCs w:val="21"/>
          <w:lang w:eastAsia="es-ES"/>
        </w:rPr>
        <w:lastRenderedPageBreak/>
        <w:t>La Red NEIWA se constituyó en grupo de trabajo el 28 mayo de 2019, en una reunión celebrada en La Haya. Actualmente</w:t>
      </w:r>
      <w:r w:rsidRPr="00973028">
        <w:rPr>
          <w:rFonts w:ascii="Arial" w:eastAsia="Times New Roman" w:hAnsi="Arial" w:cs="Arial"/>
          <w:sz w:val="21"/>
          <w:szCs w:val="21"/>
          <w:lang w:eastAsia="es-ES"/>
        </w:rPr>
        <w:t xml:space="preserve">, está compuesta por diferentes autoridades especializadas que representan a veintiún Estados miembros y </w:t>
      </w:r>
      <w:r w:rsidRPr="00973028">
        <w:rPr>
          <w:rFonts w:ascii="Arial" w:eastAsia="Times New Roman" w:hAnsi="Arial" w:cs="Arial"/>
          <w:color w:val="000000"/>
          <w:sz w:val="21"/>
          <w:szCs w:val="21"/>
          <w:lang w:eastAsia="es-ES"/>
        </w:rPr>
        <w:t xml:space="preserve">sigue trabajando para conseguir la adhesión del resto de los Estados de la Unión Europea, </w:t>
      </w:r>
      <w:r w:rsidRPr="00973028">
        <w:rPr>
          <w:rFonts w:ascii="Arial" w:eastAsia="Times New Roman" w:hAnsi="Arial" w:cs="Arial"/>
          <w:sz w:val="21"/>
          <w:szCs w:val="21"/>
          <w:lang w:eastAsia="es-ES"/>
        </w:rPr>
        <w:t xml:space="preserve">incluso también de otros países de fuera de ella. </w:t>
      </w:r>
    </w:p>
    <w:p w14:paraId="0847550F" w14:textId="77777777" w:rsidR="006B510A" w:rsidRPr="00973028" w:rsidRDefault="006B510A" w:rsidP="003135D0">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La Agencia se integró como miembro de pleno derecho en la Red NEIWA en diciembre de 2019, participando en la misma en representación de España junto con la Oficina Antifraude de Cataluña. </w:t>
      </w:r>
    </w:p>
    <w:p w14:paraId="3EB700F7" w14:textId="77777777" w:rsidR="006B510A" w:rsidRPr="00973028" w:rsidRDefault="006B510A" w:rsidP="003135D0">
      <w:pPr>
        <w:spacing w:after="240" w:line="276" w:lineRule="auto"/>
        <w:jc w:val="both"/>
        <w:rPr>
          <w:rFonts w:ascii="Arial" w:eastAsia="Times New Roman" w:hAnsi="Arial" w:cs="Arial"/>
          <w:color w:val="222222"/>
          <w:sz w:val="21"/>
          <w:szCs w:val="21"/>
          <w:lang w:eastAsia="es-ES"/>
        </w:rPr>
      </w:pPr>
      <w:r w:rsidRPr="00973028">
        <w:rPr>
          <w:rFonts w:ascii="Arial" w:eastAsia="Times New Roman" w:hAnsi="Arial" w:cs="Arial"/>
          <w:color w:val="222222"/>
          <w:sz w:val="21"/>
          <w:szCs w:val="21"/>
          <w:lang w:eastAsia="es-ES"/>
        </w:rPr>
        <w:t xml:space="preserve">La Red NEIWA materializa una plataforma a través de la que las autoridades europeas especializadas pueden cooperar e intercambiar conocimientos prácticos y experiencias sobre integridad pública y gestión de denuncias de irregularidades, con especial atención a la aplicación efectiva de la Directiva (UE) 2019/1937. </w:t>
      </w:r>
    </w:p>
    <w:p w14:paraId="3B1EE2D3" w14:textId="77777777" w:rsidR="006B510A" w:rsidRPr="00973028" w:rsidRDefault="006B510A" w:rsidP="003135D0">
      <w:pPr>
        <w:spacing w:after="240" w:line="276" w:lineRule="auto"/>
        <w:jc w:val="both"/>
        <w:rPr>
          <w:rFonts w:ascii="Arial" w:eastAsia="Times New Roman" w:hAnsi="Arial" w:cs="Arial"/>
          <w:color w:val="222222"/>
          <w:sz w:val="21"/>
          <w:szCs w:val="21"/>
          <w:lang w:eastAsia="es-ES"/>
        </w:rPr>
      </w:pPr>
      <w:r w:rsidRPr="00973028">
        <w:rPr>
          <w:rFonts w:ascii="Arial" w:eastAsia="Times New Roman" w:hAnsi="Arial" w:cs="Arial"/>
          <w:color w:val="222222"/>
          <w:sz w:val="21"/>
          <w:szCs w:val="21"/>
          <w:lang w:eastAsia="es-ES"/>
        </w:rPr>
        <w:t>Por parte de la Agencia se considera imprescindible la asistencia de representantes de la misma a las reuniones de esta Red, tanto plenarias como de los grupos de trabajo que se han constituido en el seno de la misma, ya que a través de sus encuentros y recomendaciones se consolida un canal importante de comunicación que contribuye a garantizar la adecuada transposición de la Directiva en cada uno de los Estados miembros participantes, fijando unos estándares mínimos y homogéneos a aplicar en el desarrollo de las funciones relativas a la protección de las personas denunciantes.</w:t>
      </w:r>
    </w:p>
    <w:p w14:paraId="165FED51" w14:textId="6110F91F" w:rsidR="006B510A" w:rsidRPr="00973028" w:rsidRDefault="006B510A" w:rsidP="002960AB">
      <w:pPr>
        <w:spacing w:after="240" w:line="276" w:lineRule="auto"/>
        <w:jc w:val="both"/>
        <w:rPr>
          <w:rFonts w:ascii="Arial" w:eastAsia="Times New Roman" w:hAnsi="Arial" w:cs="Arial"/>
          <w:sz w:val="21"/>
          <w:szCs w:val="21"/>
          <w:lang w:eastAsia="es-ES"/>
        </w:rPr>
      </w:pPr>
      <w:r w:rsidRPr="00973028">
        <w:rPr>
          <w:rFonts w:ascii="Arial" w:eastAsia="Times New Roman" w:hAnsi="Arial" w:cs="Arial"/>
          <w:color w:val="000000"/>
          <w:sz w:val="21"/>
          <w:szCs w:val="21"/>
          <w:lang w:eastAsia="es-ES"/>
        </w:rPr>
        <w:t xml:space="preserve">Así, la AVAF ha participado, durante el año 2020, en la reunión plenaria de Roma, que culminó </w:t>
      </w:r>
      <w:r w:rsidRPr="00973028">
        <w:rPr>
          <w:rFonts w:ascii="Arial" w:eastAsia="Times New Roman" w:hAnsi="Arial" w:cs="Arial"/>
          <w:sz w:val="21"/>
          <w:szCs w:val="21"/>
          <w:lang w:eastAsia="es-ES"/>
        </w:rPr>
        <w:t xml:space="preserve">con </w:t>
      </w:r>
      <w:r w:rsidRPr="007F6F69">
        <w:rPr>
          <w:rFonts w:ascii="Arial" w:eastAsia="Times New Roman" w:hAnsi="Arial" w:cs="Arial"/>
          <w:sz w:val="21"/>
          <w:szCs w:val="21"/>
          <w:lang w:eastAsia="es-ES"/>
        </w:rPr>
        <w:t xml:space="preserve">la </w:t>
      </w:r>
      <w:r w:rsidRPr="007F6F69">
        <w:rPr>
          <w:rFonts w:ascii="Arial" w:eastAsia="Times New Roman" w:hAnsi="Arial" w:cs="Arial"/>
          <w:i/>
          <w:iCs/>
          <w:sz w:val="21"/>
          <w:szCs w:val="21"/>
          <w:lang w:eastAsia="es-ES"/>
        </w:rPr>
        <w:t>Declaración de Roma de 26 de junio de 2020</w:t>
      </w:r>
      <w:r w:rsidRPr="007F6F69">
        <w:rPr>
          <w:rFonts w:ascii="Arial" w:eastAsia="Times New Roman" w:hAnsi="Arial" w:cs="Arial"/>
          <w:sz w:val="21"/>
          <w:szCs w:val="21"/>
          <w:lang w:eastAsia="es-ES"/>
        </w:rPr>
        <w:t xml:space="preserve">, y en las reuniones de los grupos de trabajo de 7 de octubre y 16 a 27 de noviembre de 2020, preparatorios de las reuniones plenarias celebradas los días 3 y 4 de diciembre, que dieron lugar a la </w:t>
      </w:r>
      <w:r w:rsidRPr="007F6F69">
        <w:rPr>
          <w:rFonts w:ascii="Arial" w:eastAsia="Times New Roman" w:hAnsi="Arial" w:cs="Arial"/>
          <w:i/>
          <w:iCs/>
          <w:sz w:val="21"/>
          <w:szCs w:val="21"/>
          <w:lang w:eastAsia="es-ES"/>
        </w:rPr>
        <w:t>Declaración de Bruselas de 17 de diciembre de 2020</w:t>
      </w:r>
      <w:r w:rsidRPr="007F6F69">
        <w:rPr>
          <w:rFonts w:ascii="Arial" w:eastAsia="Times New Roman" w:hAnsi="Arial" w:cs="Arial"/>
          <w:sz w:val="21"/>
          <w:szCs w:val="21"/>
          <w:lang w:eastAsia="es-ES"/>
        </w:rPr>
        <w:t xml:space="preserve">. El contenido íntegro de ambas declaraciones se </w:t>
      </w:r>
      <w:r w:rsidR="00F77342" w:rsidRPr="007F6F69">
        <w:rPr>
          <w:rFonts w:ascii="Arial" w:eastAsia="Times New Roman" w:hAnsi="Arial" w:cs="Arial"/>
          <w:sz w:val="21"/>
          <w:szCs w:val="21"/>
          <w:lang w:eastAsia="es-ES"/>
        </w:rPr>
        <w:t xml:space="preserve">proporciona a través de los enlaces correspondientes a nuestra web </w:t>
      </w:r>
      <w:r w:rsidRPr="007F6F69">
        <w:rPr>
          <w:rFonts w:ascii="Arial" w:eastAsia="Times New Roman" w:hAnsi="Arial" w:cs="Arial"/>
          <w:sz w:val="21"/>
          <w:szCs w:val="21"/>
          <w:lang w:eastAsia="es-ES"/>
        </w:rPr>
        <w:t>en el epígrafe 5.4.3. de esta Memoria.</w:t>
      </w:r>
    </w:p>
    <w:p w14:paraId="5C20419C" w14:textId="37BC6384" w:rsidR="006B510A" w:rsidRPr="00E973F1" w:rsidRDefault="006B510A" w:rsidP="00E973F1">
      <w:pPr>
        <w:pStyle w:val="Prrafodelista"/>
        <w:keepNext/>
        <w:numPr>
          <w:ilvl w:val="1"/>
          <w:numId w:val="25"/>
        </w:numPr>
        <w:spacing w:before="360" w:after="240" w:line="276" w:lineRule="auto"/>
        <w:ind w:left="851" w:hanging="851"/>
        <w:contextualSpacing w:val="0"/>
        <w:jc w:val="both"/>
        <w:outlineLvl w:val="1"/>
        <w:rPr>
          <w:rFonts w:ascii="Arial" w:eastAsia="Times New Roman" w:hAnsi="Arial" w:cs="Arial"/>
          <w:b/>
          <w:color w:val="9D2235" w:themeColor="accent1"/>
          <w:sz w:val="32"/>
          <w:szCs w:val="32"/>
        </w:rPr>
      </w:pPr>
      <w:bookmarkStart w:id="152" w:name="_Toc67646287"/>
      <w:r w:rsidRPr="00E973F1">
        <w:rPr>
          <w:rFonts w:ascii="Arial" w:eastAsia="Times New Roman" w:hAnsi="Arial" w:cs="Arial"/>
          <w:b/>
          <w:color w:val="9D2235" w:themeColor="accent1"/>
          <w:sz w:val="32"/>
          <w:szCs w:val="32"/>
        </w:rPr>
        <w:t>Protección de las personas denunciantes, informadoras o alertadoras de fraude o corrupción</w:t>
      </w:r>
      <w:bookmarkEnd w:id="152"/>
    </w:p>
    <w:p w14:paraId="7FA526AF" w14:textId="72D85A9C" w:rsidR="006B510A" w:rsidRPr="00973028" w:rsidRDefault="006B510A" w:rsidP="002960A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El artículo 14 de la Ley 11/2016, de 28 de noviembre, de la Generalitat, de creación de la Agencia, bajo el título “Estatuto de la persona denunciante”, dispone que la Agencia presta especial atención a las personas denunciantes. Esta función reconocida por la Ley se encuentra desarrollada en el título VII “Protección de la persona denunciante”, artículos 41 a 48 del Reglamento de funcionamiento y régimen interior de 27 de junio de 2019 de la Agencia (DOGV núm. 8582, de 2.07.2019).</w:t>
      </w:r>
    </w:p>
    <w:p w14:paraId="4B45A748" w14:textId="5A3DA0B9" w:rsidR="006B510A" w:rsidRPr="00973028" w:rsidRDefault="006B510A" w:rsidP="002960A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En nuestras anteriores Memorias de actividad se recogían casos de incumplimient</w:t>
      </w:r>
      <w:r w:rsidRPr="007F6F69">
        <w:rPr>
          <w:rFonts w:ascii="Arial" w:eastAsia="Times New Roman" w:hAnsi="Arial" w:cs="Arial"/>
          <w:color w:val="000000"/>
          <w:sz w:val="21"/>
          <w:szCs w:val="21"/>
          <w:lang w:eastAsia="es-ES"/>
        </w:rPr>
        <w:t>o</w:t>
      </w:r>
      <w:r w:rsidRPr="007F6F69">
        <w:rPr>
          <w:rFonts w:ascii="Arial" w:eastAsia="Times New Roman" w:hAnsi="Arial" w:cs="Arial"/>
          <w:strike/>
          <w:color w:val="000000"/>
          <w:sz w:val="21"/>
          <w:szCs w:val="21"/>
          <w:lang w:eastAsia="es-ES"/>
        </w:rPr>
        <w:t>s</w:t>
      </w:r>
      <w:r w:rsidRPr="00973028">
        <w:rPr>
          <w:rFonts w:ascii="Arial" w:eastAsia="Times New Roman" w:hAnsi="Arial" w:cs="Arial"/>
          <w:color w:val="000000"/>
          <w:sz w:val="21"/>
          <w:szCs w:val="21"/>
          <w:lang w:eastAsia="es-ES"/>
        </w:rPr>
        <w:t xml:space="preserve"> de resoluciones de protección dictadas por la Agencia por parte de algunas administraciones y su sector público vinculado, que a fecha de hoy continúan vigentes, y se efectuaba un análisis del alcance del estatuto de protección que se viene otorgando a las personas denunciantes en caso de que se reúnan ciertos requisitos. Se distinguía entre derechos y deberes que derivan de la concesión del estatuto, y se reflejaba un estudio de las represalias </w:t>
      </w:r>
      <w:r w:rsidRPr="00973028">
        <w:rPr>
          <w:rFonts w:ascii="Arial" w:eastAsia="Times New Roman" w:hAnsi="Arial" w:cs="Arial"/>
          <w:color w:val="000000"/>
          <w:sz w:val="21"/>
          <w:szCs w:val="21"/>
          <w:lang w:eastAsia="es-ES"/>
        </w:rPr>
        <w:lastRenderedPageBreak/>
        <w:t>y consecuencias más frecuentes que acontecen a nivel profesional y personal en la vida de estas personas tras la presentación de la denuncia.</w:t>
      </w:r>
    </w:p>
    <w:p w14:paraId="1F0AED66" w14:textId="0F9DBAE6" w:rsidR="006B510A" w:rsidRPr="00973028" w:rsidRDefault="006B510A" w:rsidP="002960AB">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En esta ocasión se presenta, a lo largo de este epígrafe, la experiencia de la AVAF dentro de este ámbito una vez hemos acumulado más de tres años de desarrollo de esta novedosa y apasionante función pública, y a tal efecto se expone la clasificación de derechos y deberes que apareja el estatuto de protección dentro de un contexto de buenas prácticas y se formula una propuesta de decálogo para la protección de las personas denunciantes y alertadoras, aprobado durante el pasado año en el seno del grupo de trabajo del Consejo de Participación de la Agencia, constituido para tratar esta temática. A continuación, se presenta la situación actual de la protección en la Comunitat Valenciana, con especial referencia a las tareas que ha realizado la AVAF derivadas del seguimiento durante 2020 de las personas a las que se ha otorgado el estatuto, con objeto de prestarles el adecuado asesoramiento y evitar que las personas que tienen otorgado el estatuto sufran represalias. Se finaliza este epígrafe poniendo de relieve algunos datos estadísticos que pueden ser de interés.</w:t>
      </w:r>
    </w:p>
    <w:p w14:paraId="61269E38" w14:textId="5B20524D" w:rsidR="006B510A" w:rsidRPr="00E973F1" w:rsidRDefault="006B510A" w:rsidP="00E973F1">
      <w:pPr>
        <w:pStyle w:val="Prrafodelista"/>
        <w:keepNext/>
        <w:numPr>
          <w:ilvl w:val="2"/>
          <w:numId w:val="25"/>
        </w:numPr>
        <w:spacing w:before="360" w:after="240" w:line="276" w:lineRule="auto"/>
        <w:ind w:left="1134" w:hanging="1134"/>
        <w:contextualSpacing w:val="0"/>
        <w:jc w:val="both"/>
        <w:outlineLvl w:val="2"/>
        <w:rPr>
          <w:rFonts w:ascii="Arial" w:eastAsia="Times New Roman" w:hAnsi="Arial" w:cs="Arial"/>
          <w:b/>
          <w:color w:val="9D2235" w:themeColor="accent1"/>
          <w:sz w:val="28"/>
          <w:szCs w:val="28"/>
        </w:rPr>
      </w:pPr>
      <w:bookmarkStart w:id="153" w:name="_Toc67646288"/>
      <w:r w:rsidRPr="00E973F1">
        <w:rPr>
          <w:rFonts w:ascii="Arial" w:eastAsia="Times New Roman" w:hAnsi="Arial" w:cs="Arial"/>
          <w:b/>
          <w:color w:val="9D2235" w:themeColor="accent1"/>
          <w:sz w:val="28"/>
          <w:szCs w:val="28"/>
        </w:rPr>
        <w:t xml:space="preserve">El estatuto de protección: </w:t>
      </w:r>
      <w:r w:rsidR="00620D7D" w:rsidRPr="00E973F1">
        <w:rPr>
          <w:rFonts w:ascii="Arial" w:eastAsia="Times New Roman" w:hAnsi="Arial" w:cs="Arial"/>
          <w:b/>
          <w:color w:val="9D2235" w:themeColor="accent1"/>
          <w:sz w:val="28"/>
          <w:szCs w:val="28"/>
        </w:rPr>
        <w:t xml:space="preserve">los </w:t>
      </w:r>
      <w:r w:rsidRPr="00E973F1">
        <w:rPr>
          <w:rFonts w:ascii="Arial" w:eastAsia="Times New Roman" w:hAnsi="Arial" w:cs="Arial"/>
          <w:b/>
          <w:color w:val="9D2235" w:themeColor="accent1"/>
          <w:sz w:val="28"/>
          <w:szCs w:val="28"/>
        </w:rPr>
        <w:t>derechos y deberes de las personas denunciantes</w:t>
      </w:r>
      <w:bookmarkEnd w:id="153"/>
    </w:p>
    <w:p w14:paraId="49C2E4FD" w14:textId="341BF17C" w:rsidR="006B510A" w:rsidRPr="00973028" w:rsidRDefault="006B510A" w:rsidP="002960AB">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El concepto de persona denunciante incluye a toda aquella que alerta, denuncia, comunica o informa sobre hechos o conductas susceptibles de ser considerados fraude o corrupción.</w:t>
      </w:r>
    </w:p>
    <w:p w14:paraId="6D61385E" w14:textId="2F0BEF60" w:rsidR="006B510A" w:rsidRPr="00973028" w:rsidRDefault="006B510A" w:rsidP="002960AB">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El otorgamiento del estatuto de protección a la persona denunciante apareja una serie de </w:t>
      </w:r>
      <w:r w:rsidRPr="00973028">
        <w:rPr>
          <w:rFonts w:ascii="Arial" w:eastAsia="Times New Roman" w:hAnsi="Arial" w:cs="Arial"/>
          <w:b/>
          <w:bCs/>
          <w:sz w:val="21"/>
          <w:szCs w:val="21"/>
          <w:lang w:eastAsia="es-ES"/>
        </w:rPr>
        <w:t>derechos a la persona denunciante, pero también deberes</w:t>
      </w:r>
      <w:r w:rsidRPr="00973028">
        <w:rPr>
          <w:rFonts w:ascii="Arial" w:eastAsia="Times New Roman" w:hAnsi="Arial" w:cs="Arial"/>
          <w:sz w:val="21"/>
          <w:szCs w:val="21"/>
          <w:lang w:eastAsia="es-ES"/>
        </w:rPr>
        <w:t xml:space="preserve"> y responsabilidades.</w:t>
      </w:r>
    </w:p>
    <w:p w14:paraId="687AC918" w14:textId="77EAFABB" w:rsidR="006B510A" w:rsidRPr="00973028" w:rsidRDefault="006B510A" w:rsidP="002960AB">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Igualmente, pueden beneficiarse de los derechos derivados del estatuto de protección de la persona denunciante los testigos y peritos, así como los cónyuges o las personas con quienes se encuentren ligados por análoga relación de afectividad y los ascendientes, descendientes y hermanos, siempre que también estos sufran represalias o amenaza de actos lesivos como consecuencia de la presentación de la denuncia, la declaración testifical o la emisión del informe pericial.</w:t>
      </w:r>
    </w:p>
    <w:p w14:paraId="0CCAD5F4" w14:textId="0CA1D55E" w:rsidR="006B510A" w:rsidRPr="00973028" w:rsidRDefault="006B510A" w:rsidP="002960AB">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La protección puede prolongarse durante la investigación y más allá de la misma. Los derechos y deberes inherentes a la concesión del estatuto de persona denunciante se mantienen durante todo el tiempo que se encuentre vigente la resolución administrativa que lo declara hasta que desaparezcan las causas que dieron lugar al otorgamiento de la protección, en cuyo caso se abre el procedimiento de pérdida del estatuto.</w:t>
      </w:r>
    </w:p>
    <w:p w14:paraId="0143A511" w14:textId="5C3953D6" w:rsidR="006B510A" w:rsidRPr="00E973F1" w:rsidRDefault="006B510A" w:rsidP="00E973F1">
      <w:pPr>
        <w:pStyle w:val="Prrafodelista"/>
        <w:keepNext/>
        <w:numPr>
          <w:ilvl w:val="3"/>
          <w:numId w:val="25"/>
        </w:numPr>
        <w:spacing w:before="360" w:after="240" w:line="276" w:lineRule="auto"/>
        <w:ind w:left="1134" w:hanging="1134"/>
        <w:contextualSpacing w:val="0"/>
        <w:jc w:val="both"/>
        <w:outlineLvl w:val="3"/>
        <w:rPr>
          <w:rFonts w:ascii="Arial" w:eastAsia="Times New Roman" w:hAnsi="Arial" w:cs="Arial"/>
          <w:b/>
          <w:color w:val="9D2235" w:themeColor="accent1"/>
          <w:sz w:val="28"/>
          <w:szCs w:val="28"/>
        </w:rPr>
      </w:pPr>
      <w:r w:rsidRPr="00E973F1">
        <w:rPr>
          <w:rFonts w:ascii="Arial" w:eastAsia="Times New Roman" w:hAnsi="Arial" w:cs="Arial"/>
          <w:b/>
          <w:color w:val="9D2235" w:themeColor="accent1"/>
          <w:sz w:val="28"/>
          <w:szCs w:val="28"/>
        </w:rPr>
        <w:t>Derechos</w:t>
      </w:r>
    </w:p>
    <w:p w14:paraId="3C536FB7" w14:textId="42E3F2C6" w:rsidR="006B510A" w:rsidRPr="00973028" w:rsidRDefault="006B510A" w:rsidP="00672ABA">
      <w:pPr>
        <w:pStyle w:val="Prrafodelista"/>
        <w:numPr>
          <w:ilvl w:val="0"/>
          <w:numId w:val="34"/>
        </w:numPr>
        <w:spacing w:before="360"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Asesoría legal en relación con los hechos denunciados, la cual se extiende a los procedimientos que contra las personas denunciantes se interpongan con motivo de la denuncia.</w:t>
      </w:r>
    </w:p>
    <w:p w14:paraId="3731076B" w14:textId="4277AE73" w:rsidR="006B510A" w:rsidRPr="00973028" w:rsidRDefault="006B510A" w:rsidP="00672ABA">
      <w:pPr>
        <w:pStyle w:val="Prrafodelista"/>
        <w:numPr>
          <w:ilvl w:val="0"/>
          <w:numId w:val="34"/>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Anonimato, y si la persona se identifica, confidencialidad tanto de los hechos denunciados como de su identidad.</w:t>
      </w:r>
    </w:p>
    <w:p w14:paraId="7ABFA01E" w14:textId="416BB4CC" w:rsidR="006B510A" w:rsidRPr="00973028" w:rsidRDefault="006B510A" w:rsidP="00672ABA">
      <w:pPr>
        <w:pStyle w:val="Prrafodelista"/>
        <w:numPr>
          <w:ilvl w:val="0"/>
          <w:numId w:val="34"/>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lastRenderedPageBreak/>
        <w:t>Garantía de que la denuncia de los hechos o conductas no supondrá infracción del deber de sigilo impuesto al personal empleado respecto de los asuntos que conozcan por razón de sus funciones ni responsabilidad alguna por la revelación realizada.</w:t>
      </w:r>
    </w:p>
    <w:p w14:paraId="449AE604" w14:textId="19DD076A" w:rsidR="006B510A" w:rsidRPr="00973028" w:rsidRDefault="006B510A" w:rsidP="00672ABA">
      <w:pPr>
        <w:pStyle w:val="Prrafodelista"/>
        <w:numPr>
          <w:ilvl w:val="0"/>
          <w:numId w:val="34"/>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Derecho a recibir comunicación acerca del inicio de las actuaciones de investigación en caso de que las mismas se estén llevando a cabo por la AVAF, o del archivo, así como de los resultados de la investigación.</w:t>
      </w:r>
    </w:p>
    <w:p w14:paraId="43D7F0A1" w14:textId="2FB15E0F" w:rsidR="006B510A" w:rsidRPr="00973028" w:rsidRDefault="006B510A" w:rsidP="00672ABA">
      <w:pPr>
        <w:pStyle w:val="Prrafodelista"/>
        <w:numPr>
          <w:ilvl w:val="0"/>
          <w:numId w:val="34"/>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Derecho a favorecer su atención y apoyo psicológico o médico, a través del sistema sanitario público.</w:t>
      </w:r>
    </w:p>
    <w:p w14:paraId="3739F4D9" w14:textId="1CBA2CFF" w:rsidR="006B510A" w:rsidRPr="00973028" w:rsidRDefault="006B510A" w:rsidP="00672ABA">
      <w:pPr>
        <w:pStyle w:val="Prrafodelista"/>
        <w:numPr>
          <w:ilvl w:val="0"/>
          <w:numId w:val="34"/>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Derecho a alegar en su descargo el haber presentado una denuncia o haber revelado determinada información de interés para la investigación, en los procesos judiciales que la persona denunciante entable para defender o restablecer sus derechos perjudicados por interposición de la denuncia.</w:t>
      </w:r>
    </w:p>
    <w:p w14:paraId="69BE60B2" w14:textId="15CDEE0B" w:rsidR="006B510A" w:rsidRPr="00973028" w:rsidRDefault="006B510A" w:rsidP="00672ABA">
      <w:pPr>
        <w:pStyle w:val="Prrafodelista"/>
        <w:numPr>
          <w:ilvl w:val="0"/>
          <w:numId w:val="34"/>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Derecho a la inversión de la carga de la prueba en los supuestos de existencia de represalias, contra las que la AVAF podrá adoptar medidas correctivas o de restablecimiento de derechos, previa audiencia a las personas, físicas o jurídicas, causantes de la lesión. Ello comporta que corresponde a estas últimas probar que el perjuicio no ha sido consecuencia de la denuncia interpuesta, sino que se basa en razones objetivas, justificadas y de conformidad con lo establecido en la ley.</w:t>
      </w:r>
    </w:p>
    <w:p w14:paraId="0C84F456" w14:textId="03F19C7C" w:rsidR="006B510A" w:rsidRPr="00973028" w:rsidRDefault="006B510A" w:rsidP="00672ABA">
      <w:pPr>
        <w:pStyle w:val="Prrafodelista"/>
        <w:numPr>
          <w:ilvl w:val="0"/>
          <w:numId w:val="34"/>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Derecho a que la Agencia ejerza acciones correctivas y de restablecimiento, a instancia de la persona denunciante, como solicitar al órgano competente su traslado a otro puesto, siempre que no implique perjuicio a su estatuto personal y carrera profesional, o conceder un permiso por tiempo determinado con mantenimiento de la retribución.</w:t>
      </w:r>
    </w:p>
    <w:p w14:paraId="49A1069C" w14:textId="136FAC85" w:rsidR="006B510A" w:rsidRPr="00973028" w:rsidRDefault="006B510A" w:rsidP="00672ABA">
      <w:pPr>
        <w:pStyle w:val="Prrafodelista"/>
        <w:numPr>
          <w:ilvl w:val="0"/>
          <w:numId w:val="34"/>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Derecho a la indemnización de los daños y perjuicios, determinados e individualizados económicamente, cuando se acredite que son producidos como consecuencia directa de la presentación de la denuncia.</w:t>
      </w:r>
    </w:p>
    <w:p w14:paraId="0176AA23" w14:textId="1B1A7E82" w:rsidR="006B510A" w:rsidRPr="00973028" w:rsidRDefault="006B510A" w:rsidP="00672ABA">
      <w:pPr>
        <w:pStyle w:val="Prrafodelista"/>
        <w:numPr>
          <w:ilvl w:val="0"/>
          <w:numId w:val="34"/>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Garantía de indemnidad laboral.</w:t>
      </w:r>
    </w:p>
    <w:p w14:paraId="3A8CA2AD" w14:textId="496A2922" w:rsidR="006B510A" w:rsidRPr="00973028" w:rsidRDefault="006B510A" w:rsidP="00672ABA">
      <w:pPr>
        <w:pStyle w:val="Prrafodelista"/>
        <w:numPr>
          <w:ilvl w:val="0"/>
          <w:numId w:val="34"/>
        </w:numPr>
        <w:spacing w:after="24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Derecho fundamental a su seguridad personal y familiar, por lo que deberá recibir protección policial cuando comunique la existencia de un peligro o amenaza sobre su vida, su integridad física o sobre sus bienes.</w:t>
      </w:r>
    </w:p>
    <w:p w14:paraId="64C8A48C" w14:textId="71DF9532" w:rsidR="006B510A" w:rsidRPr="00E973F1" w:rsidRDefault="006B510A" w:rsidP="00E973F1">
      <w:pPr>
        <w:pStyle w:val="Prrafodelista"/>
        <w:keepNext/>
        <w:numPr>
          <w:ilvl w:val="3"/>
          <w:numId w:val="25"/>
        </w:numPr>
        <w:spacing w:before="360" w:after="240" w:line="276" w:lineRule="auto"/>
        <w:ind w:left="1134" w:hanging="1134"/>
        <w:contextualSpacing w:val="0"/>
        <w:jc w:val="both"/>
        <w:outlineLvl w:val="3"/>
        <w:rPr>
          <w:rFonts w:ascii="Arial" w:eastAsia="Times New Roman" w:hAnsi="Arial" w:cs="Arial"/>
          <w:b/>
          <w:color w:val="9D2235" w:themeColor="accent1"/>
          <w:sz w:val="28"/>
          <w:szCs w:val="28"/>
        </w:rPr>
      </w:pPr>
      <w:r w:rsidRPr="00E973F1">
        <w:rPr>
          <w:rFonts w:ascii="Arial" w:eastAsia="Times New Roman" w:hAnsi="Arial" w:cs="Arial"/>
          <w:b/>
          <w:color w:val="9D2235" w:themeColor="accent1"/>
          <w:sz w:val="28"/>
          <w:szCs w:val="28"/>
        </w:rPr>
        <w:t>Deberes y responsabilidades</w:t>
      </w:r>
    </w:p>
    <w:p w14:paraId="1B528385" w14:textId="43F7C4D7" w:rsidR="006B510A" w:rsidRPr="00973028" w:rsidRDefault="006B510A" w:rsidP="00672ABA">
      <w:pPr>
        <w:pStyle w:val="Prrafodelista"/>
        <w:numPr>
          <w:ilvl w:val="0"/>
          <w:numId w:val="35"/>
        </w:numPr>
        <w:spacing w:before="360"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Actuar de buena fe, entendida esta como la creencia racional de que la información revelada es cierta y que con la denuncia actúa en aras de salvaguardar los intereses públicos y el bien común.</w:t>
      </w:r>
    </w:p>
    <w:p w14:paraId="6B7F6BE0" w14:textId="1534FD6F" w:rsidR="006B510A" w:rsidRPr="00973028" w:rsidRDefault="006B510A" w:rsidP="00672ABA">
      <w:pPr>
        <w:pStyle w:val="Prrafodelista"/>
        <w:numPr>
          <w:ilvl w:val="0"/>
          <w:numId w:val="35"/>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Deber de colaborar en la investigación que se esté llevando a cabo, a requerimiento de la AVAF, del Ministerio Fiscal o de la autoridad judicial.</w:t>
      </w:r>
    </w:p>
    <w:p w14:paraId="328F503C" w14:textId="53EE15DA" w:rsidR="006B510A" w:rsidRPr="00973028" w:rsidRDefault="006B510A" w:rsidP="00672ABA">
      <w:pPr>
        <w:pStyle w:val="Prrafodelista"/>
        <w:numPr>
          <w:ilvl w:val="0"/>
          <w:numId w:val="35"/>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La protección de la persona denunciante no exime a esta de las responsabilidades en que haya podido incurrir por hechos diferentes de los que constituyan el objeto de la denuncia.</w:t>
      </w:r>
    </w:p>
    <w:p w14:paraId="5FF05142" w14:textId="194CB718" w:rsidR="006B510A" w:rsidRPr="00973028" w:rsidRDefault="006B510A" w:rsidP="00672ABA">
      <w:pPr>
        <w:pStyle w:val="Prrafodelista"/>
        <w:numPr>
          <w:ilvl w:val="0"/>
          <w:numId w:val="35"/>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lastRenderedPageBreak/>
        <w:t>En el supuesto de que la denuncia contenga información falsa, tergiversada u obtenida ilícitamente, de la que pudiera derivar responsabilidad de orden penal, civil o disciplinario, se advierte de ello a la persona denunciante, pudiendo dar lugar a una sanción por falta muy grave.</w:t>
      </w:r>
    </w:p>
    <w:p w14:paraId="08690BBE" w14:textId="527B90F6" w:rsidR="006B510A" w:rsidRPr="00973028" w:rsidRDefault="006B510A" w:rsidP="00672ABA">
      <w:pPr>
        <w:pStyle w:val="Prrafodelista"/>
        <w:numPr>
          <w:ilvl w:val="0"/>
          <w:numId w:val="35"/>
        </w:numPr>
        <w:spacing w:after="120" w:line="276" w:lineRule="auto"/>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No será responsable por los daños y perjuicios que puedan derivarse de la comunicación o divulgación de la alerta fundada, ni incurrirá en ningún otro tipo de responsabilidad, civil o penal, que pueda desprenderse de tales circunstancias, incluidas expresamente las referidas al posible menoscabo del derecho al honor y de la protección de datos personales, salvo que la resolución que ponga fin al procedimiento demuestre que la persona denunciante conocía la escasa fiabilidad, inexactitud o falsedad de la información o se le condene por denuncia falsa.</w:t>
      </w:r>
    </w:p>
    <w:p w14:paraId="73AB59DC" w14:textId="090278D2" w:rsidR="006B510A" w:rsidRPr="00E973F1" w:rsidRDefault="006B510A" w:rsidP="00E973F1">
      <w:pPr>
        <w:pStyle w:val="Prrafodelista"/>
        <w:keepNext/>
        <w:numPr>
          <w:ilvl w:val="2"/>
          <w:numId w:val="25"/>
        </w:numPr>
        <w:spacing w:before="360" w:after="240" w:line="276" w:lineRule="auto"/>
        <w:ind w:left="1134" w:hanging="1134"/>
        <w:contextualSpacing w:val="0"/>
        <w:jc w:val="both"/>
        <w:outlineLvl w:val="2"/>
        <w:rPr>
          <w:rFonts w:ascii="Arial" w:eastAsia="Times New Roman" w:hAnsi="Arial" w:cs="Arial"/>
          <w:b/>
          <w:color w:val="9D2235" w:themeColor="accent1"/>
          <w:sz w:val="28"/>
          <w:szCs w:val="28"/>
        </w:rPr>
      </w:pPr>
      <w:bookmarkStart w:id="154" w:name="_Toc67646289"/>
      <w:r w:rsidRPr="00E973F1">
        <w:rPr>
          <w:rFonts w:ascii="Arial" w:eastAsia="Times New Roman" w:hAnsi="Arial" w:cs="Arial"/>
          <w:b/>
          <w:color w:val="9D2235" w:themeColor="accent1"/>
          <w:sz w:val="28"/>
          <w:szCs w:val="28"/>
        </w:rPr>
        <w:t>Decálogo para la protección de las personas denunciantes y alertadoras</w:t>
      </w:r>
      <w:bookmarkEnd w:id="154"/>
    </w:p>
    <w:p w14:paraId="0365DDE5" w14:textId="3AC14B7B" w:rsidR="006B510A" w:rsidRPr="00973028" w:rsidRDefault="006B510A" w:rsidP="002960AB">
      <w:pPr>
        <w:spacing w:after="12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La protección de las personas denunciantes o alertadoras también ha sido objeto de estudio en el Grupo de Trabajo creado al efecto dentro del marco del Consejo de Participación de la Agencia. Tras los análisis y debates pertinentes este Grupo de Trabajo elevó al Consejo de Participación una propuesta, que dio lugar a un acuerdo de este, adoptado en sesión plenaria el 30 de junio de 2020, en el que se ratificó el decálogo de principios que deben regir la protección de las personas denunciantes y alertadoras de corrupción. </w:t>
      </w:r>
    </w:p>
    <w:p w14:paraId="38A0032A" w14:textId="24798115" w:rsidR="006B510A" w:rsidRPr="00973028" w:rsidRDefault="006B510A" w:rsidP="002960AB">
      <w:pPr>
        <w:spacing w:after="12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Uno de los objetivos de la formulación de este decálogo es que su contenido pueda ser tenido en cuenta en la transposición al ordenamiento jurídico español de la Directiva (UE) 2019/1037, de protección de las personas que denuncian infracciones del Derecho de la Unión Europea. </w:t>
      </w:r>
    </w:p>
    <w:p w14:paraId="1B5CB3C7" w14:textId="6459BC79" w:rsidR="006B510A" w:rsidRPr="00973028" w:rsidRDefault="006B510A" w:rsidP="002960AB">
      <w:pPr>
        <w:spacing w:after="12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El referido </w:t>
      </w:r>
      <w:hyperlink r:id="rId128">
        <w:r w:rsidRPr="00973028">
          <w:rPr>
            <w:rStyle w:val="EnlladInternet"/>
            <w:rFonts w:ascii="Arial" w:eastAsia="Times New Roman" w:hAnsi="Arial" w:cs="Arial"/>
            <w:b/>
            <w:bCs/>
            <w:sz w:val="21"/>
            <w:szCs w:val="21"/>
            <w:lang w:eastAsia="es-ES"/>
          </w:rPr>
          <w:t>Decálogo para la Protección de las Personas Denunciantes y Alertadoras</w:t>
        </w:r>
      </w:hyperlink>
      <w:r w:rsidRPr="00973028">
        <w:rPr>
          <w:rFonts w:ascii="Arial" w:eastAsia="Times New Roman" w:hAnsi="Arial" w:cs="Arial"/>
          <w:b/>
          <w:bCs/>
          <w:i/>
          <w:iCs/>
          <w:sz w:val="21"/>
          <w:szCs w:val="21"/>
          <w:lang w:eastAsia="es-ES"/>
        </w:rPr>
        <w:t xml:space="preserve">, </w:t>
      </w:r>
      <w:r w:rsidRPr="00973028">
        <w:rPr>
          <w:rFonts w:ascii="Arial" w:eastAsia="Times New Roman" w:hAnsi="Arial" w:cs="Arial"/>
          <w:sz w:val="21"/>
          <w:szCs w:val="21"/>
          <w:lang w:eastAsia="es-ES"/>
        </w:rPr>
        <w:t xml:space="preserve">cuyo contenido íntegro se encuentra disponible en nuestra web, destaca que las medidas de prevención y lucha contra la corrupción exigen el asesoramiento y la protección de las personas que la denuncian, la instauración de buzones de denuncias seguros, confidenciales y anónimos, la delimitación de nuevos marcos de integridad, transparencia y ética pública, el compromiso de nuestras instituciones y una gran alianza con la ciudadanía. </w:t>
      </w:r>
    </w:p>
    <w:p w14:paraId="42EB2BFF" w14:textId="61A0507C" w:rsidR="006B510A" w:rsidRPr="00973028" w:rsidRDefault="006B510A" w:rsidP="002960AB">
      <w:pPr>
        <w:spacing w:after="12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Además, propone cuestiones como la delimitación de los doce ámbitos de la protección o la necesidad de que la estrategia de protección se extienda tanto al sector público como al privado. También incluye la necesidad de la realización de esta función desde la independencia y la rendición de cuentas, la coordinación entre los controles e investigaciones administrativos y penales, y el respeto en todo caso del principio de confidencialidad, así como la prohibición de represalias y el aseguramiento de la indemnidad de los denunciantes y alertadores. </w:t>
      </w:r>
    </w:p>
    <w:p w14:paraId="02729B33" w14:textId="56CA835D" w:rsidR="006B510A" w:rsidRPr="00973028" w:rsidRDefault="006B510A" w:rsidP="002960AB">
      <w:pPr>
        <w:spacing w:after="12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Este decálogo ha sido suscrito junto a la Agencia Valenciana Antifraude por las siguientes entidades: COSITAL València, Observatori Ciutadà contra la Corrupció (OCC), Fundación por la Justicia, Tactical Whistleblowers, Transparencia Internacional España, Asociación Valenciana de Consumidores y Usuarios (AVACU), Asociación Española Sujetos Obligados en Prevención del Blanqueo (ASEBLAC), Fundación Internacional Baltasar Garzón </w:t>
      </w:r>
      <w:r w:rsidRPr="00973028">
        <w:rPr>
          <w:rFonts w:ascii="Arial" w:eastAsia="Times New Roman" w:hAnsi="Arial" w:cs="Arial"/>
          <w:sz w:val="21"/>
          <w:szCs w:val="21"/>
          <w:lang w:eastAsia="es-ES"/>
        </w:rPr>
        <w:lastRenderedPageBreak/>
        <w:t>(FIBGAR), Asociación de Alertadores contra la Corrupción Whistleblower, Acción Cívica contra la Corrupción, Plataforma por la Honestidad (PlxH), Plataforma Ciutadana Castelló per la Justícia i Contra la Corrupció y Sindicato de Técnicos del Ministerio de Hacienda (GESTHA).</w:t>
      </w:r>
    </w:p>
    <w:p w14:paraId="2164E023" w14:textId="3B4996A6" w:rsidR="006B510A" w:rsidRPr="00E973F1" w:rsidRDefault="006B510A" w:rsidP="00E973F1">
      <w:pPr>
        <w:pStyle w:val="Prrafodelista"/>
        <w:keepNext/>
        <w:numPr>
          <w:ilvl w:val="3"/>
          <w:numId w:val="25"/>
        </w:numPr>
        <w:spacing w:before="360" w:after="240" w:line="276" w:lineRule="auto"/>
        <w:ind w:left="1134" w:hanging="1134"/>
        <w:contextualSpacing w:val="0"/>
        <w:jc w:val="both"/>
        <w:outlineLvl w:val="3"/>
        <w:rPr>
          <w:rFonts w:ascii="Arial" w:eastAsia="Times New Roman" w:hAnsi="Arial" w:cs="Arial"/>
          <w:b/>
          <w:color w:val="9D2235" w:themeColor="accent1"/>
          <w:sz w:val="28"/>
          <w:szCs w:val="28"/>
        </w:rPr>
      </w:pPr>
      <w:r w:rsidRPr="00E973F1">
        <w:rPr>
          <w:rFonts w:ascii="Arial" w:eastAsia="Times New Roman" w:hAnsi="Arial" w:cs="Arial"/>
          <w:b/>
          <w:color w:val="9D2235" w:themeColor="accent1"/>
          <w:sz w:val="28"/>
          <w:szCs w:val="28"/>
        </w:rPr>
        <w:t>Situación de la protección de las personas denunciantes en la Comunitat Valenciana</w:t>
      </w:r>
    </w:p>
    <w:p w14:paraId="4E7625CE" w14:textId="77777777" w:rsidR="002960AB" w:rsidRPr="00973028" w:rsidRDefault="006B510A" w:rsidP="00FB0024">
      <w:pPr>
        <w:spacing w:after="240" w:line="276" w:lineRule="auto"/>
        <w:jc w:val="both"/>
        <w:rPr>
          <w:rFonts w:ascii="Arial" w:eastAsia="Times New Roman" w:hAnsi="Arial" w:cs="Arial"/>
          <w:sz w:val="21"/>
          <w:szCs w:val="21"/>
          <w:lang w:eastAsia="es-ES"/>
        </w:rPr>
      </w:pPr>
      <w:r w:rsidRPr="00973028">
        <w:rPr>
          <w:rFonts w:ascii="Arial" w:eastAsia="Times New Roman" w:hAnsi="Arial" w:cs="Arial"/>
          <w:color w:val="000000"/>
          <w:sz w:val="21"/>
          <w:szCs w:val="21"/>
          <w:lang w:eastAsia="es-ES"/>
        </w:rPr>
        <w:t xml:space="preserve">Como ha quedado dicho, la </w:t>
      </w:r>
      <w:r w:rsidRPr="00973028">
        <w:rPr>
          <w:rFonts w:ascii="Arial" w:eastAsia="Times New Roman" w:hAnsi="Arial" w:cs="Arial"/>
          <w:b/>
          <w:bCs/>
          <w:color w:val="000000"/>
          <w:sz w:val="21"/>
          <w:szCs w:val="21"/>
          <w:lang w:eastAsia="es-ES"/>
        </w:rPr>
        <w:t>Ley 11/2016, de 28 de noviembre, de la Generalitat,</w:t>
      </w:r>
      <w:r w:rsidRPr="00973028">
        <w:rPr>
          <w:rFonts w:ascii="Arial" w:eastAsia="Times New Roman" w:hAnsi="Arial" w:cs="Arial"/>
          <w:color w:val="000000"/>
          <w:sz w:val="21"/>
          <w:szCs w:val="21"/>
          <w:lang w:eastAsia="es-ES"/>
        </w:rPr>
        <w:t xml:space="preserve"> que crea la Agencia de Prevención y Lucha contra el Fraude y la Corrupción de la Comunitat Valenciana</w:t>
      </w:r>
      <w:r w:rsidRPr="00973028">
        <w:rPr>
          <w:rFonts w:ascii="Arial" w:eastAsia="Times New Roman" w:hAnsi="Arial" w:cs="Arial"/>
          <w:sz w:val="21"/>
          <w:szCs w:val="21"/>
          <w:lang w:eastAsia="es-ES"/>
        </w:rPr>
        <w:t xml:space="preserve"> </w:t>
      </w:r>
      <w:r w:rsidRPr="00973028">
        <w:rPr>
          <w:rFonts w:ascii="Arial" w:eastAsia="Times New Roman" w:hAnsi="Arial" w:cs="Arial"/>
          <w:b/>
          <w:bCs/>
          <w:sz w:val="21"/>
          <w:szCs w:val="21"/>
          <w:lang w:eastAsia="es-ES"/>
        </w:rPr>
        <w:t>presta una atención especial a las personas denunciantes y recoge la posibilidad de otorgar un estatuto de protección</w:t>
      </w:r>
      <w:r w:rsidRPr="00973028">
        <w:rPr>
          <w:rFonts w:ascii="Arial" w:eastAsia="Times New Roman" w:hAnsi="Arial" w:cs="Arial"/>
          <w:sz w:val="21"/>
          <w:szCs w:val="21"/>
          <w:lang w:eastAsia="es-ES"/>
        </w:rPr>
        <w:t xml:space="preserve"> a personas que denuncian irregularidades que pueden dar lugar a responsabilidades legales.</w:t>
      </w:r>
    </w:p>
    <w:p w14:paraId="2962B471" w14:textId="259529FA" w:rsidR="006B510A" w:rsidRPr="00973028" w:rsidRDefault="006B510A" w:rsidP="00FB0024">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Desde hace más de tres años la Comunitat Valenciana protege a personas que denuncian hechos o conductas presuntamente constitutivos de fraude o corrupción, a los que generalmente tienen acceso o conocimiento en cumplimiento de las obligaciones laborales o profesionales, lo que les </w:t>
      </w:r>
      <w:r w:rsidRPr="00973028">
        <w:rPr>
          <w:rFonts w:ascii="Arial" w:eastAsia="Times New Roman" w:hAnsi="Arial" w:cs="Arial"/>
          <w:color w:val="000000"/>
          <w:sz w:val="21"/>
          <w:szCs w:val="21"/>
          <w:lang w:eastAsia="es-ES"/>
        </w:rPr>
        <w:t>conduce a presentar denuncias ante la propia Agencia o el Ministerio Fiscal o la autoridad judicial.</w:t>
      </w:r>
    </w:p>
    <w:p w14:paraId="057C4D66" w14:textId="66782300" w:rsidR="006B510A" w:rsidRPr="00973028" w:rsidRDefault="006B510A" w:rsidP="00FB0024">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De acuerdo con la experiencia de la AVAF adquirida en materia de protección a las personas denunciantes, el otorgamiento a estas de </w:t>
      </w:r>
      <w:r w:rsidRPr="00973028">
        <w:rPr>
          <w:rFonts w:ascii="Arial" w:eastAsia="Times New Roman" w:hAnsi="Arial" w:cs="Arial"/>
          <w:b/>
          <w:bCs/>
          <w:sz w:val="21"/>
          <w:szCs w:val="21"/>
          <w:lang w:eastAsia="es-ES"/>
        </w:rPr>
        <w:t>un estatuto de protección se erige como una potente herramienta en la lucha contra la corrupción</w:t>
      </w:r>
      <w:r w:rsidRPr="00973028">
        <w:rPr>
          <w:rFonts w:ascii="Arial" w:eastAsia="Times New Roman" w:hAnsi="Arial" w:cs="Arial"/>
          <w:sz w:val="21"/>
          <w:szCs w:val="21"/>
          <w:lang w:eastAsia="es-ES"/>
        </w:rPr>
        <w:t xml:space="preserve">. </w:t>
      </w:r>
    </w:p>
    <w:p w14:paraId="21B51920" w14:textId="29E3A645" w:rsidR="006B510A" w:rsidRPr="00973028" w:rsidRDefault="006B510A" w:rsidP="00FB0024">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sz w:val="21"/>
          <w:szCs w:val="21"/>
          <w:lang w:eastAsia="es-ES"/>
        </w:rPr>
        <w:t>Con el otorgamiento de dicho estatuto se evita el oscurantismo y el secreto, márgenes donde se mueve y anida la corrupción, se anima a los denunciantes potenciales a no mirar hacia otro lado y se posibilita la ruptura de la tan extendida ley del silencio. Sin denunciantes, que en un número importante de casos se convierten en testigos clave en procedimientos penales (también potencialmente procedimientos sancionadores o disciplinarios), se hace prácticamente imposible perseguir y castigar la corrup</w:t>
      </w:r>
      <w:r w:rsidRPr="00973028">
        <w:rPr>
          <w:rFonts w:ascii="Arial" w:eastAsia="Times New Roman" w:hAnsi="Arial" w:cs="Arial"/>
          <w:color w:val="000000"/>
          <w:sz w:val="21"/>
          <w:szCs w:val="21"/>
          <w:lang w:eastAsia="es-ES"/>
        </w:rPr>
        <w:t>ción. De ahí la importancia y necesidad de su protección.</w:t>
      </w:r>
    </w:p>
    <w:p w14:paraId="5BF10F59" w14:textId="1D6E74CB" w:rsidR="006B510A" w:rsidRPr="00973028" w:rsidRDefault="006B510A" w:rsidP="00FB0024">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Tradicionalmente han sido </w:t>
      </w:r>
      <w:r w:rsidRPr="00973028">
        <w:rPr>
          <w:rFonts w:ascii="Arial" w:eastAsia="Times New Roman" w:hAnsi="Arial" w:cs="Arial"/>
          <w:b/>
          <w:bCs/>
          <w:sz w:val="21"/>
          <w:szCs w:val="21"/>
          <w:lang w:eastAsia="es-ES"/>
        </w:rPr>
        <w:t>tres</w:t>
      </w:r>
      <w:r w:rsidRPr="00973028">
        <w:rPr>
          <w:rFonts w:ascii="Arial" w:eastAsia="Times New Roman" w:hAnsi="Arial" w:cs="Arial"/>
          <w:sz w:val="21"/>
          <w:szCs w:val="21"/>
          <w:lang w:eastAsia="es-ES"/>
        </w:rPr>
        <w:t xml:space="preserve">, fundamentalmente, las </w:t>
      </w:r>
      <w:r w:rsidRPr="00973028">
        <w:rPr>
          <w:rFonts w:ascii="Arial" w:eastAsia="Times New Roman" w:hAnsi="Arial" w:cs="Arial"/>
          <w:b/>
          <w:bCs/>
          <w:sz w:val="21"/>
          <w:szCs w:val="21"/>
          <w:lang w:eastAsia="es-ES"/>
        </w:rPr>
        <w:t>causas que han impedido que afloren casos de corrupción</w:t>
      </w:r>
      <w:r w:rsidRPr="00973028">
        <w:rPr>
          <w:rFonts w:ascii="Arial" w:eastAsia="Times New Roman" w:hAnsi="Arial" w:cs="Arial"/>
          <w:sz w:val="21"/>
          <w:szCs w:val="21"/>
          <w:lang w:eastAsia="es-ES"/>
        </w:rPr>
        <w:t>:</w:t>
      </w:r>
    </w:p>
    <w:p w14:paraId="3147F290" w14:textId="31834D6A" w:rsidR="006B510A" w:rsidRPr="00973028" w:rsidRDefault="006B510A" w:rsidP="00FB0024">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En primer lugar, el miedo a denunciar por el alto riesgo profesional y personal que se corre al hacerlo, pues el denunciante se encuentra siempre en posición de inferioridad frente al denunciado y por tanto es altamente vulnerable.</w:t>
      </w:r>
    </w:p>
    <w:p w14:paraId="6BEAF18F" w14:textId="153DA1CB" w:rsidR="006B510A" w:rsidRPr="00973028" w:rsidRDefault="006B510A" w:rsidP="00FB0024">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En segundo lugar, la inexistencia de canales seguros y confidenciales a los que dirigir las alertas y denuncias sobre malas praxis y conductas corruptas en el seno de las administraciones públicas y del sector público vinculado.</w:t>
      </w:r>
    </w:p>
    <w:p w14:paraId="0F27D18B" w14:textId="7874AAC1" w:rsidR="006B510A" w:rsidRPr="00973028" w:rsidRDefault="006B510A" w:rsidP="00FB0024">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Y, en tercer lugar, la creencia de que “la denuncia no sirve para nada”. Es decir, la falta de confianza en que, si se denuncia, se lleve a cabo una adecuada investigación, de forma rigurosa y con todas sus consecuencias.</w:t>
      </w:r>
    </w:p>
    <w:p w14:paraId="2DE2C4A3" w14:textId="2EC7AF4B" w:rsidR="006B510A" w:rsidRPr="00973028" w:rsidRDefault="006B510A" w:rsidP="00FB0024">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lastRenderedPageBreak/>
        <w:t xml:space="preserve">A lo anterior debemos añadir el clásico y despectivo concepto de denunciante, al que se le asocia el apelativo de chivato, delator o soplón; aquel que va en contra del </w:t>
      </w:r>
      <w:r w:rsidRPr="00973028">
        <w:rPr>
          <w:rFonts w:ascii="Arial" w:eastAsia="Times New Roman" w:hAnsi="Arial" w:cs="Arial"/>
          <w:i/>
          <w:iCs/>
          <w:color w:val="000000"/>
          <w:sz w:val="21"/>
          <w:szCs w:val="21"/>
          <w:lang w:eastAsia="es-ES"/>
        </w:rPr>
        <w:t>establishment.</w:t>
      </w:r>
    </w:p>
    <w:p w14:paraId="291830FB" w14:textId="3D9C896B" w:rsidR="006B510A" w:rsidRPr="00973028" w:rsidRDefault="006B510A" w:rsidP="00FB0024">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En cuanto a la primera de estas causas, la relativa al miedo, la concesión del estatuto de protección implica que la AVAF vela para que estas personas no sufran amenazas, acoso, intimidación, acusaciones falsas, merma de derechos, apertura de expedientes disciplinarios o incluso el despido, puesto que una vez otorgado el mismo, la AVAF realiza un seguimiento de la persona denunciada y de su situación. Conforme a su Ley de creación, esta Agencia cuenta para ello con una poderosa herramienta disuasoria: la potestad sancionadora a imponer al represaliador, puesto que el incumplimiento de las medidas de protección del denunciante constituye una infracción muy grave, sancionable con multa de hasta 400.000 euros y publicación en el </w:t>
      </w:r>
      <w:r w:rsidRPr="00973028">
        <w:rPr>
          <w:rFonts w:ascii="Arial" w:eastAsia="Times New Roman" w:hAnsi="Arial" w:cs="Arial"/>
          <w:i/>
          <w:iCs/>
          <w:color w:val="000000"/>
          <w:sz w:val="21"/>
          <w:szCs w:val="21"/>
          <w:lang w:eastAsia="es-ES"/>
        </w:rPr>
        <w:t>Diari Oficial de la Generalitat Valenciana</w:t>
      </w:r>
      <w:r w:rsidRPr="00973028">
        <w:rPr>
          <w:rFonts w:ascii="Arial" w:eastAsia="Times New Roman" w:hAnsi="Arial" w:cs="Arial"/>
          <w:color w:val="000000"/>
          <w:sz w:val="21"/>
          <w:szCs w:val="21"/>
          <w:lang w:eastAsia="es-ES"/>
        </w:rPr>
        <w:t xml:space="preserve"> para conocimiento general.</w:t>
      </w:r>
    </w:p>
    <w:p w14:paraId="094725A1" w14:textId="0F2D6E46" w:rsidR="002960AB" w:rsidRPr="00973028" w:rsidRDefault="006B510A" w:rsidP="00FB0024">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Respecto a la segunda y tercera de las causas, la Agencia puso en marcha en mayo de 2018 un canal seguro, accesible y eficaz de denuncias, a través del Buzón de </w:t>
      </w:r>
      <w:r w:rsidR="00C24960">
        <w:rPr>
          <w:rFonts w:ascii="Arial" w:eastAsia="Times New Roman" w:hAnsi="Arial" w:cs="Arial"/>
          <w:color w:val="000000"/>
          <w:sz w:val="21"/>
          <w:szCs w:val="21"/>
          <w:lang w:eastAsia="es-ES"/>
        </w:rPr>
        <w:t>D</w:t>
      </w:r>
      <w:r w:rsidRPr="00973028">
        <w:rPr>
          <w:rFonts w:ascii="Arial" w:eastAsia="Times New Roman" w:hAnsi="Arial" w:cs="Arial"/>
          <w:color w:val="000000"/>
          <w:sz w:val="21"/>
          <w:szCs w:val="21"/>
          <w:lang w:eastAsia="es-ES"/>
        </w:rPr>
        <w:t xml:space="preserve">enuncias, disponible en la página web </w:t>
      </w:r>
      <w:hyperlink r:id="rId129">
        <w:r w:rsidRPr="00973028">
          <w:rPr>
            <w:rStyle w:val="EnlladInternet"/>
            <w:rFonts w:ascii="Arial" w:eastAsia="Times New Roman" w:hAnsi="Arial" w:cs="Arial"/>
            <w:sz w:val="21"/>
            <w:szCs w:val="21"/>
            <w:lang w:eastAsia="es-ES"/>
          </w:rPr>
          <w:t>https://www.antifraucv.es</w:t>
        </w:r>
      </w:hyperlink>
      <w:r w:rsidRPr="00973028">
        <w:rPr>
          <w:rFonts w:ascii="Arial" w:eastAsia="Times New Roman" w:hAnsi="Arial" w:cs="Arial"/>
          <w:color w:val="000000"/>
          <w:sz w:val="21"/>
          <w:szCs w:val="21"/>
          <w:lang w:eastAsia="es-ES"/>
        </w:rPr>
        <w:t>, el cual permite también las denuncias anónimas; denuncias cuya verosimilitud se analiza y si existen elementos o indicios suficientes dan lugar a la apertura de procedimientos de investigación que lleva a cabo la propia</w:t>
      </w:r>
      <w:r w:rsidRPr="00973028">
        <w:rPr>
          <w:rFonts w:ascii="Arial" w:eastAsia="Times New Roman" w:hAnsi="Arial" w:cs="Arial"/>
          <w:sz w:val="21"/>
          <w:szCs w:val="21"/>
          <w:lang w:eastAsia="es-ES"/>
        </w:rPr>
        <w:t xml:space="preserve"> Agencia.</w:t>
      </w:r>
    </w:p>
    <w:p w14:paraId="07B0E01F" w14:textId="097B37C8" w:rsidR="006B510A" w:rsidRPr="00973028" w:rsidRDefault="006B510A" w:rsidP="00FB0024">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sz w:val="21"/>
          <w:szCs w:val="21"/>
          <w:lang w:eastAsia="es-ES"/>
        </w:rPr>
        <w:t>Y, por último, por lo que se refiere a la consideración despectiva del término denunciante, la AVAF trata de promover un cambio de cultura, pues es el denunciante, quien, poniéndose en riesgo, permite destapar hechos corruptos, fraudes o malas prácticas, que es preciso castigar o corregir.</w:t>
      </w:r>
    </w:p>
    <w:p w14:paraId="442A6C4C" w14:textId="5717A02A" w:rsidR="006B510A" w:rsidRPr="00973028" w:rsidRDefault="006B510A" w:rsidP="00FB0024">
      <w:pPr>
        <w:spacing w:after="240" w:line="276" w:lineRule="auto"/>
        <w:jc w:val="both"/>
        <w:rPr>
          <w:rFonts w:ascii="Arial" w:eastAsia="Times New Roman" w:hAnsi="Arial" w:cs="Arial"/>
          <w:b/>
          <w:bCs/>
          <w:sz w:val="21"/>
          <w:szCs w:val="21"/>
          <w:lang w:eastAsia="es-ES"/>
        </w:rPr>
      </w:pPr>
      <w:r w:rsidRPr="00973028">
        <w:rPr>
          <w:rFonts w:ascii="Arial" w:eastAsia="Times New Roman" w:hAnsi="Arial" w:cs="Arial"/>
          <w:b/>
          <w:bCs/>
          <w:sz w:val="21"/>
          <w:szCs w:val="21"/>
          <w:lang w:eastAsia="es-ES"/>
        </w:rPr>
        <w:t>El denunciante</w:t>
      </w:r>
      <w:r w:rsidRPr="00973028">
        <w:rPr>
          <w:rFonts w:ascii="Arial" w:eastAsia="Times New Roman" w:hAnsi="Arial" w:cs="Arial"/>
          <w:sz w:val="21"/>
          <w:szCs w:val="21"/>
          <w:lang w:eastAsia="es-ES"/>
        </w:rPr>
        <w:t xml:space="preserve"> no debe ser un héroe sino una persona normal que cumple con su deber y actúa en aras al bien común; y en este sentido la sociedad debe agradecer su actuación, </w:t>
      </w:r>
      <w:r w:rsidRPr="00973028">
        <w:rPr>
          <w:rFonts w:ascii="Arial" w:eastAsia="Times New Roman" w:hAnsi="Arial" w:cs="Arial"/>
          <w:b/>
          <w:bCs/>
          <w:sz w:val="21"/>
          <w:szCs w:val="21"/>
          <w:lang w:eastAsia="es-ES"/>
        </w:rPr>
        <w:t>su ejemplo debe ser replicado y su figura reforzada.</w:t>
      </w:r>
    </w:p>
    <w:p w14:paraId="751C586F" w14:textId="6936141E" w:rsidR="006B510A" w:rsidRPr="00973028" w:rsidRDefault="006B510A" w:rsidP="00FB0024">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En nuestra experiencia, las personas que denuncian o alertan hechos o conductas susceptibles de ser consideradas fraude o corrupción se relacionan y comunican con la AVAF a través de su </w:t>
      </w:r>
      <w:r w:rsidRPr="00973028">
        <w:rPr>
          <w:rFonts w:ascii="Arial" w:eastAsia="Times New Roman" w:hAnsi="Arial" w:cs="Arial"/>
          <w:i/>
          <w:iCs/>
          <w:sz w:val="21"/>
          <w:szCs w:val="21"/>
          <w:lang w:eastAsia="es-ES"/>
        </w:rPr>
        <w:t xml:space="preserve">Buzón de </w:t>
      </w:r>
      <w:r w:rsidR="00C24960">
        <w:rPr>
          <w:rFonts w:ascii="Arial" w:eastAsia="Times New Roman" w:hAnsi="Arial" w:cs="Arial"/>
          <w:i/>
          <w:iCs/>
          <w:sz w:val="21"/>
          <w:szCs w:val="21"/>
          <w:lang w:eastAsia="es-ES"/>
        </w:rPr>
        <w:t>D</w:t>
      </w:r>
      <w:r w:rsidRPr="00973028">
        <w:rPr>
          <w:rFonts w:ascii="Arial" w:eastAsia="Times New Roman" w:hAnsi="Arial" w:cs="Arial"/>
          <w:i/>
          <w:iCs/>
          <w:sz w:val="21"/>
          <w:szCs w:val="21"/>
          <w:lang w:eastAsia="es-ES"/>
        </w:rPr>
        <w:t>enuncias</w:t>
      </w:r>
      <w:r w:rsidRPr="00973028">
        <w:rPr>
          <w:rFonts w:ascii="Arial" w:eastAsia="Times New Roman" w:hAnsi="Arial" w:cs="Arial"/>
          <w:sz w:val="21"/>
          <w:szCs w:val="21"/>
          <w:lang w:eastAsia="es-ES"/>
        </w:rPr>
        <w:t>, por correo electrónico u ordinario, registro de entrada de documentos, sede electrónica, telefónicamente o de modo presencial.</w:t>
      </w:r>
    </w:p>
    <w:p w14:paraId="5EDA3073" w14:textId="7A9468BC" w:rsidR="006B510A" w:rsidRPr="00973028" w:rsidRDefault="006B510A" w:rsidP="00FB0024">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Generalmente las denuncias se realizan por personal funcionario de carrera, sobre todo de la administración local, pero también existe personal funcionario interino, personal laboral de empresas y fundaciones públicas y personal contratado al servicio de empresas contratistas de la administración.</w:t>
      </w:r>
    </w:p>
    <w:p w14:paraId="4D59D444" w14:textId="2A82EC69" w:rsidR="006B510A" w:rsidRPr="00973028" w:rsidRDefault="006B510A" w:rsidP="00FB0024">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Las medidas de protección que conlleva el estatuto se pueden extender a familiares y personas del entorno laboral del denunciante que sufren amenazas o intimidaciones. También se aplica el estatuto en caso de tener que testificar ante autoridades judiciales del orden penal o emitir informes con destino a las mismas.</w:t>
      </w:r>
    </w:p>
    <w:p w14:paraId="166C8328" w14:textId="7BB43236" w:rsidR="006B510A" w:rsidRPr="00973028" w:rsidRDefault="006B510A" w:rsidP="00FB0024">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Los asuntos denunciados suelen estar relacionados con la contratación pública, el acceso a la función pública y la realización de pruebas selectivas, la provisión de puestos o ascensos, </w:t>
      </w:r>
      <w:r w:rsidRPr="00973028">
        <w:rPr>
          <w:rFonts w:ascii="Arial" w:eastAsia="Times New Roman" w:hAnsi="Arial" w:cs="Arial"/>
          <w:sz w:val="21"/>
          <w:szCs w:val="21"/>
          <w:lang w:eastAsia="es-ES"/>
        </w:rPr>
        <w:lastRenderedPageBreak/>
        <w:t>los derechos y las retribuciones del personal, y temas urbanísticos, de subvenciones o relativos al patrimonio público.</w:t>
      </w:r>
    </w:p>
    <w:p w14:paraId="2AF7315E" w14:textId="4AF7390D" w:rsidR="006B510A" w:rsidRPr="00973028" w:rsidRDefault="006B510A" w:rsidP="00FB0024">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En la inmensa mayoría de los casos en los que se ha concedido el estatuto, las denuncias son graves y tienen vertiente penal, por lo que se están sustanciando ante Juzgados y Tribunales.</w:t>
      </w:r>
    </w:p>
    <w:p w14:paraId="3B5C62BE" w14:textId="0954963F" w:rsidR="006B510A" w:rsidRPr="00973028" w:rsidRDefault="006B510A" w:rsidP="00FB0024">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La Comunitat Valenciana es pionera en todo el territorio nacional en llevar a cabo la protección de las personas denunciantes, informadoras o alertadoras de fraude, corrupción e irregularidades que pueden dar lugar a responsabilidades legales, anticipándose a la Directiva (UE) 2019/1937, y al propio Estado español.</w:t>
      </w:r>
    </w:p>
    <w:p w14:paraId="06A4C9F7" w14:textId="0D149F4B" w:rsidR="006B510A" w:rsidRPr="00973028" w:rsidRDefault="006B510A" w:rsidP="00FB0024">
      <w:pPr>
        <w:spacing w:after="240" w:line="276" w:lineRule="auto"/>
        <w:jc w:val="both"/>
        <w:rPr>
          <w:rFonts w:ascii="Arial" w:eastAsia="Times New Roman" w:hAnsi="Arial" w:cs="Arial"/>
          <w:sz w:val="21"/>
          <w:szCs w:val="21"/>
          <w:lang w:eastAsia="es-ES"/>
        </w:rPr>
      </w:pPr>
      <w:r w:rsidRPr="00973028">
        <w:rPr>
          <w:rFonts w:ascii="Arial" w:eastAsia="Times New Roman" w:hAnsi="Arial" w:cs="Arial"/>
          <w:color w:val="000000"/>
          <w:sz w:val="21"/>
          <w:szCs w:val="21"/>
          <w:lang w:eastAsia="es-ES"/>
        </w:rPr>
        <w:t xml:space="preserve">Así, las personas denunciantes que se dirigen a la Agencia, por el solo hecho de denunciar y con independencia de la concesión o no del estatuto de protección, tiene </w:t>
      </w:r>
      <w:r w:rsidRPr="00973028">
        <w:rPr>
          <w:rFonts w:ascii="Arial" w:eastAsia="Times New Roman" w:hAnsi="Arial" w:cs="Arial"/>
          <w:b/>
          <w:bCs/>
          <w:color w:val="000000"/>
          <w:sz w:val="21"/>
          <w:szCs w:val="21"/>
          <w:lang w:eastAsia="es-ES"/>
        </w:rPr>
        <w:t>derecho a asesoramiento jurídico</w:t>
      </w:r>
      <w:r w:rsidRPr="00973028">
        <w:rPr>
          <w:rFonts w:ascii="Arial" w:eastAsia="Times New Roman" w:hAnsi="Arial" w:cs="Arial"/>
          <w:color w:val="000000"/>
          <w:sz w:val="21"/>
          <w:szCs w:val="21"/>
          <w:lang w:eastAsia="es-ES"/>
        </w:rPr>
        <w:t>, obviamente gratuito y confidencial, lo que permite</w:t>
      </w:r>
      <w:r w:rsidRPr="00973028">
        <w:rPr>
          <w:rFonts w:ascii="Arial" w:eastAsia="Times New Roman" w:hAnsi="Arial" w:cs="Arial"/>
          <w:sz w:val="21"/>
          <w:szCs w:val="21"/>
          <w:lang w:eastAsia="es-ES"/>
        </w:rPr>
        <w:t xml:space="preserve"> impulsar la denuncia, redirigirla a otros órganos o autoridades competentes o incluso evitar la presentación de denuncias infundadas. </w:t>
      </w:r>
    </w:p>
    <w:p w14:paraId="3390D4E0" w14:textId="6B2FC0C2" w:rsidR="006B510A" w:rsidRPr="00973028" w:rsidRDefault="006B510A" w:rsidP="00FB0024">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La AVAF asesora cada año, vía telefónica, presencial o por correo electrónico, a cerca de un centenar de personas.</w:t>
      </w:r>
    </w:p>
    <w:p w14:paraId="4981DCD8" w14:textId="77777777" w:rsidR="00FB0024" w:rsidRPr="00715F9C" w:rsidRDefault="006B510A" w:rsidP="00FB0024">
      <w:pPr>
        <w:spacing w:after="240" w:line="276" w:lineRule="auto"/>
        <w:jc w:val="both"/>
        <w:rPr>
          <w:rFonts w:ascii="Arial" w:eastAsia="Times New Roman" w:hAnsi="Arial" w:cs="Arial"/>
          <w:sz w:val="21"/>
          <w:szCs w:val="21"/>
          <w:lang w:eastAsia="es-ES"/>
        </w:rPr>
      </w:pPr>
      <w:r w:rsidRPr="00715F9C">
        <w:rPr>
          <w:rFonts w:ascii="Arial" w:eastAsia="Times New Roman" w:hAnsi="Arial" w:cs="Arial"/>
          <w:sz w:val="21"/>
          <w:szCs w:val="21"/>
          <w:lang w:eastAsia="es-ES"/>
        </w:rPr>
        <w:t>Hasta diciembre de 2020, han llegado a la AVAF treinta y cinco solicitudes del estatuto de protección de la persona denunciante. Respecto de dichas solicitudes, se ha concedido la protección a veintiuna personas, han sido denegadas tres solicitudes de protección, se han inadmitido por falta de competencia dos solicitudes, y se han producido cinco perdidas del estatuto de protección, que como más abajo se explica, se encontraban autorizadas por el efecto del silencio administrativo. A 31 de diciembre de 2020, existen cuatro solicitudes en tramitación.</w:t>
      </w:r>
    </w:p>
    <w:p w14:paraId="73A6E74E" w14:textId="35278E10" w:rsidR="006B510A" w:rsidRPr="00715F9C" w:rsidRDefault="006B510A" w:rsidP="00FB0024">
      <w:pPr>
        <w:spacing w:after="240" w:line="276" w:lineRule="auto"/>
        <w:jc w:val="both"/>
        <w:rPr>
          <w:rFonts w:ascii="Arial" w:eastAsia="Times New Roman" w:hAnsi="Arial" w:cs="Arial"/>
          <w:sz w:val="21"/>
          <w:szCs w:val="21"/>
          <w:lang w:eastAsia="es-ES"/>
        </w:rPr>
      </w:pPr>
      <w:r w:rsidRPr="00715F9C">
        <w:rPr>
          <w:rFonts w:ascii="Arial" w:eastAsia="Times New Roman" w:hAnsi="Arial" w:cs="Arial"/>
          <w:sz w:val="21"/>
          <w:szCs w:val="21"/>
          <w:lang w:eastAsia="es-ES"/>
        </w:rPr>
        <w:t xml:space="preserve">En relación con las solicitudes de otorgamiento del estatuto de protección que se encontraban pendientes de resolver a 1 de enero de 2020, debe destacarse que, durante 2020, tras su análisis detallado, se procedió a dictar tres resoluciones de denegación del estatuto de protección de la persona denunciante y una resolución de inadmisión por falta de competencia al tratarse de un asunto relacionado con el funcionamiento de la Administración de Justicia. </w:t>
      </w:r>
    </w:p>
    <w:p w14:paraId="650495FE" w14:textId="77777777" w:rsidR="006B510A" w:rsidRPr="00973028" w:rsidRDefault="006B510A" w:rsidP="00FB0024">
      <w:pPr>
        <w:spacing w:before="100" w:beforeAutospacing="1"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Los motivos de estas desestimaciones de protección son diversos, pudiendo destacar de manera sucinta, bien la inexistencia de denuncia en la que se apoye la solicitud de protección, bien que los hechos o conductas denunciados no revisten los elementos esenciales necesarios para ser considerados como fraude o corrupción desde el punto de vista del ámbito de actuación de la Agencia, bien que no se ha comprobado la concurrencia de los elementos constitutivos del fundamento de la medida de protección al no acreditar la persona solicitante la existencia de un perjuicio o daño, no identificar la existencia de sujeto represaliador o no advertir una especial posición de vulnerabilidad en la persona física o jurídica que denuncia.</w:t>
      </w:r>
    </w:p>
    <w:p w14:paraId="7BFB1872" w14:textId="77777777" w:rsidR="006B510A" w:rsidRPr="00973028" w:rsidRDefault="006B510A" w:rsidP="00FB0024">
      <w:pPr>
        <w:spacing w:before="100" w:beforeAutospacing="1"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Mención aparte merecen las resoluciones que durante el año 2020 se han dictado en relación con la pérdida del estatuto de protección de la persona denunciante, debiendo </w:t>
      </w:r>
      <w:r w:rsidRPr="00973028">
        <w:rPr>
          <w:rFonts w:ascii="Arial" w:eastAsia="Times New Roman" w:hAnsi="Arial" w:cs="Arial"/>
          <w:sz w:val="21"/>
          <w:szCs w:val="21"/>
          <w:lang w:eastAsia="es-ES"/>
        </w:rPr>
        <w:lastRenderedPageBreak/>
        <w:t xml:space="preserve">retroceder a la regulación inicial del artículo 14 de la Ley 11/2016, de 28 de noviembre, de la Generalitat, de la Agencia de Prevención y Lucha contra el Fraude y la Corrupción de la Comunitat Valenciana, para explicar su motivación desde un punto de vista jurídico. </w:t>
      </w:r>
    </w:p>
    <w:p w14:paraId="6AE5D22F" w14:textId="77777777" w:rsidR="006B510A" w:rsidRPr="00973028" w:rsidRDefault="006B510A" w:rsidP="00FB0024">
      <w:pPr>
        <w:spacing w:before="100" w:beforeAutospacing="1"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Debe recordarse que originariamente el citado artículo 14 de la Ley 11/2016, que regula el procedimiento de protección, no contenía mención expresa sobre los efectos del silencio administrativo de este tipo de procedimientos. Ello conllevaba la aplicación supletoria del régimen general establecido en la Ley 39/2015, de 1 de octubre, del Procedimiento Administrativo Común de las Administraciones Públicas, conforme al que, una vez trascurrido el plazo máximo para resolver de manera expresa, deben entenderse estimadas por silencio administrativo las solicitudes de concesión del estatuto de protección de la persona denunciante. </w:t>
      </w:r>
    </w:p>
    <w:p w14:paraId="0DBD502F" w14:textId="77777777" w:rsidR="006B510A" w:rsidRPr="00973028" w:rsidRDefault="006B510A" w:rsidP="00FB0024">
      <w:pPr>
        <w:spacing w:before="100" w:beforeAutospacing="1"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Con posterioridad, mediante Ley 27/2018, de 27 de diciembre, de medidas fiscales, de gestión administrativa y financiera y de organización de la Generalitat, se introdujo un nuevo apartado 3 en el artículo 14 de la Ley 11/2016, de 28 de noviembre, de la Generalitat, en el que se establece expresamente el carácter desestimatorio de la falta de resolución expresa, corrigiendo esta laguna legal. </w:t>
      </w:r>
    </w:p>
    <w:p w14:paraId="32B9DF56" w14:textId="77777777" w:rsidR="006B510A" w:rsidRPr="00973028" w:rsidRDefault="006B510A" w:rsidP="00FB0024">
      <w:pPr>
        <w:spacing w:before="100" w:beforeAutospacing="1"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De acuerdo con ello, la Agencia tenía solicitudes de protección a la persona denunciante anteriores a la vigencia de la Ley 27/2018 que, al no haberse podido dictar en plazo una resolución desestimatoria, habían devenido estimadas de manera presunta con base, única y exclusivamente, al instituto legal del silencio administrativo. Ante esta situación, y al no existir obstáculo legal para ello, la Agencia procedió a analizar si, en estos casos de estimación presunta, existían o no los presupuestos de hechos necesarios para el reconocimiento de la protección por razones de fondo. </w:t>
      </w:r>
    </w:p>
    <w:p w14:paraId="1FB9ABEE" w14:textId="77777777" w:rsidR="006B510A" w:rsidRPr="00973028" w:rsidRDefault="006B510A" w:rsidP="00FB0024">
      <w:pPr>
        <w:spacing w:before="100" w:beforeAutospacing="1"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Tras dicho análisis, en los casos en que se constató la ausencia de estos requisitos necesarios, se inició con cada uno de los interesados el oportuno procedimiento contradictorio para pérdida del estatuto de protección, conforme a la regulación establecida en el artículo 45 del Reglamento de funcionamiento y régimen interior de la Agencia. </w:t>
      </w:r>
    </w:p>
    <w:p w14:paraId="31057A17" w14:textId="5ACE96BF" w:rsidR="006B510A" w:rsidRPr="00715F9C" w:rsidRDefault="006B510A" w:rsidP="00FB0024">
      <w:pPr>
        <w:spacing w:before="100" w:beforeAutospacing="1" w:after="240" w:line="276" w:lineRule="auto"/>
        <w:jc w:val="both"/>
        <w:rPr>
          <w:rFonts w:ascii="Times New Roman" w:eastAsia="Times New Roman" w:hAnsi="Times New Roman" w:cs="Times New Roman"/>
          <w:sz w:val="24"/>
          <w:szCs w:val="24"/>
          <w:lang w:eastAsia="es-ES"/>
        </w:rPr>
      </w:pPr>
      <w:r w:rsidRPr="000E2A30">
        <w:rPr>
          <w:rFonts w:ascii="Arial" w:eastAsia="Times New Roman" w:hAnsi="Arial" w:cs="Arial"/>
          <w:color w:val="000000" w:themeColor="text1"/>
          <w:sz w:val="21"/>
          <w:szCs w:val="21"/>
          <w:lang w:eastAsia="es-ES"/>
        </w:rPr>
        <w:t xml:space="preserve">Este procedimiento ha dado lugar a que durante 2020 se hayan dictado cinco resoluciones de pérdida del estatuto de protección de la persona denunciante, todas ellas debidamente motivadas, en las que se concluye la no concurrencia de los requisitos esenciales para el otorgamiento de protección, </w:t>
      </w:r>
      <w:r w:rsidR="000E2A30" w:rsidRPr="000E2A30">
        <w:rPr>
          <w:rFonts w:ascii="Arial" w:eastAsia="Times New Roman" w:hAnsi="Arial" w:cs="Arial"/>
          <w:color w:val="000000" w:themeColor="text1"/>
          <w:sz w:val="21"/>
          <w:szCs w:val="21"/>
          <w:lang w:eastAsia="es-ES"/>
        </w:rPr>
        <w:t>es decir, se apreciaba</w:t>
      </w:r>
      <w:r w:rsidRPr="000E2A30">
        <w:rPr>
          <w:rFonts w:ascii="Arial" w:eastAsia="Times New Roman" w:hAnsi="Arial" w:cs="Arial"/>
          <w:color w:val="000000" w:themeColor="text1"/>
          <w:sz w:val="21"/>
          <w:szCs w:val="21"/>
          <w:lang w:eastAsia="es-ES"/>
        </w:rPr>
        <w:t xml:space="preserve"> la falta de existencia o previsibilidad de </w:t>
      </w:r>
      <w:r w:rsidRPr="00715F9C">
        <w:rPr>
          <w:rFonts w:ascii="Arial" w:eastAsia="Times New Roman" w:hAnsi="Arial" w:cs="Arial"/>
          <w:sz w:val="21"/>
          <w:szCs w:val="21"/>
          <w:lang w:eastAsia="es-ES"/>
        </w:rPr>
        <w:t xml:space="preserve">represalias, </w:t>
      </w:r>
      <w:r w:rsidR="000E2A30" w:rsidRPr="00715F9C">
        <w:rPr>
          <w:rFonts w:ascii="Arial" w:eastAsia="Times New Roman" w:hAnsi="Arial" w:cs="Arial"/>
          <w:sz w:val="21"/>
          <w:szCs w:val="21"/>
          <w:lang w:eastAsia="es-ES"/>
        </w:rPr>
        <w:t xml:space="preserve">la no concurrencia </w:t>
      </w:r>
      <w:r w:rsidRPr="00715F9C">
        <w:rPr>
          <w:rFonts w:ascii="Arial" w:eastAsia="Times New Roman" w:hAnsi="Arial" w:cs="Arial"/>
          <w:sz w:val="21"/>
          <w:szCs w:val="21"/>
          <w:lang w:eastAsia="es-ES"/>
        </w:rPr>
        <w:t>de una especial intencionalidad o ánimo lesivo en la conducta de las personas o entidades denunciadas, o el no quedar suficientemente acreditada una situación de vulnerabilidad del denunciante</w:t>
      </w:r>
      <w:r w:rsidR="00B35509" w:rsidRPr="00715F9C">
        <w:rPr>
          <w:rFonts w:ascii="Times New Roman" w:eastAsia="Times New Roman" w:hAnsi="Times New Roman" w:cs="Times New Roman"/>
          <w:sz w:val="24"/>
          <w:szCs w:val="24"/>
          <w:lang w:eastAsia="es-ES"/>
        </w:rPr>
        <w:t>.</w:t>
      </w:r>
    </w:p>
    <w:p w14:paraId="51604495" w14:textId="71AFD333" w:rsidR="006B510A" w:rsidRPr="00715F9C" w:rsidRDefault="006B510A" w:rsidP="00FB0024">
      <w:pPr>
        <w:spacing w:after="240" w:line="276" w:lineRule="auto"/>
        <w:jc w:val="both"/>
        <w:rPr>
          <w:rFonts w:ascii="Arial" w:eastAsia="Times New Roman" w:hAnsi="Arial" w:cs="Arial"/>
          <w:sz w:val="21"/>
          <w:szCs w:val="21"/>
          <w:lang w:eastAsia="es-ES"/>
        </w:rPr>
      </w:pPr>
      <w:r w:rsidRPr="00715F9C">
        <w:rPr>
          <w:rFonts w:ascii="Arial" w:eastAsia="Times New Roman" w:hAnsi="Arial" w:cs="Arial"/>
          <w:sz w:val="21"/>
          <w:szCs w:val="21"/>
          <w:lang w:eastAsia="es-ES"/>
        </w:rPr>
        <w:t>A fecha de redacción de esta Memoria el número de personas denunciantes protegidas por la Agencia alcanza un total de veintic</w:t>
      </w:r>
      <w:r w:rsidR="00563D14" w:rsidRPr="00715F9C">
        <w:rPr>
          <w:rFonts w:ascii="Arial" w:eastAsia="Times New Roman" w:hAnsi="Arial" w:cs="Arial"/>
          <w:sz w:val="21"/>
          <w:szCs w:val="21"/>
          <w:lang w:eastAsia="es-ES"/>
        </w:rPr>
        <w:t>inco</w:t>
      </w:r>
      <w:r w:rsidRPr="00715F9C">
        <w:rPr>
          <w:rFonts w:ascii="Arial" w:eastAsia="Times New Roman" w:hAnsi="Arial" w:cs="Arial"/>
          <w:sz w:val="21"/>
          <w:szCs w:val="21"/>
          <w:lang w:eastAsia="es-ES"/>
        </w:rPr>
        <w:t xml:space="preserve">. </w:t>
      </w:r>
    </w:p>
    <w:p w14:paraId="6322F0BF" w14:textId="5F7796D0" w:rsidR="006B510A" w:rsidRPr="00E973F1" w:rsidRDefault="006B510A" w:rsidP="00E973F1">
      <w:pPr>
        <w:pStyle w:val="Prrafodelista"/>
        <w:keepNext/>
        <w:numPr>
          <w:ilvl w:val="2"/>
          <w:numId w:val="25"/>
        </w:numPr>
        <w:spacing w:before="360" w:after="240" w:line="276" w:lineRule="auto"/>
        <w:ind w:left="1134" w:hanging="1134"/>
        <w:contextualSpacing w:val="0"/>
        <w:jc w:val="both"/>
        <w:outlineLvl w:val="2"/>
        <w:rPr>
          <w:rFonts w:ascii="Arial" w:eastAsia="Times New Roman" w:hAnsi="Arial" w:cs="Arial"/>
          <w:b/>
          <w:color w:val="9D2235" w:themeColor="accent1"/>
          <w:sz w:val="28"/>
          <w:szCs w:val="28"/>
        </w:rPr>
      </w:pPr>
      <w:bookmarkStart w:id="155" w:name="_Toc67646290"/>
      <w:r w:rsidRPr="00E973F1">
        <w:rPr>
          <w:rFonts w:ascii="Arial" w:eastAsia="Times New Roman" w:hAnsi="Arial" w:cs="Arial"/>
          <w:b/>
          <w:color w:val="9D2235" w:themeColor="accent1"/>
          <w:sz w:val="28"/>
          <w:szCs w:val="28"/>
        </w:rPr>
        <w:lastRenderedPageBreak/>
        <w:t>Seguimiento de la protección de las personas denunciantes</w:t>
      </w:r>
      <w:bookmarkEnd w:id="155"/>
    </w:p>
    <w:p w14:paraId="549DD204" w14:textId="48164954" w:rsidR="006B510A" w:rsidRPr="00973028" w:rsidRDefault="006B510A" w:rsidP="002960AB">
      <w:pPr>
        <w:spacing w:after="240" w:line="276" w:lineRule="auto"/>
        <w:jc w:val="both"/>
        <w:rPr>
          <w:rFonts w:ascii="Arial" w:hAnsi="Arial" w:cs="Arial"/>
          <w:sz w:val="21"/>
          <w:szCs w:val="21"/>
        </w:rPr>
      </w:pPr>
      <w:r w:rsidRPr="00973028">
        <w:rPr>
          <w:rFonts w:ascii="Arial" w:hAnsi="Arial" w:cs="Arial"/>
          <w:sz w:val="21"/>
          <w:szCs w:val="21"/>
        </w:rPr>
        <w:t>“Nadie debería poner en peligro su reputación o su puesto de trabajo por denunciar un comportamiento ilegal”.</w:t>
      </w:r>
    </w:p>
    <w:p w14:paraId="0FAA7BCD" w14:textId="1A07E9F8" w:rsidR="006B510A" w:rsidRPr="00973028" w:rsidRDefault="006B510A" w:rsidP="002960AB">
      <w:pPr>
        <w:spacing w:after="240" w:line="276" w:lineRule="auto"/>
        <w:jc w:val="both"/>
        <w:rPr>
          <w:rFonts w:ascii="Arial" w:hAnsi="Arial" w:cs="Arial"/>
          <w:sz w:val="21"/>
          <w:szCs w:val="21"/>
          <w:shd w:val="clear" w:color="auto" w:fill="FFFFFF"/>
        </w:rPr>
      </w:pPr>
      <w:r w:rsidRPr="00973028">
        <w:rPr>
          <w:rFonts w:ascii="Arial" w:hAnsi="Arial" w:cs="Arial"/>
          <w:sz w:val="21"/>
          <w:szCs w:val="21"/>
        </w:rPr>
        <w:t xml:space="preserve">Así se expresaba </w:t>
      </w:r>
      <w:r w:rsidRPr="00973028">
        <w:rPr>
          <w:rStyle w:val="CitaHTML"/>
          <w:rFonts w:ascii="Arial" w:hAnsi="Arial" w:cs="Arial"/>
          <w:sz w:val="21"/>
          <w:szCs w:val="21"/>
        </w:rPr>
        <w:t xml:space="preserve">Anna-Maja Henriksson, ministra de Justicia de Finlandia, </w:t>
      </w:r>
      <w:r w:rsidRPr="00973028">
        <w:rPr>
          <w:rFonts w:ascii="Arial" w:hAnsi="Arial" w:cs="Arial"/>
          <w:sz w:val="21"/>
          <w:szCs w:val="21"/>
          <w:shd w:val="clear" w:color="auto" w:fill="FFFFFF"/>
        </w:rPr>
        <w:t>país que ocupaba la Presidencia rotatoria de la Unión Europea en el momento de aprobarse la Directiva (UE) 2019/1937, relativa a la protección de personas denunciantes, pendiente en estos momentos de transposición al ordenamiento jurídico español.</w:t>
      </w:r>
    </w:p>
    <w:p w14:paraId="5BB91FFB" w14:textId="38778FDF" w:rsidR="006B510A" w:rsidRPr="00973028" w:rsidRDefault="006B510A" w:rsidP="002960AB">
      <w:pPr>
        <w:spacing w:after="240" w:line="276" w:lineRule="auto"/>
        <w:jc w:val="both"/>
        <w:rPr>
          <w:rFonts w:ascii="Arial" w:hAnsi="Arial" w:cs="Arial"/>
          <w:sz w:val="21"/>
          <w:szCs w:val="21"/>
        </w:rPr>
      </w:pPr>
      <w:r w:rsidRPr="00973028">
        <w:rPr>
          <w:rFonts w:ascii="Arial" w:hAnsi="Arial" w:cs="Arial"/>
          <w:sz w:val="21"/>
          <w:szCs w:val="21"/>
        </w:rPr>
        <w:t xml:space="preserve">Anticipándose a la aprobación de dicha Directiva, tres años antes se publicaba y entraba en vigor la </w:t>
      </w:r>
      <w:hyperlink r:id="rId130" w:history="1">
        <w:r w:rsidRPr="00973028">
          <w:rPr>
            <w:rStyle w:val="Hipervnculo"/>
            <w:rFonts w:ascii="Arial" w:hAnsi="Arial" w:cs="Arial"/>
            <w:sz w:val="21"/>
            <w:szCs w:val="21"/>
          </w:rPr>
          <w:t>Ley 11/2016, de 28 de noviembre, de la Generalitat, de la Agencia de Prevención y Lucha contra el Fraude y la Corrupción</w:t>
        </w:r>
      </w:hyperlink>
      <w:r w:rsidRPr="00973028">
        <w:rPr>
          <w:rFonts w:ascii="Arial" w:hAnsi="Arial" w:cs="Arial"/>
          <w:sz w:val="21"/>
          <w:szCs w:val="21"/>
        </w:rPr>
        <w:t>, que incorporaba en su articulado, de forma innovadora dentro del panorama jurídico estatal y autonómico, un régimen de protección de las personas denunciantes dentro del territorio de la Comunitat Valenciana.</w:t>
      </w:r>
    </w:p>
    <w:p w14:paraId="4D82703F" w14:textId="024E80F2" w:rsidR="006B510A" w:rsidRPr="00973028" w:rsidRDefault="006B510A" w:rsidP="002960AB">
      <w:pPr>
        <w:pStyle w:val="NormalWeb"/>
        <w:spacing w:before="0" w:beforeAutospacing="0" w:after="240" w:line="276" w:lineRule="auto"/>
        <w:jc w:val="both"/>
        <w:rPr>
          <w:rFonts w:ascii="Arial" w:hAnsi="Arial" w:cs="Arial"/>
          <w:sz w:val="21"/>
          <w:szCs w:val="21"/>
        </w:rPr>
      </w:pPr>
      <w:r w:rsidRPr="00973028">
        <w:rPr>
          <w:rFonts w:ascii="Arial" w:hAnsi="Arial" w:cs="Arial"/>
          <w:sz w:val="21"/>
          <w:szCs w:val="21"/>
        </w:rPr>
        <w:t>En concreto, el artículo 14 de la citada Ley 11/2016, bajo el título “Estatuto de la persona denunciante”</w:t>
      </w:r>
      <w:r w:rsidRPr="00973028">
        <w:rPr>
          <w:rFonts w:ascii="Arial" w:hAnsi="Arial" w:cs="Arial"/>
          <w:i/>
          <w:iCs/>
          <w:sz w:val="21"/>
          <w:szCs w:val="21"/>
        </w:rPr>
        <w:t>,</w:t>
      </w:r>
      <w:r w:rsidRPr="00973028">
        <w:rPr>
          <w:rFonts w:ascii="Arial" w:hAnsi="Arial" w:cs="Arial"/>
          <w:sz w:val="21"/>
          <w:szCs w:val="21"/>
        </w:rPr>
        <w:t xml:space="preserve"> refleja el deseo del legislador autonómico de recoger, de una manera expresa, una regulación aplicable a aquellas personas que deciden informar, alertar o denunciar conductas susceptibles de ser consideradas como fraude o corrupción, ofreciéndoles una protección eficaz frente a las posibles represalias que puedan sufrir tras la puesta en conocimiento de la Agencia o de otros organismos, tales como la Fiscalía, Juzgados y Tribunales, órganos de inspección administrativa, etc., estas conductas irregulares.</w:t>
      </w:r>
    </w:p>
    <w:p w14:paraId="195B4EF4" w14:textId="77777777" w:rsidR="002960AB" w:rsidRPr="00973028" w:rsidRDefault="006B510A" w:rsidP="002960AB">
      <w:pPr>
        <w:pStyle w:val="NormalWeb"/>
        <w:spacing w:before="0" w:beforeAutospacing="0" w:after="240" w:line="276" w:lineRule="auto"/>
        <w:jc w:val="both"/>
        <w:rPr>
          <w:rFonts w:ascii="Arial" w:hAnsi="Arial" w:cs="Arial"/>
          <w:sz w:val="21"/>
          <w:szCs w:val="21"/>
        </w:rPr>
      </w:pPr>
      <w:r w:rsidRPr="00973028">
        <w:rPr>
          <w:rFonts w:ascii="Arial" w:hAnsi="Arial" w:cs="Arial"/>
          <w:sz w:val="21"/>
          <w:szCs w:val="21"/>
        </w:rPr>
        <w:t>En ese sentido, dicho artículo 14 indica que “</w:t>
      </w:r>
      <w:r w:rsidRPr="00973028">
        <w:rPr>
          <w:rFonts w:ascii="Arial" w:hAnsi="Arial" w:cs="Arial"/>
          <w:b/>
          <w:bCs/>
          <w:sz w:val="21"/>
          <w:szCs w:val="21"/>
        </w:rPr>
        <w:t>la actuación de la Agencia prestará especial atención a la protección de las personas denunciantes”</w:t>
      </w:r>
      <w:r w:rsidRPr="00973028">
        <w:rPr>
          <w:rFonts w:ascii="Arial" w:hAnsi="Arial" w:cs="Arial"/>
          <w:sz w:val="21"/>
          <w:szCs w:val="21"/>
        </w:rPr>
        <w:t>; mención que no pretende quedarse en un simple desiderátum, sino que viene a configurar uno de los pilares fundamentales del funcionamiento de la AVAF y de sus actuaciones.</w:t>
      </w:r>
    </w:p>
    <w:p w14:paraId="7EEC541B" w14:textId="5EF0B2FE" w:rsidR="006B510A" w:rsidRPr="00973028" w:rsidRDefault="006B510A" w:rsidP="002960AB">
      <w:pPr>
        <w:pStyle w:val="NormalWeb"/>
        <w:spacing w:before="0" w:beforeAutospacing="0" w:after="240" w:line="276" w:lineRule="auto"/>
        <w:jc w:val="both"/>
        <w:rPr>
          <w:rFonts w:ascii="Arial" w:hAnsi="Arial" w:cs="Arial"/>
          <w:sz w:val="21"/>
          <w:szCs w:val="21"/>
        </w:rPr>
      </w:pPr>
      <w:r w:rsidRPr="00973028">
        <w:rPr>
          <w:rFonts w:ascii="Arial" w:hAnsi="Arial" w:cs="Arial"/>
          <w:color w:val="000000"/>
          <w:sz w:val="21"/>
          <w:szCs w:val="21"/>
        </w:rPr>
        <w:t>Dentro de esta “especial atención a la protección del denunciante”, las actuaciones de la Agencia se centran en el desarrollo de dos funciones esenciales: el asesoramiento jurídico y la protección frente a represalias.</w:t>
      </w:r>
    </w:p>
    <w:p w14:paraId="45C97290" w14:textId="6DD440FA" w:rsidR="006B510A" w:rsidRPr="00973028" w:rsidRDefault="006B510A" w:rsidP="002960AB">
      <w:pPr>
        <w:pStyle w:val="NormalWeb"/>
        <w:spacing w:before="0" w:beforeAutospacing="0" w:after="240" w:line="276" w:lineRule="auto"/>
        <w:jc w:val="both"/>
        <w:rPr>
          <w:rFonts w:ascii="Arial" w:hAnsi="Arial" w:cs="Arial"/>
          <w:sz w:val="21"/>
          <w:szCs w:val="21"/>
        </w:rPr>
      </w:pPr>
      <w:r w:rsidRPr="00973028">
        <w:rPr>
          <w:rFonts w:ascii="Arial" w:hAnsi="Arial" w:cs="Arial"/>
          <w:color w:val="000000"/>
          <w:sz w:val="21"/>
          <w:szCs w:val="21"/>
        </w:rPr>
        <w:t xml:space="preserve">El </w:t>
      </w:r>
      <w:r w:rsidRPr="00973028">
        <w:rPr>
          <w:rFonts w:ascii="Arial" w:hAnsi="Arial" w:cs="Arial"/>
          <w:b/>
          <w:bCs/>
          <w:color w:val="000000"/>
          <w:sz w:val="21"/>
          <w:szCs w:val="21"/>
        </w:rPr>
        <w:t>servicio de asesoramiento legal</w:t>
      </w:r>
      <w:r w:rsidRPr="00973028">
        <w:rPr>
          <w:rFonts w:ascii="Arial" w:hAnsi="Arial" w:cs="Arial"/>
          <w:color w:val="000000"/>
          <w:sz w:val="21"/>
          <w:szCs w:val="21"/>
        </w:rPr>
        <w:t xml:space="preserve">, de carácter gratuito y confidencial, </w:t>
      </w:r>
      <w:r w:rsidRPr="00973028">
        <w:rPr>
          <w:rFonts w:ascii="Arial" w:hAnsi="Arial" w:cs="Arial"/>
          <w:b/>
          <w:bCs/>
          <w:color w:val="000000"/>
          <w:sz w:val="21"/>
          <w:szCs w:val="21"/>
        </w:rPr>
        <w:t xml:space="preserve">es prestado por la Agencia a cualquier persona denunciante de buena fe </w:t>
      </w:r>
      <w:r w:rsidRPr="00973028">
        <w:rPr>
          <w:rFonts w:ascii="Arial" w:hAnsi="Arial" w:cs="Arial"/>
          <w:color w:val="222222"/>
          <w:sz w:val="21"/>
          <w:szCs w:val="21"/>
        </w:rPr>
        <w:t xml:space="preserve">en relación con los hechos denunciados, lo que </w:t>
      </w:r>
      <w:r w:rsidRPr="00973028">
        <w:rPr>
          <w:rFonts w:ascii="Arial" w:hAnsi="Arial" w:cs="Arial"/>
          <w:color w:val="000000"/>
          <w:sz w:val="21"/>
          <w:szCs w:val="21"/>
        </w:rPr>
        <w:t>permite</w:t>
      </w:r>
      <w:r w:rsidRPr="00973028">
        <w:rPr>
          <w:rFonts w:ascii="Arial" w:hAnsi="Arial" w:cs="Arial"/>
          <w:sz w:val="21"/>
          <w:szCs w:val="21"/>
        </w:rPr>
        <w:t xml:space="preserve"> impulsar la denuncia, redirigirla a otros órganos o autoridades competentes e incluso evitar la presentación de denuncias infundadas. Este asesoramiento se proporciona por la Agencia con </w:t>
      </w:r>
      <w:r w:rsidRPr="00973028">
        <w:rPr>
          <w:rFonts w:ascii="Arial" w:hAnsi="Arial" w:cs="Arial"/>
          <w:color w:val="000000"/>
          <w:sz w:val="21"/>
          <w:szCs w:val="21"/>
        </w:rPr>
        <w:t>independencia de que se haya o no concedido el estatuto de protección.</w:t>
      </w:r>
    </w:p>
    <w:p w14:paraId="262BB71C" w14:textId="0709A875" w:rsidR="006B510A" w:rsidRPr="00973028" w:rsidRDefault="006B510A" w:rsidP="002960AB">
      <w:pPr>
        <w:pStyle w:val="NormalWeb"/>
        <w:spacing w:before="0" w:beforeAutospacing="0" w:after="240" w:line="276" w:lineRule="auto"/>
        <w:jc w:val="both"/>
        <w:rPr>
          <w:rFonts w:ascii="Arial" w:hAnsi="Arial" w:cs="Arial"/>
          <w:color w:val="000000"/>
          <w:sz w:val="21"/>
          <w:szCs w:val="21"/>
        </w:rPr>
      </w:pPr>
      <w:r w:rsidRPr="00973028">
        <w:rPr>
          <w:rFonts w:ascii="Arial" w:hAnsi="Arial" w:cs="Arial"/>
          <w:color w:val="000000"/>
          <w:sz w:val="21"/>
          <w:szCs w:val="21"/>
        </w:rPr>
        <w:t xml:space="preserve">Por lo que se refiere </w:t>
      </w:r>
      <w:r w:rsidRPr="00973028">
        <w:rPr>
          <w:rFonts w:ascii="Arial" w:hAnsi="Arial" w:cs="Arial"/>
          <w:b/>
          <w:bCs/>
          <w:sz w:val="21"/>
          <w:szCs w:val="21"/>
        </w:rPr>
        <w:t xml:space="preserve">al otorgamiento del estatuto de </w:t>
      </w:r>
      <w:r w:rsidRPr="00973028">
        <w:rPr>
          <w:rFonts w:ascii="Arial" w:hAnsi="Arial" w:cs="Arial"/>
          <w:b/>
          <w:bCs/>
          <w:color w:val="000000"/>
          <w:sz w:val="21"/>
          <w:szCs w:val="21"/>
        </w:rPr>
        <w:t>persona denunciante</w:t>
      </w:r>
      <w:r w:rsidRPr="00973028">
        <w:rPr>
          <w:rFonts w:ascii="Arial" w:hAnsi="Arial" w:cs="Arial"/>
          <w:color w:val="000000"/>
          <w:sz w:val="21"/>
          <w:szCs w:val="21"/>
        </w:rPr>
        <w:t>, la Agencia ha venido exigiendo para su reconocimiento la concurrencia de cuatro elementos esenciales para estimar la solicitud, a saber:</w:t>
      </w:r>
    </w:p>
    <w:p w14:paraId="3A1EED31" w14:textId="22DC1463" w:rsidR="006B510A" w:rsidRPr="00973028" w:rsidRDefault="006B510A" w:rsidP="00672ABA">
      <w:pPr>
        <w:pStyle w:val="NormalWeb"/>
        <w:numPr>
          <w:ilvl w:val="0"/>
          <w:numId w:val="36"/>
        </w:numPr>
        <w:spacing w:before="0" w:beforeAutospacing="0" w:after="120" w:line="276" w:lineRule="auto"/>
        <w:ind w:left="675" w:hanging="357"/>
        <w:jc w:val="both"/>
        <w:rPr>
          <w:rFonts w:ascii="Arial" w:hAnsi="Arial" w:cs="Arial"/>
          <w:sz w:val="21"/>
          <w:szCs w:val="21"/>
        </w:rPr>
      </w:pPr>
      <w:r w:rsidRPr="00973028">
        <w:rPr>
          <w:rFonts w:ascii="Arial" w:hAnsi="Arial" w:cs="Arial"/>
          <w:color w:val="000000"/>
          <w:sz w:val="21"/>
          <w:szCs w:val="21"/>
        </w:rPr>
        <w:t>Un elemento objetivo, consistente en la existencia de un perjuicio o daño a la persona denunciante, de carácter injustificado, cierto o inminente, real o potencial.</w:t>
      </w:r>
    </w:p>
    <w:p w14:paraId="3B194637" w14:textId="0DE2468B" w:rsidR="006B510A" w:rsidRPr="007F6F69" w:rsidRDefault="006B510A" w:rsidP="00672ABA">
      <w:pPr>
        <w:pStyle w:val="NormalWeb"/>
        <w:numPr>
          <w:ilvl w:val="0"/>
          <w:numId w:val="36"/>
        </w:numPr>
        <w:spacing w:before="0" w:beforeAutospacing="0" w:after="120" w:line="276" w:lineRule="auto"/>
        <w:ind w:left="675" w:hanging="357"/>
        <w:jc w:val="both"/>
        <w:rPr>
          <w:rFonts w:ascii="Arial" w:hAnsi="Arial" w:cs="Arial"/>
          <w:i/>
          <w:iCs/>
          <w:sz w:val="21"/>
          <w:szCs w:val="21"/>
        </w:rPr>
      </w:pPr>
      <w:r w:rsidRPr="007F6F69">
        <w:rPr>
          <w:rFonts w:ascii="Arial" w:hAnsi="Arial" w:cs="Arial"/>
          <w:color w:val="000000"/>
          <w:sz w:val="21"/>
          <w:szCs w:val="21"/>
        </w:rPr>
        <w:lastRenderedPageBreak/>
        <w:t xml:space="preserve">Un elemento subjetivo, en una doble vertiente: la intencionalidad o ánimo lesivo del represaliador (sujeto activo), tras el anuncio de la denuncia o su interposición, y la posición de vulnerabilidad de la persona denunciante (sujeto pasivo), </w:t>
      </w:r>
      <w:r w:rsidRPr="007F6F69">
        <w:rPr>
          <w:rStyle w:val="nfasis"/>
          <w:rFonts w:ascii="Arial" w:hAnsi="Arial" w:cs="Arial"/>
          <w:i w:val="0"/>
          <w:iCs w:val="0"/>
          <w:color w:val="000000"/>
          <w:sz w:val="21"/>
          <w:szCs w:val="21"/>
        </w:rPr>
        <w:t>frente al autor de las represalias o a las personas de su entorno instigadoras de las mismas.</w:t>
      </w:r>
    </w:p>
    <w:p w14:paraId="5D83526D" w14:textId="10EE394C" w:rsidR="006B510A" w:rsidRPr="007F6F69" w:rsidRDefault="006B510A" w:rsidP="00672ABA">
      <w:pPr>
        <w:pStyle w:val="NormalWeb"/>
        <w:numPr>
          <w:ilvl w:val="0"/>
          <w:numId w:val="36"/>
        </w:numPr>
        <w:spacing w:before="0" w:beforeAutospacing="0" w:after="120" w:line="276" w:lineRule="auto"/>
        <w:ind w:left="675" w:hanging="357"/>
        <w:jc w:val="both"/>
        <w:rPr>
          <w:rFonts w:ascii="Arial" w:hAnsi="Arial" w:cs="Arial"/>
          <w:i/>
          <w:iCs/>
          <w:sz w:val="21"/>
          <w:szCs w:val="21"/>
        </w:rPr>
      </w:pPr>
      <w:r w:rsidRPr="007F6F69">
        <w:rPr>
          <w:rStyle w:val="nfasis"/>
          <w:rFonts w:ascii="Arial" w:hAnsi="Arial" w:cs="Arial"/>
          <w:i w:val="0"/>
          <w:iCs w:val="0"/>
          <w:color w:val="000000"/>
          <w:sz w:val="21"/>
          <w:szCs w:val="21"/>
        </w:rPr>
        <w:t>Un elemento causal, esto es, la existencia de una relación de causa a efecto entre la denuncia y la represalia.</w:t>
      </w:r>
    </w:p>
    <w:p w14:paraId="56C19615" w14:textId="22673076" w:rsidR="006B510A" w:rsidRPr="00973028" w:rsidRDefault="006B510A" w:rsidP="00672ABA">
      <w:pPr>
        <w:pStyle w:val="NormalWeb"/>
        <w:numPr>
          <w:ilvl w:val="0"/>
          <w:numId w:val="36"/>
        </w:numPr>
        <w:spacing w:before="0" w:beforeAutospacing="0" w:after="120" w:line="276" w:lineRule="auto"/>
        <w:ind w:left="675" w:hanging="357"/>
        <w:jc w:val="both"/>
        <w:rPr>
          <w:rFonts w:ascii="Arial" w:hAnsi="Arial" w:cs="Arial"/>
          <w:sz w:val="21"/>
          <w:szCs w:val="21"/>
        </w:rPr>
      </w:pPr>
      <w:r w:rsidRPr="00973028">
        <w:rPr>
          <w:rFonts w:ascii="Arial" w:hAnsi="Arial" w:cs="Arial"/>
          <w:color w:val="000000"/>
          <w:sz w:val="21"/>
          <w:szCs w:val="21"/>
        </w:rPr>
        <w:t xml:space="preserve">Un elemento temporal, caracterizado por la contextualización del momento en el que surge la conducta represaliadora, que es posterior o coetánea en el tiempo al anuncio o la interposición de la denuncia. </w:t>
      </w:r>
    </w:p>
    <w:p w14:paraId="46D2503E" w14:textId="6BBAD2B7" w:rsidR="006B510A" w:rsidRPr="00973028" w:rsidRDefault="006B510A" w:rsidP="002960AB">
      <w:pPr>
        <w:pStyle w:val="NormalWeb"/>
        <w:spacing w:before="0" w:after="240" w:line="276" w:lineRule="auto"/>
        <w:jc w:val="both"/>
        <w:rPr>
          <w:rFonts w:ascii="Arial" w:hAnsi="Arial" w:cs="Arial"/>
          <w:color w:val="222222"/>
          <w:sz w:val="21"/>
          <w:szCs w:val="21"/>
        </w:rPr>
      </w:pPr>
      <w:r w:rsidRPr="00973028">
        <w:rPr>
          <w:rFonts w:ascii="Arial" w:hAnsi="Arial" w:cs="Arial"/>
          <w:sz w:val="21"/>
          <w:szCs w:val="21"/>
        </w:rPr>
        <w:t xml:space="preserve">La resolución de la Agencia otorgando el estatuto de protección supone el </w:t>
      </w:r>
      <w:r w:rsidRPr="00973028">
        <w:rPr>
          <w:rFonts w:ascii="Arial" w:hAnsi="Arial" w:cs="Arial"/>
          <w:b/>
          <w:bCs/>
          <w:sz w:val="21"/>
          <w:szCs w:val="21"/>
        </w:rPr>
        <w:t>despliegue de una serie de actuaciones y medidas dirigidas a hacer efectiva dicha labor protectora</w:t>
      </w:r>
      <w:r w:rsidRPr="00973028">
        <w:rPr>
          <w:rFonts w:ascii="Arial" w:hAnsi="Arial" w:cs="Arial"/>
          <w:sz w:val="21"/>
          <w:szCs w:val="21"/>
        </w:rPr>
        <w:t xml:space="preserve">. En este punto cabe recordar que, </w:t>
      </w:r>
      <w:r w:rsidRPr="00973028">
        <w:rPr>
          <w:rFonts w:ascii="Arial" w:hAnsi="Arial" w:cs="Arial"/>
          <w:color w:val="222222"/>
          <w:sz w:val="21"/>
          <w:szCs w:val="21"/>
        </w:rPr>
        <w:t xml:space="preserve">conforme dispone el apartado c) del propio artículo 14.1, la Agencia </w:t>
      </w:r>
      <w:r w:rsidRPr="00973028">
        <w:rPr>
          <w:rFonts w:ascii="Arial" w:hAnsi="Arial" w:cs="Arial"/>
          <w:b/>
          <w:bCs/>
          <w:color w:val="222222"/>
          <w:sz w:val="21"/>
          <w:szCs w:val="21"/>
        </w:rPr>
        <w:t>“velará”</w:t>
      </w:r>
      <w:r w:rsidRPr="00973028">
        <w:rPr>
          <w:rFonts w:ascii="Arial" w:hAnsi="Arial" w:cs="Arial"/>
          <w:color w:val="222222"/>
          <w:sz w:val="21"/>
          <w:szCs w:val="21"/>
        </w:rPr>
        <w:t xml:space="preserve"> para que las personas informadoras, alertadoras o denunciantes “</w:t>
      </w:r>
      <w:r w:rsidRPr="00973028">
        <w:rPr>
          <w:rFonts w:ascii="Arial" w:hAnsi="Arial" w:cs="Arial"/>
          <w:b/>
          <w:bCs/>
          <w:color w:val="222222"/>
          <w:sz w:val="21"/>
          <w:szCs w:val="21"/>
        </w:rPr>
        <w:t xml:space="preserve">no sufran, </w:t>
      </w:r>
      <w:r w:rsidRPr="00973028">
        <w:rPr>
          <w:rFonts w:ascii="Arial" w:hAnsi="Arial" w:cs="Arial"/>
          <w:color w:val="222222"/>
          <w:sz w:val="21"/>
          <w:szCs w:val="21"/>
        </w:rPr>
        <w:t>durante la investigación ni después de ella,</w:t>
      </w:r>
      <w:r w:rsidRPr="00973028">
        <w:rPr>
          <w:rFonts w:ascii="Arial" w:hAnsi="Arial" w:cs="Arial"/>
          <w:b/>
          <w:bCs/>
          <w:color w:val="222222"/>
          <w:sz w:val="21"/>
          <w:szCs w:val="21"/>
        </w:rPr>
        <w:t xml:space="preserve"> ningún tipo de aislamiento, persecución o empeoramiento de las condiciones laborales o profesionales, ni ningún tipo de medida que implique cualquier forma de perjuicio o discriminación”</w:t>
      </w:r>
      <w:r w:rsidRPr="00973028">
        <w:rPr>
          <w:rFonts w:ascii="Arial" w:hAnsi="Arial" w:cs="Arial"/>
          <w:color w:val="222222"/>
          <w:sz w:val="21"/>
          <w:szCs w:val="21"/>
        </w:rPr>
        <w:t>.</w:t>
      </w:r>
    </w:p>
    <w:p w14:paraId="0D5D43F3" w14:textId="77777777" w:rsidR="006B510A" w:rsidRPr="00973028" w:rsidRDefault="006B510A" w:rsidP="002960AB">
      <w:pPr>
        <w:pStyle w:val="NormalWeb"/>
        <w:spacing w:before="0" w:after="240" w:line="276" w:lineRule="auto"/>
        <w:jc w:val="both"/>
        <w:rPr>
          <w:rFonts w:ascii="Arial" w:hAnsi="Arial" w:cs="Arial"/>
          <w:color w:val="222222"/>
          <w:sz w:val="21"/>
          <w:szCs w:val="21"/>
        </w:rPr>
      </w:pPr>
      <w:r w:rsidRPr="00973028">
        <w:rPr>
          <w:rFonts w:ascii="Arial" w:hAnsi="Arial" w:cs="Arial"/>
          <w:color w:val="222222"/>
          <w:sz w:val="21"/>
          <w:szCs w:val="21"/>
        </w:rPr>
        <w:t xml:space="preserve">Al efecto, se faculta a Agencia para ejercer las </w:t>
      </w:r>
      <w:r w:rsidRPr="00973028">
        <w:rPr>
          <w:rFonts w:ascii="Arial" w:hAnsi="Arial" w:cs="Arial"/>
          <w:b/>
          <w:bCs/>
          <w:color w:val="222222"/>
          <w:sz w:val="21"/>
          <w:szCs w:val="21"/>
        </w:rPr>
        <w:t>acciones correctoras o de restablecimiento</w:t>
      </w:r>
      <w:r w:rsidRPr="00973028">
        <w:rPr>
          <w:rFonts w:ascii="Arial" w:hAnsi="Arial" w:cs="Arial"/>
          <w:color w:val="222222"/>
          <w:sz w:val="21"/>
          <w:szCs w:val="21"/>
        </w:rPr>
        <w:t xml:space="preserve"> que considere oportunas, dejando posteriormente constancia de ellas en la memoria anual que la Agencia presente ante las Corts. Entre otras acciones, la Agencia podrá instar al órgano competente a trasladar a la persona denunciante a otro puesto, siempre que no implique perjuicio a su estatuto personal y carrera profesional, y excepcionalmente, podrá también solicitar que se le conceda un permiso por un tiempo determinado con mantenimiento de la retribución.</w:t>
      </w:r>
    </w:p>
    <w:p w14:paraId="1F445C27" w14:textId="77777777" w:rsidR="006B510A" w:rsidRPr="00973028" w:rsidRDefault="006B510A" w:rsidP="002960AB">
      <w:pPr>
        <w:pStyle w:val="NormalWeb"/>
        <w:spacing w:before="0" w:after="240" w:line="276" w:lineRule="auto"/>
        <w:jc w:val="both"/>
        <w:rPr>
          <w:rFonts w:ascii="Arial" w:hAnsi="Arial" w:cs="Arial"/>
          <w:color w:val="222222"/>
          <w:sz w:val="21"/>
          <w:szCs w:val="21"/>
        </w:rPr>
      </w:pPr>
      <w:r w:rsidRPr="00973028">
        <w:rPr>
          <w:rFonts w:ascii="Arial" w:hAnsi="Arial" w:cs="Arial"/>
          <w:color w:val="222222"/>
          <w:sz w:val="21"/>
          <w:szCs w:val="21"/>
        </w:rPr>
        <w:t xml:space="preserve">A tales medidas se añaden en la práctica otras dirigidas a proteger la indemnidad de las personas denunciantes, en particular de sus derechos, laborales, económicos y de cualquier otra índole, al objeto, bien de </w:t>
      </w:r>
      <w:r w:rsidRPr="00973028">
        <w:rPr>
          <w:rFonts w:ascii="Arial" w:hAnsi="Arial" w:cs="Arial"/>
          <w:sz w:val="21"/>
          <w:szCs w:val="21"/>
        </w:rPr>
        <w:t xml:space="preserve">evitar con medidas preventivas, bien de impedir </w:t>
      </w:r>
      <w:r w:rsidRPr="00973028">
        <w:rPr>
          <w:rFonts w:ascii="Arial" w:hAnsi="Arial" w:cs="Arial"/>
          <w:color w:val="222222"/>
          <w:sz w:val="21"/>
          <w:szCs w:val="21"/>
        </w:rPr>
        <w:t>con medidas correctivas, los efectos negativos que con demasiada frecuencia se producen sobre estas personas tanto a nivel profesional como personal y familiar.</w:t>
      </w:r>
    </w:p>
    <w:p w14:paraId="366617A5" w14:textId="7932AAFE" w:rsidR="006B510A" w:rsidRPr="00973028" w:rsidRDefault="006B510A" w:rsidP="002960AB">
      <w:pPr>
        <w:pStyle w:val="NormalWeb"/>
        <w:spacing w:before="0" w:after="240" w:line="276" w:lineRule="auto"/>
        <w:jc w:val="both"/>
        <w:rPr>
          <w:rFonts w:ascii="Arial" w:hAnsi="Arial" w:cs="Arial"/>
          <w:color w:val="222222"/>
          <w:sz w:val="21"/>
          <w:szCs w:val="21"/>
        </w:rPr>
      </w:pPr>
      <w:r w:rsidRPr="00973028">
        <w:rPr>
          <w:rFonts w:ascii="Arial" w:hAnsi="Arial" w:cs="Arial"/>
          <w:color w:val="222222"/>
          <w:sz w:val="21"/>
          <w:szCs w:val="21"/>
        </w:rPr>
        <w:t xml:space="preserve">La presión en el ámbito profesional que viven muchos de los denunciantes protegidos trasciende, en la mayoría de los casos al ámbito personal y familiar, afectando a las distintas áreas de su vida privada (núcleos familiares, amistades, etc.). Y es que, según la encuesta </w:t>
      </w:r>
      <w:r w:rsidRPr="00973028">
        <w:rPr>
          <w:rFonts w:ascii="Arial" w:hAnsi="Arial" w:cs="Arial"/>
          <w:i/>
          <w:iCs/>
          <w:color w:val="222222"/>
          <w:sz w:val="21"/>
          <w:szCs w:val="21"/>
        </w:rPr>
        <w:t>Global Business Ethics</w:t>
      </w:r>
      <w:r w:rsidRPr="00973028">
        <w:rPr>
          <w:rFonts w:ascii="Arial" w:hAnsi="Arial" w:cs="Arial"/>
          <w:color w:val="222222"/>
          <w:sz w:val="21"/>
          <w:szCs w:val="21"/>
        </w:rPr>
        <w:t xml:space="preserve"> de 2016, un 36% de los trabajadores que hicieron públicas irregularidades en su ámbito laboral alegaron haber sufrido algún tipo de represalia.</w:t>
      </w:r>
    </w:p>
    <w:p w14:paraId="45FAAC0A" w14:textId="27D6BD7F" w:rsidR="006B510A" w:rsidRPr="00973028" w:rsidRDefault="006B510A" w:rsidP="002960AB">
      <w:pPr>
        <w:pStyle w:val="NormalWeb"/>
        <w:spacing w:before="0" w:after="240" w:line="276" w:lineRule="auto"/>
        <w:jc w:val="both"/>
        <w:rPr>
          <w:rFonts w:ascii="Arial" w:hAnsi="Arial" w:cs="Arial"/>
          <w:color w:val="222222"/>
          <w:sz w:val="21"/>
          <w:szCs w:val="21"/>
        </w:rPr>
      </w:pPr>
      <w:r w:rsidRPr="00973028">
        <w:rPr>
          <w:rFonts w:ascii="Arial" w:hAnsi="Arial" w:cs="Arial"/>
          <w:color w:val="222222"/>
          <w:sz w:val="21"/>
          <w:szCs w:val="21"/>
        </w:rPr>
        <w:t xml:space="preserve">Ello comporta que la intervención de la Agencia en este ámbito, una vez otorgado el estatuto de protección de la persona denunciante, se caracterice por ser una </w:t>
      </w:r>
      <w:r w:rsidRPr="00973028">
        <w:rPr>
          <w:rFonts w:ascii="Arial" w:hAnsi="Arial" w:cs="Arial"/>
          <w:b/>
          <w:bCs/>
          <w:color w:val="222222"/>
          <w:sz w:val="21"/>
          <w:szCs w:val="21"/>
        </w:rPr>
        <w:t xml:space="preserve">actividad continuada de vigilancia, cuidado y protección, </w:t>
      </w:r>
      <w:r w:rsidRPr="00973028">
        <w:rPr>
          <w:rFonts w:ascii="Arial" w:hAnsi="Arial" w:cs="Arial"/>
          <w:color w:val="222222"/>
          <w:sz w:val="21"/>
          <w:szCs w:val="21"/>
        </w:rPr>
        <w:t xml:space="preserve">que no solo se lleva a cabo durante el procedimiento de investigación de las conductas susceptibles de generar responsabilidades, sino también incluso después de finalizado este procedimiento si las circunstancias lo requieren, evitando que puedan ser objeto, directa o indirectamente, de actos lesivos en sus derechos o intereses. </w:t>
      </w:r>
    </w:p>
    <w:p w14:paraId="690D40F8" w14:textId="74308847" w:rsidR="006B510A" w:rsidRPr="007F6F69" w:rsidRDefault="006B510A" w:rsidP="002960AB">
      <w:pPr>
        <w:pStyle w:val="NormalWeb"/>
        <w:spacing w:before="0" w:after="240" w:line="276" w:lineRule="auto"/>
        <w:jc w:val="both"/>
        <w:rPr>
          <w:rFonts w:ascii="Arial" w:hAnsi="Arial" w:cs="Arial"/>
          <w:color w:val="222222"/>
          <w:sz w:val="21"/>
          <w:szCs w:val="21"/>
        </w:rPr>
      </w:pPr>
      <w:r w:rsidRPr="007F6F69">
        <w:rPr>
          <w:rFonts w:ascii="Arial" w:hAnsi="Arial" w:cs="Arial"/>
          <w:color w:val="000000"/>
          <w:sz w:val="21"/>
          <w:szCs w:val="21"/>
        </w:rPr>
        <w:lastRenderedPageBreak/>
        <w:t xml:space="preserve">Como recordaba </w:t>
      </w:r>
      <w:r w:rsidRPr="007F6F69">
        <w:rPr>
          <w:rFonts w:ascii="Arial" w:hAnsi="Arial" w:cs="Arial"/>
          <w:sz w:val="21"/>
          <w:szCs w:val="21"/>
        </w:rPr>
        <w:t xml:space="preserve">la comisaria de Justicia polaca </w:t>
      </w:r>
      <w:r w:rsidRPr="007F6F69">
        <w:rPr>
          <w:rStyle w:val="Textoennegrita"/>
          <w:rFonts w:ascii="Arial" w:hAnsi="Arial" w:cs="Arial"/>
          <w:sz w:val="21"/>
          <w:szCs w:val="21"/>
        </w:rPr>
        <w:t>Věra Jourová, en el proceso de aprobación de la Directiva (UE) 2019/1937</w:t>
      </w:r>
      <w:r w:rsidRPr="007F6F69">
        <w:rPr>
          <w:rStyle w:val="Textoennegrita"/>
          <w:rFonts w:ascii="Arial" w:hAnsi="Arial" w:cs="Arial"/>
          <w:b w:val="0"/>
          <w:bCs w:val="0"/>
          <w:sz w:val="21"/>
          <w:szCs w:val="21"/>
        </w:rPr>
        <w:t>, “</w:t>
      </w:r>
      <w:r w:rsidRPr="007F6F69">
        <w:rPr>
          <w:rFonts w:ascii="Arial" w:hAnsi="Arial" w:cs="Arial"/>
          <w:sz w:val="21"/>
          <w:szCs w:val="21"/>
        </w:rPr>
        <w:t xml:space="preserve">los denunciantes no deben ser castigados por hacer lo correcto”. </w:t>
      </w:r>
    </w:p>
    <w:p w14:paraId="70408DC8" w14:textId="04E8EF27" w:rsidR="006B510A" w:rsidRPr="00973028" w:rsidRDefault="006B510A" w:rsidP="002960AB">
      <w:pPr>
        <w:pStyle w:val="NormalWeb"/>
        <w:spacing w:before="0" w:after="240" w:line="276" w:lineRule="auto"/>
        <w:jc w:val="both"/>
        <w:rPr>
          <w:rFonts w:ascii="Arial" w:hAnsi="Arial" w:cs="Arial"/>
          <w:sz w:val="21"/>
          <w:szCs w:val="21"/>
        </w:rPr>
      </w:pPr>
      <w:r w:rsidRPr="007F6F69">
        <w:rPr>
          <w:rFonts w:ascii="Arial" w:hAnsi="Arial" w:cs="Arial"/>
          <w:sz w:val="21"/>
          <w:szCs w:val="21"/>
        </w:rPr>
        <w:t>Hecha esta introducción, el presente epígrafe de</w:t>
      </w:r>
      <w:r w:rsidRPr="00973028">
        <w:rPr>
          <w:rFonts w:ascii="Arial" w:hAnsi="Arial" w:cs="Arial"/>
          <w:sz w:val="21"/>
          <w:szCs w:val="21"/>
        </w:rPr>
        <w:t xml:space="preserve"> la Memoria de actividad de la AVAF de 2020 pretende exponer algunas de las tareas que se han venido realizando en el ejercicio de la actividad de seguimiento de la situación en que se encuentran las personas protegidas, derivado de las circunstancias que acontecen en su entorno laboral y familiar, a fin de prestarles el adecuado asesoramiento y de evitar que sufran represalias. Se trata de una labor personalizada y realizada caso por caso de seguimiento y acompañamiento de cada una de estas personas, que difiere según las características y necesidades de la persona denunciante, su situación y sus circunstancias. </w:t>
      </w:r>
    </w:p>
    <w:p w14:paraId="615E3077" w14:textId="77777777" w:rsidR="005A0A8D" w:rsidRPr="00973028" w:rsidRDefault="006B510A" w:rsidP="002960AB">
      <w:pPr>
        <w:pStyle w:val="NormalWeb"/>
        <w:spacing w:before="0" w:after="240" w:line="276" w:lineRule="auto"/>
        <w:jc w:val="both"/>
        <w:rPr>
          <w:rFonts w:ascii="Arial" w:hAnsi="Arial" w:cs="Arial"/>
          <w:color w:val="222222"/>
          <w:sz w:val="21"/>
          <w:szCs w:val="21"/>
        </w:rPr>
      </w:pPr>
      <w:r w:rsidRPr="00973028">
        <w:rPr>
          <w:rFonts w:ascii="Arial" w:hAnsi="Arial" w:cs="Arial"/>
          <w:sz w:val="21"/>
          <w:szCs w:val="21"/>
        </w:rPr>
        <w:t xml:space="preserve">Ello se traduce en el despliegue de una batería de medidas, </w:t>
      </w:r>
      <w:r w:rsidRPr="00973028">
        <w:rPr>
          <w:rFonts w:ascii="Arial" w:hAnsi="Arial" w:cs="Arial"/>
          <w:color w:val="222222"/>
          <w:sz w:val="21"/>
          <w:szCs w:val="21"/>
        </w:rPr>
        <w:t>adecuadas a cada caso concreto, que van desde el asesoramiento jurídico propiamente dicho, que puede ser realizado a través de reunión presencial, telefónicamente, por correo electrónico o mediante la emisión del correspondiente informe escrito, a otras muchas acciones. Entre estas últimas, las propuestas, recomendaciones o requerimientos dirigidos a las administraciones públicas o entidades en las que presta sus servicios la persona protegida, el acompañamiento a declaraciones testificales ante órganos judiciales penales, la remisión de actuaciones a la fiscalía o a los tribunales, la emisión de informe con destino a estos últimos y, en definitiva, cualquier otra acción que se pueda requerir a fin de evitar conductas de acoso, hostigamiento o represalias.</w:t>
      </w:r>
    </w:p>
    <w:p w14:paraId="6C97FD67" w14:textId="24E431FB" w:rsidR="006B510A" w:rsidRPr="00973028" w:rsidRDefault="006B510A" w:rsidP="002960AB">
      <w:pPr>
        <w:pStyle w:val="NormalWeb"/>
        <w:spacing w:before="0" w:after="240" w:line="276" w:lineRule="auto"/>
        <w:jc w:val="both"/>
        <w:rPr>
          <w:rFonts w:ascii="Arial" w:hAnsi="Arial" w:cs="Arial"/>
          <w:color w:val="222222"/>
          <w:sz w:val="21"/>
          <w:szCs w:val="21"/>
        </w:rPr>
      </w:pPr>
      <w:r w:rsidRPr="00973028">
        <w:rPr>
          <w:rFonts w:ascii="Arial" w:hAnsi="Arial" w:cs="Arial"/>
          <w:color w:val="222222"/>
          <w:sz w:val="21"/>
          <w:szCs w:val="21"/>
        </w:rPr>
        <w:t>Así pues, durante 2020 se ha efectuado el seguimiento de la situación de las personas protegidas por la AVAF, habiendo sido necesaria la adopción de diferentes medidas de protección. Del análisis sucinto que a continuación se realiza de algunos de los casos y sin que su enunciación tenga carácter exhaustivo, puede deducirse las dificultades en las que se encuentran estas personas a raíz de su comportamiento ejemplar y valiente, así como los obstáculos e impedimentos por los que en muchas ocasiones esta Agencia atraviesa para hacer efectiva, por todos los medios a su alcance, la protección que su ley de creación prescribe.</w:t>
      </w:r>
    </w:p>
    <w:p w14:paraId="66B5F8AA" w14:textId="5C852DF7" w:rsidR="006B510A" w:rsidRPr="00973028" w:rsidRDefault="006B510A" w:rsidP="002960AB">
      <w:pPr>
        <w:pStyle w:val="NormalWeb"/>
        <w:spacing w:before="0" w:after="240" w:line="276" w:lineRule="auto"/>
        <w:jc w:val="both"/>
        <w:rPr>
          <w:rFonts w:ascii="Arial" w:hAnsi="Arial" w:cs="Arial"/>
          <w:color w:val="222222"/>
          <w:sz w:val="21"/>
          <w:szCs w:val="21"/>
        </w:rPr>
      </w:pPr>
      <w:r w:rsidRPr="00973028">
        <w:rPr>
          <w:rFonts w:ascii="Arial" w:hAnsi="Arial" w:cs="Arial"/>
          <w:color w:val="222222"/>
          <w:sz w:val="21"/>
          <w:szCs w:val="21"/>
        </w:rPr>
        <w:t>Esperamos que la transposición de la tan aclamada Directiva (UE) 2019/1937 consolide de una vez por todas en España el ejercicio de esta importantísima función pública de protección, que se dirige a combatir el fraude y la corrupción en nuestra sociedad y, por tanto, contribuye a restablecer el principio de igualdad y renovar la salud y la confianza en nuestras instituciones. La protección de las personas que denuncian o alertan sobre irregularidades debe ser interiorizada en su necesidad y respetada por todos los poderes públicos afectados, incluidas las administraciones públicas y los juzgados y tribunales. Algunos de estos últimos, además del Ministerio Fiscal, ya llevan un tiempo haciéndose eco.</w:t>
      </w:r>
    </w:p>
    <w:p w14:paraId="3189CE04" w14:textId="7C41379D" w:rsidR="006B510A" w:rsidRPr="00973028" w:rsidRDefault="006B510A" w:rsidP="002960AB">
      <w:pPr>
        <w:pStyle w:val="NormalWeb"/>
        <w:spacing w:before="0" w:after="240" w:line="276" w:lineRule="auto"/>
        <w:jc w:val="both"/>
        <w:rPr>
          <w:rFonts w:ascii="Arial" w:hAnsi="Arial" w:cs="Arial"/>
          <w:sz w:val="21"/>
          <w:szCs w:val="21"/>
        </w:rPr>
      </w:pPr>
      <w:r w:rsidRPr="00973028">
        <w:rPr>
          <w:rFonts w:ascii="Arial" w:hAnsi="Arial" w:cs="Arial"/>
          <w:sz w:val="21"/>
          <w:szCs w:val="21"/>
        </w:rPr>
        <w:t xml:space="preserve">A continuación, se relacionan algunas de las actuaciones realizadas durante 2020 por la AVAF provenientes del seguimiento de la situación de las personas protegidas. A efectos ilustrativos se expone la siguiente muestra. </w:t>
      </w:r>
      <w:bookmarkStart w:id="156" w:name="_Hlk64306964"/>
    </w:p>
    <w:bookmarkEnd w:id="156"/>
    <w:p w14:paraId="41E29917" w14:textId="6CFF8EE6" w:rsidR="006B510A" w:rsidRPr="00973028" w:rsidRDefault="006B510A" w:rsidP="002960AB">
      <w:pPr>
        <w:pStyle w:val="NormalWeb"/>
        <w:spacing w:before="0" w:after="240" w:line="276" w:lineRule="auto"/>
        <w:jc w:val="both"/>
        <w:rPr>
          <w:rFonts w:ascii="Arial" w:hAnsi="Arial" w:cs="Arial"/>
          <w:b/>
          <w:bCs/>
          <w:color w:val="9D2235" w:themeColor="accent1"/>
          <w:sz w:val="21"/>
          <w:szCs w:val="21"/>
        </w:rPr>
      </w:pPr>
      <w:r w:rsidRPr="00973028">
        <w:rPr>
          <w:rFonts w:ascii="Arial" w:hAnsi="Arial" w:cs="Arial"/>
          <w:b/>
          <w:bCs/>
          <w:color w:val="9D2235" w:themeColor="accent1"/>
          <w:sz w:val="21"/>
          <w:szCs w:val="21"/>
        </w:rPr>
        <w:t xml:space="preserve">Caso 1. </w:t>
      </w:r>
    </w:p>
    <w:p w14:paraId="09CAB9F5" w14:textId="2319F9FA" w:rsidR="006B510A" w:rsidRPr="00973028" w:rsidRDefault="006B510A" w:rsidP="005A0A8D">
      <w:pPr>
        <w:pStyle w:val="NormalWeb"/>
        <w:spacing w:before="0" w:beforeAutospacing="0" w:after="120" w:line="276" w:lineRule="auto"/>
        <w:ind w:left="708"/>
        <w:jc w:val="both"/>
        <w:rPr>
          <w:rFonts w:ascii="Arial" w:hAnsi="Arial" w:cs="Arial"/>
          <w:color w:val="000000"/>
          <w:sz w:val="21"/>
          <w:szCs w:val="21"/>
        </w:rPr>
      </w:pPr>
      <w:r w:rsidRPr="00973028">
        <w:rPr>
          <w:rFonts w:ascii="Arial" w:hAnsi="Arial" w:cs="Arial"/>
          <w:b/>
          <w:bCs/>
          <w:color w:val="000000"/>
          <w:sz w:val="21"/>
          <w:szCs w:val="21"/>
        </w:rPr>
        <w:lastRenderedPageBreak/>
        <w:t xml:space="preserve">Resumen: </w:t>
      </w:r>
      <w:r w:rsidRPr="00973028">
        <w:rPr>
          <w:rFonts w:ascii="Arial" w:hAnsi="Arial" w:cs="Arial"/>
          <w:color w:val="000000"/>
          <w:sz w:val="21"/>
          <w:szCs w:val="21"/>
        </w:rPr>
        <w:t xml:space="preserve">supuesto en que la persona protegida por la Agencia es policía local y denunció la presunta comisión de delitos urbanísticos cometidos por mandos de la policía y funcionarios de la unidad de urbanismo del Ayuntamiento donde presta servicios. </w:t>
      </w:r>
    </w:p>
    <w:p w14:paraId="354F6F2E" w14:textId="3697BF5E" w:rsidR="006B510A" w:rsidRPr="00973028" w:rsidRDefault="006B510A" w:rsidP="005A0A8D">
      <w:pPr>
        <w:pStyle w:val="NormalWeb"/>
        <w:spacing w:before="0" w:beforeAutospacing="0" w:after="120" w:line="276" w:lineRule="auto"/>
        <w:ind w:left="708"/>
        <w:jc w:val="both"/>
        <w:rPr>
          <w:rFonts w:ascii="Arial" w:hAnsi="Arial" w:cs="Arial"/>
          <w:color w:val="000000"/>
          <w:sz w:val="21"/>
          <w:szCs w:val="21"/>
        </w:rPr>
      </w:pPr>
      <w:r w:rsidRPr="00973028">
        <w:rPr>
          <w:rFonts w:ascii="Arial" w:hAnsi="Arial" w:cs="Arial"/>
          <w:b/>
          <w:bCs/>
          <w:color w:val="000000"/>
          <w:sz w:val="21"/>
          <w:szCs w:val="21"/>
        </w:rPr>
        <w:t>Represalias:</w:t>
      </w:r>
      <w:r w:rsidRPr="00973028">
        <w:rPr>
          <w:rFonts w:ascii="Arial" w:hAnsi="Arial" w:cs="Arial"/>
          <w:color w:val="000000"/>
          <w:sz w:val="21"/>
          <w:szCs w:val="21"/>
        </w:rPr>
        <w:t xml:space="preserve"> como consecuencia de lo anterior, la persona denunciante sufrió en su entorno laboral el acoso de sus mandos y otras autoridades, habiendo solicitado en varias ocasiones que se activase en su beneficio el protocolo de acoso.</w:t>
      </w:r>
    </w:p>
    <w:p w14:paraId="322650A3" w14:textId="4B9C8436" w:rsidR="006B510A" w:rsidRPr="00973028" w:rsidRDefault="006B510A" w:rsidP="005A0A8D">
      <w:pPr>
        <w:pStyle w:val="NormalWeb"/>
        <w:spacing w:before="0" w:beforeAutospacing="0" w:after="120" w:line="276" w:lineRule="auto"/>
        <w:ind w:left="708"/>
        <w:jc w:val="both"/>
        <w:rPr>
          <w:rFonts w:ascii="Arial" w:hAnsi="Arial" w:cs="Arial"/>
          <w:color w:val="000000"/>
          <w:sz w:val="21"/>
          <w:szCs w:val="21"/>
        </w:rPr>
      </w:pPr>
      <w:r w:rsidRPr="00973028">
        <w:rPr>
          <w:rFonts w:ascii="Arial" w:hAnsi="Arial" w:cs="Arial"/>
          <w:color w:val="000000"/>
          <w:sz w:val="21"/>
          <w:szCs w:val="21"/>
        </w:rPr>
        <w:t>El denunciante se vio obligado, ante la intencionada falta de respuesta por parte del Ayuntamiento, a acudir a la jurisdicción contencioso-administrativa.</w:t>
      </w:r>
    </w:p>
    <w:p w14:paraId="5554B348" w14:textId="4E88E90D" w:rsidR="006B510A" w:rsidRPr="00973028" w:rsidRDefault="006B510A" w:rsidP="005A0A8D">
      <w:pPr>
        <w:pStyle w:val="NormalWeb"/>
        <w:spacing w:before="0" w:beforeAutospacing="0" w:after="120" w:line="276" w:lineRule="auto"/>
        <w:ind w:left="708"/>
        <w:jc w:val="both"/>
        <w:rPr>
          <w:rFonts w:ascii="Arial" w:hAnsi="Arial" w:cs="Arial"/>
          <w:sz w:val="21"/>
          <w:szCs w:val="21"/>
        </w:rPr>
      </w:pPr>
      <w:r w:rsidRPr="00973028">
        <w:rPr>
          <w:rFonts w:ascii="Arial" w:hAnsi="Arial" w:cs="Arial"/>
          <w:b/>
          <w:bCs/>
          <w:color w:val="000000"/>
          <w:sz w:val="21"/>
          <w:szCs w:val="21"/>
        </w:rPr>
        <w:t>Actuaciones Agencia:</w:t>
      </w:r>
      <w:r w:rsidRPr="00973028">
        <w:rPr>
          <w:rFonts w:ascii="Arial" w:hAnsi="Arial" w:cs="Arial"/>
          <w:color w:val="000000"/>
          <w:sz w:val="21"/>
          <w:szCs w:val="21"/>
        </w:rPr>
        <w:t xml:space="preserve"> la Agencia dio traslado de la resolución por la que le otorgaba el estatuto de protección de la persona denunciante al Juzgado correspondiente. Se solicitaba al Juzgado, además, el abono de una </w:t>
      </w:r>
      <w:r w:rsidRPr="00973028">
        <w:rPr>
          <w:rFonts w:ascii="Arial" w:hAnsi="Arial" w:cs="Arial"/>
          <w:sz w:val="21"/>
          <w:szCs w:val="21"/>
        </w:rPr>
        <w:t>indemnización por los daños y perjuicios causados.</w:t>
      </w:r>
    </w:p>
    <w:p w14:paraId="2D6EA35B" w14:textId="77777777" w:rsidR="006B510A" w:rsidRPr="00973028" w:rsidRDefault="006B510A" w:rsidP="005A0A8D">
      <w:pPr>
        <w:pStyle w:val="NormalWeb"/>
        <w:spacing w:before="0" w:beforeAutospacing="0" w:after="120" w:line="276" w:lineRule="auto"/>
        <w:ind w:left="708"/>
        <w:jc w:val="both"/>
        <w:rPr>
          <w:rFonts w:ascii="Arial" w:hAnsi="Arial" w:cs="Arial"/>
          <w:sz w:val="21"/>
          <w:szCs w:val="21"/>
        </w:rPr>
      </w:pPr>
      <w:r w:rsidRPr="00973028">
        <w:rPr>
          <w:rFonts w:ascii="Arial" w:hAnsi="Arial" w:cs="Arial"/>
          <w:color w:val="000000"/>
          <w:sz w:val="21"/>
          <w:szCs w:val="21"/>
        </w:rPr>
        <w:t xml:space="preserve">La sentencia, dictada a finales de 2020, estima la demanda interpuesta por la persona protegida, reconoce </w:t>
      </w:r>
      <w:r w:rsidRPr="00973028">
        <w:rPr>
          <w:rFonts w:ascii="Arial" w:hAnsi="Arial" w:cs="Arial"/>
          <w:sz w:val="21"/>
          <w:szCs w:val="21"/>
        </w:rPr>
        <w:t xml:space="preserve">al denunciante como situación jurídica individualizada ser víctima de un proceso de acoso laboral o </w:t>
      </w:r>
      <w:r w:rsidRPr="00973028">
        <w:rPr>
          <w:rFonts w:ascii="Arial" w:hAnsi="Arial" w:cs="Arial"/>
          <w:i/>
          <w:iCs/>
          <w:sz w:val="21"/>
          <w:szCs w:val="21"/>
        </w:rPr>
        <w:t>mobbing</w:t>
      </w:r>
      <w:r w:rsidRPr="00973028">
        <w:rPr>
          <w:rFonts w:ascii="Arial" w:hAnsi="Arial" w:cs="Arial"/>
          <w:sz w:val="21"/>
          <w:szCs w:val="21"/>
        </w:rPr>
        <w:t>, y ordena al Ayuntamiento a adoptar inmediatamente las medidas previstas en el protocolo de prevención contra el acoso laboral de la entidad local, con objeto de que cese la vulneración de sus derechos. Además, la sentencia establece en favor del denunciante la procedencia de una indemnización por los daños y perjuicios psicológicos y morales sufridos.</w:t>
      </w:r>
    </w:p>
    <w:p w14:paraId="0123D256" w14:textId="4C68B2BE"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color w:val="000000"/>
          <w:sz w:val="21"/>
          <w:szCs w:val="21"/>
        </w:rPr>
        <w:t xml:space="preserve">Cabe destacar que en esta sentencia el juez resalta </w:t>
      </w:r>
      <w:r w:rsidRPr="00973028">
        <w:rPr>
          <w:rFonts w:ascii="Arial" w:hAnsi="Arial" w:cs="Arial"/>
          <w:sz w:val="21"/>
          <w:szCs w:val="21"/>
        </w:rPr>
        <w:t>que en el caso de autos haya intervenido la Agencia de Prevención y Lucha contra el Fraude y la Corrupción de la Comunitat Valenciana, bajo el siguiente tenor:</w:t>
      </w:r>
    </w:p>
    <w:p w14:paraId="44D924E8" w14:textId="679DF5D1" w:rsidR="006B510A" w:rsidRPr="00973028" w:rsidRDefault="006B510A" w:rsidP="005A0A8D">
      <w:pPr>
        <w:autoSpaceDE w:val="0"/>
        <w:autoSpaceDN w:val="0"/>
        <w:adjustRightInd w:val="0"/>
        <w:spacing w:after="120" w:line="276" w:lineRule="auto"/>
        <w:ind w:left="1418"/>
        <w:jc w:val="both"/>
        <w:rPr>
          <w:rFonts w:ascii="Arial" w:eastAsia="Times New Roman" w:hAnsi="Arial" w:cs="Arial"/>
          <w:color w:val="000000"/>
          <w:sz w:val="20"/>
          <w:szCs w:val="20"/>
        </w:rPr>
      </w:pPr>
      <w:r w:rsidRPr="00973028">
        <w:rPr>
          <w:rFonts w:ascii="Arial" w:eastAsia="Times New Roman" w:hAnsi="Arial" w:cs="Arial"/>
          <w:color w:val="000000"/>
          <w:sz w:val="20"/>
          <w:szCs w:val="20"/>
        </w:rPr>
        <w:t xml:space="preserve">“Resulta igualmente relevante exponer la importancia de que en el caso de autos haya intervenido la Agencia de Prevención y Lucha contra el Fraude y la Corrupción de la Comunitat Valenciana, cuya Resolución de fecha 7 de junio de 2018 aplica el estatuto de la persona denunciante al aquí actor por su denuncia de hechos presuntamente delictivos que dieron lugar a la incoación de las Diligencias Previas nº  (…) abiertas en el Juzgado de Instrucción (…). La mera aparición en escena de la citada agencia de lucha contra la corrupción constituye un descrédito del mayor nivel para una Entidad Local que arroja una sombra de duda sobre la actuación de un Ayuntamiento, y cuya resolución no solo ha sido remitida a la (…) la Fiscalía, sino que puede finalizar en una puesta en conocimiento de las mismas Cortes Valencianas a través de su memoria anual. </w:t>
      </w:r>
    </w:p>
    <w:p w14:paraId="44A43ACC" w14:textId="31EC481D" w:rsidR="006B510A" w:rsidRPr="00973028" w:rsidRDefault="006B510A" w:rsidP="005A0A8D">
      <w:pPr>
        <w:autoSpaceDE w:val="0"/>
        <w:autoSpaceDN w:val="0"/>
        <w:adjustRightInd w:val="0"/>
        <w:spacing w:after="120" w:line="276" w:lineRule="auto"/>
        <w:ind w:left="1418"/>
        <w:jc w:val="both"/>
        <w:rPr>
          <w:rFonts w:ascii="Arial" w:eastAsia="Times New Roman" w:hAnsi="Arial" w:cs="Arial"/>
          <w:color w:val="000000"/>
          <w:sz w:val="20"/>
          <w:szCs w:val="20"/>
        </w:rPr>
      </w:pPr>
      <w:r w:rsidRPr="00973028">
        <w:rPr>
          <w:rFonts w:ascii="Arial" w:eastAsia="Times New Roman" w:hAnsi="Arial" w:cs="Arial"/>
          <w:color w:val="000000"/>
          <w:sz w:val="20"/>
          <w:szCs w:val="20"/>
        </w:rPr>
        <w:t>En cualquier caso, ha de dejarse constancia aquí que este Juzgador ha tenido muy en cuenta el estatuto de protección de la persona denunciante que le fue reconocido a (D. XXX)  mediante la resolución citada de 7 de junio de 2018, como la publicación de la reciente Directiva (UE) 2019/1937 del Parlamento Europeo y del Consejo, de 23 de octubre de 2019, relativa a la protección de las personas que informen sobre infracciones del Derecho de la Unión, si bien consta en este órgano judicial que la denuncia formulada por el actor y que dio lugar a la apertura de Diligencias Previas nº  (…) en el Juzgado de Instrucción (…) ha finalizado mediante Auto dictado por dicho Juzgado el (…) 2019 en el que se acuerda el sobreseimiento provisional de la causa, si bien un exhorto judicial remitido por este Juzgado informa de la interposición de un recurso de apelación (…)”.</w:t>
      </w:r>
    </w:p>
    <w:p w14:paraId="585445A7" w14:textId="50975DAC" w:rsidR="006B510A" w:rsidRPr="00973028" w:rsidRDefault="006B510A" w:rsidP="002960AB">
      <w:pPr>
        <w:pStyle w:val="NormalWeb"/>
        <w:spacing w:before="0" w:after="240" w:line="276" w:lineRule="auto"/>
        <w:jc w:val="both"/>
        <w:rPr>
          <w:rFonts w:ascii="Arial" w:hAnsi="Arial" w:cs="Arial"/>
          <w:color w:val="9D2235" w:themeColor="accent1"/>
          <w:sz w:val="21"/>
          <w:szCs w:val="21"/>
        </w:rPr>
      </w:pPr>
      <w:r w:rsidRPr="00973028">
        <w:rPr>
          <w:rFonts w:ascii="Arial" w:hAnsi="Arial" w:cs="Arial"/>
          <w:b/>
          <w:bCs/>
          <w:color w:val="9D2235" w:themeColor="accent1"/>
          <w:sz w:val="21"/>
          <w:szCs w:val="21"/>
        </w:rPr>
        <w:lastRenderedPageBreak/>
        <w:t>Caso 2.</w:t>
      </w:r>
      <w:r w:rsidRPr="00973028">
        <w:rPr>
          <w:rFonts w:ascii="Arial" w:hAnsi="Arial" w:cs="Arial"/>
          <w:color w:val="9D2235" w:themeColor="accent1"/>
          <w:sz w:val="21"/>
          <w:szCs w:val="21"/>
        </w:rPr>
        <w:t xml:space="preserve"> </w:t>
      </w:r>
    </w:p>
    <w:p w14:paraId="23325A6B" w14:textId="59F160DB" w:rsidR="006B510A" w:rsidRPr="00973028" w:rsidRDefault="006B510A" w:rsidP="005A0A8D">
      <w:pPr>
        <w:pStyle w:val="NormalWeb"/>
        <w:spacing w:before="0" w:beforeAutospacing="0" w:after="120" w:line="276" w:lineRule="auto"/>
        <w:ind w:left="708"/>
        <w:jc w:val="both"/>
        <w:rPr>
          <w:rFonts w:ascii="Arial" w:hAnsi="Arial" w:cs="Arial"/>
          <w:color w:val="222222"/>
          <w:sz w:val="21"/>
          <w:szCs w:val="21"/>
        </w:rPr>
      </w:pPr>
      <w:r w:rsidRPr="00973028">
        <w:rPr>
          <w:rFonts w:ascii="Arial" w:hAnsi="Arial" w:cs="Arial"/>
          <w:b/>
          <w:bCs/>
          <w:color w:val="222222"/>
          <w:sz w:val="21"/>
          <w:szCs w:val="21"/>
        </w:rPr>
        <w:t>Resumen:</w:t>
      </w:r>
      <w:r w:rsidRPr="00973028">
        <w:rPr>
          <w:rFonts w:ascii="Arial" w:hAnsi="Arial" w:cs="Arial"/>
          <w:color w:val="222222"/>
          <w:sz w:val="21"/>
          <w:szCs w:val="21"/>
        </w:rPr>
        <w:t xml:space="preserve"> supuesto en el que la persona protegida por la Agencia es personal laboral de una fundación perteneciente al sector público de la Generalitat y denunció hechos presuntamente delictivos relacionados con determinadas irregularidades (subvenciones, contrataciones, uso del patrimonio público, etc.).</w:t>
      </w:r>
    </w:p>
    <w:p w14:paraId="2FD44254" w14:textId="1C1D9571" w:rsidR="006B510A" w:rsidRPr="00973028" w:rsidRDefault="006B510A" w:rsidP="005A0A8D">
      <w:pPr>
        <w:pStyle w:val="NormalWeb"/>
        <w:spacing w:before="0" w:beforeAutospacing="0" w:after="120" w:line="276" w:lineRule="auto"/>
        <w:ind w:left="708"/>
        <w:jc w:val="both"/>
        <w:rPr>
          <w:rFonts w:ascii="Arial" w:hAnsi="Arial" w:cs="Arial"/>
          <w:color w:val="222222"/>
          <w:sz w:val="21"/>
          <w:szCs w:val="21"/>
        </w:rPr>
      </w:pPr>
      <w:r w:rsidRPr="00973028">
        <w:rPr>
          <w:rFonts w:ascii="Arial" w:hAnsi="Arial" w:cs="Arial"/>
          <w:b/>
          <w:bCs/>
          <w:color w:val="222222"/>
          <w:sz w:val="21"/>
          <w:szCs w:val="21"/>
        </w:rPr>
        <w:t>Represalias:</w:t>
      </w:r>
      <w:r w:rsidRPr="00973028">
        <w:rPr>
          <w:rFonts w:ascii="Arial" w:hAnsi="Arial" w:cs="Arial"/>
          <w:color w:val="222222"/>
          <w:sz w:val="21"/>
          <w:szCs w:val="21"/>
        </w:rPr>
        <w:t xml:space="preserve"> La persona denunciante fue despedida de su puesto de trabajo como consecuencia de la denuncia, si bien tras el correspondiente proceso judicial obtuvo una sentencia del Juzgado de lo Social declarativa de la nulidad del despido. Un pasaje de esta sentencia literalmente indicaba: </w:t>
      </w:r>
    </w:p>
    <w:p w14:paraId="3A59F6BB" w14:textId="35FAC866" w:rsidR="006B510A" w:rsidRPr="00973028" w:rsidRDefault="006B510A" w:rsidP="005A0A8D">
      <w:pPr>
        <w:autoSpaceDE w:val="0"/>
        <w:autoSpaceDN w:val="0"/>
        <w:adjustRightInd w:val="0"/>
        <w:spacing w:after="120" w:line="276" w:lineRule="auto"/>
        <w:ind w:left="1416"/>
        <w:jc w:val="both"/>
        <w:rPr>
          <w:rFonts w:ascii="Arial" w:hAnsi="Arial" w:cs="Arial"/>
          <w:color w:val="222222"/>
          <w:sz w:val="21"/>
          <w:szCs w:val="21"/>
        </w:rPr>
      </w:pPr>
      <w:r w:rsidRPr="00973028">
        <w:rPr>
          <w:rFonts w:ascii="Arial" w:eastAsia="NSimSun" w:hAnsi="Arial" w:cs="Arial"/>
          <w:color w:val="000000"/>
          <w:sz w:val="20"/>
          <w:szCs w:val="20"/>
        </w:rPr>
        <w:t>“Existen por lo tanto indicios de que el despido obedece a las reiteradas denuncias efectuadas por el actor a la Dirección de la empresa, constituyendo dicha decisión empresarial una represalia por su actuación, no habiendo justificado la empresa, como se ha indicado en el fundamento de derecho anterior, la concurrencia de causa de despido disciplinario en el trabajador, lo que constituye motivo de nulidad del mismo conforme al artículo 55.5 ET.”</w:t>
      </w:r>
    </w:p>
    <w:p w14:paraId="4F52271E" w14:textId="70E6BB4E" w:rsidR="006B510A" w:rsidRPr="00973028" w:rsidRDefault="006B510A" w:rsidP="005A0A8D">
      <w:pPr>
        <w:pStyle w:val="NormalWeb"/>
        <w:spacing w:before="0" w:beforeAutospacing="0" w:after="120" w:line="276" w:lineRule="auto"/>
        <w:ind w:left="708"/>
        <w:jc w:val="both"/>
        <w:rPr>
          <w:rFonts w:ascii="Arial" w:hAnsi="Arial" w:cs="Arial"/>
          <w:color w:val="222222"/>
          <w:sz w:val="21"/>
          <w:szCs w:val="21"/>
        </w:rPr>
      </w:pPr>
      <w:r w:rsidRPr="00973028">
        <w:rPr>
          <w:rFonts w:ascii="Arial" w:hAnsi="Arial" w:cs="Arial"/>
          <w:color w:val="222222"/>
          <w:sz w:val="21"/>
          <w:szCs w:val="21"/>
        </w:rPr>
        <w:t>La sentencia que, además de declarar la nulidad del despido,</w:t>
      </w:r>
      <w:r w:rsidRPr="00973028">
        <w:rPr>
          <w:rFonts w:ascii="Arial" w:eastAsia="NSimSun" w:hAnsi="Arial" w:cs="Arial"/>
          <w:sz w:val="21"/>
          <w:szCs w:val="21"/>
        </w:rPr>
        <w:t xml:space="preserve"> condenaba a la readmisión del trabajador en su puesto de trabajo y a abonarle los salarios de tramitación y una indemnización por daños y perjuicios,</w:t>
      </w:r>
      <w:r w:rsidRPr="00973028">
        <w:rPr>
          <w:rFonts w:ascii="Arial" w:hAnsi="Arial" w:cs="Arial"/>
          <w:color w:val="222222"/>
          <w:sz w:val="21"/>
          <w:szCs w:val="21"/>
        </w:rPr>
        <w:t xml:space="preserve"> fue objeto de posterior </w:t>
      </w:r>
      <w:r w:rsidRPr="00973028">
        <w:rPr>
          <w:rFonts w:ascii="Arial" w:hAnsi="Arial" w:cs="Arial"/>
          <w:color w:val="000000"/>
          <w:sz w:val="21"/>
          <w:szCs w:val="21"/>
          <w:shd w:val="clear" w:color="auto" w:fill="FFFFFF"/>
        </w:rPr>
        <w:t>recurso de suplicación, pese al requerimiento y advertencia de esta Agencia a la gerencia de la fundación sobre la no procedencia de la interposición de dicho recurso, que no fueron atendidos. Finalmente, el recurso interpuesto por la fundación contra la declaración de la nulidad del despido fue desestimado y confirmada la sentencia de instancia.</w:t>
      </w:r>
    </w:p>
    <w:p w14:paraId="0D38DFA9" w14:textId="5EAC9FC3" w:rsidR="006B510A" w:rsidRPr="00973028" w:rsidRDefault="006B510A" w:rsidP="005A0A8D">
      <w:pPr>
        <w:pStyle w:val="NormalWeb"/>
        <w:spacing w:before="0" w:beforeAutospacing="0" w:after="120" w:line="276" w:lineRule="auto"/>
        <w:ind w:left="708"/>
        <w:jc w:val="both"/>
        <w:rPr>
          <w:rFonts w:ascii="Arial" w:hAnsi="Arial" w:cs="Arial"/>
          <w:color w:val="000000"/>
          <w:sz w:val="21"/>
          <w:szCs w:val="21"/>
          <w:shd w:val="clear" w:color="auto" w:fill="FFFFFF"/>
        </w:rPr>
      </w:pPr>
      <w:r w:rsidRPr="00973028">
        <w:rPr>
          <w:rFonts w:ascii="Arial" w:hAnsi="Arial" w:cs="Arial"/>
          <w:b/>
          <w:bCs/>
          <w:color w:val="222222"/>
          <w:sz w:val="21"/>
          <w:szCs w:val="21"/>
        </w:rPr>
        <w:t>Actuaciones de la Agencia:</w:t>
      </w:r>
      <w:r w:rsidRPr="00973028">
        <w:rPr>
          <w:rFonts w:ascii="Arial" w:hAnsi="Arial" w:cs="Arial"/>
          <w:color w:val="222222"/>
          <w:sz w:val="21"/>
          <w:szCs w:val="21"/>
        </w:rPr>
        <w:t xml:space="preserve"> se ha efectuado un análisis de las diferentes vías que legalmente proceden para exigir que los </w:t>
      </w:r>
      <w:r w:rsidRPr="00973028">
        <w:rPr>
          <w:rFonts w:ascii="Arial" w:hAnsi="Arial" w:cs="Arial"/>
          <w:color w:val="000000"/>
          <w:sz w:val="21"/>
          <w:szCs w:val="21"/>
          <w:shd w:val="clear" w:color="auto" w:fill="FFFFFF"/>
        </w:rPr>
        <w:t>costes derivados del procedimiento judicial que declaró nulo el despido de la persona protegida</w:t>
      </w:r>
      <w:r w:rsidRPr="00973028">
        <w:rPr>
          <w:rFonts w:ascii="Arial" w:hAnsi="Arial" w:cs="Arial"/>
          <w:color w:val="000000"/>
          <w:sz w:val="21"/>
          <w:szCs w:val="21"/>
        </w:rPr>
        <w:t xml:space="preserve">, </w:t>
      </w:r>
      <w:r w:rsidRPr="00973028">
        <w:rPr>
          <w:rFonts w:ascii="Arial" w:hAnsi="Arial" w:cs="Arial"/>
          <w:color w:val="000000"/>
          <w:sz w:val="21"/>
          <w:szCs w:val="21"/>
          <w:shd w:val="clear" w:color="auto" w:fill="FFFFFF"/>
        </w:rPr>
        <w:t xml:space="preserve">tanto en lo relativo a los abonos al trabajador como en la condena en costas de la parte vencida, se repercutieran contra la/s persona/s responsable/s que decidieron no solamente el despido de aquel, declarado nulo, sino también la interposición y mantenimiento de un recurso de suplicación pese al apercibimiento de la AVAF. </w:t>
      </w:r>
    </w:p>
    <w:p w14:paraId="5C2C81AF" w14:textId="1F79E292" w:rsidR="006B510A" w:rsidRPr="00973028" w:rsidRDefault="006B510A" w:rsidP="005A0A8D">
      <w:pPr>
        <w:pStyle w:val="NormalWeb"/>
        <w:spacing w:before="0" w:beforeAutospacing="0" w:after="120" w:line="276" w:lineRule="auto"/>
        <w:ind w:left="708"/>
        <w:jc w:val="both"/>
        <w:rPr>
          <w:rFonts w:ascii="Arial" w:hAnsi="Arial" w:cs="Arial"/>
          <w:color w:val="000000"/>
          <w:sz w:val="21"/>
          <w:szCs w:val="21"/>
          <w:shd w:val="clear" w:color="auto" w:fill="FFFFFF"/>
        </w:rPr>
      </w:pPr>
      <w:r w:rsidRPr="00973028">
        <w:rPr>
          <w:rFonts w:ascii="Arial" w:hAnsi="Arial" w:cs="Arial"/>
          <w:color w:val="222222"/>
          <w:sz w:val="21"/>
          <w:szCs w:val="21"/>
        </w:rPr>
        <w:t xml:space="preserve">La Agencia ha instado de forma reiterada al patronato de la fundación para que adopte las medidas de resarcimiento de los gastos que ocasionó a las arcas públicas la injustificada adopción del despido y </w:t>
      </w:r>
      <w:r w:rsidRPr="00973028">
        <w:rPr>
          <w:rFonts w:ascii="Arial" w:hAnsi="Arial" w:cs="Arial"/>
          <w:color w:val="000000"/>
          <w:sz w:val="21"/>
          <w:szCs w:val="21"/>
          <w:shd w:val="clear" w:color="auto" w:fill="FFFFFF"/>
        </w:rPr>
        <w:t>está realizando un seguimiento del procedimiento para que se haga efectivo el mismo.</w:t>
      </w:r>
    </w:p>
    <w:p w14:paraId="3E3DA4F5" w14:textId="21F5AFA4" w:rsidR="006B510A" w:rsidRPr="00973028" w:rsidRDefault="006B510A" w:rsidP="005A0A8D">
      <w:pPr>
        <w:pStyle w:val="NormalWeb"/>
        <w:spacing w:after="240" w:line="276" w:lineRule="auto"/>
        <w:jc w:val="both"/>
        <w:rPr>
          <w:rFonts w:ascii="Arial" w:hAnsi="Arial" w:cs="Arial"/>
          <w:b/>
          <w:bCs/>
          <w:color w:val="9D2235" w:themeColor="accent1"/>
          <w:sz w:val="21"/>
          <w:szCs w:val="21"/>
        </w:rPr>
      </w:pPr>
      <w:r w:rsidRPr="00973028">
        <w:rPr>
          <w:rFonts w:ascii="Arial" w:hAnsi="Arial" w:cs="Arial"/>
          <w:b/>
          <w:bCs/>
          <w:color w:val="9D2235" w:themeColor="accent1"/>
          <w:sz w:val="21"/>
          <w:szCs w:val="21"/>
        </w:rPr>
        <w:t>Caso 3.</w:t>
      </w:r>
    </w:p>
    <w:p w14:paraId="11EBDC75" w14:textId="695FEDAF" w:rsidR="006B510A" w:rsidRPr="00973028" w:rsidRDefault="006B510A" w:rsidP="005A0A8D">
      <w:pPr>
        <w:pStyle w:val="NormalWeb"/>
        <w:spacing w:before="0" w:beforeAutospacing="0" w:after="120" w:line="276" w:lineRule="auto"/>
        <w:ind w:left="709"/>
        <w:jc w:val="both"/>
        <w:rPr>
          <w:rFonts w:ascii="Arial" w:hAnsi="Arial" w:cs="Arial"/>
          <w:color w:val="222222"/>
          <w:sz w:val="21"/>
          <w:szCs w:val="21"/>
        </w:rPr>
      </w:pPr>
      <w:r w:rsidRPr="00973028">
        <w:rPr>
          <w:rFonts w:ascii="Arial" w:hAnsi="Arial" w:cs="Arial"/>
          <w:b/>
          <w:bCs/>
          <w:color w:val="222222"/>
          <w:sz w:val="21"/>
          <w:szCs w:val="21"/>
        </w:rPr>
        <w:t xml:space="preserve">Resumen: </w:t>
      </w:r>
      <w:r w:rsidRPr="00973028">
        <w:rPr>
          <w:rFonts w:ascii="Arial" w:hAnsi="Arial" w:cs="Arial"/>
          <w:color w:val="222222"/>
          <w:sz w:val="21"/>
          <w:szCs w:val="21"/>
        </w:rPr>
        <w:t xml:space="preserve">supuesto en el que la Agencia protege a una persona denunciante, funcionaria de la Administración local con habilitación nacional, que en el ejercicio de sus funciones tuvo conocimiento de diversas irregularidades acaecidas en el Ayuntamiento en el que trabajaba, fundamentalmente en materia de contratación pública, y que remitió informes que le fueron requeridos a las autoridades judiciales en su condición de funcionaria y prestó declaración como testigo en varios procedimientos penales incoados en relación con aquellas. </w:t>
      </w:r>
    </w:p>
    <w:p w14:paraId="4A99CDB3" w14:textId="202E3AE0" w:rsidR="006B510A" w:rsidRPr="00973028" w:rsidRDefault="006B510A" w:rsidP="005A0A8D">
      <w:pPr>
        <w:pStyle w:val="NormalWeb"/>
        <w:spacing w:before="0" w:beforeAutospacing="0" w:after="120" w:line="276" w:lineRule="auto"/>
        <w:ind w:left="709"/>
        <w:jc w:val="both"/>
        <w:rPr>
          <w:rFonts w:ascii="Arial" w:hAnsi="Arial" w:cs="Arial"/>
          <w:color w:val="222222"/>
          <w:sz w:val="21"/>
          <w:szCs w:val="21"/>
        </w:rPr>
      </w:pPr>
      <w:r w:rsidRPr="00973028">
        <w:rPr>
          <w:rFonts w:ascii="Arial" w:hAnsi="Arial" w:cs="Arial"/>
          <w:b/>
          <w:bCs/>
          <w:color w:val="222222"/>
          <w:sz w:val="21"/>
          <w:szCs w:val="21"/>
        </w:rPr>
        <w:lastRenderedPageBreak/>
        <w:t>Actuaciones de la Agencia:</w:t>
      </w:r>
      <w:r w:rsidRPr="00973028">
        <w:rPr>
          <w:rFonts w:ascii="Arial" w:hAnsi="Arial" w:cs="Arial"/>
          <w:color w:val="222222"/>
          <w:sz w:val="21"/>
          <w:szCs w:val="21"/>
        </w:rPr>
        <w:t xml:space="preserve"> la actuación protectora de la Agencia en este caso durante 2020 consistió en el asesoramiento a la persona denunciante protegida y la realización de gestiones ante la Dirección General de Administración Local de la Generalitat para que esta resolviera, con la mayor celeridad posible, el nombramiento provisional de aquella como secretaria de otro Ayuntamiento de la misma provincia.</w:t>
      </w:r>
    </w:p>
    <w:p w14:paraId="6D998E8F" w14:textId="28957739" w:rsidR="006B510A" w:rsidRPr="00973028" w:rsidRDefault="006B510A" w:rsidP="002960AB">
      <w:pPr>
        <w:pStyle w:val="NormalWeb"/>
        <w:spacing w:before="0" w:after="240" w:line="276" w:lineRule="auto"/>
        <w:jc w:val="both"/>
        <w:rPr>
          <w:rFonts w:ascii="Arial" w:hAnsi="Arial" w:cs="Arial"/>
          <w:b/>
          <w:bCs/>
          <w:color w:val="9D2235" w:themeColor="accent1"/>
          <w:sz w:val="21"/>
          <w:szCs w:val="21"/>
          <w:shd w:val="clear" w:color="auto" w:fill="FFFFFF"/>
        </w:rPr>
      </w:pPr>
      <w:r w:rsidRPr="00973028">
        <w:rPr>
          <w:rFonts w:ascii="Arial" w:hAnsi="Arial" w:cs="Arial"/>
          <w:b/>
          <w:bCs/>
          <w:color w:val="9D2235" w:themeColor="accent1"/>
          <w:sz w:val="21"/>
          <w:szCs w:val="21"/>
          <w:shd w:val="clear" w:color="auto" w:fill="FFFFFF"/>
        </w:rPr>
        <w:t xml:space="preserve">Caso 4.  </w:t>
      </w:r>
    </w:p>
    <w:p w14:paraId="7054DDA7" w14:textId="090B8301" w:rsidR="006B510A" w:rsidRPr="00973028" w:rsidRDefault="006B510A" w:rsidP="005A0A8D">
      <w:pPr>
        <w:pStyle w:val="NormalWeb"/>
        <w:spacing w:before="0" w:beforeAutospacing="0" w:after="120" w:line="276" w:lineRule="auto"/>
        <w:ind w:left="709"/>
        <w:jc w:val="both"/>
        <w:rPr>
          <w:rFonts w:ascii="Arial" w:hAnsi="Arial" w:cs="Arial"/>
          <w:b/>
          <w:bCs/>
          <w:color w:val="222222"/>
          <w:sz w:val="21"/>
          <w:szCs w:val="21"/>
          <w:highlight w:val="cyan"/>
        </w:rPr>
      </w:pPr>
      <w:r w:rsidRPr="00973028">
        <w:rPr>
          <w:rFonts w:ascii="Arial" w:hAnsi="Arial" w:cs="Arial"/>
          <w:b/>
          <w:bCs/>
          <w:color w:val="222222"/>
          <w:sz w:val="21"/>
          <w:szCs w:val="21"/>
        </w:rPr>
        <w:t>Resumen:</w:t>
      </w:r>
      <w:r w:rsidRPr="00973028">
        <w:rPr>
          <w:rFonts w:ascii="Arial" w:hAnsi="Arial" w:cs="Arial"/>
          <w:color w:val="222222"/>
          <w:sz w:val="21"/>
          <w:szCs w:val="21"/>
        </w:rPr>
        <w:t xml:space="preserve"> supuesto en el que la protección se otorga a una funcionaria de una entidad pública dependiente de una consellería, que denunció un presunto delito de malversación de caudales </w:t>
      </w:r>
      <w:r w:rsidRPr="00973028">
        <w:rPr>
          <w:rFonts w:ascii="Arial" w:hAnsi="Arial" w:cs="Arial"/>
          <w:sz w:val="21"/>
          <w:szCs w:val="21"/>
        </w:rPr>
        <w:t>públicos cometidos por personal de la referida entidad.</w:t>
      </w:r>
    </w:p>
    <w:p w14:paraId="596AD2A8" w14:textId="17B408BD" w:rsidR="006B510A" w:rsidRPr="00973028" w:rsidRDefault="006B510A" w:rsidP="005A0A8D">
      <w:pPr>
        <w:pStyle w:val="NormalWeb"/>
        <w:spacing w:before="0" w:beforeAutospacing="0" w:after="120" w:line="276" w:lineRule="auto"/>
        <w:ind w:left="709"/>
        <w:jc w:val="both"/>
        <w:rPr>
          <w:rFonts w:ascii="Arial" w:hAnsi="Arial" w:cs="Arial"/>
          <w:color w:val="222222"/>
          <w:sz w:val="21"/>
          <w:szCs w:val="21"/>
        </w:rPr>
      </w:pPr>
      <w:r w:rsidRPr="00973028">
        <w:rPr>
          <w:rFonts w:ascii="Arial" w:hAnsi="Arial" w:cs="Arial"/>
          <w:b/>
          <w:bCs/>
          <w:sz w:val="21"/>
          <w:szCs w:val="21"/>
        </w:rPr>
        <w:t>Represalias:</w:t>
      </w:r>
      <w:r w:rsidRPr="00973028">
        <w:rPr>
          <w:rFonts w:ascii="Arial" w:hAnsi="Arial" w:cs="Arial"/>
          <w:color w:val="222222"/>
          <w:sz w:val="21"/>
          <w:szCs w:val="21"/>
        </w:rPr>
        <w:t xml:space="preserve"> tras recaer en el proceso penal auto de sobreseimiento libre que todavía no es firme, una de las personas investigadas formuló ante la Agencia solicitud de incoación de expediente sancionador frente a la persona protegida por “denuncia falsa”.</w:t>
      </w:r>
    </w:p>
    <w:p w14:paraId="5F6EE54B" w14:textId="07FD0CB1" w:rsidR="006B510A" w:rsidRPr="00973028" w:rsidRDefault="006B510A" w:rsidP="005A0A8D">
      <w:pPr>
        <w:pStyle w:val="NormalWeb"/>
        <w:spacing w:before="0" w:beforeAutospacing="0" w:after="120" w:line="276" w:lineRule="auto"/>
        <w:ind w:left="709"/>
        <w:jc w:val="both"/>
        <w:rPr>
          <w:rFonts w:ascii="Arial" w:hAnsi="Arial" w:cs="Arial"/>
          <w:color w:val="222222"/>
          <w:sz w:val="21"/>
          <w:szCs w:val="21"/>
        </w:rPr>
      </w:pPr>
      <w:r w:rsidRPr="00973028">
        <w:rPr>
          <w:rFonts w:ascii="Arial" w:hAnsi="Arial" w:cs="Arial"/>
          <w:b/>
          <w:bCs/>
          <w:color w:val="222222"/>
          <w:sz w:val="21"/>
          <w:szCs w:val="21"/>
        </w:rPr>
        <w:t>Actuaciones de la Agencia:</w:t>
      </w:r>
      <w:r w:rsidRPr="00973028">
        <w:rPr>
          <w:rFonts w:ascii="Arial" w:hAnsi="Arial" w:cs="Arial"/>
          <w:color w:val="222222"/>
          <w:sz w:val="21"/>
          <w:szCs w:val="21"/>
        </w:rPr>
        <w:t xml:space="preserve"> por la AVAF se ha procedido a valorar jurídicamente la denuncia efectuada contra la persona protegida, y tras analizar la cuestión se ha emitido razonado informe por el que se acuerda desestimar la pretensión de que se sancione a la denunciante protegida. </w:t>
      </w:r>
    </w:p>
    <w:p w14:paraId="3148A40A" w14:textId="6BE2209E" w:rsidR="006B510A" w:rsidRPr="00973028" w:rsidRDefault="006B510A" w:rsidP="005A0A8D">
      <w:pPr>
        <w:pStyle w:val="NormalWeb"/>
        <w:spacing w:before="0" w:beforeAutospacing="0" w:after="120" w:line="276" w:lineRule="auto"/>
        <w:ind w:left="709"/>
        <w:jc w:val="both"/>
        <w:rPr>
          <w:rFonts w:ascii="Arial" w:hAnsi="Arial" w:cs="Arial"/>
          <w:color w:val="222222"/>
          <w:sz w:val="21"/>
          <w:szCs w:val="21"/>
        </w:rPr>
      </w:pPr>
      <w:r w:rsidRPr="00973028">
        <w:rPr>
          <w:rFonts w:ascii="Arial" w:hAnsi="Arial" w:cs="Arial"/>
          <w:color w:val="222222"/>
          <w:sz w:val="21"/>
          <w:szCs w:val="21"/>
        </w:rPr>
        <w:t>Las razones en que se funda la decisión de esta Agencia resultan ser singularmente las que a continuación se resumen. En primer lugar, debe recordarse que el auto de sobreseimiento penal no es firme, y ello porque se encuentra pendiente de resolución por la Audiencia Provincial de Val</w:t>
      </w:r>
      <w:r w:rsidR="00D13AB4">
        <w:rPr>
          <w:rFonts w:ascii="Arial" w:hAnsi="Arial" w:cs="Arial"/>
          <w:color w:val="222222"/>
          <w:sz w:val="21"/>
          <w:szCs w:val="21"/>
        </w:rPr>
        <w:t>e</w:t>
      </w:r>
      <w:r w:rsidRPr="00973028">
        <w:rPr>
          <w:rFonts w:ascii="Arial" w:hAnsi="Arial" w:cs="Arial"/>
          <w:color w:val="222222"/>
          <w:sz w:val="21"/>
          <w:szCs w:val="21"/>
        </w:rPr>
        <w:t xml:space="preserve">ncia el recurso de apelación que ha interpuesto el Ministerio Fiscal y la acusación popular. La falta de firmeza del auto de sobreseimiento impide, de raíz, imputar la falsedad a la denuncia que es objeto de enjuiciamiento penal. En segundo lugar, y pese a la falta de firmeza del auto de sobreseimiento, la resolución de esta Agencia desciende a analizar la cuestión y señala que no concurrirían en ningún caso los elementos para accionar contra la denunciante protegida, y ello porque la denuncia formulada no es </w:t>
      </w:r>
      <w:r w:rsidRPr="007F6F69">
        <w:rPr>
          <w:rFonts w:ascii="Arial" w:hAnsi="Arial" w:cs="Arial"/>
          <w:color w:val="222222"/>
          <w:sz w:val="21"/>
          <w:szCs w:val="21"/>
        </w:rPr>
        <w:t>manifiestamente falsa y tampoco se habría perjudicado gravemente a la persona denunciada</w:t>
      </w:r>
      <w:r w:rsidR="0025363D" w:rsidRPr="007F6F69">
        <w:rPr>
          <w:rFonts w:ascii="Arial" w:hAnsi="Arial" w:cs="Arial"/>
          <w:color w:val="222222"/>
          <w:sz w:val="21"/>
          <w:szCs w:val="21"/>
        </w:rPr>
        <w:t>, sino que simplemente se articularon los mecanismos legales para poner en marcha la averiguación de los hechos.</w:t>
      </w:r>
    </w:p>
    <w:p w14:paraId="3FFE48C0" w14:textId="3AA000EA" w:rsidR="006B510A" w:rsidRPr="00973028" w:rsidRDefault="006B510A" w:rsidP="002960AB">
      <w:pPr>
        <w:pStyle w:val="NormalWeb"/>
        <w:spacing w:before="0" w:after="240" w:line="276" w:lineRule="auto"/>
        <w:jc w:val="both"/>
        <w:rPr>
          <w:rFonts w:ascii="Arial" w:hAnsi="Arial" w:cs="Arial"/>
          <w:b/>
          <w:bCs/>
          <w:color w:val="9D2235" w:themeColor="accent1"/>
          <w:sz w:val="21"/>
          <w:szCs w:val="21"/>
          <w:shd w:val="clear" w:color="auto" w:fill="FFFFFF"/>
        </w:rPr>
      </w:pPr>
      <w:r w:rsidRPr="00973028">
        <w:rPr>
          <w:rFonts w:ascii="Arial" w:hAnsi="Arial" w:cs="Arial"/>
          <w:b/>
          <w:bCs/>
          <w:color w:val="9D2235" w:themeColor="accent1"/>
          <w:sz w:val="21"/>
          <w:szCs w:val="21"/>
          <w:shd w:val="clear" w:color="auto" w:fill="FFFFFF"/>
        </w:rPr>
        <w:t>Caso 5.</w:t>
      </w:r>
    </w:p>
    <w:p w14:paraId="5751CD0C" w14:textId="274FF3C4" w:rsidR="006B510A" w:rsidRPr="00973028" w:rsidRDefault="006B510A" w:rsidP="005A0A8D">
      <w:pPr>
        <w:pStyle w:val="NormalWeb"/>
        <w:spacing w:before="0" w:beforeAutospacing="0" w:after="120" w:line="276" w:lineRule="auto"/>
        <w:ind w:left="708"/>
        <w:jc w:val="both"/>
        <w:rPr>
          <w:rFonts w:ascii="Arial" w:hAnsi="Arial" w:cs="Arial"/>
          <w:color w:val="000000"/>
          <w:sz w:val="21"/>
          <w:szCs w:val="21"/>
          <w:shd w:val="clear" w:color="auto" w:fill="FFFFFF"/>
        </w:rPr>
      </w:pPr>
      <w:r w:rsidRPr="00973028">
        <w:rPr>
          <w:rFonts w:ascii="Arial" w:hAnsi="Arial" w:cs="Arial"/>
          <w:b/>
          <w:bCs/>
          <w:color w:val="000000"/>
          <w:sz w:val="21"/>
          <w:szCs w:val="21"/>
          <w:shd w:val="clear" w:color="auto" w:fill="FFFFFF"/>
        </w:rPr>
        <w:t>Resumen:</w:t>
      </w:r>
      <w:r w:rsidRPr="00973028">
        <w:rPr>
          <w:rFonts w:ascii="Arial" w:hAnsi="Arial" w:cs="Arial"/>
          <w:color w:val="000000"/>
          <w:sz w:val="21"/>
          <w:szCs w:val="21"/>
          <w:shd w:val="clear" w:color="auto" w:fill="FFFFFF"/>
        </w:rPr>
        <w:t xml:space="preserve"> supuesto en el que la persona protegida por la Agencia es funcionario de la Administración local, que denuncia presuntas irregularidades en materia urbanística cometidas en su Ayuntamiento, lo que motivó la apertura de unas diligencias previas en un Juzgado de Instrucción y de otros procedimientos derivados de este. Uno de estos últimos procedimientos se encuentra en fase de juicio oral por delitos de prevaricación, acoso laboral y cohecho, frente a autoridades y personal de la administración en la que presta sus servicios.</w:t>
      </w:r>
    </w:p>
    <w:p w14:paraId="01EB8139" w14:textId="4147691D" w:rsidR="006B510A" w:rsidRPr="00973028" w:rsidRDefault="006B510A" w:rsidP="005A0A8D">
      <w:pPr>
        <w:pStyle w:val="NormalWeb"/>
        <w:spacing w:before="0" w:beforeAutospacing="0" w:after="120" w:line="276" w:lineRule="auto"/>
        <w:ind w:left="708"/>
        <w:jc w:val="both"/>
        <w:rPr>
          <w:rFonts w:ascii="Arial" w:hAnsi="Arial" w:cs="Arial"/>
          <w:color w:val="000000"/>
          <w:sz w:val="21"/>
          <w:szCs w:val="21"/>
          <w:shd w:val="clear" w:color="auto" w:fill="FFFFFF"/>
        </w:rPr>
      </w:pPr>
      <w:r w:rsidRPr="00973028">
        <w:rPr>
          <w:rFonts w:ascii="Arial" w:hAnsi="Arial" w:cs="Arial"/>
          <w:b/>
          <w:bCs/>
          <w:color w:val="000000"/>
          <w:sz w:val="21"/>
          <w:szCs w:val="21"/>
          <w:shd w:val="clear" w:color="auto" w:fill="FFFFFF"/>
        </w:rPr>
        <w:t>Actuaciones de la Agencia:</w:t>
      </w:r>
      <w:r w:rsidRPr="00973028">
        <w:rPr>
          <w:rFonts w:ascii="Arial" w:hAnsi="Arial" w:cs="Arial"/>
          <w:color w:val="000000"/>
          <w:sz w:val="21"/>
          <w:szCs w:val="21"/>
          <w:shd w:val="clear" w:color="auto" w:fill="FFFFFF"/>
        </w:rPr>
        <w:t xml:space="preserve"> la aplicación práctica de la protección reconocida a dicho funcionario durante 2020 ha consistido en vigilar que no se produjeran más </w:t>
      </w:r>
      <w:r w:rsidRPr="00973028">
        <w:rPr>
          <w:rFonts w:ascii="Arial" w:hAnsi="Arial" w:cs="Arial"/>
          <w:color w:val="000000"/>
          <w:sz w:val="21"/>
          <w:szCs w:val="21"/>
          <w:shd w:val="clear" w:color="auto" w:fill="FFFFFF"/>
        </w:rPr>
        <w:lastRenderedPageBreak/>
        <w:t xml:space="preserve">actos de represalia hacia su persona y en el seguimiento de los procesos judiciales relacionados con el mismo. </w:t>
      </w:r>
    </w:p>
    <w:p w14:paraId="361F4307" w14:textId="6B985F3D" w:rsidR="006B510A" w:rsidRPr="00973028" w:rsidRDefault="006B510A" w:rsidP="005A0A8D">
      <w:pPr>
        <w:pStyle w:val="NormalWeb"/>
        <w:spacing w:before="0" w:beforeAutospacing="0" w:after="120" w:line="276" w:lineRule="auto"/>
        <w:ind w:left="708"/>
        <w:jc w:val="both"/>
        <w:rPr>
          <w:rFonts w:ascii="Arial" w:hAnsi="Arial" w:cs="Arial"/>
          <w:color w:val="000000"/>
          <w:sz w:val="21"/>
          <w:szCs w:val="21"/>
          <w:shd w:val="clear" w:color="auto" w:fill="FFFFFF"/>
        </w:rPr>
      </w:pPr>
      <w:r w:rsidRPr="00973028">
        <w:rPr>
          <w:rFonts w:ascii="Arial" w:hAnsi="Arial" w:cs="Arial"/>
          <w:color w:val="000000"/>
          <w:sz w:val="21"/>
          <w:szCs w:val="21"/>
          <w:shd w:val="clear" w:color="auto" w:fill="FFFFFF"/>
        </w:rPr>
        <w:t>La persona denunciante protegida ha venido obteniendo en sede judicial pronunciamientos favorables al reconocimiento de sus derechos. Entre ellos, destacamos el siguiente extracto de un Auto de la Audiencia Provincial:</w:t>
      </w:r>
    </w:p>
    <w:p w14:paraId="0EDE8F52" w14:textId="4F8AA1F8" w:rsidR="006B510A" w:rsidRPr="00973028" w:rsidRDefault="006B510A" w:rsidP="005A0A8D">
      <w:pPr>
        <w:pStyle w:val="NormalWeb"/>
        <w:spacing w:before="0" w:beforeAutospacing="0" w:after="120" w:line="276" w:lineRule="auto"/>
        <w:ind w:left="1416"/>
        <w:jc w:val="both"/>
        <w:rPr>
          <w:rFonts w:ascii="Arial" w:hAnsi="Arial" w:cs="Arial"/>
          <w:color w:val="000000"/>
          <w:sz w:val="20"/>
          <w:szCs w:val="20"/>
          <w:shd w:val="clear" w:color="auto" w:fill="FFFFFF"/>
        </w:rPr>
      </w:pPr>
      <w:r w:rsidRPr="00973028">
        <w:rPr>
          <w:rFonts w:ascii="Arial" w:hAnsi="Arial" w:cs="Arial"/>
          <w:color w:val="000000"/>
          <w:sz w:val="20"/>
          <w:szCs w:val="20"/>
          <w:shd w:val="clear" w:color="auto" w:fill="FFFFFF"/>
        </w:rPr>
        <w:t>“Por otro lado la conexión entre el procedimiento penal tramitado y la medida cautelar de suspensión del expediente disciplinario, es patente y notoria, dado que los hechos que motivan la incoación del expediente disciplinario están estrechamente relacionados con la actuación que ha venido llevando a cabo el querellante. En casos de delito de acoso laboral en el ámbito de la administración pública, el uso de expedientes disciplinarios representa el instrumento más eficaz de acoso contra los trabajadores públicos que no se pliegan a la voluntad ilegítima del superior jerárquico.”</w:t>
      </w:r>
    </w:p>
    <w:p w14:paraId="570FC69B" w14:textId="147475D9" w:rsidR="006B510A" w:rsidRPr="00973028" w:rsidRDefault="006B510A" w:rsidP="005A0A8D">
      <w:pPr>
        <w:pStyle w:val="NormalWeb"/>
        <w:spacing w:before="0" w:beforeAutospacing="0" w:after="120" w:line="276" w:lineRule="auto"/>
        <w:ind w:left="708"/>
        <w:jc w:val="both"/>
        <w:rPr>
          <w:rFonts w:ascii="Arial" w:hAnsi="Arial" w:cs="Arial"/>
          <w:color w:val="000000"/>
          <w:sz w:val="21"/>
          <w:szCs w:val="21"/>
          <w:shd w:val="clear" w:color="auto" w:fill="FFFFFF"/>
        </w:rPr>
      </w:pPr>
      <w:r w:rsidRPr="00973028">
        <w:rPr>
          <w:rFonts w:ascii="Arial" w:hAnsi="Arial" w:cs="Arial"/>
          <w:color w:val="000000"/>
          <w:sz w:val="21"/>
          <w:szCs w:val="21"/>
          <w:shd w:val="clear" w:color="auto" w:fill="FFFFFF"/>
        </w:rPr>
        <w:t>Asimismo, en favor del denunciante protegido se ha dictado sentencia estimatoria por un Juzgado de lo Contencioso-administrativo de su reclamación de responsabilidad patrimonial frente al Ayuntamiento, puesto que para defender sus derechos se ha visto obligado a acudir a juzgados y tribunales, lo que ha venido incidiendo negativamente en su economía.</w:t>
      </w:r>
    </w:p>
    <w:p w14:paraId="0DEF8F62" w14:textId="52D9B5A3" w:rsidR="006B510A" w:rsidRPr="00973028" w:rsidRDefault="006B510A" w:rsidP="005A0A8D">
      <w:pPr>
        <w:pStyle w:val="NormalWeb"/>
        <w:spacing w:before="0" w:beforeAutospacing="0" w:after="120" w:line="276" w:lineRule="auto"/>
        <w:ind w:left="1416"/>
        <w:jc w:val="both"/>
        <w:rPr>
          <w:rFonts w:ascii="Arial" w:hAnsi="Arial" w:cs="Arial"/>
          <w:color w:val="000000"/>
          <w:sz w:val="20"/>
          <w:szCs w:val="20"/>
          <w:shd w:val="clear" w:color="auto" w:fill="FFFFFF"/>
        </w:rPr>
      </w:pPr>
      <w:r w:rsidRPr="00973028">
        <w:rPr>
          <w:rFonts w:ascii="Arial" w:hAnsi="Arial" w:cs="Arial"/>
          <w:color w:val="000000"/>
          <w:sz w:val="20"/>
          <w:szCs w:val="20"/>
          <w:shd w:val="clear" w:color="auto" w:fill="FFFFFF"/>
        </w:rPr>
        <w:t>"(…) Estimo el recurso contencioso-administrativo interpuesto por (…) frente (…) sobre abono de gastos de defensa y representación, anulando las mismas por no ser conformes a Derecho y reconociendo al recurrente como situación jurídica individualizada, el derecho a ser indemnizado por la administración demandada en los gastos de representación y defensa causados, en los procedimientos (...).”</w:t>
      </w:r>
    </w:p>
    <w:p w14:paraId="04FA1C73" w14:textId="051A03B6" w:rsidR="006B510A" w:rsidRPr="00973028" w:rsidRDefault="006B510A" w:rsidP="005A0A8D">
      <w:pPr>
        <w:pStyle w:val="NormalWeb"/>
        <w:spacing w:before="0" w:beforeAutospacing="0" w:after="120" w:line="276" w:lineRule="auto"/>
        <w:ind w:left="708"/>
        <w:jc w:val="both"/>
        <w:rPr>
          <w:rFonts w:ascii="Arial" w:hAnsi="Arial" w:cs="Arial"/>
          <w:color w:val="000000"/>
          <w:sz w:val="21"/>
          <w:szCs w:val="21"/>
          <w:shd w:val="clear" w:color="auto" w:fill="FFFFFF"/>
        </w:rPr>
      </w:pPr>
      <w:r w:rsidRPr="00973028">
        <w:rPr>
          <w:rFonts w:ascii="Arial" w:hAnsi="Arial" w:cs="Arial"/>
          <w:color w:val="000000"/>
          <w:sz w:val="21"/>
          <w:szCs w:val="21"/>
          <w:shd w:val="clear" w:color="auto" w:fill="FFFFFF"/>
        </w:rPr>
        <w:t>Por lo que respecta a este caso, debe remarcarse la especial actitud de enfrentamiento de los responsables políticos de dicho Ayuntamiento, en contra de las actuaciones de la Agencia, siendo representativo de ello la interposición de dos recursos contencioso-administrativos frente a la resolución por la que se reconoció al citado funcionario la protección como persona denunciante. En la actualidad dichos recursos (acumulados en un solo procedimiento) se hallan a la espera de la emisión de sentencia por el Tribunal Superior de Justicia de la Comunitat Valenciana.</w:t>
      </w:r>
    </w:p>
    <w:p w14:paraId="575756FC" w14:textId="520D1A42" w:rsidR="006B510A" w:rsidRPr="00973028" w:rsidRDefault="006B510A" w:rsidP="00FB0024">
      <w:pPr>
        <w:pStyle w:val="NormalWeb"/>
        <w:spacing w:before="0" w:after="240" w:line="276" w:lineRule="auto"/>
        <w:jc w:val="both"/>
        <w:rPr>
          <w:rFonts w:ascii="Arial" w:hAnsi="Arial" w:cs="Arial"/>
          <w:b/>
          <w:bCs/>
          <w:color w:val="9D2235" w:themeColor="accent1"/>
          <w:sz w:val="21"/>
          <w:szCs w:val="21"/>
        </w:rPr>
      </w:pPr>
      <w:r w:rsidRPr="00973028">
        <w:rPr>
          <w:rFonts w:ascii="Arial" w:hAnsi="Arial" w:cs="Arial"/>
          <w:b/>
          <w:bCs/>
          <w:color w:val="9D2235" w:themeColor="accent1"/>
          <w:sz w:val="21"/>
          <w:szCs w:val="21"/>
        </w:rPr>
        <w:t>Caso 6.</w:t>
      </w:r>
    </w:p>
    <w:p w14:paraId="3AC5B524" w14:textId="5BB53835"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b/>
          <w:bCs/>
          <w:sz w:val="21"/>
          <w:szCs w:val="21"/>
        </w:rPr>
        <w:t xml:space="preserve">Resumen: </w:t>
      </w:r>
      <w:r w:rsidRPr="00973028">
        <w:rPr>
          <w:rFonts w:ascii="Arial" w:hAnsi="Arial" w:cs="Arial"/>
          <w:sz w:val="21"/>
          <w:szCs w:val="21"/>
        </w:rPr>
        <w:t>supuesto en el que las personas protegidas son dos aspirantes a un proceso selectivo para acceder a varias plazas de policía local de un Ayuntamiento, que denunciaron determinadas irregularidades producidas durante el desarrollo de uno de los exámenes, lo que dio lugar a la apertura de diligencias previas por presunto delito de descubrimiento y revelación de secretos instada por la fiscalía.</w:t>
      </w:r>
    </w:p>
    <w:p w14:paraId="4DD5010D" w14:textId="523A281D"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b/>
          <w:bCs/>
          <w:sz w:val="21"/>
          <w:szCs w:val="21"/>
        </w:rPr>
        <w:t>Actuaciones de la Agencia:</w:t>
      </w:r>
      <w:r w:rsidRPr="00973028">
        <w:rPr>
          <w:rFonts w:ascii="Arial" w:hAnsi="Arial" w:cs="Arial"/>
          <w:sz w:val="21"/>
          <w:szCs w:val="21"/>
        </w:rPr>
        <w:t xml:space="preserve"> se ha efectuado durante 2020 un seguimiento del referido procedimiento y de las diferentes actuaciones y resoluciones que se dictaron en relación con el mismo, recomendando a la entidad local que por razones de prudencia y seguridad jurídica se suspendiera el proceso selectivo hasta la resolución de la vía penal; circunstancia de suspensión a la que finalmente accedió la administración.</w:t>
      </w:r>
    </w:p>
    <w:p w14:paraId="3DF3746D" w14:textId="148612B2" w:rsidR="006B510A" w:rsidRPr="00973028" w:rsidRDefault="006B510A" w:rsidP="005A0A8D">
      <w:pPr>
        <w:pStyle w:val="NormalWeb"/>
        <w:spacing w:before="0" w:beforeAutospacing="0" w:after="120" w:line="276" w:lineRule="auto"/>
        <w:ind w:left="709"/>
        <w:jc w:val="both"/>
        <w:rPr>
          <w:rFonts w:ascii="Arial" w:hAnsi="Arial" w:cs="Arial"/>
          <w:sz w:val="21"/>
          <w:szCs w:val="21"/>
        </w:rPr>
      </w:pPr>
      <w:bookmarkStart w:id="157" w:name="_Hlk64976555"/>
      <w:r w:rsidRPr="00973028">
        <w:rPr>
          <w:rFonts w:ascii="Arial" w:hAnsi="Arial" w:cs="Arial"/>
          <w:sz w:val="21"/>
          <w:szCs w:val="21"/>
        </w:rPr>
        <w:lastRenderedPageBreak/>
        <w:t xml:space="preserve">Meses después se acordó por el Ayuntamiento revocar y dejar sin efecto la realización del ejercicio del proceso selectivo en el que se produjeron las irregularidades y designar nuevos miembros del Tribunal, modificando su composición. </w:t>
      </w:r>
      <w:bookmarkEnd w:id="157"/>
    </w:p>
    <w:p w14:paraId="3A0504EA" w14:textId="6D9A5DB8" w:rsidR="007F6F69" w:rsidRPr="007F6F69" w:rsidRDefault="008E130A" w:rsidP="007F6F69">
      <w:pPr>
        <w:pStyle w:val="NormalWeb"/>
        <w:spacing w:after="120" w:line="276" w:lineRule="auto"/>
        <w:ind w:left="709"/>
        <w:jc w:val="both"/>
        <w:rPr>
          <w:rFonts w:ascii="Arial" w:hAnsi="Arial" w:cs="Arial"/>
          <w:sz w:val="21"/>
          <w:szCs w:val="21"/>
        </w:rPr>
      </w:pPr>
      <w:r w:rsidRPr="007F6F69">
        <w:rPr>
          <w:rFonts w:ascii="Arial" w:hAnsi="Arial" w:cs="Arial"/>
          <w:sz w:val="21"/>
          <w:szCs w:val="21"/>
        </w:rPr>
        <w:t xml:space="preserve">A </w:t>
      </w:r>
      <w:r w:rsidR="00A652D0" w:rsidRPr="007F6F69">
        <w:rPr>
          <w:rFonts w:ascii="Arial" w:hAnsi="Arial" w:cs="Arial"/>
          <w:sz w:val="21"/>
          <w:szCs w:val="21"/>
        </w:rPr>
        <w:t xml:space="preserve">la </w:t>
      </w:r>
      <w:r w:rsidRPr="007F6F69">
        <w:rPr>
          <w:rFonts w:ascii="Arial" w:hAnsi="Arial" w:cs="Arial"/>
          <w:sz w:val="21"/>
          <w:szCs w:val="21"/>
        </w:rPr>
        <w:t xml:space="preserve">fecha de </w:t>
      </w:r>
      <w:r w:rsidR="00A652D0" w:rsidRPr="007F6F69">
        <w:rPr>
          <w:rFonts w:ascii="Arial" w:hAnsi="Arial" w:cs="Arial"/>
          <w:sz w:val="21"/>
          <w:szCs w:val="21"/>
        </w:rPr>
        <w:t xml:space="preserve">finalización de </w:t>
      </w:r>
      <w:r w:rsidRPr="007F6F69">
        <w:rPr>
          <w:rFonts w:ascii="Arial" w:hAnsi="Arial" w:cs="Arial"/>
          <w:sz w:val="21"/>
          <w:szCs w:val="21"/>
        </w:rPr>
        <w:t xml:space="preserve">esta Memoria la causa se encuentra pendiente de </w:t>
      </w:r>
      <w:r w:rsidR="00A652D0" w:rsidRPr="007F6F69">
        <w:rPr>
          <w:rFonts w:ascii="Arial" w:hAnsi="Arial" w:cs="Arial"/>
          <w:sz w:val="21"/>
          <w:szCs w:val="21"/>
        </w:rPr>
        <w:t xml:space="preserve">la </w:t>
      </w:r>
      <w:r w:rsidRPr="007F6F69">
        <w:rPr>
          <w:rFonts w:ascii="Arial" w:hAnsi="Arial" w:cs="Arial"/>
          <w:sz w:val="21"/>
          <w:szCs w:val="21"/>
        </w:rPr>
        <w:t>celebración de</w:t>
      </w:r>
      <w:r w:rsidR="00A652D0" w:rsidRPr="007F6F69">
        <w:rPr>
          <w:rFonts w:ascii="Arial" w:hAnsi="Arial" w:cs="Arial"/>
          <w:sz w:val="21"/>
          <w:szCs w:val="21"/>
        </w:rPr>
        <w:t>l</w:t>
      </w:r>
      <w:r w:rsidRPr="007F6F69">
        <w:rPr>
          <w:rFonts w:ascii="Arial" w:hAnsi="Arial" w:cs="Arial"/>
          <w:sz w:val="21"/>
          <w:szCs w:val="21"/>
        </w:rPr>
        <w:t xml:space="preserve"> juicio</w:t>
      </w:r>
      <w:r w:rsidR="00A652D0" w:rsidRPr="007F6F69">
        <w:rPr>
          <w:rFonts w:ascii="Arial" w:hAnsi="Arial" w:cs="Arial"/>
          <w:sz w:val="21"/>
          <w:szCs w:val="21"/>
        </w:rPr>
        <w:t xml:space="preserve"> que tendrá lugar</w:t>
      </w:r>
      <w:r w:rsidRPr="007F6F69">
        <w:rPr>
          <w:rFonts w:ascii="Arial" w:hAnsi="Arial" w:cs="Arial"/>
          <w:sz w:val="21"/>
          <w:szCs w:val="21"/>
        </w:rPr>
        <w:t xml:space="preserve"> en septiembre de 2021 por </w:t>
      </w:r>
      <w:r w:rsidR="00A652D0" w:rsidRPr="007F6F69">
        <w:rPr>
          <w:rFonts w:ascii="Arial" w:hAnsi="Arial" w:cs="Arial"/>
          <w:sz w:val="21"/>
          <w:szCs w:val="21"/>
        </w:rPr>
        <w:t>los</w:t>
      </w:r>
      <w:r w:rsidRPr="007F6F69">
        <w:rPr>
          <w:rFonts w:ascii="Arial" w:hAnsi="Arial" w:cs="Arial"/>
          <w:sz w:val="21"/>
          <w:szCs w:val="21"/>
        </w:rPr>
        <w:t xml:space="preserve"> delito</w:t>
      </w:r>
      <w:r w:rsidR="00A652D0" w:rsidRPr="007F6F69">
        <w:rPr>
          <w:rFonts w:ascii="Arial" w:hAnsi="Arial" w:cs="Arial"/>
          <w:sz w:val="21"/>
          <w:szCs w:val="21"/>
        </w:rPr>
        <w:t>s</w:t>
      </w:r>
      <w:r w:rsidRPr="007F6F69">
        <w:rPr>
          <w:rFonts w:ascii="Arial" w:hAnsi="Arial" w:cs="Arial"/>
          <w:sz w:val="21"/>
          <w:szCs w:val="21"/>
        </w:rPr>
        <w:t xml:space="preserve"> de revelación de secretos por funcionario público y </w:t>
      </w:r>
      <w:r w:rsidR="00A652D0" w:rsidRPr="007F6F69">
        <w:rPr>
          <w:rFonts w:ascii="Arial" w:hAnsi="Arial" w:cs="Arial"/>
          <w:sz w:val="21"/>
          <w:szCs w:val="21"/>
        </w:rPr>
        <w:t xml:space="preserve">de </w:t>
      </w:r>
      <w:r w:rsidRPr="007F6F69">
        <w:rPr>
          <w:rFonts w:ascii="Arial" w:hAnsi="Arial" w:cs="Arial"/>
          <w:sz w:val="21"/>
          <w:szCs w:val="21"/>
        </w:rPr>
        <w:t>utilización de secretos o información privilegiada</w:t>
      </w:r>
      <w:r w:rsidR="007F6F69">
        <w:rPr>
          <w:rFonts w:ascii="Arial" w:hAnsi="Arial" w:cs="Arial"/>
          <w:sz w:val="21"/>
          <w:szCs w:val="21"/>
        </w:rPr>
        <w:t>.</w:t>
      </w:r>
    </w:p>
    <w:p w14:paraId="35848C7B" w14:textId="140794F5" w:rsidR="006B510A" w:rsidRPr="00973028" w:rsidRDefault="006B510A" w:rsidP="00FB0024">
      <w:pPr>
        <w:pStyle w:val="NormalWeb"/>
        <w:spacing w:before="0" w:after="240" w:line="276" w:lineRule="auto"/>
        <w:jc w:val="both"/>
        <w:rPr>
          <w:rFonts w:ascii="Arial" w:hAnsi="Arial" w:cs="Arial"/>
          <w:color w:val="9D2235" w:themeColor="accent1"/>
          <w:sz w:val="21"/>
          <w:szCs w:val="21"/>
        </w:rPr>
      </w:pPr>
      <w:r w:rsidRPr="00973028">
        <w:rPr>
          <w:rFonts w:ascii="Arial" w:hAnsi="Arial" w:cs="Arial"/>
          <w:b/>
          <w:bCs/>
          <w:color w:val="9D2235" w:themeColor="accent1"/>
          <w:sz w:val="21"/>
          <w:szCs w:val="21"/>
        </w:rPr>
        <w:t>Caso 7.</w:t>
      </w:r>
      <w:r w:rsidRPr="00973028">
        <w:rPr>
          <w:rFonts w:ascii="Arial" w:hAnsi="Arial" w:cs="Arial"/>
          <w:color w:val="9D2235" w:themeColor="accent1"/>
          <w:sz w:val="21"/>
          <w:szCs w:val="21"/>
        </w:rPr>
        <w:t xml:space="preserve"> </w:t>
      </w:r>
    </w:p>
    <w:p w14:paraId="6FE96B59" w14:textId="4FA5B936"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b/>
          <w:bCs/>
          <w:sz w:val="21"/>
          <w:szCs w:val="21"/>
        </w:rPr>
        <w:t xml:space="preserve">Resumen: </w:t>
      </w:r>
      <w:r w:rsidRPr="00973028">
        <w:rPr>
          <w:rFonts w:ascii="Arial" w:hAnsi="Arial" w:cs="Arial"/>
          <w:sz w:val="21"/>
          <w:szCs w:val="21"/>
        </w:rPr>
        <w:t>en este supuesto de protección la persona denunciante es policía local de un Ayuntamiento. El mismo presentó una denuncia en sede judicial por un presunto delito de malversación de caudales públic</w:t>
      </w:r>
      <w:r w:rsidR="003556A2">
        <w:rPr>
          <w:rFonts w:ascii="Arial" w:hAnsi="Arial" w:cs="Arial"/>
          <w:sz w:val="21"/>
          <w:szCs w:val="21"/>
        </w:rPr>
        <w:t>o</w:t>
      </w:r>
      <w:r w:rsidRPr="00973028">
        <w:rPr>
          <w:rFonts w:ascii="Arial" w:hAnsi="Arial" w:cs="Arial"/>
          <w:sz w:val="21"/>
          <w:szCs w:val="21"/>
        </w:rPr>
        <w:t>s derivada de la falta de control horario y consiguiente percepción de complementos salariales injustificados en determinados puestos de la policía local de la entidad local. El asunto versa sobre una materia habitual en el fraude, a saber, las irregularidades que acontecen en muchos ayuntamientos en relación con el abono de horas extras de la policía local.</w:t>
      </w:r>
    </w:p>
    <w:p w14:paraId="6102F9D0" w14:textId="12A3B83A"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b/>
          <w:bCs/>
          <w:sz w:val="21"/>
          <w:szCs w:val="21"/>
        </w:rPr>
        <w:t>Represalias:</w:t>
      </w:r>
      <w:r w:rsidRPr="00973028">
        <w:rPr>
          <w:rFonts w:ascii="Arial" w:hAnsi="Arial" w:cs="Arial"/>
          <w:sz w:val="21"/>
          <w:szCs w:val="21"/>
        </w:rPr>
        <w:t xml:space="preserve"> a fecha de la memoria el denunciante ha sido suspendido en sus funciones por la administración local sin seguir el procedimiento establecido en la legislación con base en una supuesta incompatibilidad entre sus funciones actuales y una prestación de Seguridad Social que el policía local percibe. </w:t>
      </w:r>
    </w:p>
    <w:p w14:paraId="27F6E819" w14:textId="2DDF3AFA"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b/>
          <w:bCs/>
          <w:sz w:val="21"/>
          <w:szCs w:val="21"/>
        </w:rPr>
        <w:t>Actuaciones de la Agencia:</w:t>
      </w:r>
      <w:r w:rsidRPr="00973028">
        <w:rPr>
          <w:rFonts w:ascii="Arial" w:hAnsi="Arial" w:cs="Arial"/>
          <w:sz w:val="21"/>
          <w:szCs w:val="21"/>
        </w:rPr>
        <w:t xml:space="preserve"> la actuación protectora a lo largo de 2020 ha consistido en requerir al ente local a fin de que ajuste su actuación al ordenamiento jurídico y respete el estatuto de protección del policía denunciante, así como el asesoramiento jurídico de la persona protegida.</w:t>
      </w:r>
    </w:p>
    <w:p w14:paraId="4632DB74" w14:textId="77777777"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sz w:val="21"/>
          <w:szCs w:val="21"/>
        </w:rPr>
        <w:t xml:space="preserve">Pese a las advertencias realizadas a la corporación local, la misma ha procedido a suspender al policía local de sus funciones, y ello pese a tratarse de un supuesto en el que no concurren los requisitos para tal suspensión, ni en la legislación básica estatal ni en la legislación valenciana de función pública. La actuación municipal está actualmente siendo enjuiciada por el orden jurisdiccional contencioso-administrativo. </w:t>
      </w:r>
    </w:p>
    <w:p w14:paraId="7DD53026" w14:textId="67E6523F"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sz w:val="21"/>
          <w:szCs w:val="21"/>
        </w:rPr>
        <w:t>Es de significar, como particularidad de este asunto que merece ser señalada a efectos pedagógicos, que en relación con la denuncia primigenia que dio lugar a la concesión del estatuto de protección ha sido dictado, a fecha de redacción de esta Memoria, Auto por el Juzgado de Instrucción declarando el sobreseimiento provisional de la causa penal. Ahora bien, como establece el artículo 14 de la Ley reguladora de la AVAF la protección podrá mantenerse “incluso más allá de la culminación de los procesos de investigación que esta desarrolle”. Esta precisión es de trascendencia en todos los supuestos, y especialmente en aquellos en los que el sobreseimiento no es libre sino provisional, máxime cuando el Auto de instrucción penal se fundamenta en consideraciones procesales de legitimación, no en cuanto al fondo del asunto del que incluso el Auto penal recuerda que las actuaciones, aunque no alcancen el reproche penal, sí podrían “dar lugar en su caso a la responsabilidad disciplinaria que pudiera proceder”.</w:t>
      </w:r>
    </w:p>
    <w:p w14:paraId="37FF7982" w14:textId="09EE3B64" w:rsidR="006B510A" w:rsidRPr="00973028" w:rsidRDefault="006B510A" w:rsidP="002960AB">
      <w:pPr>
        <w:pStyle w:val="NormalWeb"/>
        <w:spacing w:before="0" w:after="240" w:line="276" w:lineRule="auto"/>
        <w:jc w:val="both"/>
        <w:rPr>
          <w:rFonts w:ascii="Arial" w:hAnsi="Arial" w:cs="Arial"/>
          <w:color w:val="9D2235" w:themeColor="accent1"/>
          <w:sz w:val="21"/>
          <w:szCs w:val="21"/>
        </w:rPr>
      </w:pPr>
      <w:r w:rsidRPr="00973028">
        <w:rPr>
          <w:rFonts w:ascii="Arial" w:hAnsi="Arial" w:cs="Arial"/>
          <w:b/>
          <w:bCs/>
          <w:color w:val="9D2235" w:themeColor="accent1"/>
          <w:sz w:val="21"/>
          <w:szCs w:val="21"/>
        </w:rPr>
        <w:lastRenderedPageBreak/>
        <w:t>Caso 8.</w:t>
      </w:r>
      <w:r w:rsidRPr="00973028">
        <w:rPr>
          <w:rFonts w:ascii="Arial" w:hAnsi="Arial" w:cs="Arial"/>
          <w:color w:val="9D2235" w:themeColor="accent1"/>
          <w:sz w:val="21"/>
          <w:szCs w:val="21"/>
        </w:rPr>
        <w:t xml:space="preserve"> </w:t>
      </w:r>
    </w:p>
    <w:p w14:paraId="1D853DC8" w14:textId="13693283"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b/>
          <w:bCs/>
          <w:sz w:val="21"/>
          <w:szCs w:val="21"/>
        </w:rPr>
        <w:t>Resumen:</w:t>
      </w:r>
      <w:r w:rsidRPr="00973028">
        <w:rPr>
          <w:rFonts w:ascii="Arial" w:hAnsi="Arial" w:cs="Arial"/>
          <w:sz w:val="21"/>
          <w:szCs w:val="21"/>
        </w:rPr>
        <w:t xml:space="preserve"> supuesto de persona denunciante protegida que es funcionaria de la Administración local con habilitación nacional, que puso en conocimiento de la fiscalía la comisión de un presunto delito de falsificación de documentos y estafa, al apercibirse de la falsificación de su propia firma en unos documentos administrativos del Ayuntamiento en el que presta sus servicios.</w:t>
      </w:r>
    </w:p>
    <w:p w14:paraId="5F4CF92D" w14:textId="45C3947F"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b/>
          <w:bCs/>
          <w:sz w:val="21"/>
          <w:szCs w:val="21"/>
        </w:rPr>
        <w:t>Actuaciones de la Agencia:</w:t>
      </w:r>
      <w:r w:rsidRPr="00973028">
        <w:rPr>
          <w:rFonts w:ascii="Arial" w:hAnsi="Arial" w:cs="Arial"/>
          <w:sz w:val="21"/>
          <w:szCs w:val="21"/>
        </w:rPr>
        <w:t xml:space="preserve"> la denuncia ante la fiscalía ha dado lugar a que en 2020 se haya celebrado el correspondiente juicio penal; motivo que ha llevado a que la Agencia preste el debido asesoramiento a la persona denunciante (y testigo) en diferentes cuestiones planteadas durante este período. También se realizó por la Agencia el análisis de una nueva denuncia presentada por la persona protegida, en este caso por la presunta comisión de un delito de prevaricación, malversación y falsedad documental en un expediente administrativo de su corporación local. Igualmente, se proporcionó asesoramiento a la persona denunciante respecto de un expediente disciplinario planteado contra él, cuya incoación fue solicitada a finales de diciembre de 2020 por el Ayuntamiento en el que presta sus servicios a la Dirección General de Administración Local de la Generalitat. </w:t>
      </w:r>
    </w:p>
    <w:p w14:paraId="48F8313F" w14:textId="7B249BDB" w:rsidR="006B510A" w:rsidRPr="00973028" w:rsidRDefault="006B510A" w:rsidP="002960AB">
      <w:pPr>
        <w:pStyle w:val="NormalWeb"/>
        <w:spacing w:before="0" w:after="240" w:line="276" w:lineRule="auto"/>
        <w:jc w:val="both"/>
        <w:rPr>
          <w:rFonts w:ascii="Arial" w:hAnsi="Arial" w:cs="Arial"/>
          <w:b/>
          <w:bCs/>
          <w:color w:val="9D2235" w:themeColor="accent1"/>
          <w:sz w:val="21"/>
          <w:szCs w:val="21"/>
        </w:rPr>
      </w:pPr>
      <w:r w:rsidRPr="00973028">
        <w:rPr>
          <w:rFonts w:ascii="Arial" w:hAnsi="Arial" w:cs="Arial"/>
          <w:b/>
          <w:bCs/>
          <w:color w:val="9D2235" w:themeColor="accent1"/>
          <w:sz w:val="21"/>
          <w:szCs w:val="21"/>
        </w:rPr>
        <w:t>Caso 9.</w:t>
      </w:r>
    </w:p>
    <w:p w14:paraId="57154E92" w14:textId="467C2AF3"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b/>
          <w:bCs/>
          <w:color w:val="222222"/>
          <w:sz w:val="21"/>
          <w:szCs w:val="21"/>
        </w:rPr>
        <w:t xml:space="preserve">Resumen: </w:t>
      </w:r>
      <w:r w:rsidRPr="00973028">
        <w:rPr>
          <w:rFonts w:ascii="Arial" w:hAnsi="Arial" w:cs="Arial"/>
          <w:color w:val="222222"/>
          <w:sz w:val="21"/>
          <w:szCs w:val="21"/>
        </w:rPr>
        <w:t xml:space="preserve">supuesto en el que la persona protegida es policía local y colaboró en investigaciones sobre presuntos delitos de corrupción en </w:t>
      </w:r>
      <w:r w:rsidRPr="00973028">
        <w:rPr>
          <w:rFonts w:ascii="Arial" w:hAnsi="Arial" w:cs="Arial"/>
          <w:sz w:val="21"/>
          <w:szCs w:val="21"/>
        </w:rPr>
        <w:t xml:space="preserve">el Ayuntamiento donde prestaba servicios, que motivaron la incoación de diligencias penales y la intervención </w:t>
      </w:r>
      <w:r w:rsidRPr="00973028">
        <w:rPr>
          <w:rFonts w:ascii="Arial" w:hAnsi="Arial" w:cs="Arial"/>
          <w:color w:val="222222"/>
          <w:sz w:val="21"/>
          <w:szCs w:val="21"/>
        </w:rPr>
        <w:t xml:space="preserve">de la </w:t>
      </w:r>
      <w:r w:rsidRPr="00973028">
        <w:rPr>
          <w:rStyle w:val="acopre"/>
          <w:rFonts w:ascii="Arial" w:hAnsi="Arial" w:cs="Arial"/>
          <w:sz w:val="21"/>
          <w:szCs w:val="21"/>
        </w:rPr>
        <w:t>Unidad de Delincuencia Económica y Fiscal</w:t>
      </w:r>
      <w:r w:rsidRPr="00973028">
        <w:rPr>
          <w:rFonts w:ascii="Arial" w:hAnsi="Arial" w:cs="Arial"/>
          <w:color w:val="222222"/>
          <w:sz w:val="21"/>
          <w:szCs w:val="21"/>
        </w:rPr>
        <w:t xml:space="preserve"> (UDEF).</w:t>
      </w:r>
    </w:p>
    <w:p w14:paraId="6A455E95" w14:textId="24889900" w:rsidR="006B510A" w:rsidRPr="00973028" w:rsidRDefault="006B510A" w:rsidP="005A0A8D">
      <w:pPr>
        <w:pStyle w:val="NormalWeb"/>
        <w:spacing w:before="0" w:beforeAutospacing="0" w:after="120" w:line="276" w:lineRule="auto"/>
        <w:ind w:left="709"/>
        <w:jc w:val="both"/>
        <w:rPr>
          <w:rFonts w:ascii="Arial" w:hAnsi="Arial" w:cs="Arial"/>
          <w:color w:val="222222"/>
          <w:sz w:val="21"/>
          <w:szCs w:val="21"/>
        </w:rPr>
      </w:pPr>
      <w:bookmarkStart w:id="158" w:name="_Hlk64976622"/>
      <w:r w:rsidRPr="00973028">
        <w:rPr>
          <w:rFonts w:ascii="Arial" w:hAnsi="Arial" w:cs="Arial"/>
          <w:b/>
          <w:bCs/>
          <w:color w:val="222222"/>
          <w:sz w:val="21"/>
          <w:szCs w:val="21"/>
        </w:rPr>
        <w:t>Represalias:</w:t>
      </w:r>
      <w:r w:rsidRPr="00973028">
        <w:rPr>
          <w:rFonts w:ascii="Arial" w:hAnsi="Arial" w:cs="Arial"/>
          <w:color w:val="222222"/>
          <w:sz w:val="21"/>
          <w:szCs w:val="21"/>
        </w:rPr>
        <w:t xml:space="preserve"> tras su denuncia la persona protegida ha visto como el Ayuntamiento anulaba, por motivos formales, su nombramiento como funcionario en prácticas obtenido </w:t>
      </w:r>
      <w:r w:rsidRPr="00973028">
        <w:rPr>
          <w:rFonts w:ascii="Arial" w:hAnsi="Arial" w:cs="Arial"/>
          <w:sz w:val="21"/>
          <w:szCs w:val="21"/>
        </w:rPr>
        <w:t xml:space="preserve">tras superar un proceso selectivo de promoción interna, mediante la incoación de un procedimiento </w:t>
      </w:r>
      <w:r w:rsidRPr="00973028">
        <w:rPr>
          <w:rFonts w:ascii="Arial" w:hAnsi="Arial" w:cs="Arial"/>
          <w:color w:val="222222"/>
          <w:sz w:val="21"/>
          <w:szCs w:val="21"/>
        </w:rPr>
        <w:t>de revisión de oficio. Dicho procedimiento de revisión de oficio se encuentra recurrido en la vía contencioso-administrativa.</w:t>
      </w:r>
      <w:bookmarkEnd w:id="158"/>
    </w:p>
    <w:p w14:paraId="7A27CFE1" w14:textId="0AD3E02E"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b/>
          <w:bCs/>
          <w:color w:val="222222"/>
          <w:sz w:val="21"/>
          <w:szCs w:val="21"/>
        </w:rPr>
        <w:t>Actuaciones de la Agencia:</w:t>
      </w:r>
      <w:r w:rsidRPr="00973028">
        <w:rPr>
          <w:rFonts w:ascii="Arial" w:hAnsi="Arial" w:cs="Arial"/>
          <w:color w:val="222222"/>
          <w:sz w:val="21"/>
          <w:szCs w:val="21"/>
        </w:rPr>
        <w:t xml:space="preserve"> el seguimiento de la protección por parte de la Agencia ha consistido en supervisar que no se dictaran medidas que supusieran perjuicios injustificados para la persona protegida. A modo de ejemplo, las represalias ejercidas por algunas autoridades del Ayuntamiento han consistido en la falta de </w:t>
      </w:r>
      <w:r w:rsidRPr="00973028">
        <w:rPr>
          <w:rFonts w:ascii="Arial" w:hAnsi="Arial" w:cs="Arial"/>
          <w:sz w:val="21"/>
          <w:szCs w:val="21"/>
        </w:rPr>
        <w:t>reconocimiento de trienios prolongada en el tiempo, la amenaza de reintegro (improcedente) de las retribuciones mensuales percibidas y otro tipo de presiones. También la AVAF ha efectuado el seguimiento de su situación y el asesoramiento jurídico permanente en relación con los diferentes procedimientos judiciales incoados derivados de su nombramiento como personal funcionario y posterior cese.</w:t>
      </w:r>
    </w:p>
    <w:p w14:paraId="2A28740D" w14:textId="7D4C0333" w:rsidR="006B510A" w:rsidRPr="00973028" w:rsidRDefault="006B510A" w:rsidP="002960AB">
      <w:pPr>
        <w:pStyle w:val="NormalWeb"/>
        <w:spacing w:before="0" w:after="240" w:line="276" w:lineRule="auto"/>
        <w:jc w:val="both"/>
        <w:rPr>
          <w:rFonts w:ascii="Arial" w:hAnsi="Arial" w:cs="Arial"/>
          <w:color w:val="9D2235" w:themeColor="accent1"/>
          <w:sz w:val="21"/>
          <w:szCs w:val="21"/>
        </w:rPr>
      </w:pPr>
      <w:r w:rsidRPr="00973028">
        <w:rPr>
          <w:rFonts w:ascii="Arial" w:hAnsi="Arial" w:cs="Arial"/>
          <w:b/>
          <w:bCs/>
          <w:color w:val="9D2235" w:themeColor="accent1"/>
          <w:sz w:val="21"/>
          <w:szCs w:val="21"/>
        </w:rPr>
        <w:t>Caso 10.</w:t>
      </w:r>
      <w:r w:rsidRPr="00973028">
        <w:rPr>
          <w:rFonts w:ascii="Arial" w:hAnsi="Arial" w:cs="Arial"/>
          <w:color w:val="9D2235" w:themeColor="accent1"/>
          <w:sz w:val="21"/>
          <w:szCs w:val="21"/>
        </w:rPr>
        <w:t xml:space="preserve"> </w:t>
      </w:r>
    </w:p>
    <w:p w14:paraId="2528F660" w14:textId="57840351"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b/>
          <w:bCs/>
          <w:sz w:val="21"/>
          <w:szCs w:val="21"/>
        </w:rPr>
        <w:t>Resumen:</w:t>
      </w:r>
      <w:r w:rsidRPr="00973028">
        <w:rPr>
          <w:rFonts w:ascii="Arial" w:hAnsi="Arial" w:cs="Arial"/>
          <w:sz w:val="21"/>
          <w:szCs w:val="21"/>
        </w:rPr>
        <w:t xml:space="preserve"> supuesto en el que la persona protegida por la Agencia es personal laboral de una corporación de derecho público </w:t>
      </w:r>
      <w:r w:rsidRPr="00973028">
        <w:rPr>
          <w:rFonts w:ascii="Arial" w:hAnsi="Arial" w:cs="Arial"/>
          <w:color w:val="000000" w:themeColor="text1"/>
          <w:sz w:val="21"/>
          <w:szCs w:val="21"/>
        </w:rPr>
        <w:t>y denunció irregularidades en mater</w:t>
      </w:r>
      <w:r w:rsidRPr="00973028">
        <w:rPr>
          <w:rFonts w:ascii="Arial" w:hAnsi="Arial" w:cs="Arial"/>
          <w:sz w:val="21"/>
          <w:szCs w:val="21"/>
        </w:rPr>
        <w:t xml:space="preserve">ia de contratación </w:t>
      </w:r>
      <w:r w:rsidRPr="00954A84">
        <w:rPr>
          <w:rFonts w:ascii="Arial" w:hAnsi="Arial" w:cs="Arial"/>
          <w:sz w:val="21"/>
          <w:szCs w:val="21"/>
        </w:rPr>
        <w:t>presuntament</w:t>
      </w:r>
      <w:r w:rsidR="00954A84">
        <w:rPr>
          <w:rFonts w:ascii="Arial" w:hAnsi="Arial" w:cs="Arial"/>
          <w:sz w:val="21"/>
          <w:szCs w:val="21"/>
        </w:rPr>
        <w:t xml:space="preserve">e producidas </w:t>
      </w:r>
      <w:r w:rsidRPr="00954A84">
        <w:rPr>
          <w:rFonts w:ascii="Arial" w:hAnsi="Arial" w:cs="Arial"/>
          <w:sz w:val="21"/>
          <w:szCs w:val="21"/>
        </w:rPr>
        <w:t>en</w:t>
      </w:r>
      <w:r w:rsidRPr="00973028">
        <w:rPr>
          <w:rFonts w:ascii="Arial" w:hAnsi="Arial" w:cs="Arial"/>
          <w:sz w:val="21"/>
          <w:szCs w:val="21"/>
        </w:rPr>
        <w:t xml:space="preserve"> la referida entidad. </w:t>
      </w:r>
    </w:p>
    <w:p w14:paraId="6FC85DAC" w14:textId="3AF4A890"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b/>
          <w:bCs/>
          <w:sz w:val="21"/>
          <w:szCs w:val="21"/>
        </w:rPr>
        <w:lastRenderedPageBreak/>
        <w:t>Represalias:</w:t>
      </w:r>
      <w:r w:rsidRPr="00973028">
        <w:rPr>
          <w:rFonts w:ascii="Arial" w:hAnsi="Arial" w:cs="Arial"/>
          <w:sz w:val="21"/>
          <w:szCs w:val="21"/>
        </w:rPr>
        <w:t xml:space="preserve"> la persona denunciante, a pesar de serle reconocida su protección por la Agencia, fue objeto de despido disciplinario que tras el oportuno juicio ha sido declarado improcedente por un Juzgado de lo Social. </w:t>
      </w:r>
    </w:p>
    <w:p w14:paraId="4C75F1E0" w14:textId="56F38237"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b/>
          <w:bCs/>
          <w:sz w:val="21"/>
          <w:szCs w:val="21"/>
        </w:rPr>
        <w:t>Actuaciones de la Agencia:</w:t>
      </w:r>
      <w:r w:rsidRPr="00973028">
        <w:rPr>
          <w:rFonts w:ascii="Arial" w:hAnsi="Arial" w:cs="Arial"/>
          <w:sz w:val="21"/>
          <w:szCs w:val="21"/>
        </w:rPr>
        <w:t xml:space="preserve"> la protección por la Agencia de la persona denunciante ha consistido en el asesoramiento jurídico, pues su denuncia dio lugar a la incoación de unas diligencias previas que se están tramitando en un Juzgado de Instrucción y, además, en relación con la medida de despido, a la elaboración de un informe que fue remitido al Juzgado de lo Social con carácter previo al dictamen de la sentencia. En este momento, esta sentencia está pendiente de recurso de suplicación planteado por la corporación pública ante el Tribunal Superior de Justicia.</w:t>
      </w:r>
    </w:p>
    <w:p w14:paraId="4A18DF1E" w14:textId="56D75304" w:rsidR="006B510A" w:rsidRPr="00973028" w:rsidRDefault="006B510A" w:rsidP="002960AB">
      <w:pPr>
        <w:pStyle w:val="NormalWeb"/>
        <w:spacing w:before="0" w:after="240" w:line="276" w:lineRule="auto"/>
        <w:jc w:val="both"/>
        <w:rPr>
          <w:rFonts w:ascii="Arial" w:hAnsi="Arial" w:cs="Arial"/>
          <w:color w:val="9D2235" w:themeColor="accent1"/>
          <w:sz w:val="21"/>
          <w:szCs w:val="21"/>
        </w:rPr>
      </w:pPr>
      <w:r w:rsidRPr="00973028">
        <w:rPr>
          <w:rFonts w:ascii="Arial" w:hAnsi="Arial" w:cs="Arial"/>
          <w:b/>
          <w:bCs/>
          <w:color w:val="9D2235" w:themeColor="accent1"/>
          <w:sz w:val="21"/>
          <w:szCs w:val="21"/>
        </w:rPr>
        <w:t>Caso 11.</w:t>
      </w:r>
      <w:r w:rsidRPr="00973028">
        <w:rPr>
          <w:rFonts w:ascii="Arial" w:hAnsi="Arial" w:cs="Arial"/>
          <w:color w:val="9D2235" w:themeColor="accent1"/>
          <w:sz w:val="21"/>
          <w:szCs w:val="21"/>
        </w:rPr>
        <w:t xml:space="preserve"> </w:t>
      </w:r>
    </w:p>
    <w:p w14:paraId="6E1ABA0E" w14:textId="1D98B4E5"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b/>
          <w:bCs/>
          <w:sz w:val="21"/>
          <w:szCs w:val="21"/>
        </w:rPr>
        <w:t>Resumen:</w:t>
      </w:r>
      <w:r w:rsidRPr="00973028">
        <w:rPr>
          <w:rFonts w:ascii="Arial" w:hAnsi="Arial" w:cs="Arial"/>
          <w:sz w:val="21"/>
          <w:szCs w:val="21"/>
        </w:rPr>
        <w:t xml:space="preserve"> supuesto en el que la persona protegida, funcionaria de la Administración local, que en el ejercicio de sus funciones tuvo conocimiento de diversas irregularidades realizadas en materia de contratación en su Ayuntamiento, prestando en su condición de testigo declaración en sede judicial en relación con aquellas. </w:t>
      </w:r>
    </w:p>
    <w:p w14:paraId="1F2563D3" w14:textId="06607303"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b/>
          <w:bCs/>
          <w:sz w:val="21"/>
          <w:szCs w:val="21"/>
        </w:rPr>
        <w:t>Represalias:</w:t>
      </w:r>
      <w:r w:rsidRPr="00973028">
        <w:rPr>
          <w:rFonts w:ascii="Arial" w:hAnsi="Arial" w:cs="Arial"/>
          <w:sz w:val="21"/>
          <w:szCs w:val="21"/>
        </w:rPr>
        <w:t xml:space="preserve"> como consecuencia del mal clima laboral generado tras dicha declaración, que implicaba en la comisión de presuntos delitos a personal y autoridades del Ayuntamiento en el que prestaba servicios, la persona protegida se ha visto en la necesidad de solicitar en 2020 una comisión de servicios en otro Ayuntamiento. </w:t>
      </w:r>
    </w:p>
    <w:p w14:paraId="7D2A81BB" w14:textId="3D28E7F2"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b/>
          <w:bCs/>
          <w:sz w:val="21"/>
          <w:szCs w:val="21"/>
        </w:rPr>
        <w:t>Actuaciones de la Agencia:</w:t>
      </w:r>
      <w:r w:rsidRPr="00973028">
        <w:rPr>
          <w:rFonts w:ascii="Arial" w:hAnsi="Arial" w:cs="Arial"/>
          <w:sz w:val="21"/>
          <w:szCs w:val="21"/>
        </w:rPr>
        <w:t xml:space="preserve"> la actuación de la Agencia durante 2020 ha consistido en el seguimiento de la comisión de servicios obtenida, con especial atención a una posible revocación de aquella por parte del Ayuntamiento de origen, la cual afortunadamente no ha llegado a producirse. </w:t>
      </w:r>
    </w:p>
    <w:p w14:paraId="62BFD5F2" w14:textId="77777777" w:rsidR="006B510A" w:rsidRPr="00973028" w:rsidRDefault="006B510A" w:rsidP="005A0A8D">
      <w:pPr>
        <w:pStyle w:val="NormalWeb"/>
        <w:spacing w:before="0" w:beforeAutospacing="0" w:after="120" w:line="276" w:lineRule="auto"/>
        <w:ind w:left="709"/>
        <w:jc w:val="both"/>
        <w:rPr>
          <w:rFonts w:ascii="Arial" w:hAnsi="Arial" w:cs="Arial"/>
          <w:sz w:val="21"/>
          <w:szCs w:val="21"/>
        </w:rPr>
      </w:pPr>
      <w:r w:rsidRPr="00973028">
        <w:rPr>
          <w:rFonts w:ascii="Arial" w:hAnsi="Arial" w:cs="Arial"/>
          <w:sz w:val="21"/>
          <w:szCs w:val="21"/>
        </w:rPr>
        <w:t>Debe señalarse que el desempeño por la persona protegida de sus servicios, en otro municipio distinto de aquel del que provenía, ha supuesto una mejora de su estado personal y psicológico al desaparecer las tensiones que sufría en el Ayuntamiento de procedencia.</w:t>
      </w:r>
    </w:p>
    <w:p w14:paraId="15789C07" w14:textId="47BF52DF" w:rsidR="006B510A" w:rsidRPr="00E973F1" w:rsidRDefault="006B510A" w:rsidP="00E973F1">
      <w:pPr>
        <w:pStyle w:val="Prrafodelista"/>
        <w:keepNext/>
        <w:numPr>
          <w:ilvl w:val="2"/>
          <w:numId w:val="25"/>
        </w:numPr>
        <w:spacing w:before="360" w:after="240" w:line="276" w:lineRule="auto"/>
        <w:ind w:left="1134" w:hanging="1134"/>
        <w:contextualSpacing w:val="0"/>
        <w:jc w:val="both"/>
        <w:outlineLvl w:val="2"/>
        <w:rPr>
          <w:rFonts w:ascii="Arial" w:eastAsia="Times New Roman" w:hAnsi="Arial" w:cs="Arial"/>
          <w:b/>
          <w:color w:val="9D2235" w:themeColor="accent1"/>
          <w:sz w:val="28"/>
          <w:szCs w:val="28"/>
        </w:rPr>
      </w:pPr>
      <w:bookmarkStart w:id="159" w:name="_Hlk64641689"/>
      <w:bookmarkStart w:id="160" w:name="_Toc67646291"/>
      <w:r w:rsidRPr="00E973F1">
        <w:rPr>
          <w:rFonts w:ascii="Arial" w:eastAsia="Times New Roman" w:hAnsi="Arial" w:cs="Arial"/>
          <w:b/>
          <w:color w:val="9D2235" w:themeColor="accent1"/>
          <w:sz w:val="28"/>
          <w:szCs w:val="28"/>
        </w:rPr>
        <w:lastRenderedPageBreak/>
        <w:t>Resultados estadísticos de la protección a personas denunciantes</w:t>
      </w:r>
      <w:bookmarkEnd w:id="159"/>
      <w:bookmarkEnd w:id="160"/>
    </w:p>
    <w:p w14:paraId="313D56E2" w14:textId="77777777" w:rsidR="000D7A07" w:rsidRPr="00973028" w:rsidRDefault="006B510A" w:rsidP="000D7A07">
      <w:pPr>
        <w:keepNext/>
        <w:spacing w:after="0" w:line="276" w:lineRule="auto"/>
        <w:jc w:val="center"/>
      </w:pPr>
      <w:r w:rsidRPr="00973028">
        <w:rPr>
          <w:noProof/>
        </w:rPr>
        <w:drawing>
          <wp:inline distT="0" distB="0" distL="0" distR="0" wp14:anchorId="26F41AAD" wp14:editId="625B33AD">
            <wp:extent cx="5178425" cy="3507474"/>
            <wp:effectExtent l="0" t="0" r="3175" b="17145"/>
            <wp:docPr id="17" name="Gráfico 17">
              <a:extLst xmlns:a="http://schemas.openxmlformats.org/drawingml/2006/main">
                <a:ext uri="{FF2B5EF4-FFF2-40B4-BE49-F238E27FC236}">
                  <a16:creationId xmlns:a16="http://schemas.microsoft.com/office/drawing/2014/main" id="{1D8456A8-68AC-4327-BFB6-8563C2666F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4F066ECA" w14:textId="5AFA7D5C" w:rsidR="006B510A" w:rsidRPr="00973028" w:rsidRDefault="000D7A07" w:rsidP="000D7A07">
      <w:pPr>
        <w:pStyle w:val="Descripcin"/>
        <w:jc w:val="center"/>
        <w:rPr>
          <w:rFonts w:ascii="Arial" w:hAnsi="Arial" w:cs="Arial"/>
          <w:smallCaps w:val="0"/>
          <w:sz w:val="16"/>
          <w:szCs w:val="16"/>
        </w:rPr>
      </w:pPr>
      <w:bookmarkStart w:id="161" w:name="_Toc67646408"/>
      <w:r w:rsidRPr="00973028">
        <w:rPr>
          <w:rFonts w:ascii="Arial" w:hAnsi="Arial" w:cs="Arial"/>
          <w:smallCaps w:val="0"/>
          <w:color w:val="9D2235" w:themeColor="accent1"/>
          <w:sz w:val="16"/>
          <w:szCs w:val="16"/>
        </w:rPr>
        <w:t xml:space="preserve">Gráfico </w:t>
      </w:r>
      <w:r w:rsidRPr="00973028">
        <w:rPr>
          <w:rFonts w:ascii="Arial" w:hAnsi="Arial" w:cs="Arial"/>
          <w:smallCaps w:val="0"/>
          <w:color w:val="9D2235" w:themeColor="accent1"/>
          <w:sz w:val="16"/>
          <w:szCs w:val="16"/>
        </w:rPr>
        <w:fldChar w:fldCharType="begin"/>
      </w:r>
      <w:r w:rsidRPr="00973028">
        <w:rPr>
          <w:rFonts w:ascii="Arial" w:hAnsi="Arial" w:cs="Arial"/>
          <w:smallCaps w:val="0"/>
          <w:color w:val="9D2235" w:themeColor="accent1"/>
          <w:sz w:val="16"/>
          <w:szCs w:val="16"/>
        </w:rPr>
        <w:instrText xml:space="preserve"> SEQ Gráfico \* ARABIC </w:instrText>
      </w:r>
      <w:r w:rsidRPr="00973028">
        <w:rPr>
          <w:rFonts w:ascii="Arial" w:hAnsi="Arial" w:cs="Arial"/>
          <w:smallCaps w:val="0"/>
          <w:color w:val="9D2235" w:themeColor="accent1"/>
          <w:sz w:val="16"/>
          <w:szCs w:val="16"/>
        </w:rPr>
        <w:fldChar w:fldCharType="separate"/>
      </w:r>
      <w:r w:rsidR="00000D1F">
        <w:rPr>
          <w:rFonts w:ascii="Arial" w:hAnsi="Arial" w:cs="Arial"/>
          <w:smallCaps w:val="0"/>
          <w:noProof/>
          <w:color w:val="9D2235" w:themeColor="accent1"/>
          <w:sz w:val="16"/>
          <w:szCs w:val="16"/>
        </w:rPr>
        <w:t>12</w:t>
      </w:r>
      <w:r w:rsidRPr="00973028">
        <w:rPr>
          <w:rFonts w:ascii="Arial" w:hAnsi="Arial" w:cs="Arial"/>
          <w:smallCaps w:val="0"/>
          <w:color w:val="9D2235" w:themeColor="accent1"/>
          <w:sz w:val="16"/>
          <w:szCs w:val="16"/>
        </w:rPr>
        <w:fldChar w:fldCharType="end"/>
      </w:r>
      <w:r w:rsidR="00B00F7A">
        <w:rPr>
          <w:rFonts w:ascii="Arial" w:hAnsi="Arial" w:cs="Arial"/>
          <w:smallCaps w:val="0"/>
          <w:color w:val="9D2235" w:themeColor="accent1"/>
          <w:sz w:val="16"/>
          <w:szCs w:val="16"/>
        </w:rPr>
        <w:t>.</w:t>
      </w:r>
      <w:r w:rsidRPr="00973028">
        <w:rPr>
          <w:rFonts w:ascii="Arial" w:hAnsi="Arial" w:cs="Arial"/>
          <w:smallCaps w:val="0"/>
          <w:color w:val="9D2235" w:themeColor="accent1"/>
          <w:sz w:val="16"/>
          <w:szCs w:val="16"/>
        </w:rPr>
        <w:t xml:space="preserve"> </w:t>
      </w:r>
      <w:r w:rsidR="00B00F7A" w:rsidRPr="00973028">
        <w:rPr>
          <w:rFonts w:ascii="Arial" w:hAnsi="Arial" w:cs="Arial"/>
          <w:smallCaps w:val="0"/>
          <w:sz w:val="16"/>
          <w:szCs w:val="16"/>
        </w:rPr>
        <w:t>N</w:t>
      </w:r>
      <w:r w:rsidR="00CD4107">
        <w:rPr>
          <w:rFonts w:ascii="Arial" w:hAnsi="Arial" w:cs="Arial"/>
          <w:smallCaps w:val="0"/>
          <w:sz w:val="16"/>
          <w:szCs w:val="16"/>
        </w:rPr>
        <w:t>úmero</w:t>
      </w:r>
      <w:r w:rsidRPr="00973028">
        <w:rPr>
          <w:rFonts w:ascii="Arial" w:hAnsi="Arial" w:cs="Arial"/>
          <w:smallCaps w:val="0"/>
          <w:sz w:val="16"/>
          <w:szCs w:val="16"/>
        </w:rPr>
        <w:t xml:space="preserve"> </w:t>
      </w:r>
      <w:r w:rsidR="00CD4107">
        <w:rPr>
          <w:rFonts w:ascii="Arial" w:hAnsi="Arial" w:cs="Arial"/>
          <w:smallCaps w:val="0"/>
          <w:sz w:val="16"/>
          <w:szCs w:val="16"/>
        </w:rPr>
        <w:t>de s</w:t>
      </w:r>
      <w:r w:rsidRPr="00973028">
        <w:rPr>
          <w:rFonts w:ascii="Arial" w:hAnsi="Arial" w:cs="Arial"/>
          <w:smallCaps w:val="0"/>
          <w:sz w:val="16"/>
          <w:szCs w:val="16"/>
        </w:rPr>
        <w:t>olicitudes de protección presentadas desde la puesta en marcha de la Agencia en noviembre de 2017 hasta diciembre de 2020.</w:t>
      </w:r>
      <w:bookmarkEnd w:id="161"/>
    </w:p>
    <w:p w14:paraId="799092F8" w14:textId="77777777" w:rsidR="006B510A" w:rsidRPr="00973028" w:rsidRDefault="006B510A" w:rsidP="006B510A">
      <w:pPr>
        <w:spacing w:after="0" w:line="276" w:lineRule="auto"/>
        <w:jc w:val="center"/>
        <w:rPr>
          <w:rFonts w:ascii="Arial" w:eastAsia="Times New Roman" w:hAnsi="Arial" w:cs="Arial"/>
          <w:sz w:val="21"/>
          <w:szCs w:val="21"/>
          <w:lang w:eastAsia="es-ES"/>
        </w:rPr>
      </w:pPr>
    </w:p>
    <w:p w14:paraId="3A63222A" w14:textId="3B76EFA3" w:rsidR="006B510A" w:rsidRPr="00973028" w:rsidRDefault="00BB2B6D" w:rsidP="006B510A">
      <w:pPr>
        <w:keepNext/>
        <w:spacing w:after="0" w:line="276" w:lineRule="auto"/>
        <w:jc w:val="center"/>
      </w:pPr>
      <w:r w:rsidRPr="00973028">
        <w:rPr>
          <w:noProof/>
        </w:rPr>
        <w:drawing>
          <wp:inline distT="0" distB="0" distL="0" distR="0" wp14:anchorId="0E7941A4" wp14:editId="2ACA80D1">
            <wp:extent cx="5135880" cy="3384644"/>
            <wp:effectExtent l="0" t="0" r="7620" b="6350"/>
            <wp:docPr id="265" name="Gráfico 265">
              <a:extLst xmlns:a="http://schemas.openxmlformats.org/drawingml/2006/main">
                <a:ext uri="{FF2B5EF4-FFF2-40B4-BE49-F238E27FC236}">
                  <a16:creationId xmlns:a16="http://schemas.microsoft.com/office/drawing/2014/main" id="{3B747B36-2053-450F-B6B6-2CC24C5E3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082278A8" w14:textId="1F9476D1" w:rsidR="006B510A" w:rsidRPr="00973028" w:rsidRDefault="006B510A" w:rsidP="006B510A">
      <w:pPr>
        <w:pStyle w:val="Descripcin"/>
        <w:ind w:right="566" w:firstLine="567"/>
        <w:jc w:val="center"/>
        <w:rPr>
          <w:rFonts w:ascii="Arial" w:hAnsi="Arial" w:cs="Arial"/>
          <w:i/>
          <w:iCs/>
          <w:smallCaps w:val="0"/>
          <w:sz w:val="16"/>
          <w:szCs w:val="16"/>
        </w:rPr>
      </w:pPr>
      <w:bookmarkStart w:id="162" w:name="_Toc67646409"/>
      <w:r w:rsidRPr="00973028">
        <w:rPr>
          <w:rFonts w:ascii="Arial" w:hAnsi="Arial" w:cs="Arial"/>
          <w:smallCaps w:val="0"/>
          <w:color w:val="9D2235" w:themeColor="accent1"/>
          <w:sz w:val="16"/>
          <w:szCs w:val="16"/>
        </w:rPr>
        <w:t xml:space="preserve">Gráfico </w:t>
      </w:r>
      <w:r w:rsidRPr="00973028">
        <w:rPr>
          <w:rFonts w:ascii="Arial" w:hAnsi="Arial" w:cs="Arial"/>
          <w:b w:val="0"/>
          <w:bCs w:val="0"/>
          <w:i/>
          <w:iCs/>
          <w:smallCaps w:val="0"/>
          <w:color w:val="9D2235" w:themeColor="accent1"/>
          <w:sz w:val="16"/>
          <w:szCs w:val="16"/>
        </w:rPr>
        <w:fldChar w:fldCharType="begin"/>
      </w:r>
      <w:r w:rsidRPr="00973028">
        <w:rPr>
          <w:rFonts w:ascii="Arial" w:hAnsi="Arial" w:cs="Arial"/>
          <w:smallCaps w:val="0"/>
          <w:color w:val="9D2235" w:themeColor="accent1"/>
          <w:sz w:val="16"/>
          <w:szCs w:val="16"/>
        </w:rPr>
        <w:instrText xml:space="preserve"> SEQ Gráfico \* ARABIC </w:instrText>
      </w:r>
      <w:r w:rsidRPr="00973028">
        <w:rPr>
          <w:rFonts w:ascii="Arial" w:hAnsi="Arial" w:cs="Arial"/>
          <w:b w:val="0"/>
          <w:bCs w:val="0"/>
          <w:i/>
          <w:iCs/>
          <w:smallCaps w:val="0"/>
          <w:color w:val="9D2235" w:themeColor="accent1"/>
          <w:sz w:val="16"/>
          <w:szCs w:val="16"/>
        </w:rPr>
        <w:fldChar w:fldCharType="separate"/>
      </w:r>
      <w:r w:rsidR="00000D1F">
        <w:rPr>
          <w:rFonts w:ascii="Arial" w:hAnsi="Arial" w:cs="Arial"/>
          <w:smallCaps w:val="0"/>
          <w:noProof/>
          <w:color w:val="9D2235" w:themeColor="accent1"/>
          <w:sz w:val="16"/>
          <w:szCs w:val="16"/>
        </w:rPr>
        <w:t>13</w:t>
      </w:r>
      <w:r w:rsidRPr="00973028">
        <w:rPr>
          <w:rFonts w:ascii="Arial" w:hAnsi="Arial" w:cs="Arial"/>
          <w:b w:val="0"/>
          <w:bCs w:val="0"/>
          <w:i/>
          <w:iCs/>
          <w:smallCaps w:val="0"/>
          <w:color w:val="9D2235" w:themeColor="accent1"/>
          <w:sz w:val="16"/>
          <w:szCs w:val="16"/>
        </w:rPr>
        <w:fldChar w:fldCharType="end"/>
      </w:r>
      <w:r w:rsidR="00B00F7A" w:rsidRPr="00B00F7A">
        <w:rPr>
          <w:rFonts w:ascii="Arial" w:hAnsi="Arial" w:cs="Arial"/>
          <w:smallCaps w:val="0"/>
          <w:color w:val="9D2235" w:themeColor="accent1"/>
          <w:sz w:val="16"/>
          <w:szCs w:val="16"/>
        </w:rPr>
        <w:t>.</w:t>
      </w:r>
      <w:r w:rsidRPr="00973028">
        <w:rPr>
          <w:rFonts w:ascii="Arial" w:hAnsi="Arial" w:cs="Arial"/>
          <w:smallCaps w:val="0"/>
          <w:sz w:val="16"/>
          <w:szCs w:val="16"/>
        </w:rPr>
        <w:t xml:space="preserve"> Canal o medio de representación de las solicitudes de protección desde 2017 a 2020</w:t>
      </w:r>
      <w:bookmarkEnd w:id="162"/>
    </w:p>
    <w:p w14:paraId="60CF97FA" w14:textId="5FDA4FA2" w:rsidR="00FD7950" w:rsidRDefault="00FD7950" w:rsidP="006B510A">
      <w:pPr>
        <w:spacing w:after="0" w:line="276" w:lineRule="auto"/>
        <w:jc w:val="center"/>
        <w:rPr>
          <w:rFonts w:ascii="Arial" w:eastAsia="Times New Roman" w:hAnsi="Arial" w:cs="Arial"/>
          <w:sz w:val="21"/>
          <w:szCs w:val="21"/>
          <w:lang w:eastAsia="es-ES"/>
        </w:rPr>
      </w:pPr>
    </w:p>
    <w:p w14:paraId="5FF2654F" w14:textId="77777777" w:rsidR="00FD7950" w:rsidRPr="00973028" w:rsidRDefault="00FD7950" w:rsidP="006B510A">
      <w:pPr>
        <w:spacing w:after="0" w:line="276" w:lineRule="auto"/>
        <w:jc w:val="center"/>
        <w:rPr>
          <w:rFonts w:ascii="Arial" w:eastAsia="Times New Roman" w:hAnsi="Arial" w:cs="Arial"/>
          <w:sz w:val="21"/>
          <w:szCs w:val="21"/>
          <w:lang w:eastAsia="es-ES"/>
        </w:rPr>
      </w:pPr>
    </w:p>
    <w:p w14:paraId="216BDB35" w14:textId="77777777" w:rsidR="006B510A" w:rsidRPr="00973028" w:rsidRDefault="006B510A" w:rsidP="006B510A">
      <w:pPr>
        <w:keepNext/>
        <w:spacing w:after="0" w:line="276" w:lineRule="auto"/>
        <w:jc w:val="center"/>
      </w:pPr>
      <w:r w:rsidRPr="00973028">
        <w:rPr>
          <w:noProof/>
        </w:rPr>
        <w:drawing>
          <wp:inline distT="0" distB="0" distL="0" distR="0" wp14:anchorId="0BCBC0F5" wp14:editId="0EFFDF38">
            <wp:extent cx="5400040" cy="3384645"/>
            <wp:effectExtent l="0" t="0" r="10160" b="6350"/>
            <wp:docPr id="22" name="Gráfico 22">
              <a:extLst xmlns:a="http://schemas.openxmlformats.org/drawingml/2006/main">
                <a:ext uri="{FF2B5EF4-FFF2-40B4-BE49-F238E27FC236}">
                  <a16:creationId xmlns:a16="http://schemas.microsoft.com/office/drawing/2014/main" id="{904FF1D3-8B4E-4ACF-9C6C-71FA4DAAAF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1C5433D" w14:textId="68ACA5A0" w:rsidR="006B510A" w:rsidRPr="00973028" w:rsidRDefault="006B510A" w:rsidP="006B510A">
      <w:pPr>
        <w:pStyle w:val="Descripcin"/>
        <w:jc w:val="center"/>
        <w:rPr>
          <w:rFonts w:ascii="Arial" w:eastAsia="Times New Roman" w:hAnsi="Arial" w:cs="Arial"/>
          <w:i/>
          <w:iCs/>
          <w:smallCaps w:val="0"/>
          <w:sz w:val="16"/>
          <w:szCs w:val="16"/>
          <w:lang w:eastAsia="es-ES"/>
        </w:rPr>
      </w:pPr>
      <w:bookmarkStart w:id="163" w:name="_Toc67646410"/>
      <w:r w:rsidRPr="00973028">
        <w:rPr>
          <w:rFonts w:ascii="Arial" w:hAnsi="Arial" w:cs="Arial"/>
          <w:smallCaps w:val="0"/>
          <w:color w:val="9D2235" w:themeColor="accent1"/>
          <w:sz w:val="16"/>
          <w:szCs w:val="18"/>
        </w:rPr>
        <w:t xml:space="preserve">Gráfico </w:t>
      </w:r>
      <w:r w:rsidRPr="00973028">
        <w:rPr>
          <w:rFonts w:ascii="Arial" w:hAnsi="Arial" w:cs="Arial"/>
          <w:b w:val="0"/>
          <w:bCs w:val="0"/>
          <w:i/>
          <w:iCs/>
          <w:smallCaps w:val="0"/>
          <w:color w:val="9D2235" w:themeColor="accent1"/>
          <w:sz w:val="16"/>
          <w:szCs w:val="18"/>
        </w:rPr>
        <w:fldChar w:fldCharType="begin"/>
      </w:r>
      <w:r w:rsidRPr="00973028">
        <w:rPr>
          <w:rFonts w:ascii="Arial" w:hAnsi="Arial" w:cs="Arial"/>
          <w:smallCaps w:val="0"/>
          <w:color w:val="9D2235" w:themeColor="accent1"/>
          <w:sz w:val="16"/>
          <w:szCs w:val="18"/>
        </w:rPr>
        <w:instrText xml:space="preserve"> SEQ Gráfico \* ARABIC </w:instrText>
      </w:r>
      <w:r w:rsidRPr="00973028">
        <w:rPr>
          <w:rFonts w:ascii="Arial" w:hAnsi="Arial" w:cs="Arial"/>
          <w:b w:val="0"/>
          <w:bCs w:val="0"/>
          <w:i/>
          <w:iCs/>
          <w:smallCaps w:val="0"/>
          <w:color w:val="9D2235" w:themeColor="accent1"/>
          <w:sz w:val="16"/>
          <w:szCs w:val="18"/>
        </w:rPr>
        <w:fldChar w:fldCharType="separate"/>
      </w:r>
      <w:r w:rsidR="00000D1F">
        <w:rPr>
          <w:rFonts w:ascii="Arial" w:hAnsi="Arial" w:cs="Arial"/>
          <w:smallCaps w:val="0"/>
          <w:noProof/>
          <w:color w:val="9D2235" w:themeColor="accent1"/>
          <w:sz w:val="16"/>
          <w:szCs w:val="18"/>
        </w:rPr>
        <w:t>14</w:t>
      </w:r>
      <w:r w:rsidRPr="00973028">
        <w:rPr>
          <w:rFonts w:ascii="Arial" w:hAnsi="Arial" w:cs="Arial"/>
          <w:b w:val="0"/>
          <w:bCs w:val="0"/>
          <w:i/>
          <w:iCs/>
          <w:smallCaps w:val="0"/>
          <w:color w:val="9D2235" w:themeColor="accent1"/>
          <w:sz w:val="16"/>
          <w:szCs w:val="18"/>
        </w:rPr>
        <w:fldChar w:fldCharType="end"/>
      </w:r>
      <w:r w:rsidR="00B00F7A">
        <w:rPr>
          <w:rFonts w:ascii="Arial" w:hAnsi="Arial" w:cs="Arial"/>
          <w:smallCaps w:val="0"/>
          <w:sz w:val="16"/>
          <w:szCs w:val="18"/>
        </w:rPr>
        <w:t>.</w:t>
      </w:r>
      <w:r w:rsidRPr="00973028">
        <w:rPr>
          <w:rFonts w:ascii="Arial" w:hAnsi="Arial" w:cs="Arial"/>
          <w:smallCaps w:val="0"/>
          <w:sz w:val="16"/>
          <w:szCs w:val="18"/>
        </w:rPr>
        <w:t xml:space="preserve"> Número de solicitudes de protección presentadas según el tipo de administración, institución o entidad afectada por la denuncia desde 2017 a 2020</w:t>
      </w:r>
      <w:bookmarkEnd w:id="163"/>
    </w:p>
    <w:p w14:paraId="47B163D6" w14:textId="77777777" w:rsidR="006B510A" w:rsidRPr="00973028" w:rsidRDefault="006B510A" w:rsidP="006B510A">
      <w:pPr>
        <w:spacing w:after="0" w:line="276" w:lineRule="auto"/>
        <w:jc w:val="center"/>
        <w:rPr>
          <w:rFonts w:ascii="Arial" w:eastAsia="Times New Roman" w:hAnsi="Arial" w:cs="Arial"/>
          <w:sz w:val="21"/>
          <w:szCs w:val="21"/>
          <w:lang w:eastAsia="es-ES"/>
        </w:rPr>
      </w:pPr>
    </w:p>
    <w:p w14:paraId="7B4FD910" w14:textId="77777777" w:rsidR="006B510A" w:rsidRPr="00973028" w:rsidRDefault="006B510A" w:rsidP="006B510A">
      <w:pPr>
        <w:spacing w:after="0" w:line="276" w:lineRule="auto"/>
        <w:jc w:val="center"/>
        <w:rPr>
          <w:rFonts w:ascii="Arial" w:eastAsia="Times New Roman" w:hAnsi="Arial" w:cs="Arial"/>
          <w:sz w:val="21"/>
          <w:szCs w:val="21"/>
          <w:lang w:eastAsia="es-ES"/>
        </w:rPr>
      </w:pPr>
    </w:p>
    <w:p w14:paraId="4147303A" w14:textId="77777777" w:rsidR="006B510A" w:rsidRPr="00973028" w:rsidRDefault="006B510A" w:rsidP="006B510A">
      <w:pPr>
        <w:keepNext/>
        <w:spacing w:after="0" w:line="276" w:lineRule="auto"/>
        <w:jc w:val="center"/>
      </w:pPr>
      <w:r w:rsidRPr="00973028">
        <w:rPr>
          <w:noProof/>
        </w:rPr>
        <w:drawing>
          <wp:inline distT="0" distB="0" distL="0" distR="0" wp14:anchorId="447C8058" wp14:editId="0A147E78">
            <wp:extent cx="5267325" cy="3521123"/>
            <wp:effectExtent l="0" t="0" r="9525" b="3175"/>
            <wp:docPr id="24" name="Gráfico 24">
              <a:extLst xmlns:a="http://schemas.openxmlformats.org/drawingml/2006/main">
                <a:ext uri="{FF2B5EF4-FFF2-40B4-BE49-F238E27FC236}">
                  <a16:creationId xmlns:a16="http://schemas.microsoft.com/office/drawing/2014/main" id="{2981A59A-35BF-4198-B816-D398ECEB8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6311ECD2" w14:textId="39A91710" w:rsidR="006B510A" w:rsidRPr="00973028" w:rsidRDefault="006B510A" w:rsidP="006B510A">
      <w:pPr>
        <w:pStyle w:val="Descripcin"/>
        <w:jc w:val="center"/>
        <w:rPr>
          <w:rFonts w:ascii="Arial" w:eastAsia="Times New Roman" w:hAnsi="Arial" w:cs="Arial"/>
          <w:i/>
          <w:iCs/>
          <w:smallCaps w:val="0"/>
          <w:sz w:val="14"/>
          <w:szCs w:val="14"/>
          <w:lang w:eastAsia="es-ES"/>
        </w:rPr>
      </w:pPr>
      <w:bookmarkStart w:id="164" w:name="_Toc67646411"/>
      <w:r w:rsidRPr="00973028">
        <w:rPr>
          <w:rFonts w:ascii="Arial" w:hAnsi="Arial" w:cs="Arial"/>
          <w:smallCaps w:val="0"/>
          <w:color w:val="9D2235" w:themeColor="accent1"/>
          <w:sz w:val="16"/>
          <w:szCs w:val="16"/>
        </w:rPr>
        <w:t xml:space="preserve">Gráfico </w:t>
      </w:r>
      <w:r w:rsidRPr="00B00F7A">
        <w:rPr>
          <w:rFonts w:ascii="Arial" w:hAnsi="Arial" w:cs="Arial"/>
          <w:b w:val="0"/>
          <w:bCs w:val="0"/>
          <w:i/>
          <w:iCs/>
          <w:smallCaps w:val="0"/>
          <w:color w:val="9D2235" w:themeColor="accent1"/>
          <w:sz w:val="16"/>
          <w:szCs w:val="16"/>
        </w:rPr>
        <w:fldChar w:fldCharType="begin"/>
      </w:r>
      <w:r w:rsidRPr="00B00F7A">
        <w:rPr>
          <w:rFonts w:ascii="Arial" w:hAnsi="Arial" w:cs="Arial"/>
          <w:smallCaps w:val="0"/>
          <w:color w:val="9D2235" w:themeColor="accent1"/>
          <w:sz w:val="16"/>
          <w:szCs w:val="16"/>
        </w:rPr>
        <w:instrText xml:space="preserve"> SEQ Gráfico \* ARABIC </w:instrText>
      </w:r>
      <w:r w:rsidRPr="00B00F7A">
        <w:rPr>
          <w:rFonts w:ascii="Arial" w:hAnsi="Arial" w:cs="Arial"/>
          <w:b w:val="0"/>
          <w:bCs w:val="0"/>
          <w:i/>
          <w:iCs/>
          <w:smallCaps w:val="0"/>
          <w:color w:val="9D2235" w:themeColor="accent1"/>
          <w:sz w:val="16"/>
          <w:szCs w:val="16"/>
        </w:rPr>
        <w:fldChar w:fldCharType="separate"/>
      </w:r>
      <w:r w:rsidR="00000D1F">
        <w:rPr>
          <w:rFonts w:ascii="Arial" w:hAnsi="Arial" w:cs="Arial"/>
          <w:smallCaps w:val="0"/>
          <w:noProof/>
          <w:color w:val="9D2235" w:themeColor="accent1"/>
          <w:sz w:val="16"/>
          <w:szCs w:val="16"/>
        </w:rPr>
        <w:t>15</w:t>
      </w:r>
      <w:r w:rsidRPr="00B00F7A">
        <w:rPr>
          <w:rFonts w:ascii="Arial" w:hAnsi="Arial" w:cs="Arial"/>
          <w:b w:val="0"/>
          <w:bCs w:val="0"/>
          <w:i/>
          <w:iCs/>
          <w:smallCaps w:val="0"/>
          <w:color w:val="9D2235" w:themeColor="accent1"/>
          <w:sz w:val="16"/>
          <w:szCs w:val="16"/>
        </w:rPr>
        <w:fldChar w:fldCharType="end"/>
      </w:r>
      <w:r w:rsidR="00B00F7A" w:rsidRPr="00B00F7A">
        <w:rPr>
          <w:rFonts w:ascii="Arial" w:hAnsi="Arial" w:cs="Arial"/>
          <w:smallCaps w:val="0"/>
          <w:color w:val="9D2235" w:themeColor="accent1"/>
          <w:sz w:val="16"/>
          <w:szCs w:val="16"/>
        </w:rPr>
        <w:t>.</w:t>
      </w:r>
      <w:r w:rsidRPr="00B00F7A">
        <w:rPr>
          <w:rFonts w:ascii="Arial" w:hAnsi="Arial" w:cs="Arial"/>
          <w:smallCaps w:val="0"/>
          <w:color w:val="9D2235" w:themeColor="accent1"/>
          <w:sz w:val="16"/>
          <w:szCs w:val="16"/>
        </w:rPr>
        <w:t xml:space="preserve"> </w:t>
      </w:r>
      <w:r w:rsidRPr="00973028">
        <w:rPr>
          <w:rFonts w:ascii="Arial" w:hAnsi="Arial" w:cs="Arial"/>
          <w:smallCaps w:val="0"/>
          <w:sz w:val="16"/>
          <w:szCs w:val="16"/>
        </w:rPr>
        <w:t>Número de solicitudes presentadas desde 2017 a 2020 según la provincia en la que se ubica la administración o entidad demandada</w:t>
      </w:r>
      <w:bookmarkEnd w:id="164"/>
    </w:p>
    <w:p w14:paraId="2A51CF5F" w14:textId="27668B37" w:rsidR="006B510A" w:rsidRDefault="006B510A" w:rsidP="006B510A">
      <w:pPr>
        <w:spacing w:after="0" w:line="276" w:lineRule="auto"/>
        <w:jc w:val="center"/>
        <w:rPr>
          <w:rFonts w:ascii="Arial" w:eastAsia="Times New Roman" w:hAnsi="Arial" w:cs="Arial"/>
          <w:sz w:val="21"/>
          <w:szCs w:val="21"/>
          <w:lang w:eastAsia="es-ES"/>
        </w:rPr>
      </w:pPr>
    </w:p>
    <w:p w14:paraId="23F786A3" w14:textId="77777777" w:rsidR="002E302A" w:rsidRPr="00973028" w:rsidRDefault="002E302A" w:rsidP="006B510A">
      <w:pPr>
        <w:spacing w:after="0" w:line="276" w:lineRule="auto"/>
        <w:jc w:val="center"/>
        <w:rPr>
          <w:rFonts w:ascii="Arial" w:eastAsia="Times New Roman" w:hAnsi="Arial" w:cs="Arial"/>
          <w:sz w:val="21"/>
          <w:szCs w:val="21"/>
          <w:lang w:eastAsia="es-ES"/>
        </w:rPr>
      </w:pPr>
    </w:p>
    <w:p w14:paraId="2055DA20" w14:textId="77777777" w:rsidR="006B510A" w:rsidRPr="00973028" w:rsidRDefault="006B510A" w:rsidP="006B510A">
      <w:pPr>
        <w:keepNext/>
        <w:spacing w:after="0" w:line="276" w:lineRule="auto"/>
        <w:jc w:val="center"/>
      </w:pPr>
      <w:r w:rsidRPr="00973028">
        <w:rPr>
          <w:noProof/>
        </w:rPr>
        <w:drawing>
          <wp:inline distT="0" distB="0" distL="0" distR="0" wp14:anchorId="7FB38D54" wp14:editId="1B440CC2">
            <wp:extent cx="5400040" cy="3357245"/>
            <wp:effectExtent l="0" t="0" r="10160" b="14605"/>
            <wp:docPr id="28" name="Gráfico 28">
              <a:extLst xmlns:a="http://schemas.openxmlformats.org/drawingml/2006/main">
                <a:ext uri="{FF2B5EF4-FFF2-40B4-BE49-F238E27FC236}">
                  <a16:creationId xmlns:a16="http://schemas.microsoft.com/office/drawing/2014/main" id="{A2800591-76CE-4B2A-8B44-C3E0B863A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189DB3A7" w14:textId="69097F4B" w:rsidR="006B510A" w:rsidRPr="00973028" w:rsidRDefault="006B510A" w:rsidP="006B510A">
      <w:pPr>
        <w:pStyle w:val="Descripcin"/>
        <w:jc w:val="center"/>
        <w:rPr>
          <w:rFonts w:ascii="Arial" w:eastAsia="Times New Roman" w:hAnsi="Arial" w:cs="Arial"/>
          <w:i/>
          <w:iCs/>
          <w:smallCaps w:val="0"/>
          <w:sz w:val="16"/>
          <w:szCs w:val="18"/>
          <w:lang w:eastAsia="es-ES"/>
        </w:rPr>
      </w:pPr>
      <w:bookmarkStart w:id="165" w:name="_Toc67646412"/>
      <w:r w:rsidRPr="00973028">
        <w:rPr>
          <w:rFonts w:ascii="Arial" w:hAnsi="Arial" w:cs="Arial"/>
          <w:smallCaps w:val="0"/>
          <w:color w:val="9D2235" w:themeColor="accent1"/>
          <w:sz w:val="16"/>
          <w:szCs w:val="18"/>
        </w:rPr>
        <w:t xml:space="preserve">Gráfico </w:t>
      </w:r>
      <w:r w:rsidRPr="00973028">
        <w:rPr>
          <w:rFonts w:ascii="Arial" w:hAnsi="Arial" w:cs="Arial"/>
          <w:b w:val="0"/>
          <w:bCs w:val="0"/>
          <w:i/>
          <w:iCs/>
          <w:smallCaps w:val="0"/>
          <w:color w:val="9D2235" w:themeColor="accent1"/>
          <w:sz w:val="16"/>
          <w:szCs w:val="18"/>
        </w:rPr>
        <w:fldChar w:fldCharType="begin"/>
      </w:r>
      <w:r w:rsidRPr="00973028">
        <w:rPr>
          <w:rFonts w:ascii="Arial" w:hAnsi="Arial" w:cs="Arial"/>
          <w:smallCaps w:val="0"/>
          <w:color w:val="9D2235" w:themeColor="accent1"/>
          <w:sz w:val="16"/>
          <w:szCs w:val="18"/>
        </w:rPr>
        <w:instrText xml:space="preserve"> SEQ Gráfico \* ARABIC </w:instrText>
      </w:r>
      <w:r w:rsidRPr="00973028">
        <w:rPr>
          <w:rFonts w:ascii="Arial" w:hAnsi="Arial" w:cs="Arial"/>
          <w:b w:val="0"/>
          <w:bCs w:val="0"/>
          <w:i/>
          <w:iCs/>
          <w:smallCaps w:val="0"/>
          <w:color w:val="9D2235" w:themeColor="accent1"/>
          <w:sz w:val="16"/>
          <w:szCs w:val="18"/>
        </w:rPr>
        <w:fldChar w:fldCharType="separate"/>
      </w:r>
      <w:r w:rsidR="00000D1F">
        <w:rPr>
          <w:rFonts w:ascii="Arial" w:hAnsi="Arial" w:cs="Arial"/>
          <w:smallCaps w:val="0"/>
          <w:noProof/>
          <w:color w:val="9D2235" w:themeColor="accent1"/>
          <w:sz w:val="16"/>
          <w:szCs w:val="18"/>
        </w:rPr>
        <w:t>16</w:t>
      </w:r>
      <w:r w:rsidRPr="00973028">
        <w:rPr>
          <w:rFonts w:ascii="Arial" w:hAnsi="Arial" w:cs="Arial"/>
          <w:b w:val="0"/>
          <w:bCs w:val="0"/>
          <w:i/>
          <w:iCs/>
          <w:smallCaps w:val="0"/>
          <w:color w:val="9D2235" w:themeColor="accent1"/>
          <w:sz w:val="16"/>
          <w:szCs w:val="18"/>
        </w:rPr>
        <w:fldChar w:fldCharType="end"/>
      </w:r>
      <w:r w:rsidR="00B00F7A" w:rsidRPr="00B00F7A">
        <w:rPr>
          <w:rFonts w:ascii="Arial" w:hAnsi="Arial" w:cs="Arial"/>
          <w:smallCaps w:val="0"/>
          <w:color w:val="9D2235" w:themeColor="accent1"/>
          <w:sz w:val="16"/>
          <w:szCs w:val="18"/>
        </w:rPr>
        <w:t>.</w:t>
      </w:r>
      <w:r w:rsidRPr="00973028">
        <w:rPr>
          <w:rFonts w:ascii="Arial" w:hAnsi="Arial" w:cs="Arial"/>
          <w:smallCaps w:val="0"/>
          <w:sz w:val="16"/>
          <w:szCs w:val="18"/>
        </w:rPr>
        <w:t xml:space="preserve"> Condición laboral de los trabajadores a los que se le ha concedido el estatuto de persona denunciante (años 2017 a 2020)</w:t>
      </w:r>
      <w:bookmarkEnd w:id="165"/>
    </w:p>
    <w:p w14:paraId="7501BFB8" w14:textId="77777777" w:rsidR="006B510A" w:rsidRPr="00973028" w:rsidRDefault="006B510A" w:rsidP="006B510A">
      <w:pPr>
        <w:spacing w:after="0" w:line="276" w:lineRule="auto"/>
        <w:jc w:val="center"/>
        <w:rPr>
          <w:rFonts w:ascii="Arial" w:eastAsia="Times New Roman" w:hAnsi="Arial" w:cs="Arial"/>
          <w:sz w:val="21"/>
          <w:szCs w:val="21"/>
          <w:lang w:eastAsia="es-ES"/>
        </w:rPr>
      </w:pPr>
    </w:p>
    <w:p w14:paraId="2CF2D558" w14:textId="77777777" w:rsidR="006B510A" w:rsidRPr="00973028" w:rsidRDefault="006B510A" w:rsidP="006B510A">
      <w:pPr>
        <w:spacing w:after="0" w:line="276" w:lineRule="auto"/>
        <w:jc w:val="center"/>
        <w:rPr>
          <w:rFonts w:ascii="Arial" w:eastAsia="Times New Roman" w:hAnsi="Arial" w:cs="Arial"/>
          <w:sz w:val="21"/>
          <w:szCs w:val="21"/>
          <w:lang w:eastAsia="es-ES"/>
        </w:rPr>
      </w:pPr>
    </w:p>
    <w:p w14:paraId="7AEF4EC8" w14:textId="77777777" w:rsidR="006B510A" w:rsidRPr="00973028" w:rsidRDefault="006B510A" w:rsidP="006B510A">
      <w:pPr>
        <w:keepNext/>
        <w:spacing w:after="0" w:line="276" w:lineRule="auto"/>
        <w:jc w:val="center"/>
      </w:pPr>
      <w:r w:rsidRPr="00973028">
        <w:rPr>
          <w:noProof/>
        </w:rPr>
        <w:drawing>
          <wp:inline distT="0" distB="0" distL="0" distR="0" wp14:anchorId="42DF3937" wp14:editId="0D06334F">
            <wp:extent cx="5307330" cy="3616657"/>
            <wp:effectExtent l="0" t="0" r="7620" b="3175"/>
            <wp:docPr id="260" name="Gráfico 260">
              <a:extLst xmlns:a="http://schemas.openxmlformats.org/drawingml/2006/main">
                <a:ext uri="{FF2B5EF4-FFF2-40B4-BE49-F238E27FC236}">
                  <a16:creationId xmlns:a16="http://schemas.microsoft.com/office/drawing/2014/main" id="{6E1C6F3E-2269-472C-8267-2ECE6D44BF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49AE493D" w14:textId="2ED33D13" w:rsidR="006B510A" w:rsidRPr="00973028" w:rsidRDefault="006B510A" w:rsidP="006B510A">
      <w:pPr>
        <w:pStyle w:val="Descripcin"/>
        <w:jc w:val="center"/>
        <w:rPr>
          <w:rFonts w:ascii="Arial" w:eastAsia="Times New Roman" w:hAnsi="Arial" w:cs="Arial"/>
          <w:i/>
          <w:iCs/>
          <w:smallCaps w:val="0"/>
          <w:sz w:val="16"/>
          <w:szCs w:val="16"/>
          <w:lang w:eastAsia="es-ES"/>
        </w:rPr>
      </w:pPr>
      <w:bookmarkStart w:id="166" w:name="_Toc67646413"/>
      <w:r w:rsidRPr="00973028">
        <w:rPr>
          <w:rFonts w:ascii="Arial" w:hAnsi="Arial" w:cs="Arial"/>
          <w:smallCaps w:val="0"/>
          <w:color w:val="9D2235" w:themeColor="accent1"/>
          <w:sz w:val="16"/>
          <w:szCs w:val="18"/>
        </w:rPr>
        <w:t xml:space="preserve">Gráfico </w:t>
      </w:r>
      <w:r w:rsidRPr="00973028">
        <w:rPr>
          <w:rFonts w:ascii="Arial" w:hAnsi="Arial" w:cs="Arial"/>
          <w:b w:val="0"/>
          <w:bCs w:val="0"/>
          <w:i/>
          <w:iCs/>
          <w:smallCaps w:val="0"/>
          <w:color w:val="9D2235" w:themeColor="accent1"/>
          <w:sz w:val="16"/>
          <w:szCs w:val="18"/>
        </w:rPr>
        <w:fldChar w:fldCharType="begin"/>
      </w:r>
      <w:r w:rsidRPr="00973028">
        <w:rPr>
          <w:rFonts w:ascii="Arial" w:hAnsi="Arial" w:cs="Arial"/>
          <w:smallCaps w:val="0"/>
          <w:color w:val="9D2235" w:themeColor="accent1"/>
          <w:sz w:val="16"/>
          <w:szCs w:val="18"/>
        </w:rPr>
        <w:instrText xml:space="preserve"> SEQ Gráfico \* ARABIC </w:instrText>
      </w:r>
      <w:r w:rsidRPr="00973028">
        <w:rPr>
          <w:rFonts w:ascii="Arial" w:hAnsi="Arial" w:cs="Arial"/>
          <w:b w:val="0"/>
          <w:bCs w:val="0"/>
          <w:i/>
          <w:iCs/>
          <w:smallCaps w:val="0"/>
          <w:color w:val="9D2235" w:themeColor="accent1"/>
          <w:sz w:val="16"/>
          <w:szCs w:val="18"/>
        </w:rPr>
        <w:fldChar w:fldCharType="separate"/>
      </w:r>
      <w:r w:rsidR="00000D1F">
        <w:rPr>
          <w:rFonts w:ascii="Arial" w:hAnsi="Arial" w:cs="Arial"/>
          <w:smallCaps w:val="0"/>
          <w:noProof/>
          <w:color w:val="9D2235" w:themeColor="accent1"/>
          <w:sz w:val="16"/>
          <w:szCs w:val="18"/>
        </w:rPr>
        <w:t>17</w:t>
      </w:r>
      <w:r w:rsidRPr="00973028">
        <w:rPr>
          <w:rFonts w:ascii="Arial" w:hAnsi="Arial" w:cs="Arial"/>
          <w:b w:val="0"/>
          <w:bCs w:val="0"/>
          <w:i/>
          <w:iCs/>
          <w:smallCaps w:val="0"/>
          <w:color w:val="9D2235" w:themeColor="accent1"/>
          <w:sz w:val="16"/>
          <w:szCs w:val="18"/>
        </w:rPr>
        <w:fldChar w:fldCharType="end"/>
      </w:r>
      <w:r w:rsidR="00B00F7A">
        <w:rPr>
          <w:rFonts w:ascii="Arial" w:hAnsi="Arial" w:cs="Arial"/>
          <w:smallCaps w:val="0"/>
          <w:color w:val="9D2235" w:themeColor="accent1"/>
          <w:sz w:val="16"/>
          <w:szCs w:val="18"/>
        </w:rPr>
        <w:t>.</w:t>
      </w:r>
      <w:r w:rsidRPr="00973028">
        <w:rPr>
          <w:rFonts w:ascii="Arial" w:hAnsi="Arial" w:cs="Arial"/>
          <w:smallCaps w:val="0"/>
          <w:color w:val="9D2235" w:themeColor="accent1"/>
          <w:sz w:val="16"/>
          <w:szCs w:val="18"/>
        </w:rPr>
        <w:t xml:space="preserve"> </w:t>
      </w:r>
      <w:r w:rsidRPr="00973028">
        <w:rPr>
          <w:rFonts w:ascii="Arial" w:hAnsi="Arial" w:cs="Arial"/>
          <w:smallCaps w:val="0"/>
          <w:sz w:val="16"/>
          <w:szCs w:val="18"/>
        </w:rPr>
        <w:t>Distribución de las solicitudes de protección según el estado de tramitación del expediente administrativo</w:t>
      </w:r>
      <w:bookmarkEnd w:id="166"/>
    </w:p>
    <w:p w14:paraId="3E3C894B" w14:textId="77777777" w:rsidR="006B510A" w:rsidRPr="00973028" w:rsidRDefault="006B510A" w:rsidP="006B510A">
      <w:pPr>
        <w:spacing w:after="0" w:line="276" w:lineRule="auto"/>
        <w:jc w:val="center"/>
        <w:rPr>
          <w:rFonts w:ascii="Arial" w:eastAsia="Times New Roman" w:hAnsi="Arial" w:cs="Arial"/>
          <w:sz w:val="21"/>
          <w:szCs w:val="21"/>
          <w:lang w:eastAsia="es-ES"/>
        </w:rPr>
      </w:pPr>
    </w:p>
    <w:p w14:paraId="1DE3A2C5" w14:textId="40E818A9" w:rsidR="005D7B04" w:rsidRPr="00973028" w:rsidRDefault="005D7B04" w:rsidP="006B510A">
      <w:pPr>
        <w:spacing w:after="0" w:line="276" w:lineRule="auto"/>
        <w:jc w:val="center"/>
        <w:rPr>
          <w:rFonts w:ascii="Arial" w:eastAsia="Times New Roman" w:hAnsi="Arial" w:cs="Arial"/>
          <w:sz w:val="21"/>
          <w:szCs w:val="21"/>
          <w:lang w:eastAsia="es-ES"/>
        </w:rPr>
      </w:pPr>
    </w:p>
    <w:p w14:paraId="48458316" w14:textId="77777777" w:rsidR="006B510A" w:rsidRPr="00973028" w:rsidRDefault="006B510A" w:rsidP="006B510A">
      <w:pPr>
        <w:keepNext/>
        <w:spacing w:after="0" w:line="276" w:lineRule="auto"/>
        <w:jc w:val="center"/>
      </w:pPr>
      <w:r w:rsidRPr="00973028">
        <w:rPr>
          <w:noProof/>
        </w:rPr>
        <w:drawing>
          <wp:inline distT="0" distB="0" distL="0" distR="0" wp14:anchorId="692AFF5D" wp14:editId="1F2EBDF2">
            <wp:extent cx="5355590" cy="3351129"/>
            <wp:effectExtent l="0" t="0" r="16510" b="1905"/>
            <wp:docPr id="261" name="Gráfico 261">
              <a:extLst xmlns:a="http://schemas.openxmlformats.org/drawingml/2006/main">
                <a:ext uri="{FF2B5EF4-FFF2-40B4-BE49-F238E27FC236}">
                  <a16:creationId xmlns:a16="http://schemas.microsoft.com/office/drawing/2014/main" id="{920AB4AF-95FE-4161-B93A-E40C59894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2DC2B531" w14:textId="52653130" w:rsidR="006B510A" w:rsidRPr="00973028" w:rsidRDefault="006B510A" w:rsidP="006B510A">
      <w:pPr>
        <w:pStyle w:val="Descripcin"/>
        <w:jc w:val="center"/>
        <w:rPr>
          <w:rFonts w:ascii="Arial" w:eastAsia="Times New Roman" w:hAnsi="Arial" w:cs="Arial"/>
          <w:i/>
          <w:iCs/>
          <w:smallCaps w:val="0"/>
          <w:sz w:val="16"/>
          <w:szCs w:val="16"/>
          <w:lang w:eastAsia="es-ES"/>
        </w:rPr>
      </w:pPr>
      <w:bookmarkStart w:id="167" w:name="_Toc67646414"/>
      <w:r w:rsidRPr="00973028">
        <w:rPr>
          <w:rFonts w:ascii="Arial" w:hAnsi="Arial" w:cs="Arial"/>
          <w:smallCaps w:val="0"/>
          <w:color w:val="9D2235" w:themeColor="accent1"/>
          <w:sz w:val="16"/>
          <w:szCs w:val="18"/>
        </w:rPr>
        <w:t xml:space="preserve">Gráfico </w:t>
      </w:r>
      <w:r w:rsidRPr="00973028">
        <w:rPr>
          <w:rFonts w:ascii="Arial" w:hAnsi="Arial" w:cs="Arial"/>
          <w:b w:val="0"/>
          <w:bCs w:val="0"/>
          <w:i/>
          <w:iCs/>
          <w:smallCaps w:val="0"/>
          <w:color w:val="9D2235" w:themeColor="accent1"/>
          <w:sz w:val="16"/>
          <w:szCs w:val="18"/>
        </w:rPr>
        <w:fldChar w:fldCharType="begin"/>
      </w:r>
      <w:r w:rsidRPr="00973028">
        <w:rPr>
          <w:rFonts w:ascii="Arial" w:hAnsi="Arial" w:cs="Arial"/>
          <w:smallCaps w:val="0"/>
          <w:color w:val="9D2235" w:themeColor="accent1"/>
          <w:sz w:val="16"/>
          <w:szCs w:val="18"/>
        </w:rPr>
        <w:instrText xml:space="preserve"> SEQ Gráfico \* ARABIC </w:instrText>
      </w:r>
      <w:r w:rsidRPr="00973028">
        <w:rPr>
          <w:rFonts w:ascii="Arial" w:hAnsi="Arial" w:cs="Arial"/>
          <w:b w:val="0"/>
          <w:bCs w:val="0"/>
          <w:i/>
          <w:iCs/>
          <w:smallCaps w:val="0"/>
          <w:color w:val="9D2235" w:themeColor="accent1"/>
          <w:sz w:val="16"/>
          <w:szCs w:val="18"/>
        </w:rPr>
        <w:fldChar w:fldCharType="separate"/>
      </w:r>
      <w:r w:rsidR="00000D1F">
        <w:rPr>
          <w:rFonts w:ascii="Arial" w:hAnsi="Arial" w:cs="Arial"/>
          <w:smallCaps w:val="0"/>
          <w:noProof/>
          <w:color w:val="9D2235" w:themeColor="accent1"/>
          <w:sz w:val="16"/>
          <w:szCs w:val="18"/>
        </w:rPr>
        <w:t>18</w:t>
      </w:r>
      <w:r w:rsidRPr="00973028">
        <w:rPr>
          <w:rFonts w:ascii="Arial" w:hAnsi="Arial" w:cs="Arial"/>
          <w:b w:val="0"/>
          <w:bCs w:val="0"/>
          <w:i/>
          <w:iCs/>
          <w:smallCaps w:val="0"/>
          <w:color w:val="9D2235" w:themeColor="accent1"/>
          <w:sz w:val="16"/>
          <w:szCs w:val="18"/>
        </w:rPr>
        <w:fldChar w:fldCharType="end"/>
      </w:r>
      <w:r w:rsidR="00B00F7A" w:rsidRPr="00B00F7A">
        <w:rPr>
          <w:rFonts w:ascii="Arial" w:hAnsi="Arial" w:cs="Arial"/>
          <w:smallCaps w:val="0"/>
          <w:color w:val="9D2235" w:themeColor="accent1"/>
          <w:sz w:val="16"/>
          <w:szCs w:val="18"/>
        </w:rPr>
        <w:t>.</w:t>
      </w:r>
      <w:r w:rsidRPr="00973028">
        <w:rPr>
          <w:rFonts w:ascii="Arial" w:hAnsi="Arial" w:cs="Arial"/>
          <w:smallCaps w:val="0"/>
          <w:sz w:val="16"/>
          <w:szCs w:val="18"/>
        </w:rPr>
        <w:t xml:space="preserve"> Personas denunciantes protegidas clasificadas por género (años 2017 a 2020)</w:t>
      </w:r>
      <w:bookmarkEnd w:id="167"/>
    </w:p>
    <w:p w14:paraId="21ADD63F" w14:textId="77777777" w:rsidR="006B510A" w:rsidRPr="00973028" w:rsidRDefault="006B510A" w:rsidP="006B510A">
      <w:pPr>
        <w:spacing w:after="0" w:line="276" w:lineRule="auto"/>
        <w:jc w:val="center"/>
        <w:rPr>
          <w:rFonts w:ascii="Arial" w:eastAsia="Times New Roman" w:hAnsi="Arial" w:cs="Arial"/>
          <w:sz w:val="21"/>
          <w:szCs w:val="21"/>
          <w:lang w:eastAsia="es-ES"/>
        </w:rPr>
      </w:pPr>
    </w:p>
    <w:p w14:paraId="2F545BF5" w14:textId="5F39C2EE" w:rsidR="006B510A" w:rsidRDefault="006B510A" w:rsidP="006B510A">
      <w:pPr>
        <w:spacing w:after="0" w:line="276" w:lineRule="auto"/>
        <w:jc w:val="center"/>
        <w:rPr>
          <w:rFonts w:ascii="Arial" w:eastAsia="Times New Roman" w:hAnsi="Arial" w:cs="Arial"/>
          <w:sz w:val="21"/>
          <w:szCs w:val="21"/>
          <w:lang w:eastAsia="es-ES"/>
        </w:rPr>
      </w:pPr>
    </w:p>
    <w:p w14:paraId="45F81261" w14:textId="77777777" w:rsidR="002E302A" w:rsidRPr="00973028" w:rsidRDefault="002E302A" w:rsidP="006B510A">
      <w:pPr>
        <w:spacing w:after="0" w:line="276" w:lineRule="auto"/>
        <w:jc w:val="center"/>
        <w:rPr>
          <w:rFonts w:ascii="Arial" w:eastAsia="Times New Roman" w:hAnsi="Arial" w:cs="Arial"/>
          <w:sz w:val="21"/>
          <w:szCs w:val="21"/>
          <w:lang w:eastAsia="es-ES"/>
        </w:rPr>
      </w:pPr>
    </w:p>
    <w:p w14:paraId="525889BD" w14:textId="77777777" w:rsidR="006B510A" w:rsidRPr="00973028" w:rsidRDefault="006B510A" w:rsidP="006B510A">
      <w:pPr>
        <w:keepNext/>
        <w:spacing w:after="0" w:line="276" w:lineRule="auto"/>
        <w:jc w:val="center"/>
      </w:pPr>
      <w:r w:rsidRPr="00973028">
        <w:rPr>
          <w:noProof/>
        </w:rPr>
        <w:drawing>
          <wp:inline distT="0" distB="0" distL="0" distR="0" wp14:anchorId="02A9460C" wp14:editId="24ADD4FB">
            <wp:extent cx="5368925" cy="3441031"/>
            <wp:effectExtent l="0" t="0" r="3175" b="7620"/>
            <wp:docPr id="262" name="Gráfico 262">
              <a:extLst xmlns:a="http://schemas.openxmlformats.org/drawingml/2006/main">
                <a:ext uri="{FF2B5EF4-FFF2-40B4-BE49-F238E27FC236}">
                  <a16:creationId xmlns:a16="http://schemas.microsoft.com/office/drawing/2014/main" id="{8999680B-9E01-4B74-A0B8-CF06490F35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29A8F94B" w14:textId="6964D296" w:rsidR="006B510A" w:rsidRPr="00973028" w:rsidRDefault="006B510A" w:rsidP="006B510A">
      <w:pPr>
        <w:pStyle w:val="Descripcin"/>
        <w:jc w:val="center"/>
        <w:rPr>
          <w:rFonts w:ascii="Arial" w:hAnsi="Arial" w:cs="Arial"/>
          <w:i/>
          <w:iCs/>
          <w:smallCaps w:val="0"/>
          <w:sz w:val="16"/>
          <w:szCs w:val="18"/>
        </w:rPr>
      </w:pPr>
      <w:bookmarkStart w:id="168" w:name="_Toc67646415"/>
      <w:r w:rsidRPr="00973028">
        <w:rPr>
          <w:rFonts w:ascii="Arial" w:hAnsi="Arial" w:cs="Arial"/>
          <w:smallCaps w:val="0"/>
          <w:color w:val="9D2235" w:themeColor="accent1"/>
          <w:sz w:val="16"/>
          <w:szCs w:val="18"/>
        </w:rPr>
        <w:t xml:space="preserve">Gráfico </w:t>
      </w:r>
      <w:r w:rsidRPr="00973028">
        <w:rPr>
          <w:rFonts w:ascii="Arial" w:hAnsi="Arial" w:cs="Arial"/>
          <w:b w:val="0"/>
          <w:bCs w:val="0"/>
          <w:i/>
          <w:iCs/>
          <w:smallCaps w:val="0"/>
          <w:color w:val="9D2235" w:themeColor="accent1"/>
          <w:sz w:val="16"/>
          <w:szCs w:val="18"/>
        </w:rPr>
        <w:fldChar w:fldCharType="begin"/>
      </w:r>
      <w:r w:rsidRPr="00973028">
        <w:rPr>
          <w:rFonts w:ascii="Arial" w:hAnsi="Arial" w:cs="Arial"/>
          <w:smallCaps w:val="0"/>
          <w:color w:val="9D2235" w:themeColor="accent1"/>
          <w:sz w:val="16"/>
          <w:szCs w:val="18"/>
        </w:rPr>
        <w:instrText xml:space="preserve"> SEQ Gráfico \* ARABIC </w:instrText>
      </w:r>
      <w:r w:rsidRPr="00973028">
        <w:rPr>
          <w:rFonts w:ascii="Arial" w:hAnsi="Arial" w:cs="Arial"/>
          <w:b w:val="0"/>
          <w:bCs w:val="0"/>
          <w:i/>
          <w:iCs/>
          <w:smallCaps w:val="0"/>
          <w:color w:val="9D2235" w:themeColor="accent1"/>
          <w:sz w:val="16"/>
          <w:szCs w:val="18"/>
        </w:rPr>
        <w:fldChar w:fldCharType="separate"/>
      </w:r>
      <w:r w:rsidR="00000D1F">
        <w:rPr>
          <w:rFonts w:ascii="Arial" w:hAnsi="Arial" w:cs="Arial"/>
          <w:smallCaps w:val="0"/>
          <w:noProof/>
          <w:color w:val="9D2235" w:themeColor="accent1"/>
          <w:sz w:val="16"/>
          <w:szCs w:val="18"/>
        </w:rPr>
        <w:t>19</w:t>
      </w:r>
      <w:r w:rsidRPr="00973028">
        <w:rPr>
          <w:rFonts w:ascii="Arial" w:hAnsi="Arial" w:cs="Arial"/>
          <w:b w:val="0"/>
          <w:bCs w:val="0"/>
          <w:i/>
          <w:iCs/>
          <w:smallCaps w:val="0"/>
          <w:color w:val="9D2235" w:themeColor="accent1"/>
          <w:sz w:val="16"/>
          <w:szCs w:val="18"/>
        </w:rPr>
        <w:fldChar w:fldCharType="end"/>
      </w:r>
      <w:r w:rsidR="00B00F7A" w:rsidRPr="00B00F7A">
        <w:rPr>
          <w:rFonts w:ascii="Arial" w:hAnsi="Arial" w:cs="Arial"/>
          <w:smallCaps w:val="0"/>
          <w:color w:val="9D2235" w:themeColor="accent1"/>
          <w:sz w:val="16"/>
          <w:szCs w:val="18"/>
        </w:rPr>
        <w:t>.</w:t>
      </w:r>
      <w:r w:rsidRPr="00973028">
        <w:rPr>
          <w:rFonts w:ascii="Arial" w:hAnsi="Arial" w:cs="Arial"/>
          <w:smallCaps w:val="0"/>
          <w:sz w:val="16"/>
          <w:szCs w:val="18"/>
        </w:rPr>
        <w:t xml:space="preserve"> Según el contenido de la denuncia realizada por los denunciantes protegidos (años 2017 a 2020)</w:t>
      </w:r>
      <w:bookmarkEnd w:id="168"/>
    </w:p>
    <w:p w14:paraId="06A68831" w14:textId="77777777" w:rsidR="006B510A" w:rsidRPr="00973028" w:rsidRDefault="006B510A" w:rsidP="00FD7950">
      <w:pPr>
        <w:spacing w:after="0" w:line="276" w:lineRule="auto"/>
        <w:rPr>
          <w:rFonts w:ascii="Arial" w:eastAsia="Times New Roman" w:hAnsi="Arial" w:cs="Arial"/>
          <w:sz w:val="21"/>
          <w:szCs w:val="21"/>
          <w:lang w:eastAsia="es-ES"/>
        </w:rPr>
      </w:pPr>
    </w:p>
    <w:p w14:paraId="3DC37693" w14:textId="77777777" w:rsidR="006B510A" w:rsidRPr="00973028" w:rsidRDefault="006B510A" w:rsidP="006B510A">
      <w:pPr>
        <w:spacing w:after="0" w:line="276" w:lineRule="auto"/>
        <w:jc w:val="center"/>
        <w:rPr>
          <w:rFonts w:ascii="Arial" w:eastAsia="Times New Roman" w:hAnsi="Arial" w:cs="Arial"/>
          <w:sz w:val="21"/>
          <w:szCs w:val="21"/>
          <w:lang w:eastAsia="es-ES"/>
        </w:rPr>
      </w:pPr>
    </w:p>
    <w:p w14:paraId="25B0BCE9" w14:textId="41EB0650" w:rsidR="006B510A" w:rsidRPr="00973028" w:rsidRDefault="006B510A" w:rsidP="00E973F1">
      <w:pPr>
        <w:pStyle w:val="Prrafodelista"/>
        <w:keepNext/>
        <w:numPr>
          <w:ilvl w:val="1"/>
          <w:numId w:val="25"/>
        </w:numPr>
        <w:spacing w:before="360" w:after="240" w:line="276" w:lineRule="auto"/>
        <w:ind w:left="851" w:hanging="851"/>
        <w:contextualSpacing w:val="0"/>
        <w:jc w:val="both"/>
        <w:outlineLvl w:val="1"/>
        <w:rPr>
          <w:rFonts w:ascii="Arial" w:eastAsia="Times New Roman" w:hAnsi="Arial" w:cs="Arial"/>
          <w:b/>
          <w:color w:val="9D2235"/>
          <w:sz w:val="32"/>
          <w:szCs w:val="32"/>
        </w:rPr>
      </w:pPr>
      <w:r w:rsidRPr="00973028">
        <w:rPr>
          <w:rFonts w:ascii="Arial" w:eastAsia="Times New Roman" w:hAnsi="Arial" w:cs="Arial"/>
          <w:b/>
          <w:bCs/>
          <w:smallCaps/>
          <w:color w:val="9D2235"/>
          <w:sz w:val="32"/>
          <w:szCs w:val="32"/>
          <w:lang w:eastAsia="es-ES"/>
        </w:rPr>
        <w:br w:type="page"/>
      </w:r>
      <w:bookmarkStart w:id="169" w:name="_Toc67646292"/>
      <w:r w:rsidRPr="00E973F1">
        <w:rPr>
          <w:rFonts w:ascii="Arial" w:eastAsia="Times New Roman" w:hAnsi="Arial" w:cs="Arial"/>
          <w:b/>
          <w:color w:val="9D2235" w:themeColor="accent1"/>
          <w:sz w:val="32"/>
          <w:szCs w:val="32"/>
        </w:rPr>
        <w:lastRenderedPageBreak/>
        <w:t>Potestad sancionadora</w:t>
      </w:r>
      <w:bookmarkEnd w:id="169"/>
    </w:p>
    <w:p w14:paraId="66CB519E" w14:textId="1B25A758" w:rsidR="006B510A" w:rsidRPr="00973028" w:rsidRDefault="006B510A" w:rsidP="00C1460B">
      <w:pPr>
        <w:spacing w:after="240" w:line="276" w:lineRule="auto"/>
        <w:jc w:val="both"/>
        <w:rPr>
          <w:rFonts w:ascii="Arial" w:eastAsia="Times New Roman" w:hAnsi="Arial" w:cs="Arial"/>
          <w:sz w:val="21"/>
          <w:szCs w:val="21"/>
          <w:lang w:eastAsia="es-ES"/>
        </w:rPr>
      </w:pPr>
      <w:r w:rsidRPr="00973028">
        <w:rPr>
          <w:rFonts w:ascii="Arial" w:eastAsia="Times New Roman" w:hAnsi="Arial" w:cs="Arial"/>
          <w:color w:val="000000"/>
          <w:sz w:val="21"/>
          <w:szCs w:val="21"/>
          <w:lang w:eastAsia="es-ES"/>
        </w:rPr>
        <w:t xml:space="preserve">La Ley 11/2016, de 28 de noviembre, de creación de la Agencia, atribuye a esta potestad sancionadora, regulándose la misma en su Capítulo III titulado “Del régimen sancionador”, </w:t>
      </w:r>
      <w:r w:rsidRPr="00973028">
        <w:rPr>
          <w:rFonts w:ascii="Arial" w:eastAsia="Times New Roman" w:hAnsi="Arial" w:cs="Arial"/>
          <w:sz w:val="21"/>
          <w:szCs w:val="21"/>
          <w:lang w:eastAsia="es-ES"/>
        </w:rPr>
        <w:t xml:space="preserve">artículo 17 a 21. </w:t>
      </w:r>
    </w:p>
    <w:p w14:paraId="24BD43D9" w14:textId="0E91A168" w:rsidR="006B510A" w:rsidRPr="00973028" w:rsidRDefault="006B510A" w:rsidP="00C1460B">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A su vez, el Reglamento de funcionamiento y régimen interior de la Agencia dedica su título VIII al procedimiento sancionador, recogiendo los principios de dicho procedimiento y de la potestad sancionadora, la regulación de las actuaciones previas y de la adopción del acuerdo de iniciación del procedimiento, la posibilidad de decretar medidas de carácter provisional, la instrucción, la propuesta de resolución y audiencia, la resolución del procedimiento y sus efectos y la ejecutoriedad; y también la posibilidad de realizar una tramitación simplificada en caso de infracciones leves.</w:t>
      </w:r>
    </w:p>
    <w:p w14:paraId="4513EB43" w14:textId="03E9BC5F" w:rsidR="006B510A" w:rsidRPr="00973028" w:rsidRDefault="006B510A" w:rsidP="00C1460B">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La finalidad de esta potestad sancionadora es impedir que se consoliden situaciones de antijuridicidad, corregir las actuaciones contrarias a la legalidad e imponer sanciones a los responsables de los ilícitos administrativos, por la realización de acciones u omisiones relacionadas en la Ley 11/2016 y constitutivas de infracción. Así, entre otras, el incumplimiento de las medidas de protección de las personas denunciantes, las filtraciones en procedimientos de investigación, la presentación de denuncias falsas o la falta del deber de colaborar con la Agencia en procedimientos de investigación traducida en obstáculos a la misma, la negativa a proporcionar información, el retraso en la entrega o la aportación de documentación incompleta.</w:t>
      </w:r>
    </w:p>
    <w:p w14:paraId="1E874B93" w14:textId="38EC34B8" w:rsidR="006B510A" w:rsidRPr="00973028" w:rsidRDefault="006B510A" w:rsidP="00C1460B">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Las infracciones tipificadas en la Ley 11/2016 se clasifican en leves, graves y muy graves, a saber:</w:t>
      </w:r>
    </w:p>
    <w:p w14:paraId="0B63706C" w14:textId="02F2B9DF" w:rsidR="006B510A" w:rsidRPr="00973028" w:rsidRDefault="006B510A" w:rsidP="00672ABA">
      <w:pPr>
        <w:pStyle w:val="Prrafodelista"/>
        <w:numPr>
          <w:ilvl w:val="0"/>
          <w:numId w:val="39"/>
        </w:numPr>
        <w:spacing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Son infracciones muy graves el incumplimiento de las medidas de protección de la persona denunciante cuando la falta de colaboración haya causado un grave perjuicio a la investigación o a esta; la presentación de denuncias manifiestamente falsas que causen graves perjuicios a la persona denunciada; no comunicar los hechos que sean susceptibles de ser considerados constitutivos de conductas fraudulentas, de corrupción o contrarias al interés general, cuando no haya investigación judicial abierta ante el juez o el fiscal; así como filtrar información en el curso de la investigación cuando cause graves perjuicios a la investigación o al denunciante.</w:t>
      </w:r>
    </w:p>
    <w:p w14:paraId="29A759C6" w14:textId="11D18BD4" w:rsidR="006B510A" w:rsidRPr="00973028" w:rsidRDefault="006B510A" w:rsidP="00672ABA">
      <w:pPr>
        <w:pStyle w:val="Prrafodelista"/>
        <w:numPr>
          <w:ilvl w:val="0"/>
          <w:numId w:val="39"/>
        </w:numPr>
        <w:spacing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Son infracciones graves el incumplimiento de las obligaciones de colaboración activa previstas o de suministro de información cuando se haya desatendido el requerimiento expreso de la Agencia después de un primer retraso; negarse o retrasarse injustificadamente en el envío de la información causando un perjuicio al proceso de investigación; dificultar el acceso a los expedientes o documentación administrativa necesaria para la investigación; y no asistir injustificadamente a la comparecencia requerida por la Agencia.</w:t>
      </w:r>
    </w:p>
    <w:p w14:paraId="6D97C13A" w14:textId="2D05DD19" w:rsidR="006B510A" w:rsidRPr="00973028" w:rsidRDefault="006B510A" w:rsidP="00672ABA">
      <w:pPr>
        <w:pStyle w:val="Prrafodelista"/>
        <w:numPr>
          <w:ilvl w:val="0"/>
          <w:numId w:val="39"/>
        </w:numPr>
        <w:spacing w:after="120" w:line="276" w:lineRule="auto"/>
        <w:ind w:left="714" w:hanging="357"/>
        <w:contextualSpacing w:val="0"/>
        <w:jc w:val="both"/>
        <w:rPr>
          <w:rFonts w:ascii="Arial" w:eastAsia="Times New Roman" w:hAnsi="Arial" w:cs="Arial"/>
          <w:color w:val="800080"/>
          <w:sz w:val="21"/>
          <w:szCs w:val="21"/>
          <w:lang w:eastAsia="es-ES"/>
        </w:rPr>
      </w:pPr>
      <w:r w:rsidRPr="00973028">
        <w:rPr>
          <w:rFonts w:ascii="Arial" w:eastAsia="Times New Roman" w:hAnsi="Arial" w:cs="Arial"/>
          <w:sz w:val="21"/>
          <w:szCs w:val="21"/>
          <w:lang w:eastAsia="es-ES"/>
        </w:rPr>
        <w:t>Por último, son infracciones leves la remisión incompleta de información a sabiendas y la falta de diligencia en la custodia de los documentos objeto de investigación.</w:t>
      </w:r>
    </w:p>
    <w:p w14:paraId="3AFE2207" w14:textId="14E8438F" w:rsidR="006B510A" w:rsidRPr="00973028" w:rsidRDefault="006B510A" w:rsidP="00672ABA">
      <w:pPr>
        <w:pStyle w:val="Prrafodelista"/>
        <w:numPr>
          <w:ilvl w:val="0"/>
          <w:numId w:val="39"/>
        </w:numPr>
        <w:spacing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Por lo que respecta a las sanciones, distingue la Ley entre:  </w:t>
      </w:r>
    </w:p>
    <w:p w14:paraId="4AF7E36A" w14:textId="02B5384A" w:rsidR="006B510A" w:rsidRPr="00973028" w:rsidRDefault="006B510A" w:rsidP="00672ABA">
      <w:pPr>
        <w:pStyle w:val="Prrafodelista"/>
        <w:numPr>
          <w:ilvl w:val="0"/>
          <w:numId w:val="39"/>
        </w:numPr>
        <w:spacing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lastRenderedPageBreak/>
        <w:t>Por la comisión de infracciones leves, se aparejan las sanciones de amonestación y multa de 200 hasta 5.000 euros.</w:t>
      </w:r>
    </w:p>
    <w:p w14:paraId="76AA57FB" w14:textId="69AD67F9" w:rsidR="006B510A" w:rsidRPr="00973028" w:rsidRDefault="006B510A" w:rsidP="00672ABA">
      <w:pPr>
        <w:pStyle w:val="Prrafodelista"/>
        <w:numPr>
          <w:ilvl w:val="0"/>
          <w:numId w:val="39"/>
        </w:numPr>
        <w:spacing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Por la comisión de infracciones graves, la declaración del incumplimiento del deber y multa de 5.001 a 30.000 euros.</w:t>
      </w:r>
    </w:p>
    <w:p w14:paraId="56028881" w14:textId="52E19B3F" w:rsidR="006B510A" w:rsidRPr="00973028" w:rsidRDefault="006B510A" w:rsidP="00672ABA">
      <w:pPr>
        <w:pStyle w:val="Prrafodelista"/>
        <w:numPr>
          <w:ilvl w:val="0"/>
          <w:numId w:val="39"/>
        </w:numPr>
        <w:spacing w:after="24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Por la comisión de infracciones muy graves, la declaración del incumplimiento del deber y multa de 30.001 a 400.000 euros. </w:t>
      </w:r>
    </w:p>
    <w:p w14:paraId="1DCEA982" w14:textId="340DA3FE" w:rsidR="006B510A" w:rsidRPr="00973028" w:rsidRDefault="006B510A" w:rsidP="00C1460B">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Además, las sanciones por infracciones graves o muy graves se publicarán en el </w:t>
      </w:r>
      <w:r w:rsidRPr="00973028">
        <w:rPr>
          <w:rFonts w:ascii="Arial" w:eastAsia="Times New Roman" w:hAnsi="Arial" w:cs="Arial"/>
          <w:i/>
          <w:iCs/>
          <w:sz w:val="21"/>
          <w:szCs w:val="21"/>
          <w:lang w:eastAsia="es-ES"/>
        </w:rPr>
        <w:t>Diari Oficial de la Generalitat Valenciana</w:t>
      </w:r>
      <w:r w:rsidRPr="00973028">
        <w:rPr>
          <w:rFonts w:ascii="Arial" w:eastAsia="Times New Roman" w:hAnsi="Arial" w:cs="Arial"/>
          <w:sz w:val="21"/>
          <w:szCs w:val="21"/>
          <w:lang w:eastAsia="es-ES"/>
        </w:rPr>
        <w:t xml:space="preserve"> para conocimiento general. </w:t>
      </w:r>
    </w:p>
    <w:p w14:paraId="522C3E97" w14:textId="0A591487" w:rsidR="006B510A" w:rsidRPr="00973028" w:rsidRDefault="006B510A" w:rsidP="00C1460B">
      <w:pPr>
        <w:pStyle w:val="Default"/>
        <w:spacing w:after="240" w:line="276" w:lineRule="auto"/>
        <w:jc w:val="both"/>
        <w:rPr>
          <w:rFonts w:eastAsia="Times New Roman"/>
          <w:color w:val="auto"/>
          <w:sz w:val="21"/>
          <w:szCs w:val="21"/>
          <w:lang w:eastAsia="es-ES"/>
        </w:rPr>
      </w:pPr>
      <w:r w:rsidRPr="00973028">
        <w:rPr>
          <w:rFonts w:eastAsia="Times New Roman"/>
          <w:color w:val="auto"/>
          <w:sz w:val="21"/>
          <w:szCs w:val="21"/>
          <w:lang w:eastAsia="es-ES"/>
        </w:rPr>
        <w:t>Se pone de relieve que en todas las resoluciones de otorgamiento del estatuto de protección a las personas denunciantes, que se comunican a los efectos oportunos a la administración pública o entidad pública o privada en la que presta sus servicios la persona denunciante, se viene advirtiendo por parte de la AVAF de la posibilidad de ejercer esta potestad, tanto para el caso de que se vulneren las medidas de protección derivadas del estatuto, como en aquellos otros en que se evidencie el incumplimiento de las obligaciones de colaboración activa previstas.</w:t>
      </w:r>
    </w:p>
    <w:p w14:paraId="2D026ED1" w14:textId="16753CF0" w:rsidR="006B510A" w:rsidRPr="00973028" w:rsidRDefault="006B510A" w:rsidP="00C1460B">
      <w:pPr>
        <w:pStyle w:val="Default"/>
        <w:spacing w:after="240" w:line="276" w:lineRule="auto"/>
        <w:jc w:val="both"/>
        <w:rPr>
          <w:rFonts w:eastAsia="Times New Roman"/>
          <w:color w:val="auto"/>
          <w:sz w:val="21"/>
          <w:szCs w:val="21"/>
          <w:lang w:eastAsia="es-ES"/>
        </w:rPr>
      </w:pPr>
      <w:r w:rsidRPr="00973028">
        <w:rPr>
          <w:rFonts w:eastAsia="Times New Roman"/>
          <w:color w:val="auto"/>
          <w:sz w:val="21"/>
          <w:szCs w:val="21"/>
          <w:lang w:eastAsia="es-ES"/>
        </w:rPr>
        <w:t xml:space="preserve">Asimismo, dicha advertencia de ejercicio de la potestad sancionadora se ha tenido que dirigir en ocasiones a las administraciones públicas o entidades respecto de </w:t>
      </w:r>
      <w:r w:rsidRPr="00973028">
        <w:rPr>
          <w:rFonts w:eastAsia="Times New Roman"/>
          <w:color w:val="000000" w:themeColor="text1"/>
          <w:sz w:val="21"/>
          <w:szCs w:val="21"/>
          <w:lang w:eastAsia="es-ES"/>
        </w:rPr>
        <w:t xml:space="preserve">las que se han realizado </w:t>
      </w:r>
      <w:r w:rsidRPr="00973028">
        <w:rPr>
          <w:rFonts w:eastAsia="Times New Roman"/>
          <w:color w:val="auto"/>
          <w:sz w:val="21"/>
          <w:szCs w:val="21"/>
          <w:lang w:eastAsia="es-ES"/>
        </w:rPr>
        <w:t xml:space="preserve">determinadas actuaciones de investigación, en el marco de los procedimientos emprendidos por la AVAF conforme a sus competencias. </w:t>
      </w:r>
    </w:p>
    <w:p w14:paraId="3D45E769" w14:textId="2AAF7803" w:rsidR="006B510A" w:rsidRPr="00973028" w:rsidRDefault="006B510A" w:rsidP="00C1460B">
      <w:pPr>
        <w:pStyle w:val="Default"/>
        <w:spacing w:after="240" w:line="276" w:lineRule="auto"/>
        <w:jc w:val="both"/>
        <w:rPr>
          <w:rFonts w:eastAsia="Times New Roman"/>
          <w:color w:val="000000" w:themeColor="text1"/>
          <w:sz w:val="21"/>
          <w:szCs w:val="21"/>
          <w:lang w:eastAsia="es-ES"/>
        </w:rPr>
      </w:pPr>
      <w:r w:rsidRPr="00973028">
        <w:rPr>
          <w:rFonts w:eastAsia="Times New Roman"/>
          <w:color w:val="auto"/>
          <w:sz w:val="21"/>
          <w:szCs w:val="21"/>
          <w:lang w:eastAsia="es-ES"/>
        </w:rPr>
        <w:t>Debe recordarse a tal efecto lo dispuesto en el artículo 7 de la Ley 11/</w:t>
      </w:r>
      <w:r w:rsidRPr="00973028">
        <w:rPr>
          <w:rFonts w:eastAsia="Times New Roman"/>
          <w:color w:val="000000" w:themeColor="text1"/>
          <w:sz w:val="21"/>
          <w:szCs w:val="21"/>
          <w:lang w:eastAsia="es-ES"/>
        </w:rPr>
        <w:t>2016:</w:t>
      </w:r>
    </w:p>
    <w:p w14:paraId="40ECAE91" w14:textId="289BE71B" w:rsidR="006B510A" w:rsidRPr="00973028" w:rsidRDefault="006B510A" w:rsidP="00C1460B">
      <w:pPr>
        <w:pStyle w:val="Standard"/>
        <w:spacing w:after="120" w:line="276" w:lineRule="auto"/>
        <w:ind w:left="567"/>
        <w:jc w:val="both"/>
        <w:rPr>
          <w:rFonts w:ascii="Arial" w:hAnsi="Arial"/>
          <w:sz w:val="21"/>
          <w:szCs w:val="21"/>
        </w:rPr>
      </w:pPr>
      <w:r w:rsidRPr="00973028">
        <w:rPr>
          <w:rFonts w:ascii="Arial" w:hAnsi="Arial"/>
          <w:sz w:val="21"/>
          <w:szCs w:val="21"/>
        </w:rPr>
        <w:t>“Artículo 7. Deber de colaboración.</w:t>
      </w:r>
    </w:p>
    <w:p w14:paraId="213238C8" w14:textId="7FFDAC61" w:rsidR="006B510A" w:rsidRPr="00973028" w:rsidRDefault="006B510A" w:rsidP="00C1460B">
      <w:pPr>
        <w:pStyle w:val="Standard"/>
        <w:spacing w:after="120" w:line="276" w:lineRule="auto"/>
        <w:ind w:left="567"/>
        <w:jc w:val="both"/>
        <w:rPr>
          <w:rFonts w:ascii="Arial" w:hAnsi="Arial"/>
          <w:sz w:val="21"/>
          <w:szCs w:val="21"/>
        </w:rPr>
      </w:pPr>
      <w:r w:rsidRPr="00973028">
        <w:rPr>
          <w:rFonts w:ascii="Arial" w:hAnsi="Arial"/>
          <w:sz w:val="21"/>
          <w:szCs w:val="21"/>
        </w:rPr>
        <w:t>1. Las entidades públicas y las personas físicas o jurídicas privadas incluidas en el ámbito de actuación de la agencia deberán auxiliarla con celeridad y diligencia en el ejercicio de las funciones que le corresponden, y le comunicarán, de forma inmediata, cualquier información de que dispongan relativa a hechos cuyo conocimiento sea o pueda ser competencia de aquella.</w:t>
      </w:r>
    </w:p>
    <w:p w14:paraId="3E7834A4" w14:textId="41CB0092" w:rsidR="006B510A" w:rsidRPr="00973028" w:rsidRDefault="006B510A" w:rsidP="00C1460B">
      <w:pPr>
        <w:pStyle w:val="Standard"/>
        <w:spacing w:after="120" w:line="276" w:lineRule="auto"/>
        <w:ind w:left="567"/>
        <w:jc w:val="both"/>
        <w:rPr>
          <w:rFonts w:ascii="Arial" w:hAnsi="Arial"/>
          <w:sz w:val="21"/>
          <w:szCs w:val="21"/>
        </w:rPr>
      </w:pPr>
      <w:r w:rsidRPr="00973028">
        <w:rPr>
          <w:rFonts w:ascii="Arial" w:hAnsi="Arial"/>
          <w:sz w:val="21"/>
          <w:szCs w:val="21"/>
        </w:rPr>
        <w:t>2. El personal al servicio de las entidades públicas, los cargos públicos y los particulares incluidos en el ámbito de actuación de la agencia que impidan o dificulten el ejercicio de sus funciones o que se nieguen a facilitarle los informes, documentos o expedientes que les hayan sido requeridos, incurrirán en las responsabilidades que la legislación vigente establece.</w:t>
      </w:r>
    </w:p>
    <w:p w14:paraId="1A6F2127" w14:textId="23E1BA48" w:rsidR="006B510A" w:rsidRPr="00973028" w:rsidRDefault="006B510A" w:rsidP="00C1460B">
      <w:pPr>
        <w:pStyle w:val="Standard"/>
        <w:spacing w:after="240" w:line="276" w:lineRule="auto"/>
        <w:ind w:left="567"/>
        <w:jc w:val="both"/>
        <w:rPr>
          <w:rFonts w:ascii="Arial" w:hAnsi="Arial"/>
          <w:sz w:val="21"/>
          <w:szCs w:val="21"/>
        </w:rPr>
      </w:pPr>
      <w:r w:rsidRPr="00973028">
        <w:rPr>
          <w:rFonts w:ascii="Arial" w:hAnsi="Arial"/>
          <w:sz w:val="21"/>
          <w:szCs w:val="21"/>
        </w:rPr>
        <w:t>3. La agencia dejará constancia expresa del incumplimiento injustificado o de la contravención del deber de colaboración y lo comunicará a la persona, la autoridad o el órgano afectado, para que pueda alegar lo que considere conveniente. Asimismo, se podrá hacer constar esta circunstancia en la memoria anual de la agencia o en el informe extraordinario que se eleve a la comisión parlamentaria correspondiente, en su caso.”</w:t>
      </w:r>
    </w:p>
    <w:p w14:paraId="16DA40FF" w14:textId="78DB6ACF" w:rsidR="006B510A" w:rsidRPr="00973028" w:rsidRDefault="006B510A" w:rsidP="00C1460B">
      <w:pPr>
        <w:pStyle w:val="Default"/>
        <w:spacing w:after="240" w:line="276" w:lineRule="auto"/>
        <w:jc w:val="both"/>
        <w:rPr>
          <w:rFonts w:eastAsia="Times New Roman"/>
          <w:color w:val="auto"/>
          <w:sz w:val="21"/>
          <w:szCs w:val="21"/>
          <w:lang w:eastAsia="es-ES"/>
        </w:rPr>
      </w:pPr>
      <w:r w:rsidRPr="00973028">
        <w:rPr>
          <w:rFonts w:eastAsia="Times New Roman"/>
          <w:color w:val="auto"/>
          <w:sz w:val="21"/>
          <w:szCs w:val="21"/>
          <w:lang w:eastAsia="es-ES"/>
        </w:rPr>
        <w:t xml:space="preserve">Durante 2020 la Agencia ha realizado algunas actuaciones previas con la finalidad de </w:t>
      </w:r>
      <w:r w:rsidRPr="00973028">
        <w:rPr>
          <w:color w:val="auto"/>
          <w:sz w:val="21"/>
          <w:szCs w:val="21"/>
        </w:rPr>
        <w:t xml:space="preserve">determinar, con la mayor precisión posible, la identificación de posibles responsables, circunstancias relevantes para el caso y, en especial, si los hechos de forma individualizada </w:t>
      </w:r>
      <w:r w:rsidRPr="00973028">
        <w:rPr>
          <w:color w:val="auto"/>
          <w:sz w:val="21"/>
          <w:szCs w:val="21"/>
        </w:rPr>
        <w:lastRenderedPageBreak/>
        <w:t>serían susceptibles de motivar la incoación del procedimiento. No obstante, no se</w:t>
      </w:r>
      <w:r w:rsidRPr="00973028">
        <w:rPr>
          <w:rFonts w:eastAsia="Times New Roman"/>
          <w:color w:val="auto"/>
          <w:sz w:val="21"/>
          <w:szCs w:val="21"/>
          <w:lang w:eastAsia="es-ES"/>
        </w:rPr>
        <w:t xml:space="preserve"> ha incoado ningún procedimiento sancionador.</w:t>
      </w:r>
    </w:p>
    <w:p w14:paraId="5DD44D1C" w14:textId="4E8EB676" w:rsidR="006B510A" w:rsidRPr="00E973F1" w:rsidRDefault="006B510A" w:rsidP="00E973F1">
      <w:pPr>
        <w:pStyle w:val="Prrafodelista"/>
        <w:keepNext/>
        <w:numPr>
          <w:ilvl w:val="1"/>
          <w:numId w:val="25"/>
        </w:numPr>
        <w:spacing w:before="360" w:after="240" w:line="276" w:lineRule="auto"/>
        <w:ind w:left="851" w:hanging="851"/>
        <w:contextualSpacing w:val="0"/>
        <w:jc w:val="both"/>
        <w:outlineLvl w:val="1"/>
        <w:rPr>
          <w:rFonts w:ascii="Arial" w:eastAsia="Times New Roman" w:hAnsi="Arial" w:cs="Arial"/>
          <w:b/>
          <w:color w:val="9D2235" w:themeColor="accent1"/>
          <w:sz w:val="32"/>
          <w:szCs w:val="32"/>
        </w:rPr>
      </w:pPr>
      <w:bookmarkStart w:id="170" w:name="_Toc67646293"/>
      <w:r w:rsidRPr="00E973F1">
        <w:rPr>
          <w:rFonts w:ascii="Arial" w:eastAsia="Times New Roman" w:hAnsi="Arial" w:cs="Arial"/>
          <w:b/>
          <w:color w:val="9D2235" w:themeColor="accent1"/>
          <w:sz w:val="32"/>
          <w:szCs w:val="32"/>
        </w:rPr>
        <w:t>Convenios y otras colaboraciones</w:t>
      </w:r>
      <w:bookmarkEnd w:id="170"/>
    </w:p>
    <w:p w14:paraId="57D184BF" w14:textId="5E2CACDB"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Otra de las funciones atribuidas a la Dirección de Asuntos Jurídicos, conforme al artículo 21.1.h) del Reglamento de funcionamiento y régimen interior, es la tramitación de los convenios a suscribir por la Agencia, en colaboración con las propuestas, el impulso y el seguimiento de estos realizado por la unidad o unidades administrativas que corresponda en función de la materia. </w:t>
      </w:r>
    </w:p>
    <w:p w14:paraId="40A66982" w14:textId="72F02512" w:rsidR="006B510A" w:rsidRPr="00973028" w:rsidRDefault="006B510A" w:rsidP="00C1460B">
      <w:pPr>
        <w:spacing w:after="240" w:line="276" w:lineRule="auto"/>
        <w:jc w:val="both"/>
        <w:rPr>
          <w:rFonts w:ascii="Arial" w:eastAsia="NSimSun" w:hAnsi="Arial" w:cs="Arial"/>
          <w:color w:val="000000"/>
          <w:sz w:val="21"/>
          <w:szCs w:val="21"/>
        </w:rPr>
      </w:pPr>
      <w:r w:rsidRPr="00973028">
        <w:rPr>
          <w:rFonts w:ascii="Arial" w:eastAsia="Times New Roman" w:hAnsi="Arial" w:cs="Arial"/>
          <w:color w:val="000000"/>
          <w:sz w:val="21"/>
          <w:szCs w:val="21"/>
          <w:lang w:eastAsia="es-ES"/>
        </w:rPr>
        <w:t xml:space="preserve">Asimismo, la Dirección de Asuntos Jurídicos tiene adscrito el Registro de Convenios de la Agencia, en el que se inscriben los </w:t>
      </w:r>
      <w:r w:rsidRPr="00973028">
        <w:rPr>
          <w:rFonts w:ascii="Arial" w:eastAsia="NSimSun" w:hAnsi="Arial" w:cs="Arial"/>
          <w:color w:val="000000"/>
          <w:sz w:val="21"/>
          <w:szCs w:val="21"/>
        </w:rPr>
        <w:t>convenios suscritos, así como cualquier incidencia relativa a su interpretación, ejecución, modificación, prórroga, suspensión y extinción (artículo 87 del Reglamento).</w:t>
      </w:r>
    </w:p>
    <w:p w14:paraId="4B2A73FF" w14:textId="77777777"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Constan en dicho Registro los convenios firmados por la Dirección de la Agencia, encontrándose vigentes a 31 de diciembre de 2020 los que figuran en la tabla que se consigna a continuación:</w:t>
      </w:r>
    </w:p>
    <w:p w14:paraId="36B0DA53" w14:textId="77777777" w:rsidR="006B510A" w:rsidRPr="00973028" w:rsidRDefault="006B510A" w:rsidP="006B510A">
      <w:pPr>
        <w:spacing w:after="0" w:line="276" w:lineRule="auto"/>
        <w:jc w:val="both"/>
        <w:rPr>
          <w:rFonts w:ascii="Arial" w:eastAsia="Times New Roman" w:hAnsi="Arial" w:cs="Arial"/>
          <w:color w:val="000000"/>
          <w:sz w:val="21"/>
          <w:szCs w:val="21"/>
          <w:lang w:eastAsia="es-ES"/>
        </w:rPr>
      </w:pPr>
    </w:p>
    <w:p w14:paraId="3BF0B019" w14:textId="44E8D54D" w:rsidR="001D30AE" w:rsidRPr="00973028" w:rsidRDefault="001D30AE" w:rsidP="001D30AE">
      <w:pPr>
        <w:pStyle w:val="Descripcin"/>
        <w:keepNext/>
        <w:rPr>
          <w:rFonts w:ascii="Arial" w:hAnsi="Arial" w:cs="Arial"/>
          <w:smallCaps w:val="0"/>
          <w:sz w:val="18"/>
        </w:rPr>
      </w:pPr>
      <w:bookmarkStart w:id="171" w:name="_Toc67646352"/>
      <w:r w:rsidRPr="00973028">
        <w:rPr>
          <w:rFonts w:ascii="Arial" w:hAnsi="Arial" w:cs="Arial"/>
          <w:smallCaps w:val="0"/>
          <w:color w:val="9D2235" w:themeColor="accent1"/>
          <w:sz w:val="18"/>
        </w:rPr>
        <w:t xml:space="preserve">Tabla </w:t>
      </w:r>
      <w:r w:rsidRPr="00973028">
        <w:rPr>
          <w:rFonts w:ascii="Arial" w:hAnsi="Arial" w:cs="Arial"/>
          <w:smallCaps w:val="0"/>
          <w:color w:val="9D2235" w:themeColor="accent1"/>
          <w:sz w:val="18"/>
        </w:rPr>
        <w:fldChar w:fldCharType="begin"/>
      </w:r>
      <w:r w:rsidRPr="00973028">
        <w:rPr>
          <w:rFonts w:ascii="Arial" w:hAnsi="Arial" w:cs="Arial"/>
          <w:smallCaps w:val="0"/>
          <w:color w:val="9D2235" w:themeColor="accent1"/>
          <w:sz w:val="18"/>
        </w:rPr>
        <w:instrText xml:space="preserve"> SEQ Tabla \* ARABIC </w:instrText>
      </w:r>
      <w:r w:rsidRPr="00973028">
        <w:rPr>
          <w:rFonts w:ascii="Arial" w:hAnsi="Arial" w:cs="Arial"/>
          <w:smallCaps w:val="0"/>
          <w:color w:val="9D2235" w:themeColor="accent1"/>
          <w:sz w:val="18"/>
        </w:rPr>
        <w:fldChar w:fldCharType="separate"/>
      </w:r>
      <w:r w:rsidR="00ED7F0D">
        <w:rPr>
          <w:rFonts w:ascii="Arial" w:hAnsi="Arial" w:cs="Arial"/>
          <w:smallCaps w:val="0"/>
          <w:noProof/>
          <w:color w:val="9D2235" w:themeColor="accent1"/>
          <w:sz w:val="18"/>
        </w:rPr>
        <w:t>15</w:t>
      </w:r>
      <w:r w:rsidRPr="00973028">
        <w:rPr>
          <w:rFonts w:ascii="Arial" w:hAnsi="Arial" w:cs="Arial"/>
          <w:smallCaps w:val="0"/>
          <w:color w:val="9D2235" w:themeColor="accent1"/>
          <w:sz w:val="18"/>
        </w:rPr>
        <w:fldChar w:fldCharType="end"/>
      </w:r>
      <w:r w:rsidR="00B00F7A">
        <w:rPr>
          <w:rFonts w:ascii="Arial" w:hAnsi="Arial" w:cs="Arial"/>
          <w:smallCaps w:val="0"/>
          <w:color w:val="9D2235" w:themeColor="accent1"/>
          <w:sz w:val="18"/>
        </w:rPr>
        <w:t>.</w:t>
      </w:r>
      <w:r w:rsidRPr="00973028">
        <w:rPr>
          <w:rFonts w:ascii="Arial" w:hAnsi="Arial" w:cs="Arial"/>
          <w:smallCaps w:val="0"/>
          <w:color w:val="9D2235" w:themeColor="accent1"/>
          <w:sz w:val="18"/>
        </w:rPr>
        <w:t xml:space="preserve"> </w:t>
      </w:r>
      <w:r w:rsidRPr="00973028">
        <w:rPr>
          <w:rFonts w:ascii="Arial" w:hAnsi="Arial" w:cs="Arial"/>
          <w:smallCaps w:val="0"/>
          <w:sz w:val="18"/>
        </w:rPr>
        <w:t>Convenios vigentes a 31 de diciembre de 2020</w:t>
      </w:r>
      <w:bookmarkEnd w:id="171"/>
    </w:p>
    <w:tbl>
      <w:tblPr>
        <w:tblStyle w:val="Tablanormal2"/>
        <w:tblW w:w="0" w:type="auto"/>
        <w:tblBorders>
          <w:top w:val="none" w:sz="0" w:space="0" w:color="auto"/>
          <w:insideH w:val="single" w:sz="4" w:space="0" w:color="7F7F7F" w:themeColor="text1" w:themeTint="80"/>
        </w:tblBorders>
        <w:tblLook w:val="04A0" w:firstRow="1" w:lastRow="0" w:firstColumn="1" w:lastColumn="0" w:noHBand="0" w:noVBand="1"/>
      </w:tblPr>
      <w:tblGrid>
        <w:gridCol w:w="719"/>
        <w:gridCol w:w="1426"/>
        <w:gridCol w:w="922"/>
        <w:gridCol w:w="2024"/>
        <w:gridCol w:w="1121"/>
        <w:gridCol w:w="1410"/>
        <w:gridCol w:w="882"/>
      </w:tblGrid>
      <w:tr w:rsidR="006B510A" w:rsidRPr="00973028" w14:paraId="56455478" w14:textId="77777777" w:rsidTr="00FD7950">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2" w:space="0" w:color="9D2235" w:themeColor="accent1"/>
            </w:tcBorders>
            <w:shd w:val="clear" w:color="auto" w:fill="auto"/>
            <w:hideMark/>
          </w:tcPr>
          <w:p w14:paraId="39B47014" w14:textId="77777777" w:rsidR="006B510A" w:rsidRPr="00973028" w:rsidRDefault="006B510A" w:rsidP="006B510A">
            <w:pPr>
              <w:spacing w:after="120"/>
              <w:jc w:val="center"/>
              <w:rPr>
                <w:rFonts w:ascii="Liberation Sans1" w:eastAsia="Times New Roman" w:hAnsi="Liberation Sans1" w:cs="Times New Roman"/>
                <w:color w:val="9D2235" w:themeColor="accent1"/>
                <w:sz w:val="12"/>
                <w:szCs w:val="12"/>
                <w:lang w:eastAsia="es-ES"/>
              </w:rPr>
            </w:pPr>
            <w:r w:rsidRPr="00973028">
              <w:rPr>
                <w:rFonts w:ascii="Arial" w:eastAsia="Times New Roman" w:hAnsi="Arial"/>
                <w:color w:val="9D2235" w:themeColor="accent1"/>
                <w:sz w:val="12"/>
                <w:szCs w:val="12"/>
                <w:lang w:eastAsia="es-ES"/>
              </w:rPr>
              <w:t>Núm. Reg/año</w:t>
            </w:r>
          </w:p>
        </w:tc>
        <w:tc>
          <w:tcPr>
            <w:tcW w:w="0" w:type="auto"/>
            <w:tcBorders>
              <w:top w:val="nil"/>
              <w:bottom w:val="single" w:sz="12" w:space="0" w:color="9D2235" w:themeColor="accent1"/>
            </w:tcBorders>
            <w:shd w:val="clear" w:color="auto" w:fill="auto"/>
            <w:hideMark/>
          </w:tcPr>
          <w:p w14:paraId="5A3C8582" w14:textId="77777777" w:rsidR="006B510A" w:rsidRPr="00973028" w:rsidRDefault="006B510A" w:rsidP="006B510A">
            <w:pPr>
              <w:spacing w:after="120"/>
              <w:jc w:val="center"/>
              <w:cnfStyle w:val="100000000000" w:firstRow="1" w:lastRow="0" w:firstColumn="0" w:lastColumn="0" w:oddVBand="0" w:evenVBand="0" w:oddHBand="0" w:evenHBand="0" w:firstRowFirstColumn="0" w:firstRowLastColumn="0" w:lastRowFirstColumn="0" w:lastRowLastColumn="0"/>
              <w:rPr>
                <w:rFonts w:ascii="Liberation Sans1" w:eastAsia="Times New Roman" w:hAnsi="Liberation Sans1" w:cs="Times New Roman"/>
                <w:color w:val="9D2235" w:themeColor="accent1"/>
                <w:sz w:val="12"/>
                <w:szCs w:val="12"/>
                <w:lang w:eastAsia="es-ES"/>
              </w:rPr>
            </w:pPr>
            <w:r w:rsidRPr="00973028">
              <w:rPr>
                <w:rFonts w:ascii="Arial" w:eastAsia="Times New Roman" w:hAnsi="Arial"/>
                <w:color w:val="9D2235" w:themeColor="accent1"/>
                <w:sz w:val="12"/>
                <w:szCs w:val="12"/>
                <w:lang w:eastAsia="es-ES"/>
              </w:rPr>
              <w:t>Título</w:t>
            </w:r>
          </w:p>
        </w:tc>
        <w:tc>
          <w:tcPr>
            <w:tcW w:w="0" w:type="auto"/>
            <w:tcBorders>
              <w:top w:val="nil"/>
              <w:bottom w:val="single" w:sz="12" w:space="0" w:color="9D2235" w:themeColor="accent1"/>
            </w:tcBorders>
            <w:shd w:val="clear" w:color="auto" w:fill="auto"/>
            <w:hideMark/>
          </w:tcPr>
          <w:p w14:paraId="5EDAA8B0" w14:textId="77777777" w:rsidR="006B510A" w:rsidRPr="00973028" w:rsidRDefault="006B510A" w:rsidP="006B510A">
            <w:pPr>
              <w:spacing w:after="120"/>
              <w:jc w:val="center"/>
              <w:cnfStyle w:val="100000000000" w:firstRow="1" w:lastRow="0" w:firstColumn="0" w:lastColumn="0" w:oddVBand="0" w:evenVBand="0" w:oddHBand="0" w:evenHBand="0" w:firstRowFirstColumn="0" w:firstRowLastColumn="0" w:lastRowFirstColumn="0" w:lastRowLastColumn="0"/>
              <w:rPr>
                <w:rFonts w:ascii="Liberation Sans1" w:eastAsia="Times New Roman" w:hAnsi="Liberation Sans1" w:cs="Times New Roman"/>
                <w:color w:val="9D2235" w:themeColor="accent1"/>
                <w:sz w:val="12"/>
                <w:szCs w:val="12"/>
                <w:lang w:eastAsia="es-ES"/>
              </w:rPr>
            </w:pPr>
            <w:r w:rsidRPr="00973028">
              <w:rPr>
                <w:rFonts w:ascii="Arial" w:eastAsia="Times New Roman" w:hAnsi="Arial"/>
                <w:color w:val="9D2235" w:themeColor="accent1"/>
                <w:sz w:val="12"/>
                <w:szCs w:val="12"/>
                <w:lang w:eastAsia="es-ES"/>
              </w:rPr>
              <w:t>Fecha suscripción</w:t>
            </w:r>
          </w:p>
        </w:tc>
        <w:tc>
          <w:tcPr>
            <w:tcW w:w="0" w:type="auto"/>
            <w:tcBorders>
              <w:top w:val="nil"/>
              <w:bottom w:val="single" w:sz="12" w:space="0" w:color="9D2235" w:themeColor="accent1"/>
            </w:tcBorders>
            <w:shd w:val="clear" w:color="auto" w:fill="auto"/>
            <w:hideMark/>
          </w:tcPr>
          <w:p w14:paraId="05864753" w14:textId="77777777" w:rsidR="006B510A" w:rsidRPr="00973028" w:rsidRDefault="006B510A" w:rsidP="006B510A">
            <w:pPr>
              <w:spacing w:after="120"/>
              <w:jc w:val="center"/>
              <w:cnfStyle w:val="100000000000" w:firstRow="1" w:lastRow="0" w:firstColumn="0" w:lastColumn="0" w:oddVBand="0" w:evenVBand="0" w:oddHBand="0" w:evenHBand="0" w:firstRowFirstColumn="0" w:firstRowLastColumn="0" w:lastRowFirstColumn="0" w:lastRowLastColumn="0"/>
              <w:rPr>
                <w:rFonts w:ascii="Liberation Sans1" w:eastAsia="Times New Roman" w:hAnsi="Liberation Sans1" w:cs="Times New Roman"/>
                <w:color w:val="9D2235" w:themeColor="accent1"/>
                <w:sz w:val="12"/>
                <w:szCs w:val="12"/>
                <w:lang w:eastAsia="es-ES"/>
              </w:rPr>
            </w:pPr>
            <w:r w:rsidRPr="00973028">
              <w:rPr>
                <w:rFonts w:ascii="Arial" w:eastAsia="Times New Roman" w:hAnsi="Arial"/>
                <w:color w:val="9D2235" w:themeColor="accent1"/>
                <w:sz w:val="12"/>
                <w:szCs w:val="12"/>
                <w:lang w:eastAsia="es-ES"/>
              </w:rPr>
              <w:t>Objeto convenio</w:t>
            </w:r>
          </w:p>
        </w:tc>
        <w:tc>
          <w:tcPr>
            <w:tcW w:w="0" w:type="auto"/>
            <w:tcBorders>
              <w:top w:val="nil"/>
              <w:bottom w:val="single" w:sz="12" w:space="0" w:color="9D2235" w:themeColor="accent1"/>
            </w:tcBorders>
            <w:shd w:val="clear" w:color="auto" w:fill="auto"/>
            <w:hideMark/>
          </w:tcPr>
          <w:p w14:paraId="0B6AF766" w14:textId="77777777" w:rsidR="006B510A" w:rsidRPr="00973028" w:rsidRDefault="006B510A" w:rsidP="006B510A">
            <w:pPr>
              <w:spacing w:after="120"/>
              <w:jc w:val="center"/>
              <w:cnfStyle w:val="100000000000" w:firstRow="1" w:lastRow="0" w:firstColumn="0" w:lastColumn="0" w:oddVBand="0" w:evenVBand="0" w:oddHBand="0" w:evenHBand="0" w:firstRowFirstColumn="0" w:firstRowLastColumn="0" w:lastRowFirstColumn="0" w:lastRowLastColumn="0"/>
              <w:rPr>
                <w:rFonts w:ascii="Liberation Sans1" w:eastAsia="Times New Roman" w:hAnsi="Liberation Sans1" w:cs="Times New Roman"/>
                <w:color w:val="9D2235" w:themeColor="accent1"/>
                <w:sz w:val="12"/>
                <w:szCs w:val="12"/>
                <w:lang w:eastAsia="es-ES"/>
              </w:rPr>
            </w:pPr>
            <w:r w:rsidRPr="00973028">
              <w:rPr>
                <w:rFonts w:ascii="Arial" w:eastAsia="Times New Roman" w:hAnsi="Arial"/>
                <w:color w:val="9D2235" w:themeColor="accent1"/>
                <w:sz w:val="12"/>
                <w:szCs w:val="12"/>
                <w:lang w:eastAsia="es-ES"/>
              </w:rPr>
              <w:t>Financiación</w:t>
            </w:r>
          </w:p>
        </w:tc>
        <w:tc>
          <w:tcPr>
            <w:tcW w:w="0" w:type="auto"/>
            <w:tcBorders>
              <w:top w:val="nil"/>
              <w:bottom w:val="single" w:sz="12" w:space="0" w:color="9D2235" w:themeColor="accent1"/>
            </w:tcBorders>
            <w:shd w:val="clear" w:color="auto" w:fill="auto"/>
            <w:hideMark/>
          </w:tcPr>
          <w:p w14:paraId="21A1B908" w14:textId="77777777" w:rsidR="006B510A" w:rsidRPr="00973028" w:rsidRDefault="006B510A" w:rsidP="006B510A">
            <w:pPr>
              <w:spacing w:after="120"/>
              <w:jc w:val="center"/>
              <w:cnfStyle w:val="100000000000" w:firstRow="1" w:lastRow="0" w:firstColumn="0" w:lastColumn="0" w:oddVBand="0" w:evenVBand="0" w:oddHBand="0" w:evenHBand="0" w:firstRowFirstColumn="0" w:firstRowLastColumn="0" w:lastRowFirstColumn="0" w:lastRowLastColumn="0"/>
              <w:rPr>
                <w:rFonts w:ascii="Liberation Sans1" w:eastAsia="Times New Roman" w:hAnsi="Liberation Sans1" w:cs="Times New Roman"/>
                <w:color w:val="9D2235" w:themeColor="accent1"/>
                <w:sz w:val="12"/>
                <w:szCs w:val="12"/>
                <w:lang w:eastAsia="es-ES"/>
              </w:rPr>
            </w:pPr>
            <w:r w:rsidRPr="00973028">
              <w:rPr>
                <w:rFonts w:ascii="Arial" w:eastAsia="Times New Roman" w:hAnsi="Arial"/>
                <w:color w:val="9D2235" w:themeColor="accent1"/>
                <w:sz w:val="12"/>
                <w:szCs w:val="12"/>
                <w:lang w:eastAsia="es-ES"/>
              </w:rPr>
              <w:t>Plazo y tipo vigencia</w:t>
            </w:r>
          </w:p>
        </w:tc>
        <w:tc>
          <w:tcPr>
            <w:tcW w:w="0" w:type="auto"/>
            <w:tcBorders>
              <w:top w:val="nil"/>
              <w:bottom w:val="single" w:sz="12" w:space="0" w:color="9D2235" w:themeColor="accent1"/>
            </w:tcBorders>
            <w:shd w:val="clear" w:color="auto" w:fill="auto"/>
            <w:hideMark/>
          </w:tcPr>
          <w:p w14:paraId="54442B7E" w14:textId="77777777" w:rsidR="006B510A" w:rsidRPr="00973028" w:rsidRDefault="006B510A" w:rsidP="006B510A">
            <w:pPr>
              <w:spacing w:after="120"/>
              <w:jc w:val="center"/>
              <w:cnfStyle w:val="100000000000" w:firstRow="1" w:lastRow="0" w:firstColumn="0" w:lastColumn="0" w:oddVBand="0" w:evenVBand="0" w:oddHBand="0" w:evenHBand="0" w:firstRowFirstColumn="0" w:firstRowLastColumn="0" w:lastRowFirstColumn="0" w:lastRowLastColumn="0"/>
              <w:rPr>
                <w:rFonts w:ascii="Liberation Sans1" w:eastAsia="Times New Roman" w:hAnsi="Liberation Sans1" w:cs="Times New Roman"/>
                <w:color w:val="9D2235" w:themeColor="accent1"/>
                <w:sz w:val="12"/>
                <w:szCs w:val="12"/>
                <w:lang w:eastAsia="es-ES"/>
              </w:rPr>
            </w:pPr>
            <w:r w:rsidRPr="00973028">
              <w:rPr>
                <w:rFonts w:ascii="Arial" w:eastAsia="Times New Roman" w:hAnsi="Arial"/>
                <w:color w:val="9D2235" w:themeColor="accent1"/>
                <w:sz w:val="12"/>
                <w:szCs w:val="12"/>
                <w:lang w:eastAsia="es-ES"/>
              </w:rPr>
              <w:t>Estado de vigencia</w:t>
            </w:r>
          </w:p>
        </w:tc>
      </w:tr>
      <w:tr w:rsidR="006B510A" w:rsidRPr="00973028" w14:paraId="69F37D9C" w14:textId="77777777" w:rsidTr="001D30A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9D2235" w:themeColor="accent1"/>
              <w:bottom w:val="nil"/>
            </w:tcBorders>
            <w:hideMark/>
          </w:tcPr>
          <w:p w14:paraId="3CC65550" w14:textId="77777777" w:rsidR="006B510A" w:rsidRPr="00973028" w:rsidRDefault="006B510A" w:rsidP="006B510A">
            <w:pPr>
              <w:spacing w:after="120"/>
              <w:jc w:val="center"/>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1/2018</w:t>
            </w:r>
          </w:p>
        </w:tc>
        <w:tc>
          <w:tcPr>
            <w:tcW w:w="0" w:type="auto"/>
            <w:tcBorders>
              <w:top w:val="single" w:sz="12" w:space="0" w:color="9D2235" w:themeColor="accent1"/>
              <w:bottom w:val="nil"/>
            </w:tcBorders>
            <w:hideMark/>
          </w:tcPr>
          <w:p w14:paraId="1FC3B01C" w14:textId="77777777" w:rsidR="006B510A" w:rsidRPr="00973028" w:rsidRDefault="006B510A" w:rsidP="006B510A">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b/>
                <w:bCs/>
                <w:color w:val="000000"/>
                <w:sz w:val="12"/>
                <w:szCs w:val="12"/>
                <w:lang w:eastAsia="es-ES"/>
              </w:rPr>
              <w:t>Convenio marco</w:t>
            </w:r>
            <w:r w:rsidRPr="00973028">
              <w:rPr>
                <w:rFonts w:ascii="Arial" w:eastAsia="Times New Roman" w:hAnsi="Arial"/>
                <w:color w:val="000000"/>
                <w:sz w:val="12"/>
                <w:szCs w:val="12"/>
                <w:lang w:eastAsia="es-ES"/>
              </w:rPr>
              <w:t xml:space="preserve"> entre la Oficina Antifraude de Cataluña y la AVAF</w:t>
            </w:r>
          </w:p>
        </w:tc>
        <w:tc>
          <w:tcPr>
            <w:tcW w:w="0" w:type="auto"/>
            <w:tcBorders>
              <w:top w:val="single" w:sz="12" w:space="0" w:color="9D2235" w:themeColor="accent1"/>
              <w:bottom w:val="nil"/>
            </w:tcBorders>
            <w:hideMark/>
          </w:tcPr>
          <w:p w14:paraId="3147F80A"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21/03/2018</w:t>
            </w:r>
          </w:p>
        </w:tc>
        <w:tc>
          <w:tcPr>
            <w:tcW w:w="0" w:type="auto"/>
            <w:tcBorders>
              <w:top w:val="single" w:sz="12" w:space="0" w:color="9D2235" w:themeColor="accent1"/>
              <w:bottom w:val="nil"/>
            </w:tcBorders>
            <w:hideMark/>
          </w:tcPr>
          <w:p w14:paraId="3103779E" w14:textId="77777777" w:rsidR="006B510A" w:rsidRPr="00973028" w:rsidRDefault="006B510A" w:rsidP="006B510A">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Establecer un marco estable de comunicación y colaboración entre la OAC y la AVAF que permita alcanzar un conjunto de objetivos de interés común</w:t>
            </w:r>
          </w:p>
        </w:tc>
        <w:tc>
          <w:tcPr>
            <w:tcW w:w="0" w:type="auto"/>
            <w:tcBorders>
              <w:top w:val="single" w:sz="12" w:space="0" w:color="9D2235" w:themeColor="accent1"/>
              <w:bottom w:val="nil"/>
            </w:tcBorders>
            <w:hideMark/>
          </w:tcPr>
          <w:p w14:paraId="6D10B606"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Sin obligaciones económicas</w:t>
            </w:r>
          </w:p>
        </w:tc>
        <w:tc>
          <w:tcPr>
            <w:tcW w:w="0" w:type="auto"/>
            <w:tcBorders>
              <w:top w:val="single" w:sz="12" w:space="0" w:color="9D2235" w:themeColor="accent1"/>
              <w:bottom w:val="nil"/>
            </w:tcBorders>
            <w:hideMark/>
          </w:tcPr>
          <w:p w14:paraId="3523E4EA"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4 años, con posibilidad de prórroga</w:t>
            </w:r>
          </w:p>
        </w:tc>
        <w:tc>
          <w:tcPr>
            <w:tcW w:w="0" w:type="auto"/>
            <w:tcBorders>
              <w:top w:val="single" w:sz="12" w:space="0" w:color="9D2235" w:themeColor="accent1"/>
              <w:bottom w:val="nil"/>
            </w:tcBorders>
            <w:hideMark/>
          </w:tcPr>
          <w:p w14:paraId="3D11ABAA"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sz w:val="12"/>
                <w:szCs w:val="12"/>
                <w:lang w:eastAsia="es-ES"/>
              </w:rPr>
              <w:t>Vigente hasta 21/03/2022</w:t>
            </w:r>
          </w:p>
        </w:tc>
      </w:tr>
      <w:tr w:rsidR="006B510A" w:rsidRPr="00973028" w14:paraId="545FE300" w14:textId="77777777" w:rsidTr="001D30AE">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2F2F2" w:themeFill="background1" w:themeFillShade="F2"/>
            <w:hideMark/>
          </w:tcPr>
          <w:p w14:paraId="3D26B63E" w14:textId="77777777" w:rsidR="006B510A" w:rsidRPr="00973028" w:rsidRDefault="006B510A" w:rsidP="006B510A">
            <w:pPr>
              <w:spacing w:after="120"/>
              <w:jc w:val="center"/>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2/2018</w:t>
            </w:r>
          </w:p>
        </w:tc>
        <w:tc>
          <w:tcPr>
            <w:tcW w:w="0" w:type="auto"/>
            <w:tcBorders>
              <w:top w:val="nil"/>
              <w:bottom w:val="nil"/>
            </w:tcBorders>
            <w:shd w:val="clear" w:color="auto" w:fill="F2F2F2" w:themeFill="background1" w:themeFillShade="F2"/>
            <w:hideMark/>
          </w:tcPr>
          <w:p w14:paraId="112A49EF" w14:textId="77777777" w:rsidR="006B510A" w:rsidRPr="00973028" w:rsidRDefault="006B510A" w:rsidP="006B510A">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b/>
                <w:bCs/>
                <w:color w:val="00000A"/>
                <w:sz w:val="12"/>
                <w:szCs w:val="12"/>
                <w:lang w:eastAsia="es-ES"/>
              </w:rPr>
              <w:t>Convenio marco</w:t>
            </w:r>
            <w:r w:rsidRPr="00973028">
              <w:rPr>
                <w:rFonts w:ascii="Arial" w:eastAsia="Times New Roman" w:hAnsi="Arial"/>
                <w:color w:val="00000A"/>
                <w:sz w:val="12"/>
                <w:szCs w:val="12"/>
                <w:lang w:eastAsia="es-ES"/>
              </w:rPr>
              <w:t xml:space="preserve"> entre el Ayuntamiento de Barcelona y la AVAF</w:t>
            </w:r>
          </w:p>
        </w:tc>
        <w:tc>
          <w:tcPr>
            <w:tcW w:w="0" w:type="auto"/>
            <w:tcBorders>
              <w:top w:val="nil"/>
              <w:bottom w:val="nil"/>
            </w:tcBorders>
            <w:shd w:val="clear" w:color="auto" w:fill="F2F2F2" w:themeFill="background1" w:themeFillShade="F2"/>
            <w:hideMark/>
          </w:tcPr>
          <w:p w14:paraId="1E630E66"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21/09/2018</w:t>
            </w:r>
          </w:p>
        </w:tc>
        <w:tc>
          <w:tcPr>
            <w:tcW w:w="0" w:type="auto"/>
            <w:tcBorders>
              <w:top w:val="nil"/>
              <w:bottom w:val="nil"/>
            </w:tcBorders>
            <w:shd w:val="clear" w:color="auto" w:fill="F2F2F2" w:themeFill="background1" w:themeFillShade="F2"/>
            <w:hideMark/>
          </w:tcPr>
          <w:p w14:paraId="592C17D9" w14:textId="77777777" w:rsidR="006B510A" w:rsidRPr="00973028" w:rsidRDefault="006B510A" w:rsidP="006B510A">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Establecer un marco estable de comunicación entre las partes, que permita el cumplimiento de los objetivos respectivos y la eficiencia en la utilización de los recursos públicos, y mejorar el servicio que se presta a la ciudadanía.</w:t>
            </w:r>
          </w:p>
        </w:tc>
        <w:tc>
          <w:tcPr>
            <w:tcW w:w="0" w:type="auto"/>
            <w:tcBorders>
              <w:top w:val="nil"/>
              <w:bottom w:val="nil"/>
            </w:tcBorders>
            <w:shd w:val="clear" w:color="auto" w:fill="F2F2F2" w:themeFill="background1" w:themeFillShade="F2"/>
            <w:hideMark/>
          </w:tcPr>
          <w:p w14:paraId="0B9BD3E6"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Sin obligaciones económicas</w:t>
            </w:r>
          </w:p>
        </w:tc>
        <w:tc>
          <w:tcPr>
            <w:tcW w:w="0" w:type="auto"/>
            <w:tcBorders>
              <w:top w:val="nil"/>
              <w:bottom w:val="nil"/>
            </w:tcBorders>
            <w:shd w:val="clear" w:color="auto" w:fill="F2F2F2" w:themeFill="background1" w:themeFillShade="F2"/>
            <w:hideMark/>
          </w:tcPr>
          <w:p w14:paraId="741CDFE4"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4 años, con posibilidad de prórroga</w:t>
            </w:r>
          </w:p>
        </w:tc>
        <w:tc>
          <w:tcPr>
            <w:tcW w:w="0" w:type="auto"/>
            <w:tcBorders>
              <w:top w:val="nil"/>
              <w:bottom w:val="nil"/>
            </w:tcBorders>
            <w:shd w:val="clear" w:color="auto" w:fill="F2F2F2" w:themeFill="background1" w:themeFillShade="F2"/>
            <w:hideMark/>
          </w:tcPr>
          <w:p w14:paraId="12C616A8"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sz w:val="12"/>
                <w:szCs w:val="12"/>
                <w:lang w:eastAsia="es-ES"/>
              </w:rPr>
              <w:t>Vigente hasta 21/09/2022</w:t>
            </w:r>
          </w:p>
        </w:tc>
      </w:tr>
      <w:tr w:rsidR="006B510A" w:rsidRPr="00973028" w14:paraId="797182F5" w14:textId="77777777" w:rsidTr="001D30A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7D946B23" w14:textId="77777777" w:rsidR="006B510A" w:rsidRPr="00973028" w:rsidRDefault="006B510A" w:rsidP="006B510A">
            <w:pPr>
              <w:spacing w:after="120"/>
              <w:jc w:val="center"/>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3/2018</w:t>
            </w:r>
          </w:p>
        </w:tc>
        <w:tc>
          <w:tcPr>
            <w:tcW w:w="0" w:type="auto"/>
            <w:tcBorders>
              <w:top w:val="nil"/>
              <w:bottom w:val="nil"/>
            </w:tcBorders>
            <w:hideMark/>
          </w:tcPr>
          <w:p w14:paraId="41DF0C62" w14:textId="77777777" w:rsidR="006B510A" w:rsidRPr="00973028" w:rsidRDefault="006B510A" w:rsidP="006B510A">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b/>
                <w:bCs/>
                <w:color w:val="000000"/>
                <w:sz w:val="12"/>
                <w:szCs w:val="12"/>
                <w:lang w:eastAsia="es-ES"/>
              </w:rPr>
              <w:t>Convenio marco</w:t>
            </w:r>
            <w:r w:rsidRPr="00973028">
              <w:rPr>
                <w:rFonts w:ascii="Arial" w:eastAsia="Times New Roman" w:hAnsi="Arial"/>
                <w:color w:val="000000"/>
                <w:sz w:val="12"/>
                <w:szCs w:val="12"/>
                <w:lang w:eastAsia="es-ES"/>
              </w:rPr>
              <w:t xml:space="preserve"> entre la AVAF y la Oficina de Prevención y Lucha contra la Corrupción de les Illes Balears</w:t>
            </w:r>
          </w:p>
        </w:tc>
        <w:tc>
          <w:tcPr>
            <w:tcW w:w="0" w:type="auto"/>
            <w:tcBorders>
              <w:top w:val="nil"/>
              <w:bottom w:val="nil"/>
            </w:tcBorders>
            <w:hideMark/>
          </w:tcPr>
          <w:p w14:paraId="24EAF062"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29/06/2018</w:t>
            </w:r>
          </w:p>
        </w:tc>
        <w:tc>
          <w:tcPr>
            <w:tcW w:w="0" w:type="auto"/>
            <w:tcBorders>
              <w:top w:val="nil"/>
              <w:bottom w:val="nil"/>
            </w:tcBorders>
            <w:hideMark/>
          </w:tcPr>
          <w:p w14:paraId="64149ED7" w14:textId="77777777" w:rsidR="006B510A" w:rsidRPr="00973028" w:rsidRDefault="006B510A" w:rsidP="006B510A">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Establecer un marco estable de comunicación y colaboración entre la AVAF y la Oficina de Prevención y Lucha contra la Corrupción de les Illes Balears</w:t>
            </w:r>
          </w:p>
        </w:tc>
        <w:tc>
          <w:tcPr>
            <w:tcW w:w="0" w:type="auto"/>
            <w:tcBorders>
              <w:top w:val="nil"/>
              <w:bottom w:val="nil"/>
            </w:tcBorders>
            <w:hideMark/>
          </w:tcPr>
          <w:p w14:paraId="061E83A3"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Sin obligaciones económicas</w:t>
            </w:r>
          </w:p>
        </w:tc>
        <w:tc>
          <w:tcPr>
            <w:tcW w:w="0" w:type="auto"/>
            <w:tcBorders>
              <w:top w:val="nil"/>
              <w:bottom w:val="nil"/>
            </w:tcBorders>
            <w:hideMark/>
          </w:tcPr>
          <w:p w14:paraId="5BACBC69"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4 años, con posibilidad de prórroga</w:t>
            </w:r>
          </w:p>
        </w:tc>
        <w:tc>
          <w:tcPr>
            <w:tcW w:w="0" w:type="auto"/>
            <w:tcBorders>
              <w:top w:val="nil"/>
              <w:bottom w:val="nil"/>
            </w:tcBorders>
            <w:hideMark/>
          </w:tcPr>
          <w:p w14:paraId="0CC4EAD4"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sz w:val="12"/>
                <w:szCs w:val="12"/>
                <w:lang w:eastAsia="es-ES"/>
              </w:rPr>
              <w:t>Vigente hasta 29/06/2022</w:t>
            </w:r>
          </w:p>
        </w:tc>
      </w:tr>
      <w:tr w:rsidR="006B510A" w:rsidRPr="00973028" w14:paraId="2EE8FBB7" w14:textId="77777777" w:rsidTr="001D30AE">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2F2F2" w:themeFill="background1" w:themeFillShade="F2"/>
            <w:hideMark/>
          </w:tcPr>
          <w:p w14:paraId="12B9D6D6" w14:textId="77777777" w:rsidR="006B510A" w:rsidRPr="00973028" w:rsidRDefault="006B510A" w:rsidP="006B510A">
            <w:pPr>
              <w:spacing w:after="120"/>
              <w:jc w:val="center"/>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1/2019</w:t>
            </w:r>
          </w:p>
        </w:tc>
        <w:tc>
          <w:tcPr>
            <w:tcW w:w="0" w:type="auto"/>
            <w:tcBorders>
              <w:top w:val="nil"/>
              <w:bottom w:val="nil"/>
            </w:tcBorders>
            <w:shd w:val="clear" w:color="auto" w:fill="F2F2F2" w:themeFill="background1" w:themeFillShade="F2"/>
            <w:hideMark/>
          </w:tcPr>
          <w:p w14:paraId="7E737D85" w14:textId="77777777" w:rsidR="006B510A" w:rsidRPr="00973028" w:rsidRDefault="006B510A" w:rsidP="006B510A">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b/>
                <w:bCs/>
                <w:color w:val="000000"/>
                <w:sz w:val="12"/>
                <w:szCs w:val="12"/>
                <w:lang w:eastAsia="es-ES"/>
              </w:rPr>
              <w:t>Convenio marco</w:t>
            </w:r>
            <w:r w:rsidRPr="00973028">
              <w:rPr>
                <w:rFonts w:ascii="Arial" w:eastAsia="Times New Roman" w:hAnsi="Arial"/>
                <w:color w:val="000000"/>
                <w:sz w:val="12"/>
                <w:szCs w:val="12"/>
                <w:lang w:eastAsia="es-ES"/>
              </w:rPr>
              <w:t xml:space="preserve"> entre la AVAF y la Asociación Tactical Whistleblower </w:t>
            </w:r>
          </w:p>
        </w:tc>
        <w:tc>
          <w:tcPr>
            <w:tcW w:w="0" w:type="auto"/>
            <w:tcBorders>
              <w:top w:val="nil"/>
              <w:bottom w:val="nil"/>
            </w:tcBorders>
            <w:shd w:val="clear" w:color="auto" w:fill="F2F2F2" w:themeFill="background1" w:themeFillShade="F2"/>
            <w:hideMark/>
          </w:tcPr>
          <w:p w14:paraId="2FA356D8"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09/07/2019</w:t>
            </w:r>
          </w:p>
        </w:tc>
        <w:tc>
          <w:tcPr>
            <w:tcW w:w="0" w:type="auto"/>
            <w:tcBorders>
              <w:top w:val="nil"/>
              <w:bottom w:val="nil"/>
            </w:tcBorders>
            <w:shd w:val="clear" w:color="auto" w:fill="F2F2F2" w:themeFill="background1" w:themeFillShade="F2"/>
            <w:hideMark/>
          </w:tcPr>
          <w:p w14:paraId="28477C4E" w14:textId="77777777" w:rsidR="006B510A" w:rsidRPr="00973028" w:rsidRDefault="006B510A" w:rsidP="006B510A">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A"/>
                <w:sz w:val="12"/>
                <w:szCs w:val="12"/>
                <w:lang w:eastAsia="es-ES"/>
              </w:rPr>
              <w:t>El objeto es establecer un canal permanente de comunicación y colaboración para mejorar la eficacia en el cumplimiento de los objetivos de interés común.</w:t>
            </w:r>
          </w:p>
        </w:tc>
        <w:tc>
          <w:tcPr>
            <w:tcW w:w="0" w:type="auto"/>
            <w:tcBorders>
              <w:top w:val="nil"/>
              <w:bottom w:val="nil"/>
            </w:tcBorders>
            <w:shd w:val="clear" w:color="auto" w:fill="F2F2F2" w:themeFill="background1" w:themeFillShade="F2"/>
            <w:hideMark/>
          </w:tcPr>
          <w:p w14:paraId="59787C06"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Sin obligaciones económicas</w:t>
            </w:r>
          </w:p>
        </w:tc>
        <w:tc>
          <w:tcPr>
            <w:tcW w:w="0" w:type="auto"/>
            <w:tcBorders>
              <w:top w:val="nil"/>
              <w:bottom w:val="nil"/>
            </w:tcBorders>
            <w:shd w:val="clear" w:color="auto" w:fill="F2F2F2" w:themeFill="background1" w:themeFillShade="F2"/>
            <w:hideMark/>
          </w:tcPr>
          <w:p w14:paraId="7E3ADB27"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4 años, con posibilidad de prórroga</w:t>
            </w:r>
          </w:p>
        </w:tc>
        <w:tc>
          <w:tcPr>
            <w:tcW w:w="0" w:type="auto"/>
            <w:tcBorders>
              <w:top w:val="nil"/>
              <w:bottom w:val="nil"/>
            </w:tcBorders>
            <w:shd w:val="clear" w:color="auto" w:fill="F2F2F2" w:themeFill="background1" w:themeFillShade="F2"/>
            <w:hideMark/>
          </w:tcPr>
          <w:p w14:paraId="32F6535E"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sz w:val="12"/>
                <w:szCs w:val="12"/>
                <w:lang w:eastAsia="es-ES"/>
              </w:rPr>
              <w:t>Vigente hasta 09/07/2023</w:t>
            </w:r>
          </w:p>
        </w:tc>
      </w:tr>
      <w:tr w:rsidR="006B510A" w:rsidRPr="00973028" w14:paraId="1A324355" w14:textId="77777777" w:rsidTr="001D30A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3B0D68A8" w14:textId="77777777" w:rsidR="006B510A" w:rsidRPr="00973028" w:rsidRDefault="006B510A" w:rsidP="006B510A">
            <w:pPr>
              <w:spacing w:after="120"/>
              <w:jc w:val="center"/>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2/2019</w:t>
            </w:r>
          </w:p>
        </w:tc>
        <w:tc>
          <w:tcPr>
            <w:tcW w:w="0" w:type="auto"/>
            <w:tcBorders>
              <w:top w:val="nil"/>
              <w:bottom w:val="nil"/>
            </w:tcBorders>
            <w:hideMark/>
          </w:tcPr>
          <w:p w14:paraId="0C74D252" w14:textId="77777777" w:rsidR="006B510A" w:rsidRPr="00973028" w:rsidRDefault="006B510A" w:rsidP="006B510A">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b/>
                <w:bCs/>
                <w:color w:val="000000"/>
                <w:sz w:val="12"/>
                <w:szCs w:val="12"/>
                <w:lang w:eastAsia="es-ES"/>
              </w:rPr>
              <w:t>Convenio marco</w:t>
            </w:r>
            <w:r w:rsidRPr="00973028">
              <w:rPr>
                <w:rFonts w:ascii="Arial" w:eastAsia="Times New Roman" w:hAnsi="Arial"/>
                <w:color w:val="000000"/>
                <w:sz w:val="12"/>
                <w:szCs w:val="12"/>
                <w:lang w:eastAsia="es-ES"/>
              </w:rPr>
              <w:t xml:space="preserve"> de colaboración entre la Universitat de València y la AVAF</w:t>
            </w:r>
          </w:p>
        </w:tc>
        <w:tc>
          <w:tcPr>
            <w:tcW w:w="0" w:type="auto"/>
            <w:tcBorders>
              <w:top w:val="nil"/>
              <w:bottom w:val="nil"/>
            </w:tcBorders>
            <w:hideMark/>
          </w:tcPr>
          <w:p w14:paraId="78B54CBB"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14/10/2019</w:t>
            </w:r>
          </w:p>
        </w:tc>
        <w:tc>
          <w:tcPr>
            <w:tcW w:w="0" w:type="auto"/>
            <w:tcBorders>
              <w:top w:val="nil"/>
              <w:bottom w:val="nil"/>
            </w:tcBorders>
            <w:hideMark/>
          </w:tcPr>
          <w:p w14:paraId="5E4DA3EF" w14:textId="77777777" w:rsidR="006B510A" w:rsidRPr="00973028" w:rsidRDefault="006B510A" w:rsidP="006B510A">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Establecimiento de un marco de actuación para la colaboración en actividades de formación de personal, de investigación aplicada, y de visibilidad a través del o los vicerrectorados competentes.</w:t>
            </w:r>
          </w:p>
        </w:tc>
        <w:tc>
          <w:tcPr>
            <w:tcW w:w="0" w:type="auto"/>
            <w:tcBorders>
              <w:top w:val="nil"/>
              <w:bottom w:val="nil"/>
            </w:tcBorders>
            <w:hideMark/>
          </w:tcPr>
          <w:p w14:paraId="6396E75B"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Sin obligaciones económicas</w:t>
            </w:r>
          </w:p>
        </w:tc>
        <w:tc>
          <w:tcPr>
            <w:tcW w:w="0" w:type="auto"/>
            <w:tcBorders>
              <w:top w:val="nil"/>
              <w:bottom w:val="nil"/>
            </w:tcBorders>
            <w:hideMark/>
          </w:tcPr>
          <w:p w14:paraId="2F367E9A"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4 años, con posibilidad de prórroga</w:t>
            </w:r>
          </w:p>
        </w:tc>
        <w:tc>
          <w:tcPr>
            <w:tcW w:w="0" w:type="auto"/>
            <w:tcBorders>
              <w:top w:val="nil"/>
              <w:bottom w:val="nil"/>
            </w:tcBorders>
            <w:hideMark/>
          </w:tcPr>
          <w:p w14:paraId="58A3AD0A"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sz w:val="12"/>
                <w:szCs w:val="12"/>
                <w:lang w:eastAsia="es-ES"/>
              </w:rPr>
              <w:t>Vigente hasta 14/10/2023</w:t>
            </w:r>
          </w:p>
        </w:tc>
      </w:tr>
      <w:tr w:rsidR="006B510A" w:rsidRPr="00973028" w14:paraId="4D2FFCEC" w14:textId="77777777" w:rsidTr="001D30AE">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shd w:val="clear" w:color="auto" w:fill="F2F2F2" w:themeFill="background1" w:themeFillShade="F2"/>
            <w:hideMark/>
          </w:tcPr>
          <w:p w14:paraId="154DE089" w14:textId="77777777" w:rsidR="006B510A" w:rsidRPr="00973028" w:rsidRDefault="006B510A" w:rsidP="006B510A">
            <w:pPr>
              <w:spacing w:after="120"/>
              <w:jc w:val="center"/>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1/2020</w:t>
            </w:r>
          </w:p>
        </w:tc>
        <w:tc>
          <w:tcPr>
            <w:tcW w:w="0" w:type="auto"/>
            <w:tcBorders>
              <w:top w:val="nil"/>
              <w:bottom w:val="nil"/>
            </w:tcBorders>
            <w:shd w:val="clear" w:color="auto" w:fill="F2F2F2" w:themeFill="background1" w:themeFillShade="F2"/>
            <w:hideMark/>
          </w:tcPr>
          <w:p w14:paraId="67AB9446" w14:textId="77777777" w:rsidR="006B510A" w:rsidRPr="00973028" w:rsidRDefault="006B510A" w:rsidP="006B510A">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b/>
                <w:bCs/>
                <w:color w:val="000000"/>
                <w:sz w:val="12"/>
                <w:szCs w:val="12"/>
                <w:lang w:eastAsia="es-ES"/>
              </w:rPr>
              <w:t>Convenio marco</w:t>
            </w:r>
            <w:r w:rsidRPr="00973028">
              <w:rPr>
                <w:rFonts w:ascii="Arial" w:eastAsia="Times New Roman" w:hAnsi="Arial"/>
                <w:color w:val="000000"/>
                <w:sz w:val="12"/>
                <w:szCs w:val="12"/>
                <w:lang w:eastAsia="es-ES"/>
              </w:rPr>
              <w:t xml:space="preserve"> de colaboración entre la Universidad CEU Cardenal Herrera y la AVAF</w:t>
            </w:r>
          </w:p>
        </w:tc>
        <w:tc>
          <w:tcPr>
            <w:tcW w:w="0" w:type="auto"/>
            <w:tcBorders>
              <w:top w:val="nil"/>
              <w:bottom w:val="nil"/>
            </w:tcBorders>
            <w:shd w:val="clear" w:color="auto" w:fill="F2F2F2" w:themeFill="background1" w:themeFillShade="F2"/>
            <w:hideMark/>
          </w:tcPr>
          <w:p w14:paraId="3C643D96"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11/03/2020</w:t>
            </w:r>
          </w:p>
        </w:tc>
        <w:tc>
          <w:tcPr>
            <w:tcW w:w="0" w:type="auto"/>
            <w:tcBorders>
              <w:top w:val="nil"/>
              <w:bottom w:val="nil"/>
            </w:tcBorders>
            <w:shd w:val="clear" w:color="auto" w:fill="F2F2F2" w:themeFill="background1" w:themeFillShade="F2"/>
            <w:hideMark/>
          </w:tcPr>
          <w:p w14:paraId="6C9B7C81" w14:textId="77777777" w:rsidR="006B510A" w:rsidRPr="00973028" w:rsidRDefault="006B510A" w:rsidP="006B510A">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 xml:space="preserve">Fijar el marco de colaboración cultural, educativa y científica, así como de asistencia mutua </w:t>
            </w:r>
          </w:p>
        </w:tc>
        <w:tc>
          <w:tcPr>
            <w:tcW w:w="0" w:type="auto"/>
            <w:tcBorders>
              <w:top w:val="nil"/>
              <w:bottom w:val="nil"/>
            </w:tcBorders>
            <w:shd w:val="clear" w:color="auto" w:fill="F2F2F2" w:themeFill="background1" w:themeFillShade="F2"/>
            <w:hideMark/>
          </w:tcPr>
          <w:p w14:paraId="240458FA"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Sin obligaciones económicas</w:t>
            </w:r>
          </w:p>
        </w:tc>
        <w:tc>
          <w:tcPr>
            <w:tcW w:w="0" w:type="auto"/>
            <w:tcBorders>
              <w:top w:val="nil"/>
              <w:bottom w:val="nil"/>
            </w:tcBorders>
            <w:shd w:val="clear" w:color="auto" w:fill="F2F2F2" w:themeFill="background1" w:themeFillShade="F2"/>
            <w:hideMark/>
          </w:tcPr>
          <w:p w14:paraId="55D628E4"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4 años, con posibilidad de prórroga</w:t>
            </w:r>
          </w:p>
        </w:tc>
        <w:tc>
          <w:tcPr>
            <w:tcW w:w="0" w:type="auto"/>
            <w:tcBorders>
              <w:top w:val="nil"/>
              <w:bottom w:val="nil"/>
              <w:right w:val="nil"/>
            </w:tcBorders>
            <w:shd w:val="clear" w:color="auto" w:fill="F2F2F2" w:themeFill="background1" w:themeFillShade="F2"/>
            <w:hideMark/>
          </w:tcPr>
          <w:p w14:paraId="13EB83E7"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sz w:val="12"/>
                <w:szCs w:val="12"/>
                <w:lang w:eastAsia="es-ES"/>
              </w:rPr>
              <w:t>Vigente hasta 11/03/2024</w:t>
            </w:r>
          </w:p>
        </w:tc>
      </w:tr>
      <w:tr w:rsidR="006B510A" w:rsidRPr="00973028" w14:paraId="7ECC188C" w14:textId="77777777" w:rsidTr="001D30A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4506D8EE" w14:textId="77777777" w:rsidR="006B510A" w:rsidRPr="00973028" w:rsidRDefault="006B510A" w:rsidP="006B510A">
            <w:pPr>
              <w:spacing w:after="120"/>
              <w:jc w:val="center"/>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2/2020</w:t>
            </w:r>
          </w:p>
        </w:tc>
        <w:tc>
          <w:tcPr>
            <w:tcW w:w="0" w:type="auto"/>
            <w:tcBorders>
              <w:top w:val="nil"/>
              <w:bottom w:val="nil"/>
            </w:tcBorders>
            <w:hideMark/>
          </w:tcPr>
          <w:p w14:paraId="32BCEB38" w14:textId="77777777" w:rsidR="006B510A" w:rsidRPr="00973028" w:rsidRDefault="006B510A" w:rsidP="006B510A">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b/>
                <w:bCs/>
                <w:color w:val="000000"/>
                <w:sz w:val="12"/>
                <w:szCs w:val="12"/>
                <w:lang w:eastAsia="es-ES"/>
              </w:rPr>
              <w:t>Convenio de colaboración</w:t>
            </w:r>
            <w:r w:rsidRPr="00973028">
              <w:rPr>
                <w:rFonts w:ascii="Arial" w:eastAsia="Times New Roman" w:hAnsi="Arial"/>
                <w:color w:val="000000"/>
                <w:sz w:val="12"/>
                <w:szCs w:val="12"/>
                <w:lang w:eastAsia="es-ES"/>
              </w:rPr>
              <w:t xml:space="preserve"> entre la Universitat de València y la AVAF</w:t>
            </w:r>
          </w:p>
        </w:tc>
        <w:tc>
          <w:tcPr>
            <w:tcW w:w="0" w:type="auto"/>
            <w:tcBorders>
              <w:top w:val="nil"/>
              <w:bottom w:val="nil"/>
            </w:tcBorders>
            <w:hideMark/>
          </w:tcPr>
          <w:p w14:paraId="14988522"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29/06/2020</w:t>
            </w:r>
          </w:p>
        </w:tc>
        <w:tc>
          <w:tcPr>
            <w:tcW w:w="0" w:type="auto"/>
            <w:tcBorders>
              <w:top w:val="nil"/>
              <w:bottom w:val="nil"/>
            </w:tcBorders>
            <w:hideMark/>
          </w:tcPr>
          <w:p w14:paraId="3A382F43" w14:textId="77777777" w:rsidR="006B510A" w:rsidRPr="00973028" w:rsidRDefault="006B510A" w:rsidP="006B510A">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 xml:space="preserve">Establecer las bases de colaboración entre el Vicerrectorado de Proyección Territorial y Sociedad para desarrollar el proyecto “Actividades formativas para el </w:t>
            </w:r>
            <w:r w:rsidRPr="00973028">
              <w:rPr>
                <w:rFonts w:ascii="Arial" w:eastAsia="Times New Roman" w:hAnsi="Arial"/>
                <w:color w:val="000000"/>
                <w:sz w:val="12"/>
                <w:szCs w:val="12"/>
                <w:lang w:eastAsia="es-ES"/>
              </w:rPr>
              <w:lastRenderedPageBreak/>
              <w:t xml:space="preserve">Buen Gobierno y la Ciudadanía, en el territorio valenciano”, </w:t>
            </w:r>
          </w:p>
        </w:tc>
        <w:tc>
          <w:tcPr>
            <w:tcW w:w="0" w:type="auto"/>
            <w:tcBorders>
              <w:top w:val="nil"/>
              <w:bottom w:val="nil"/>
            </w:tcBorders>
            <w:hideMark/>
          </w:tcPr>
          <w:p w14:paraId="1879E2E0"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lastRenderedPageBreak/>
              <w:t xml:space="preserve">Compromiso económico de hasta 15.000€ anuales. </w:t>
            </w:r>
          </w:p>
        </w:tc>
        <w:tc>
          <w:tcPr>
            <w:tcW w:w="0" w:type="auto"/>
            <w:tcBorders>
              <w:top w:val="nil"/>
              <w:bottom w:val="nil"/>
            </w:tcBorders>
            <w:hideMark/>
          </w:tcPr>
          <w:p w14:paraId="1701746F"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2 años, con posibilidad de prórroga.</w:t>
            </w:r>
          </w:p>
        </w:tc>
        <w:tc>
          <w:tcPr>
            <w:tcW w:w="0" w:type="auto"/>
            <w:tcBorders>
              <w:top w:val="nil"/>
              <w:bottom w:val="nil"/>
            </w:tcBorders>
            <w:hideMark/>
          </w:tcPr>
          <w:p w14:paraId="2DDC7D9F"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sz w:val="12"/>
                <w:szCs w:val="12"/>
                <w:lang w:eastAsia="es-ES"/>
              </w:rPr>
              <w:t>Vigente hasta 29/06/2022</w:t>
            </w:r>
          </w:p>
        </w:tc>
      </w:tr>
      <w:tr w:rsidR="006B510A" w:rsidRPr="00973028" w14:paraId="17B58F3A" w14:textId="77777777" w:rsidTr="001D30AE">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2F2F2" w:themeFill="background1" w:themeFillShade="F2"/>
            <w:hideMark/>
          </w:tcPr>
          <w:p w14:paraId="76D6A040" w14:textId="77777777" w:rsidR="006B510A" w:rsidRPr="00973028" w:rsidRDefault="006B510A" w:rsidP="006B510A">
            <w:pPr>
              <w:spacing w:after="120"/>
              <w:jc w:val="center"/>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3/2020</w:t>
            </w:r>
          </w:p>
        </w:tc>
        <w:tc>
          <w:tcPr>
            <w:tcW w:w="0" w:type="auto"/>
            <w:tcBorders>
              <w:top w:val="nil"/>
              <w:bottom w:val="nil"/>
            </w:tcBorders>
            <w:shd w:val="clear" w:color="auto" w:fill="F2F2F2" w:themeFill="background1" w:themeFillShade="F2"/>
            <w:hideMark/>
          </w:tcPr>
          <w:p w14:paraId="22CEBEF2" w14:textId="77777777" w:rsidR="006B510A" w:rsidRPr="00973028" w:rsidRDefault="006B510A" w:rsidP="006B510A">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b/>
                <w:bCs/>
                <w:color w:val="000000"/>
                <w:sz w:val="12"/>
                <w:szCs w:val="12"/>
                <w:lang w:eastAsia="es-ES"/>
              </w:rPr>
              <w:t xml:space="preserve">Protocolo de Colaboración Funcional </w:t>
            </w:r>
            <w:r w:rsidRPr="00973028">
              <w:rPr>
                <w:rFonts w:ascii="Arial" w:eastAsia="Times New Roman" w:hAnsi="Arial"/>
                <w:color w:val="000000"/>
                <w:sz w:val="12"/>
                <w:szCs w:val="12"/>
                <w:lang w:eastAsia="es-ES"/>
              </w:rPr>
              <w:t>entre la Sindicatura de Comptes de la Comunitat Valenciana y la AVAF</w:t>
            </w:r>
          </w:p>
        </w:tc>
        <w:tc>
          <w:tcPr>
            <w:tcW w:w="0" w:type="auto"/>
            <w:tcBorders>
              <w:top w:val="nil"/>
              <w:bottom w:val="nil"/>
            </w:tcBorders>
            <w:shd w:val="clear" w:color="auto" w:fill="F2F2F2" w:themeFill="background1" w:themeFillShade="F2"/>
            <w:hideMark/>
          </w:tcPr>
          <w:p w14:paraId="708021F4"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24/04/2020</w:t>
            </w:r>
          </w:p>
        </w:tc>
        <w:tc>
          <w:tcPr>
            <w:tcW w:w="0" w:type="auto"/>
            <w:tcBorders>
              <w:top w:val="nil"/>
              <w:bottom w:val="nil"/>
            </w:tcBorders>
            <w:shd w:val="clear" w:color="auto" w:fill="F2F2F2" w:themeFill="background1" w:themeFillShade="F2"/>
            <w:hideMark/>
          </w:tcPr>
          <w:p w14:paraId="7EA377E3" w14:textId="77777777" w:rsidR="006B510A" w:rsidRPr="00973028" w:rsidRDefault="006B510A" w:rsidP="006B510A">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Mejorar la incidencia de las actividades respectivas en la prevención del fraude y la corrupción, mediante la coordinación de sus funciones respectivas.</w:t>
            </w:r>
          </w:p>
        </w:tc>
        <w:tc>
          <w:tcPr>
            <w:tcW w:w="0" w:type="auto"/>
            <w:tcBorders>
              <w:top w:val="nil"/>
              <w:bottom w:val="nil"/>
            </w:tcBorders>
            <w:shd w:val="clear" w:color="auto" w:fill="F2F2F2" w:themeFill="background1" w:themeFillShade="F2"/>
            <w:hideMark/>
          </w:tcPr>
          <w:p w14:paraId="603B2F2E"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Sin obligaciones económicas</w:t>
            </w:r>
          </w:p>
        </w:tc>
        <w:tc>
          <w:tcPr>
            <w:tcW w:w="0" w:type="auto"/>
            <w:tcBorders>
              <w:top w:val="nil"/>
              <w:bottom w:val="nil"/>
            </w:tcBorders>
            <w:shd w:val="clear" w:color="auto" w:fill="F2F2F2" w:themeFill="background1" w:themeFillShade="F2"/>
            <w:hideMark/>
          </w:tcPr>
          <w:p w14:paraId="598DF151"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sz w:val="12"/>
                <w:szCs w:val="12"/>
                <w:lang w:eastAsia="es-ES"/>
              </w:rPr>
              <w:t>Vigencia mínima de 4 años, con revisión para adiciones o modificaciones que se consideren oportunas</w:t>
            </w:r>
          </w:p>
        </w:tc>
        <w:tc>
          <w:tcPr>
            <w:tcW w:w="0" w:type="auto"/>
            <w:tcBorders>
              <w:top w:val="nil"/>
              <w:bottom w:val="nil"/>
            </w:tcBorders>
            <w:shd w:val="clear" w:color="auto" w:fill="F2F2F2" w:themeFill="background1" w:themeFillShade="F2"/>
            <w:hideMark/>
          </w:tcPr>
          <w:p w14:paraId="356FA910"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sz w:val="12"/>
                <w:szCs w:val="12"/>
                <w:lang w:eastAsia="es-ES"/>
              </w:rPr>
              <w:t>Vigente hasta 24/04/2024</w:t>
            </w:r>
          </w:p>
        </w:tc>
      </w:tr>
      <w:tr w:rsidR="006B510A" w:rsidRPr="00973028" w14:paraId="66BC2E02" w14:textId="77777777" w:rsidTr="001D30A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2B445154" w14:textId="77777777" w:rsidR="006B510A" w:rsidRPr="00973028" w:rsidRDefault="006B510A" w:rsidP="006B510A">
            <w:pPr>
              <w:spacing w:after="120"/>
              <w:jc w:val="center"/>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4/2020</w:t>
            </w:r>
          </w:p>
        </w:tc>
        <w:tc>
          <w:tcPr>
            <w:tcW w:w="0" w:type="auto"/>
            <w:tcBorders>
              <w:top w:val="nil"/>
              <w:bottom w:val="nil"/>
            </w:tcBorders>
            <w:hideMark/>
          </w:tcPr>
          <w:p w14:paraId="76F0D243" w14:textId="77777777" w:rsidR="006B510A" w:rsidRPr="00973028" w:rsidRDefault="006B510A" w:rsidP="006B510A">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b/>
                <w:bCs/>
                <w:color w:val="000000"/>
                <w:sz w:val="12"/>
                <w:szCs w:val="12"/>
                <w:lang w:eastAsia="es-ES"/>
              </w:rPr>
              <w:t>Convenio marco</w:t>
            </w:r>
            <w:r w:rsidRPr="00973028">
              <w:rPr>
                <w:rFonts w:ascii="Arial" w:eastAsia="Times New Roman" w:hAnsi="Arial"/>
                <w:color w:val="000000"/>
                <w:sz w:val="12"/>
                <w:szCs w:val="12"/>
                <w:lang w:eastAsia="es-ES"/>
              </w:rPr>
              <w:t xml:space="preserve"> entre el Consejo General del Notariado y la AVAF</w:t>
            </w:r>
          </w:p>
        </w:tc>
        <w:tc>
          <w:tcPr>
            <w:tcW w:w="0" w:type="auto"/>
            <w:tcBorders>
              <w:top w:val="nil"/>
              <w:bottom w:val="nil"/>
            </w:tcBorders>
            <w:hideMark/>
          </w:tcPr>
          <w:p w14:paraId="0FBF50E0"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07/10/2020</w:t>
            </w:r>
          </w:p>
        </w:tc>
        <w:tc>
          <w:tcPr>
            <w:tcW w:w="0" w:type="auto"/>
            <w:tcBorders>
              <w:top w:val="nil"/>
              <w:bottom w:val="nil"/>
            </w:tcBorders>
            <w:hideMark/>
          </w:tcPr>
          <w:p w14:paraId="398E50A8" w14:textId="77777777" w:rsidR="006B510A" w:rsidRPr="00973028" w:rsidRDefault="006B510A" w:rsidP="006B510A">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Acceder a las bases de datos de titulares reales y personas con responsabilidad pública del Consejo General del Notariado</w:t>
            </w:r>
          </w:p>
        </w:tc>
        <w:tc>
          <w:tcPr>
            <w:tcW w:w="0" w:type="auto"/>
            <w:tcBorders>
              <w:top w:val="nil"/>
              <w:bottom w:val="nil"/>
            </w:tcBorders>
            <w:hideMark/>
          </w:tcPr>
          <w:p w14:paraId="23B9081D"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Sin obligaciones económicas</w:t>
            </w:r>
          </w:p>
        </w:tc>
        <w:tc>
          <w:tcPr>
            <w:tcW w:w="0" w:type="auto"/>
            <w:tcBorders>
              <w:top w:val="nil"/>
              <w:bottom w:val="nil"/>
            </w:tcBorders>
            <w:hideMark/>
          </w:tcPr>
          <w:p w14:paraId="0C78F42A"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4 años, con posibilidad de prórroga.</w:t>
            </w:r>
          </w:p>
        </w:tc>
        <w:tc>
          <w:tcPr>
            <w:tcW w:w="0" w:type="auto"/>
            <w:tcBorders>
              <w:top w:val="nil"/>
              <w:bottom w:val="nil"/>
            </w:tcBorders>
            <w:hideMark/>
          </w:tcPr>
          <w:p w14:paraId="173BA881" w14:textId="77777777" w:rsidR="006B510A" w:rsidRPr="00973028" w:rsidRDefault="006B510A" w:rsidP="006B510A">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sz w:val="12"/>
                <w:szCs w:val="12"/>
                <w:lang w:eastAsia="es-ES"/>
              </w:rPr>
              <w:t>Vigente hasta 07/10/2024</w:t>
            </w:r>
          </w:p>
        </w:tc>
      </w:tr>
      <w:tr w:rsidR="006B510A" w:rsidRPr="00973028" w14:paraId="1F0CEB15" w14:textId="77777777" w:rsidTr="001D30AE">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2F2F2" w:themeFill="background1" w:themeFillShade="F2"/>
            <w:hideMark/>
          </w:tcPr>
          <w:p w14:paraId="5C3DF810" w14:textId="77777777" w:rsidR="006B510A" w:rsidRPr="00973028" w:rsidRDefault="006B510A" w:rsidP="006B510A">
            <w:pPr>
              <w:spacing w:after="120"/>
              <w:jc w:val="center"/>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1/2021</w:t>
            </w:r>
          </w:p>
        </w:tc>
        <w:tc>
          <w:tcPr>
            <w:tcW w:w="0" w:type="auto"/>
            <w:tcBorders>
              <w:top w:val="nil"/>
              <w:bottom w:val="nil"/>
            </w:tcBorders>
            <w:shd w:val="clear" w:color="auto" w:fill="F2F2F2" w:themeFill="background1" w:themeFillShade="F2"/>
            <w:hideMark/>
          </w:tcPr>
          <w:p w14:paraId="506268E2" w14:textId="77777777" w:rsidR="006B510A" w:rsidRPr="00973028" w:rsidRDefault="006B510A" w:rsidP="006B510A">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b/>
                <w:bCs/>
                <w:color w:val="000000"/>
                <w:sz w:val="12"/>
                <w:szCs w:val="12"/>
                <w:lang w:eastAsia="es-ES"/>
              </w:rPr>
              <w:t>Convenio marco</w:t>
            </w:r>
            <w:r w:rsidRPr="00973028">
              <w:rPr>
                <w:rFonts w:ascii="Arial" w:eastAsia="Times New Roman" w:hAnsi="Arial"/>
                <w:color w:val="000000"/>
                <w:sz w:val="12"/>
                <w:szCs w:val="12"/>
                <w:lang w:eastAsia="es-ES"/>
              </w:rPr>
              <w:t xml:space="preserve"> entre la AVAF y la World Compliance Association (en adelante, WCA)</w:t>
            </w:r>
          </w:p>
        </w:tc>
        <w:tc>
          <w:tcPr>
            <w:tcW w:w="0" w:type="auto"/>
            <w:tcBorders>
              <w:top w:val="nil"/>
              <w:bottom w:val="nil"/>
            </w:tcBorders>
            <w:shd w:val="clear" w:color="auto" w:fill="F2F2F2" w:themeFill="background1" w:themeFillShade="F2"/>
            <w:hideMark/>
          </w:tcPr>
          <w:p w14:paraId="6A5E9598"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11/01/2021</w:t>
            </w:r>
          </w:p>
        </w:tc>
        <w:tc>
          <w:tcPr>
            <w:tcW w:w="0" w:type="auto"/>
            <w:tcBorders>
              <w:top w:val="nil"/>
              <w:bottom w:val="nil"/>
            </w:tcBorders>
            <w:shd w:val="clear" w:color="auto" w:fill="F2F2F2" w:themeFill="background1" w:themeFillShade="F2"/>
            <w:hideMark/>
          </w:tcPr>
          <w:p w14:paraId="499DCCD9" w14:textId="77777777" w:rsidR="006B510A" w:rsidRPr="00973028" w:rsidRDefault="006B510A" w:rsidP="006B510A">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1C1C1C"/>
                <w:sz w:val="12"/>
                <w:szCs w:val="12"/>
                <w:lang w:eastAsia="es-ES"/>
              </w:rPr>
              <w:t xml:space="preserve">Establecer un canal permanente de comunicación y colaboración para mejorar la eficacia en el cumplimiento de los objetivos de interés común. </w:t>
            </w:r>
          </w:p>
        </w:tc>
        <w:tc>
          <w:tcPr>
            <w:tcW w:w="0" w:type="auto"/>
            <w:tcBorders>
              <w:top w:val="nil"/>
              <w:bottom w:val="nil"/>
            </w:tcBorders>
            <w:shd w:val="clear" w:color="auto" w:fill="F2F2F2" w:themeFill="background1" w:themeFillShade="F2"/>
            <w:hideMark/>
          </w:tcPr>
          <w:p w14:paraId="45C87880"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Sin obligaciones económicas</w:t>
            </w:r>
          </w:p>
        </w:tc>
        <w:tc>
          <w:tcPr>
            <w:tcW w:w="0" w:type="auto"/>
            <w:tcBorders>
              <w:top w:val="nil"/>
              <w:bottom w:val="nil"/>
            </w:tcBorders>
            <w:shd w:val="clear" w:color="auto" w:fill="F2F2F2" w:themeFill="background1" w:themeFillShade="F2"/>
            <w:hideMark/>
          </w:tcPr>
          <w:p w14:paraId="36C38DE8"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color w:val="000000"/>
                <w:sz w:val="12"/>
                <w:szCs w:val="12"/>
                <w:lang w:eastAsia="es-ES"/>
              </w:rPr>
              <w:t>4 años, con posibilidad de prórroga</w:t>
            </w:r>
          </w:p>
        </w:tc>
        <w:tc>
          <w:tcPr>
            <w:tcW w:w="0" w:type="auto"/>
            <w:tcBorders>
              <w:top w:val="nil"/>
              <w:bottom w:val="nil"/>
            </w:tcBorders>
            <w:shd w:val="clear" w:color="auto" w:fill="F2F2F2" w:themeFill="background1" w:themeFillShade="F2"/>
            <w:hideMark/>
          </w:tcPr>
          <w:p w14:paraId="0727DB18" w14:textId="77777777" w:rsidR="006B510A" w:rsidRPr="00973028" w:rsidRDefault="006B510A" w:rsidP="006B510A">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lang w:eastAsia="es-ES"/>
              </w:rPr>
            </w:pPr>
            <w:r w:rsidRPr="00973028">
              <w:rPr>
                <w:rFonts w:ascii="Arial" w:eastAsia="Times New Roman" w:hAnsi="Arial"/>
                <w:sz w:val="12"/>
                <w:szCs w:val="12"/>
                <w:lang w:eastAsia="es-ES"/>
              </w:rPr>
              <w:t>Vigencia hasta 11/01/25</w:t>
            </w:r>
          </w:p>
        </w:tc>
      </w:tr>
    </w:tbl>
    <w:p w14:paraId="5276BABF" w14:textId="77777777" w:rsidR="006B510A" w:rsidRPr="00973028" w:rsidRDefault="006B510A" w:rsidP="006B510A">
      <w:pPr>
        <w:pStyle w:val="Standard"/>
        <w:spacing w:line="276" w:lineRule="auto"/>
        <w:jc w:val="both"/>
        <w:rPr>
          <w:rFonts w:ascii="Arial" w:eastAsia="Times New Roman" w:hAnsi="Arial"/>
          <w:color w:val="000000"/>
          <w:sz w:val="21"/>
          <w:szCs w:val="21"/>
          <w:lang w:eastAsia="es-ES"/>
        </w:rPr>
      </w:pPr>
    </w:p>
    <w:p w14:paraId="4C5630DF" w14:textId="125004D6" w:rsidR="006B510A" w:rsidRPr="00973028" w:rsidRDefault="006B510A" w:rsidP="00C1460B">
      <w:pPr>
        <w:pStyle w:val="Standard"/>
        <w:spacing w:after="240" w:line="276" w:lineRule="auto"/>
        <w:jc w:val="both"/>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 xml:space="preserve">Finalmente, cabe señalar que durante este año 2021 y a la fecha de redacción de esta Memoria, la AVAF ha suscrito un convenio con la </w:t>
      </w:r>
      <w:r w:rsidRPr="00973028">
        <w:rPr>
          <w:rFonts w:ascii="Arial" w:eastAsia="Times New Roman" w:hAnsi="Arial"/>
          <w:i/>
          <w:iCs/>
          <w:color w:val="000000"/>
          <w:sz w:val="21"/>
          <w:szCs w:val="21"/>
          <w:lang w:eastAsia="es-ES"/>
        </w:rPr>
        <w:t>World Compliance Association</w:t>
      </w:r>
      <w:r w:rsidRPr="00973028">
        <w:rPr>
          <w:rFonts w:ascii="Arial" w:eastAsia="Times New Roman" w:hAnsi="Arial"/>
          <w:color w:val="000000"/>
          <w:sz w:val="21"/>
          <w:szCs w:val="21"/>
          <w:lang w:eastAsia="es-ES"/>
        </w:rPr>
        <w:t xml:space="preserve">, por el que ambas entidades establecen un marco de colaboración para la realización de actividades de formación, transferencia de conocimientos y elaboración de guías y manuales en la prevención e investigación de malas prácticas en las administraciones públicas y del </w:t>
      </w:r>
      <w:r w:rsidRPr="00973028">
        <w:rPr>
          <w:rFonts w:ascii="Arial" w:eastAsia="Times New Roman" w:hAnsi="Arial"/>
          <w:i/>
          <w:iCs/>
          <w:color w:val="000000"/>
          <w:sz w:val="21"/>
          <w:szCs w:val="21"/>
          <w:lang w:eastAsia="es-ES"/>
        </w:rPr>
        <w:t>compliance</w:t>
      </w:r>
      <w:r w:rsidRPr="00973028">
        <w:rPr>
          <w:rFonts w:ascii="Arial" w:eastAsia="Times New Roman" w:hAnsi="Arial"/>
          <w:color w:val="000000"/>
          <w:sz w:val="21"/>
          <w:szCs w:val="21"/>
          <w:lang w:eastAsia="es-ES"/>
        </w:rPr>
        <w:t xml:space="preserve"> en materia de corrupción. </w:t>
      </w:r>
    </w:p>
    <w:p w14:paraId="3D631C02" w14:textId="22D65039" w:rsidR="006B510A" w:rsidRPr="00FF582F" w:rsidRDefault="006B510A" w:rsidP="00C1460B">
      <w:pPr>
        <w:pStyle w:val="Standard"/>
        <w:spacing w:after="240" w:line="276" w:lineRule="auto"/>
        <w:jc w:val="both"/>
        <w:rPr>
          <w:rFonts w:ascii="Arial" w:hAnsi="Arial"/>
          <w:color w:val="000000"/>
          <w:sz w:val="21"/>
          <w:szCs w:val="21"/>
        </w:rPr>
      </w:pPr>
      <w:r w:rsidRPr="00FF582F">
        <w:rPr>
          <w:rFonts w:ascii="Arial" w:eastAsia="Times New Roman" w:hAnsi="Arial"/>
          <w:color w:val="000000"/>
          <w:sz w:val="21"/>
          <w:szCs w:val="21"/>
          <w:lang w:eastAsia="es-ES"/>
        </w:rPr>
        <w:t xml:space="preserve">Otro convenio suscrito ha sido con </w:t>
      </w:r>
      <w:r w:rsidRPr="00FF582F">
        <w:rPr>
          <w:rFonts w:ascii="Arial" w:hAnsi="Arial" w:cs="Calibri"/>
          <w:color w:val="000000"/>
          <w:sz w:val="21"/>
          <w:szCs w:val="21"/>
          <w:lang w:bidi="ar-SA"/>
        </w:rPr>
        <w:t xml:space="preserve">la </w:t>
      </w:r>
      <w:r w:rsidRPr="00FF582F">
        <w:rPr>
          <w:rFonts w:ascii="Arial" w:hAnsi="Arial"/>
          <w:color w:val="000000"/>
          <w:sz w:val="21"/>
          <w:szCs w:val="21"/>
          <w:lang w:bidi="ar-SA"/>
        </w:rPr>
        <w:t>Universidad CEU Cardenal Herrera</w:t>
      </w:r>
      <w:r w:rsidRPr="00FF582F">
        <w:rPr>
          <w:rFonts w:ascii="Arial" w:hAnsi="Arial"/>
          <w:color w:val="000000"/>
          <w:sz w:val="21"/>
          <w:szCs w:val="21"/>
        </w:rPr>
        <w:t>, que</w:t>
      </w:r>
      <w:r w:rsidRPr="00FF582F">
        <w:rPr>
          <w:rFonts w:ascii="Arial" w:hAnsi="Arial"/>
          <w:color w:val="000000"/>
          <w:sz w:val="21"/>
          <w:szCs w:val="21"/>
          <w:lang w:bidi="ar-SA"/>
        </w:rPr>
        <w:t xml:space="preserve"> tiene por objeto establecer un programa de cooperación educativa para la </w:t>
      </w:r>
      <w:r w:rsidRPr="00FF582F">
        <w:rPr>
          <w:rFonts w:ascii="Arial" w:hAnsi="Arial" w:cs="Calibri"/>
          <w:color w:val="000000"/>
          <w:sz w:val="21"/>
          <w:szCs w:val="21"/>
          <w:lang w:bidi="ar-SA"/>
        </w:rPr>
        <w:t xml:space="preserve">realización de prácticas formativas, sin </w:t>
      </w:r>
      <w:r w:rsidRPr="00FF582F">
        <w:rPr>
          <w:rFonts w:ascii="Arial" w:hAnsi="Arial" w:cs="Calibri"/>
          <w:color w:val="000000" w:themeColor="text1"/>
          <w:sz w:val="21"/>
          <w:szCs w:val="21"/>
          <w:lang w:bidi="ar-SA"/>
        </w:rPr>
        <w:t xml:space="preserve">relación laboral, en las dependencias de la Agencia, por parte de estudiantes de dicha Universidad. Este convenio permitirá a los estudiantes </w:t>
      </w:r>
      <w:r w:rsidRPr="00FF582F">
        <w:rPr>
          <w:rFonts w:ascii="Arial" w:hAnsi="Arial"/>
          <w:color w:val="000000" w:themeColor="text1"/>
          <w:sz w:val="21"/>
          <w:szCs w:val="21"/>
        </w:rPr>
        <w:t xml:space="preserve">aplicar y complementar los conocimientos adquiridos en su formación académica, favoreciendo la adquisición de competencias para el ejercicio de actividades </w:t>
      </w:r>
      <w:r w:rsidRPr="00FF582F">
        <w:rPr>
          <w:rFonts w:ascii="Arial" w:hAnsi="Arial"/>
          <w:color w:val="000000"/>
          <w:sz w:val="21"/>
          <w:szCs w:val="21"/>
        </w:rPr>
        <w:t xml:space="preserve">profesionales, que faciliten su empleabilidad y fomenten su capacidad de emprendimiento. </w:t>
      </w:r>
    </w:p>
    <w:p w14:paraId="4A86BD8E" w14:textId="27293816" w:rsidR="006B510A"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Todos los convenios suscritos se han publicado en el BOCV y en el portal de transparencia disponible en la página web de la Agencia.</w:t>
      </w:r>
    </w:p>
    <w:p w14:paraId="7359604F" w14:textId="77777777" w:rsidR="00096F00" w:rsidRPr="00973028" w:rsidRDefault="00096F00" w:rsidP="00C1460B">
      <w:pPr>
        <w:spacing w:after="240" w:line="276" w:lineRule="auto"/>
        <w:jc w:val="both"/>
        <w:rPr>
          <w:rFonts w:ascii="Arial" w:eastAsia="Times New Roman" w:hAnsi="Arial" w:cs="Arial"/>
          <w:color w:val="000000"/>
          <w:sz w:val="21"/>
          <w:szCs w:val="21"/>
          <w:lang w:eastAsia="es-ES"/>
        </w:rPr>
      </w:pPr>
    </w:p>
    <w:p w14:paraId="080745E9" w14:textId="3AAFBAF9" w:rsidR="006B510A" w:rsidRPr="00E973F1" w:rsidRDefault="006B510A" w:rsidP="00E973F1">
      <w:pPr>
        <w:pStyle w:val="Prrafodelista"/>
        <w:keepNext/>
        <w:numPr>
          <w:ilvl w:val="1"/>
          <w:numId w:val="25"/>
        </w:numPr>
        <w:spacing w:before="360" w:after="240" w:line="276" w:lineRule="auto"/>
        <w:ind w:left="851" w:hanging="851"/>
        <w:contextualSpacing w:val="0"/>
        <w:jc w:val="both"/>
        <w:outlineLvl w:val="1"/>
        <w:rPr>
          <w:rFonts w:ascii="Arial" w:eastAsia="Times New Roman" w:hAnsi="Arial" w:cs="Arial"/>
          <w:b/>
          <w:color w:val="9D2235" w:themeColor="accent1"/>
          <w:sz w:val="32"/>
          <w:szCs w:val="32"/>
        </w:rPr>
      </w:pPr>
      <w:bookmarkStart w:id="172" w:name="_Toc67646294"/>
      <w:r w:rsidRPr="00E973F1">
        <w:rPr>
          <w:rFonts w:ascii="Arial" w:eastAsia="Times New Roman" w:hAnsi="Arial" w:cs="Arial"/>
          <w:b/>
          <w:color w:val="9D2235" w:themeColor="accent1"/>
          <w:sz w:val="32"/>
          <w:szCs w:val="32"/>
        </w:rPr>
        <w:t>Asesoramiento jurídico y secretaría de órganos colegiados</w:t>
      </w:r>
      <w:bookmarkEnd w:id="172"/>
    </w:p>
    <w:p w14:paraId="34977D01" w14:textId="4B606401"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Durante el ejercicio 2020 se ha prestado </w:t>
      </w:r>
      <w:r w:rsidRPr="00973028">
        <w:rPr>
          <w:rFonts w:ascii="Arial" w:eastAsia="Times New Roman" w:hAnsi="Arial" w:cs="Arial"/>
          <w:b/>
          <w:bCs/>
          <w:color w:val="000000"/>
          <w:sz w:val="21"/>
          <w:szCs w:val="21"/>
          <w:lang w:eastAsia="es-ES"/>
        </w:rPr>
        <w:t>asesoramiento jurídico</w:t>
      </w:r>
      <w:r w:rsidRPr="00973028">
        <w:rPr>
          <w:rFonts w:ascii="Arial" w:eastAsia="Times New Roman" w:hAnsi="Arial" w:cs="Arial"/>
          <w:color w:val="000000"/>
          <w:sz w:val="21"/>
          <w:szCs w:val="21"/>
          <w:lang w:eastAsia="es-ES"/>
        </w:rPr>
        <w:t xml:space="preserve"> a la persona titular de la </w:t>
      </w:r>
      <w:r w:rsidRPr="00973028">
        <w:rPr>
          <w:rFonts w:ascii="Arial" w:eastAsia="Times New Roman" w:hAnsi="Arial" w:cs="Arial"/>
          <w:color w:val="000000" w:themeColor="text1"/>
          <w:sz w:val="21"/>
          <w:szCs w:val="21"/>
          <w:lang w:eastAsia="es-ES"/>
        </w:rPr>
        <w:t>Dire</w:t>
      </w:r>
      <w:r w:rsidRPr="00973028">
        <w:rPr>
          <w:rFonts w:ascii="Arial" w:eastAsia="Times New Roman" w:hAnsi="Arial" w:cs="Arial"/>
          <w:color w:val="000000"/>
          <w:sz w:val="21"/>
          <w:szCs w:val="21"/>
          <w:lang w:eastAsia="es-ES"/>
        </w:rPr>
        <w:t>cción de la Agencia y a las diferentes unidades administrativas que integran la misma; tarea que se ha materializado a través de la contestación a consultas que se han planteado acerca de aspectos legales de diferentes cuestiones, y a través de la emisión de informes jurídicos específicos, ya sean preceptivos, entre otros, los relativos a expedientes de contratación que así lo requieren y los emitidos en la tramitación de convenios, o no preceptivos.</w:t>
      </w:r>
    </w:p>
    <w:p w14:paraId="3DB2337C" w14:textId="4BE966B6"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En cuanto a la emisión de </w:t>
      </w:r>
      <w:r w:rsidRPr="00973028">
        <w:rPr>
          <w:rFonts w:ascii="Arial" w:eastAsia="Times New Roman" w:hAnsi="Arial" w:cs="Arial"/>
          <w:b/>
          <w:bCs/>
          <w:color w:val="000000"/>
          <w:sz w:val="21"/>
          <w:szCs w:val="21"/>
          <w:lang w:eastAsia="es-ES"/>
        </w:rPr>
        <w:t>informes de relevancia jurídica</w:t>
      </w:r>
      <w:r w:rsidRPr="00973028">
        <w:rPr>
          <w:rFonts w:ascii="Arial" w:eastAsia="Times New Roman" w:hAnsi="Arial" w:cs="Arial"/>
          <w:color w:val="000000"/>
          <w:sz w:val="21"/>
          <w:szCs w:val="21"/>
          <w:lang w:eastAsia="es-ES"/>
        </w:rPr>
        <w:t xml:space="preserve"> durante 2020, además de los correspondientes a los expedientes de</w:t>
      </w:r>
      <w:r w:rsidRPr="00973028">
        <w:rPr>
          <w:rFonts w:ascii="Arial" w:eastAsia="Times New Roman" w:hAnsi="Arial" w:cs="Arial"/>
          <w:color w:val="168253"/>
          <w:sz w:val="21"/>
          <w:szCs w:val="21"/>
          <w:lang w:eastAsia="es-ES"/>
        </w:rPr>
        <w:t xml:space="preserve"> </w:t>
      </w:r>
      <w:r w:rsidRPr="00973028">
        <w:rPr>
          <w:rFonts w:ascii="Arial" w:eastAsia="Times New Roman" w:hAnsi="Arial" w:cs="Arial"/>
          <w:color w:val="000000"/>
          <w:sz w:val="21"/>
          <w:szCs w:val="21"/>
          <w:lang w:eastAsia="es-ES"/>
        </w:rPr>
        <w:t xml:space="preserve">tramitación ordinaria de contratos y de convenios, se </w:t>
      </w:r>
      <w:r w:rsidRPr="00973028">
        <w:rPr>
          <w:rFonts w:ascii="Arial" w:eastAsia="Times New Roman" w:hAnsi="Arial" w:cs="Arial"/>
          <w:color w:val="000000"/>
          <w:sz w:val="21"/>
          <w:szCs w:val="21"/>
          <w:lang w:eastAsia="es-ES"/>
        </w:rPr>
        <w:lastRenderedPageBreak/>
        <w:t>destacan los trabajos que figuran a continuación, cuyo contenido se encuentra disponible en nuestra página web.</w:t>
      </w:r>
    </w:p>
    <w:p w14:paraId="2A59FB59" w14:textId="5416209E"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La elaboración, durante el estado de alarma, de varias Notas, dirigidas al personal funcionario, para garantizar la seguridad jurídica de las actuaciones de la Agencia a partir de la declaración del estado de alarma debido a la situación sanitaria en España, en concreto:</w:t>
      </w:r>
    </w:p>
    <w:p w14:paraId="4B136800" w14:textId="185E1E70" w:rsidR="006B510A" w:rsidRPr="00973028" w:rsidRDefault="001400EF" w:rsidP="001D30AE">
      <w:pPr>
        <w:pStyle w:val="Prrafodelista"/>
        <w:numPr>
          <w:ilvl w:val="0"/>
          <w:numId w:val="31"/>
        </w:numPr>
        <w:spacing w:after="120" w:line="276" w:lineRule="auto"/>
        <w:ind w:left="714" w:hanging="357"/>
        <w:contextualSpacing w:val="0"/>
        <w:jc w:val="both"/>
        <w:rPr>
          <w:rFonts w:ascii="Arial" w:eastAsia="Times New Roman" w:hAnsi="Arial" w:cs="Arial"/>
          <w:sz w:val="21"/>
          <w:szCs w:val="21"/>
          <w:lang w:eastAsia="es-ES"/>
        </w:rPr>
      </w:pPr>
      <w:hyperlink r:id="rId139" w:history="1">
        <w:r w:rsidR="006B510A" w:rsidRPr="00973028">
          <w:rPr>
            <w:rStyle w:val="Hipervnculo"/>
            <w:rFonts w:ascii="Arial" w:eastAsia="Times New Roman" w:hAnsi="Arial" w:cs="Arial"/>
            <w:sz w:val="21"/>
            <w:szCs w:val="21"/>
            <w:lang w:eastAsia="es-ES"/>
          </w:rPr>
          <w:t>Nota núm. 1 de 24 de marzo de 2020, sobre suspensión de plazos administrativos y de plazos de prescripción y caducidad, de conformidad con el Real Decreto 463/2020, de 14 de marzo, por el que se declara el estado de alarma para la gestión de la situación de crisis sanitaria ocasionada por el COVID-19, modificado por el Real Decreto 465/2020.</w:t>
        </w:r>
      </w:hyperlink>
    </w:p>
    <w:p w14:paraId="35C4BEC3" w14:textId="0FECDE26" w:rsidR="006B510A" w:rsidRPr="00973028" w:rsidRDefault="001400EF" w:rsidP="001D30AE">
      <w:pPr>
        <w:pStyle w:val="Prrafodelista"/>
        <w:numPr>
          <w:ilvl w:val="0"/>
          <w:numId w:val="31"/>
        </w:numPr>
        <w:spacing w:after="120" w:line="276" w:lineRule="auto"/>
        <w:ind w:left="714" w:hanging="357"/>
        <w:contextualSpacing w:val="0"/>
        <w:jc w:val="both"/>
        <w:rPr>
          <w:rFonts w:ascii="Arial" w:eastAsia="Times New Roman" w:hAnsi="Arial" w:cs="Arial"/>
          <w:sz w:val="21"/>
          <w:szCs w:val="21"/>
          <w:lang w:eastAsia="es-ES"/>
        </w:rPr>
      </w:pPr>
      <w:hyperlink r:id="rId140" w:history="1">
        <w:r w:rsidR="006B510A" w:rsidRPr="00973028">
          <w:rPr>
            <w:rStyle w:val="Hipervnculo"/>
            <w:rFonts w:ascii="Arial" w:eastAsia="Times New Roman" w:hAnsi="Arial" w:cs="Arial"/>
            <w:sz w:val="21"/>
            <w:szCs w:val="21"/>
            <w:lang w:eastAsia="es-ES"/>
          </w:rPr>
          <w:t>Nota núm. 2 de 5 de mayo de 2020, sobre suspensión de plazos administrativos y de plazos de prescripción y caducidad, de conformidad con el Real Decreto 463/2020, de 14 de marzo, por el que se declaraba el estado de alarma para la gestión de la situación de crisis sanitaria ocasionada por el COVID-19, sus modificaciones y sus prórrogas.</w:t>
        </w:r>
      </w:hyperlink>
    </w:p>
    <w:p w14:paraId="6DFDC95E" w14:textId="62BDBDA2" w:rsidR="006B510A" w:rsidRPr="00973028" w:rsidRDefault="001400EF" w:rsidP="001D30AE">
      <w:pPr>
        <w:pStyle w:val="Prrafodelista"/>
        <w:numPr>
          <w:ilvl w:val="0"/>
          <w:numId w:val="31"/>
        </w:numPr>
        <w:spacing w:after="240" w:line="276" w:lineRule="auto"/>
        <w:ind w:left="714" w:hanging="357"/>
        <w:contextualSpacing w:val="0"/>
        <w:jc w:val="both"/>
        <w:rPr>
          <w:rFonts w:ascii="Arial" w:eastAsia="Times New Roman" w:hAnsi="Arial" w:cs="Arial"/>
          <w:sz w:val="21"/>
          <w:szCs w:val="21"/>
          <w:lang w:eastAsia="es-ES"/>
        </w:rPr>
      </w:pPr>
      <w:hyperlink r:id="rId141" w:history="1">
        <w:r w:rsidR="006B510A" w:rsidRPr="00973028">
          <w:rPr>
            <w:rStyle w:val="Hipervnculo"/>
            <w:rFonts w:ascii="Arial" w:eastAsia="Times New Roman" w:hAnsi="Arial" w:cs="Arial"/>
            <w:sz w:val="21"/>
            <w:szCs w:val="21"/>
            <w:lang w:eastAsia="es-ES"/>
          </w:rPr>
          <w:t>Nota núm. 3 de 29 de mayo de 2020, sobre levantamiento de plazos administrativos y de plazos de prescripción y caducidad, que trae causa de la declaración de estado de alarma para la gestión de la situación de crisis sanitaria ocasionada por el COVID-19, efectuada mediante Real Decreto 463/2020, de 14 de marzo, sus modificaciones y sus prórrogas.</w:t>
        </w:r>
      </w:hyperlink>
    </w:p>
    <w:p w14:paraId="2986E153" w14:textId="70A9B5EF" w:rsidR="006B510A" w:rsidRPr="003B38E5" w:rsidRDefault="006B510A" w:rsidP="00C1460B">
      <w:pPr>
        <w:spacing w:after="240" w:line="276" w:lineRule="auto"/>
        <w:jc w:val="both"/>
        <w:rPr>
          <w:rFonts w:ascii="Arial" w:eastAsia="Times New Roman" w:hAnsi="Arial" w:cs="Arial"/>
          <w:sz w:val="21"/>
          <w:szCs w:val="21"/>
          <w:lang w:eastAsia="es-ES"/>
        </w:rPr>
      </w:pPr>
      <w:r w:rsidRPr="00973028">
        <w:rPr>
          <w:rFonts w:ascii="Arial" w:eastAsia="Times New Roman" w:hAnsi="Arial" w:cs="Arial"/>
          <w:color w:val="000000"/>
          <w:sz w:val="21"/>
          <w:szCs w:val="21"/>
          <w:lang w:eastAsia="es-ES"/>
        </w:rPr>
        <w:t>Así mismo, con la finalidad de clarificar la tramitación de convenios se elaboró y aprobó, con fecha 8 de mayo de 2020,</w:t>
      </w:r>
      <w:r w:rsidRPr="00973028">
        <w:rPr>
          <w:rFonts w:ascii="Arial" w:eastAsia="Times New Roman" w:hAnsi="Arial" w:cs="Arial"/>
          <w:color w:val="0070C0"/>
          <w:sz w:val="21"/>
          <w:szCs w:val="21"/>
          <w:lang w:eastAsia="es-ES"/>
        </w:rPr>
        <w:t xml:space="preserve"> </w:t>
      </w:r>
      <w:hyperlink r:id="rId142" w:history="1">
        <w:r w:rsidRPr="00973028">
          <w:rPr>
            <w:rStyle w:val="Hipervnculo"/>
            <w:rFonts w:ascii="Arial" w:eastAsia="Times New Roman" w:hAnsi="Arial" w:cs="Arial"/>
            <w:sz w:val="21"/>
            <w:szCs w:val="21"/>
            <w:lang w:eastAsia="es-ES"/>
          </w:rPr>
          <w:t>la Guía para la tramitación de convenios en la Agencia.</w:t>
        </w:r>
      </w:hyperlink>
    </w:p>
    <w:p w14:paraId="3EBE182B" w14:textId="1D6B260E"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Por otra parte, a petición de la Dirección de Análisis e Investigación de la Agencia, se evacuó </w:t>
      </w:r>
      <w:hyperlink r:id="rId143" w:history="1">
        <w:r w:rsidRPr="00973028">
          <w:rPr>
            <w:rStyle w:val="Hipervnculo"/>
            <w:rFonts w:ascii="Arial" w:eastAsia="Times New Roman" w:hAnsi="Arial" w:cs="Arial"/>
            <w:sz w:val="21"/>
            <w:szCs w:val="21"/>
            <w:lang w:eastAsia="es-ES"/>
          </w:rPr>
          <w:t>el informe jurídico, de fecha 10 de septiembre de 2020, en relación con una consulta realizada por el Ayuntamiento de València,</w:t>
        </w:r>
      </w:hyperlink>
      <w:r w:rsidRPr="00973028">
        <w:rPr>
          <w:rFonts w:ascii="Arial" w:eastAsia="Times New Roman" w:hAnsi="Arial" w:cs="Arial"/>
          <w:sz w:val="21"/>
          <w:szCs w:val="21"/>
          <w:lang w:eastAsia="es-ES"/>
        </w:rPr>
        <w:t xml:space="preserve"> </w:t>
      </w:r>
      <w:r w:rsidRPr="00973028">
        <w:rPr>
          <w:rFonts w:ascii="Arial" w:eastAsia="Times New Roman" w:hAnsi="Arial" w:cs="Arial"/>
          <w:color w:val="000000"/>
          <w:sz w:val="21"/>
          <w:szCs w:val="21"/>
          <w:lang w:eastAsia="es-ES"/>
        </w:rPr>
        <w:t>respecto de una solicitud de acceso a la información de un requerimiento realizado por la Agencia en un procedimiento de investigación.</w:t>
      </w:r>
    </w:p>
    <w:p w14:paraId="4DC35F80" w14:textId="55EDF316"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En relación con los sistemas de información, en especial, la implementación de la</w:t>
      </w:r>
      <w:r w:rsidR="00887DF3">
        <w:rPr>
          <w:rFonts w:ascii="Arial" w:eastAsia="Times New Roman" w:hAnsi="Arial" w:cs="Arial"/>
          <w:color w:val="000000"/>
          <w:sz w:val="21"/>
          <w:szCs w:val="21"/>
          <w:lang w:eastAsia="es-ES"/>
        </w:rPr>
        <w:t xml:space="preserve"> A</w:t>
      </w:r>
      <w:r w:rsidRPr="00973028">
        <w:rPr>
          <w:rFonts w:ascii="Arial" w:eastAsia="Times New Roman" w:hAnsi="Arial" w:cs="Arial"/>
          <w:color w:val="000000"/>
          <w:sz w:val="21"/>
          <w:szCs w:val="21"/>
          <w:lang w:eastAsia="es-ES"/>
        </w:rPr>
        <w:t>dministración electrónica, así como la tramitación a seguir en la formulación de sugerencias y quejas a la Agencia, se emitieron por su director, a propuesta de la Dirección de Asuntos Jurídicos, las siguientes resoluciones:</w:t>
      </w:r>
    </w:p>
    <w:p w14:paraId="5B33924E" w14:textId="2C914410" w:rsidR="006B510A" w:rsidRPr="00973028" w:rsidRDefault="001400EF" w:rsidP="005D7B04">
      <w:pPr>
        <w:numPr>
          <w:ilvl w:val="0"/>
          <w:numId w:val="28"/>
        </w:numPr>
        <w:spacing w:after="120" w:line="276" w:lineRule="auto"/>
        <w:ind w:left="567" w:firstLine="0"/>
        <w:jc w:val="both"/>
        <w:rPr>
          <w:rFonts w:ascii="Arial" w:eastAsia="Times New Roman" w:hAnsi="Arial" w:cs="Arial"/>
          <w:sz w:val="21"/>
          <w:szCs w:val="21"/>
          <w:lang w:eastAsia="es-ES"/>
        </w:rPr>
      </w:pPr>
      <w:hyperlink r:id="rId144" w:history="1">
        <w:r w:rsidR="006B510A" w:rsidRPr="00973028">
          <w:rPr>
            <w:rStyle w:val="Hipervnculo"/>
            <w:rFonts w:ascii="Arial" w:eastAsia="Times New Roman" w:hAnsi="Arial" w:cs="Arial"/>
            <w:sz w:val="21"/>
            <w:szCs w:val="21"/>
            <w:lang w:eastAsia="es-ES"/>
          </w:rPr>
          <w:t>Resolución núm. 111/2020, de 5 de mayo, por la que se crea su Registro de Actividades de Tratamiento.</w:t>
        </w:r>
      </w:hyperlink>
    </w:p>
    <w:p w14:paraId="02790F29" w14:textId="56470131" w:rsidR="006B510A" w:rsidRPr="00973028" w:rsidRDefault="001400EF" w:rsidP="005D7B04">
      <w:pPr>
        <w:numPr>
          <w:ilvl w:val="0"/>
          <w:numId w:val="28"/>
        </w:numPr>
        <w:spacing w:after="120" w:line="276" w:lineRule="auto"/>
        <w:ind w:left="567" w:firstLine="0"/>
        <w:jc w:val="both"/>
        <w:rPr>
          <w:rFonts w:ascii="Arial" w:eastAsia="Times New Roman" w:hAnsi="Arial" w:cs="Arial"/>
          <w:sz w:val="21"/>
          <w:szCs w:val="21"/>
          <w:lang w:eastAsia="es-ES"/>
        </w:rPr>
      </w:pPr>
      <w:hyperlink r:id="rId145" w:history="1">
        <w:r w:rsidR="006B510A" w:rsidRPr="00973028">
          <w:rPr>
            <w:rStyle w:val="Hipervnculo"/>
            <w:rFonts w:ascii="Arial" w:eastAsia="Times New Roman" w:hAnsi="Arial" w:cs="Arial"/>
            <w:sz w:val="21"/>
            <w:szCs w:val="21"/>
            <w:lang w:eastAsia="es-ES"/>
          </w:rPr>
          <w:t>Resolución núm. 203/2020, de 15 de junio, por la cual se aprueba la política de privacidad de la Agencia.</w:t>
        </w:r>
      </w:hyperlink>
    </w:p>
    <w:p w14:paraId="3FB026D9" w14:textId="76FA2CB2" w:rsidR="006B510A" w:rsidRPr="00973028" w:rsidRDefault="001400EF" w:rsidP="005D7B04">
      <w:pPr>
        <w:numPr>
          <w:ilvl w:val="0"/>
          <w:numId w:val="28"/>
        </w:numPr>
        <w:spacing w:after="120" w:line="276" w:lineRule="auto"/>
        <w:ind w:left="567" w:firstLine="0"/>
        <w:jc w:val="both"/>
        <w:rPr>
          <w:rFonts w:ascii="Arial" w:eastAsia="Times New Roman" w:hAnsi="Arial" w:cs="Arial"/>
          <w:sz w:val="21"/>
          <w:szCs w:val="21"/>
          <w:lang w:eastAsia="es-ES"/>
        </w:rPr>
      </w:pPr>
      <w:hyperlink r:id="rId146" w:history="1">
        <w:r w:rsidR="006B510A" w:rsidRPr="00973028">
          <w:rPr>
            <w:rStyle w:val="Hipervnculo"/>
            <w:rFonts w:ascii="Arial" w:eastAsia="Times New Roman" w:hAnsi="Arial" w:cs="Arial"/>
            <w:sz w:val="21"/>
            <w:szCs w:val="21"/>
            <w:lang w:eastAsia="es-ES"/>
          </w:rPr>
          <w:t>Resolución núm. 225/2020, de 26 de junio, por la que se aprueba la Política de Firma Electrónica y de Certificados de esta Agencia.</w:t>
        </w:r>
      </w:hyperlink>
    </w:p>
    <w:p w14:paraId="1FCEBEB1" w14:textId="318457BF" w:rsidR="006B510A" w:rsidRPr="00973028" w:rsidRDefault="001400EF" w:rsidP="005D7B04">
      <w:pPr>
        <w:numPr>
          <w:ilvl w:val="0"/>
          <w:numId w:val="28"/>
        </w:numPr>
        <w:spacing w:after="120" w:line="276" w:lineRule="auto"/>
        <w:ind w:left="567" w:firstLine="0"/>
        <w:jc w:val="both"/>
        <w:rPr>
          <w:rFonts w:ascii="Arial" w:eastAsia="Times New Roman" w:hAnsi="Arial" w:cs="Arial"/>
          <w:sz w:val="21"/>
          <w:szCs w:val="21"/>
          <w:lang w:eastAsia="es-ES"/>
        </w:rPr>
      </w:pPr>
      <w:hyperlink r:id="rId147" w:history="1">
        <w:r w:rsidR="006B510A" w:rsidRPr="00973028">
          <w:rPr>
            <w:rStyle w:val="Hipervnculo"/>
            <w:rFonts w:ascii="Arial" w:eastAsia="Times New Roman" w:hAnsi="Arial" w:cs="Arial"/>
            <w:sz w:val="21"/>
            <w:szCs w:val="21"/>
            <w:lang w:eastAsia="es-ES"/>
          </w:rPr>
          <w:t>Resolución núm. 262/2020, de 8 de julio, por la que se establecen las bases para la tramitación a seguir en la formulación de sugerencias y quejas de esta Agencia.</w:t>
        </w:r>
      </w:hyperlink>
    </w:p>
    <w:p w14:paraId="597645C5" w14:textId="26BE855A" w:rsidR="006B510A" w:rsidRPr="007F6F69" w:rsidRDefault="001400EF" w:rsidP="005D7B04">
      <w:pPr>
        <w:numPr>
          <w:ilvl w:val="0"/>
          <w:numId w:val="28"/>
        </w:numPr>
        <w:spacing w:after="240" w:line="276" w:lineRule="auto"/>
        <w:ind w:left="567" w:firstLine="0"/>
        <w:jc w:val="both"/>
        <w:rPr>
          <w:rFonts w:ascii="Arial" w:eastAsia="Times New Roman" w:hAnsi="Arial" w:cs="Arial"/>
          <w:sz w:val="21"/>
          <w:szCs w:val="21"/>
          <w:lang w:eastAsia="es-ES"/>
        </w:rPr>
      </w:pPr>
      <w:hyperlink r:id="rId148" w:history="1">
        <w:r w:rsidR="006B510A" w:rsidRPr="007F6F69">
          <w:rPr>
            <w:rStyle w:val="Hipervnculo"/>
            <w:rFonts w:ascii="Arial" w:eastAsia="Times New Roman" w:hAnsi="Arial" w:cs="Arial"/>
            <w:sz w:val="21"/>
            <w:szCs w:val="21"/>
            <w:lang w:eastAsia="es-ES"/>
          </w:rPr>
          <w:t>Resolución núm. 494/2020, de 2 de noviembre, por la que se solicita la adhesión de esta Agencia al convenio de colaboración, suscrito en fecha 6 de junio de 2016, entre el Ministerio de Hacienda y Administraciones Públicas (MINHAP) y la Generalitat de la Comunitat Valenciana para la</w:t>
        </w:r>
        <w:r w:rsidR="00CA14EC" w:rsidRPr="007F6F69">
          <w:rPr>
            <w:rStyle w:val="Hipervnculo"/>
            <w:rFonts w:ascii="Arial" w:eastAsia="Times New Roman" w:hAnsi="Arial" w:cs="Arial"/>
            <w:sz w:val="21"/>
            <w:szCs w:val="21"/>
            <w:lang w:eastAsia="es-ES"/>
          </w:rPr>
          <w:t xml:space="preserve"> prestación </w:t>
        </w:r>
        <w:r w:rsidR="006B510A" w:rsidRPr="007F6F69">
          <w:rPr>
            <w:rStyle w:val="Hipervnculo"/>
            <w:rFonts w:ascii="Arial" w:eastAsia="Times New Roman" w:hAnsi="Arial" w:cs="Arial"/>
            <w:sz w:val="21"/>
            <w:szCs w:val="21"/>
            <w:lang w:eastAsia="es-ES"/>
          </w:rPr>
          <w:t>mutua de soluciones básicas de administración electrónica.</w:t>
        </w:r>
      </w:hyperlink>
      <w:r w:rsidR="006B510A" w:rsidRPr="007F6F69">
        <w:rPr>
          <w:rFonts w:ascii="Arial" w:eastAsia="Times New Roman" w:hAnsi="Arial" w:cs="Arial"/>
          <w:sz w:val="21"/>
          <w:szCs w:val="21"/>
          <w:lang w:eastAsia="es-ES"/>
        </w:rPr>
        <w:t xml:space="preserve"> </w:t>
      </w:r>
    </w:p>
    <w:p w14:paraId="642E02B5" w14:textId="27B45A95"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Respecto a la materia de personal, cabe destacar la emisión del informe jurídico de 29 de julio de 2020, sobre los méritos y baremación de aplicación en los concursos específicos a celebrar para la provisión de determinados puestos de trabajo de la Agencia, en relación con </w:t>
      </w:r>
      <w:r w:rsidRPr="00973028">
        <w:rPr>
          <w:rFonts w:ascii="Arial" w:eastAsia="Times New Roman" w:hAnsi="Arial" w:cs="Arial"/>
          <w:color w:val="000000"/>
          <w:sz w:val="21"/>
          <w:szCs w:val="21"/>
          <w:lang w:eastAsia="es-ES"/>
        </w:rPr>
        <w:lastRenderedPageBreak/>
        <w:t>la propuesta formulada por el Área de Administración, Recursos Humanos y Gestión Económica de la Agencia.</w:t>
      </w:r>
    </w:p>
    <w:p w14:paraId="06E20CC1" w14:textId="7B153D88"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Por otra parte, con fecha 14 de septiembre de 2020, se dictó la </w:t>
      </w:r>
      <w:hyperlink r:id="rId149" w:history="1">
        <w:r w:rsidRPr="00973028">
          <w:rPr>
            <w:rStyle w:val="Hipervnculo"/>
            <w:rFonts w:ascii="Arial" w:eastAsia="Times New Roman" w:hAnsi="Arial" w:cs="Arial"/>
            <w:sz w:val="21"/>
            <w:szCs w:val="21"/>
            <w:lang w:eastAsia="es-ES"/>
          </w:rPr>
          <w:t>Resolución núm. 374/2020, por la que se modifica la composición del Consejo de Participación de esta Agencia</w:t>
        </w:r>
      </w:hyperlink>
      <w:r w:rsidRPr="00973028">
        <w:rPr>
          <w:rFonts w:ascii="Arial" w:eastAsia="Times New Roman" w:hAnsi="Arial" w:cs="Arial"/>
          <w:sz w:val="21"/>
          <w:szCs w:val="21"/>
          <w:lang w:eastAsia="es-ES"/>
        </w:rPr>
        <w:t xml:space="preserve"> </w:t>
      </w:r>
      <w:r w:rsidRPr="00973028">
        <w:rPr>
          <w:rFonts w:ascii="Arial" w:eastAsia="Times New Roman" w:hAnsi="Arial" w:cs="Arial"/>
          <w:color w:val="000000"/>
          <w:sz w:val="21"/>
          <w:szCs w:val="21"/>
          <w:lang w:eastAsia="es-ES"/>
        </w:rPr>
        <w:t>(BOCV núm. 105, de 25.09.2020 y DOGV núm. 8908, 18.09.2020).</w:t>
      </w:r>
    </w:p>
    <w:p w14:paraId="65B7DB94" w14:textId="118B3E65" w:rsidR="006B510A" w:rsidRPr="00973028" w:rsidRDefault="006B510A" w:rsidP="00C1460B">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Se aprobó en el mes de octubre, en concreto, el 5 de octubre, la </w:t>
      </w:r>
      <w:hyperlink r:id="rId150" w:history="1">
        <w:r w:rsidRPr="00973028">
          <w:rPr>
            <w:rStyle w:val="Hipervnculo"/>
            <w:rFonts w:ascii="Arial" w:eastAsia="Times New Roman" w:hAnsi="Arial" w:cs="Arial"/>
            <w:sz w:val="21"/>
            <w:szCs w:val="21"/>
            <w:lang w:eastAsia="es-ES"/>
          </w:rPr>
          <w:t>Resolución núm. 424/2020, del director de la Agencia, por la que se concreta el ámbito de actuación material de la misma</w:t>
        </w:r>
      </w:hyperlink>
      <w:r w:rsidRPr="00973028">
        <w:rPr>
          <w:rFonts w:ascii="Arial" w:eastAsia="Times New Roman" w:hAnsi="Arial" w:cs="Arial"/>
          <w:sz w:val="21"/>
          <w:szCs w:val="21"/>
          <w:lang w:eastAsia="es-ES"/>
        </w:rPr>
        <w:t xml:space="preserve">, a la que se hace referencia en esta Memoria en el epígrafe 4.2 relativo al Marco Normativo. </w:t>
      </w:r>
    </w:p>
    <w:p w14:paraId="293686E1" w14:textId="448C6410" w:rsidR="006B510A" w:rsidRPr="00973028" w:rsidRDefault="006B510A" w:rsidP="00C1460B">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El </w:t>
      </w:r>
      <w:r w:rsidRPr="00973028">
        <w:rPr>
          <w:rFonts w:ascii="Arial" w:eastAsia="Times New Roman" w:hAnsi="Arial" w:cs="Arial"/>
          <w:color w:val="000000"/>
          <w:sz w:val="21"/>
          <w:szCs w:val="21"/>
          <w:lang w:eastAsia="es-ES"/>
        </w:rPr>
        <w:t xml:space="preserve">23 de octubre de 2020 se elaboraron por la Dirección de Asuntos Jurídicos unas </w:t>
      </w:r>
      <w:hyperlink r:id="rId151" w:history="1">
        <w:r w:rsidRPr="00973028">
          <w:rPr>
            <w:rStyle w:val="Hipervnculo"/>
            <w:rFonts w:ascii="Arial" w:eastAsia="Times New Roman" w:hAnsi="Arial" w:cs="Arial"/>
            <w:sz w:val="21"/>
            <w:szCs w:val="21"/>
            <w:lang w:eastAsia="es-ES"/>
          </w:rPr>
          <w:t>Notas básicas en materia de incompatibilidades del personal al servicio de las Administraciones Públicas.</w:t>
        </w:r>
      </w:hyperlink>
      <w:r w:rsidRPr="00973028">
        <w:rPr>
          <w:rFonts w:ascii="Arial" w:eastAsia="Times New Roman" w:hAnsi="Arial" w:cs="Arial"/>
          <w:i/>
          <w:iCs/>
          <w:sz w:val="21"/>
          <w:szCs w:val="21"/>
          <w:lang w:eastAsia="es-ES"/>
        </w:rPr>
        <w:t xml:space="preserve"> </w:t>
      </w:r>
    </w:p>
    <w:p w14:paraId="77ECC97E" w14:textId="1E5B7F65"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También se emitió, en cumplimiento de las tareas de desarrollo reglamentario de la Agencia, la </w:t>
      </w:r>
      <w:hyperlink r:id="rId152" w:history="1">
        <w:r w:rsidRPr="00973028">
          <w:rPr>
            <w:rStyle w:val="Hipervnculo"/>
            <w:rFonts w:ascii="Arial" w:eastAsia="Times New Roman" w:hAnsi="Arial" w:cs="Arial"/>
            <w:sz w:val="21"/>
            <w:szCs w:val="21"/>
            <w:lang w:eastAsia="es-ES"/>
          </w:rPr>
          <w:t>Resolución núm. 666/2020, de 29 de diciembre, por la que se crea y regula el Registro de Acuerdos y Resoluciones adoptados por el director o directora de la Agencia.</w:t>
        </w:r>
      </w:hyperlink>
    </w:p>
    <w:p w14:paraId="1E347C55" w14:textId="5443D079" w:rsidR="006B510A" w:rsidRPr="00973028" w:rsidRDefault="006B510A" w:rsidP="00C1460B">
      <w:pPr>
        <w:spacing w:after="240" w:line="276" w:lineRule="auto"/>
        <w:jc w:val="both"/>
        <w:rPr>
          <w:rFonts w:ascii="Arial" w:eastAsia="Times New Roman" w:hAnsi="Arial" w:cs="Arial"/>
          <w:sz w:val="21"/>
          <w:szCs w:val="21"/>
          <w:lang w:eastAsia="es-ES"/>
        </w:rPr>
      </w:pPr>
      <w:r w:rsidRPr="00973028">
        <w:rPr>
          <w:rFonts w:ascii="Arial" w:eastAsia="Times New Roman" w:hAnsi="Arial" w:cs="Arial"/>
          <w:color w:val="000000"/>
          <w:sz w:val="21"/>
          <w:szCs w:val="21"/>
          <w:lang w:eastAsia="es-ES"/>
        </w:rPr>
        <w:t xml:space="preserve">Para finalizar el año, se aprobó y publicó en el portal de transparencia la </w:t>
      </w:r>
      <w:hyperlink r:id="rId153" w:history="1">
        <w:r w:rsidRPr="00973028">
          <w:rPr>
            <w:rStyle w:val="Hipervnculo"/>
            <w:rFonts w:ascii="Arial" w:eastAsia="Times New Roman" w:hAnsi="Arial" w:cs="Arial"/>
            <w:sz w:val="21"/>
            <w:szCs w:val="21"/>
            <w:lang w:eastAsia="es-ES"/>
          </w:rPr>
          <w:t>Resolución núm. 671/2020, de 30 de diciembre, del director de la Agencia, por la que se aprueba el Plan Anual Normativo de la Agencia para el año 2021.</w:t>
        </w:r>
      </w:hyperlink>
    </w:p>
    <w:p w14:paraId="37CFFD2B" w14:textId="26C56A37" w:rsidR="006B510A" w:rsidRPr="00973028" w:rsidRDefault="006B510A" w:rsidP="00C1460B">
      <w:pPr>
        <w:spacing w:after="240" w:line="276" w:lineRule="auto"/>
        <w:jc w:val="both"/>
        <w:rPr>
          <w:rFonts w:ascii="Arial" w:hAnsi="Arial"/>
          <w:sz w:val="21"/>
          <w:szCs w:val="21"/>
        </w:rPr>
      </w:pPr>
      <w:r w:rsidRPr="00973028">
        <w:rPr>
          <w:rFonts w:ascii="Arial" w:eastAsia="Times New Roman" w:hAnsi="Arial" w:cs="Arial"/>
          <w:sz w:val="21"/>
          <w:szCs w:val="21"/>
          <w:lang w:eastAsia="es-ES"/>
        </w:rPr>
        <w:t xml:space="preserve">Asimismo, por parte de la Dirección de Asuntos Jurídicos se prestó asesoramiento a la Dirección de Análisis e Investigación en relación con la colaboración y asistencia por parte de la AVAF, junto con el Servicio Nacional de Coordinación Antifraude (SNCA), a la </w:t>
      </w:r>
      <w:r w:rsidRPr="00973028">
        <w:rPr>
          <w:rFonts w:ascii="Arial" w:hAnsi="Arial"/>
          <w:sz w:val="21"/>
          <w:szCs w:val="21"/>
        </w:rPr>
        <w:t xml:space="preserve">Oficina Europea de Lucha contra el Fraude (OLAF) dependiente de la Comisión Europea, en procedimientos de investigación abiertos por esta Oficina relacionados con </w:t>
      </w:r>
      <w:r w:rsidRPr="00973028">
        <w:rPr>
          <w:rFonts w:ascii="Arial" w:eastAsia="Times New Roman" w:hAnsi="Arial" w:cs="Arial"/>
          <w:sz w:val="21"/>
          <w:szCs w:val="21"/>
          <w:lang w:eastAsia="es-ES"/>
        </w:rPr>
        <w:t>fondos regionales europeos, que afectaban también a fondos estatales y autonómicos, dentro del territorio de la Comunitat Valenciana.</w:t>
      </w:r>
    </w:p>
    <w:p w14:paraId="6E2BE923" w14:textId="7E887C5F" w:rsidR="006B510A" w:rsidRPr="00973028" w:rsidRDefault="006B510A" w:rsidP="00C1460B">
      <w:pPr>
        <w:spacing w:after="240" w:line="276" w:lineRule="auto"/>
        <w:jc w:val="both"/>
        <w:rPr>
          <w:rFonts w:ascii="Arial" w:eastAsia="Times New Roman" w:hAnsi="Arial" w:cs="Arial"/>
          <w:color w:val="000000" w:themeColor="text1"/>
          <w:sz w:val="21"/>
          <w:szCs w:val="21"/>
          <w:lang w:eastAsia="es-ES"/>
        </w:rPr>
      </w:pPr>
      <w:r w:rsidRPr="00973028">
        <w:rPr>
          <w:rFonts w:ascii="Arial" w:eastAsia="Times New Roman" w:hAnsi="Arial" w:cs="Arial"/>
          <w:color w:val="000000"/>
          <w:sz w:val="21"/>
          <w:szCs w:val="21"/>
          <w:lang w:eastAsia="es-ES"/>
        </w:rPr>
        <w:t xml:space="preserve">Por otra parte, en otro orden de cosas, la Dirección de Asuntos Jurídicos ejerce, en cumplimiento de lo dispuesto en el artículo 21.1.g) del Reglamento de funcionamiento y régimen interior de la Agencia, la función certificadora de las </w:t>
      </w:r>
      <w:r w:rsidRPr="00973028">
        <w:rPr>
          <w:rFonts w:ascii="Arial" w:eastAsia="Times New Roman" w:hAnsi="Arial" w:cs="Arial"/>
          <w:color w:val="000000" w:themeColor="text1"/>
          <w:sz w:val="21"/>
          <w:szCs w:val="21"/>
          <w:lang w:eastAsia="es-ES"/>
        </w:rPr>
        <w:t>actuaciones generadas por esta, así como la de secretaría general.</w:t>
      </w:r>
    </w:p>
    <w:p w14:paraId="64FFC8AB" w14:textId="551831C9"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En relación con la función de </w:t>
      </w:r>
      <w:r w:rsidRPr="00973028">
        <w:rPr>
          <w:rFonts w:ascii="Arial" w:eastAsia="Times New Roman" w:hAnsi="Arial" w:cs="Arial"/>
          <w:b/>
          <w:bCs/>
          <w:color w:val="000000"/>
          <w:sz w:val="21"/>
          <w:szCs w:val="21"/>
          <w:lang w:eastAsia="es-ES"/>
        </w:rPr>
        <w:t>secretaría de la Mesa de negociación</w:t>
      </w:r>
      <w:r w:rsidRPr="00973028">
        <w:rPr>
          <w:rFonts w:ascii="Arial" w:eastAsia="Times New Roman" w:hAnsi="Arial" w:cs="Arial"/>
          <w:color w:val="000000"/>
          <w:sz w:val="21"/>
          <w:szCs w:val="21"/>
          <w:lang w:eastAsia="es-ES"/>
        </w:rPr>
        <w:t xml:space="preserve"> de la Agencia, integrada por representantes de la propia Agencia y de las organizaciones sindicales FeSP-UGT, CC.OO y Stas-Intersindical Valenciana, cabe subrayar que se han mantenido durante 2020 varias reuniones a fin de tratar temas objeto de negociación colectiva, de acuerdo con lo dispuesto en el artículo 37 del Real Decreto Legislativo 5/2015, de 30 de octubre, por el que se aprueba el texto refundido de la Ley del Estatuto Básico del Empleado Público y el artículo 154.2 de la Ley 10/2010, de 9 de julio, de la Generalitat, de ordenación y gestión de la Función Pública Valenciana. </w:t>
      </w:r>
    </w:p>
    <w:p w14:paraId="0F380B82" w14:textId="1C3ACDCE"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Así, la Mesa de negociación de la Agencia se ha reunido en cuatro ocasiones, concretamente, en fechas 11 de febrero, 26 de febrero, 23 de julio y 14 de diciembre de </w:t>
      </w:r>
      <w:r w:rsidRPr="00973028">
        <w:rPr>
          <w:rFonts w:ascii="Arial" w:eastAsia="Times New Roman" w:hAnsi="Arial" w:cs="Arial"/>
          <w:color w:val="000000"/>
          <w:sz w:val="21"/>
          <w:szCs w:val="21"/>
          <w:lang w:eastAsia="es-ES"/>
        </w:rPr>
        <w:lastRenderedPageBreak/>
        <w:t xml:space="preserve">2020, a las que ha asistido la Dirección de Asuntos Jurídicos, levantando la correspondiente acta de cada una de ellas. </w:t>
      </w:r>
    </w:p>
    <w:p w14:paraId="47026A96" w14:textId="16F60CE3"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Han sido temas tratados en estas reuniones, entre otros, la creación, conforme al presupuesto aprobado, de nuevos puestos de trabajo y su incorporación a la Relación de Puestos de Trabajo de la Agencia, la modificación de los requisitos exigidos en algunos otros puestos, la reclasificación de un puesto de trabajo por razones organizativas, el incremento del 0,9% de las retribuciones para el ejercicio 2021, y el Plan de Continuidad frente al Coronavirus SARS-CoV-2. </w:t>
      </w:r>
    </w:p>
    <w:p w14:paraId="539157EE" w14:textId="78592B04"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Por último, esta Dirección de Asuntos Jurídicos también ha ejercido la secretaría del Consejo de Participación de la Agencia, que durante el 2020 ha celebrado, de manera telemática, reuniones plenarias los días 30 de junio y 11 de noviembre de 2020.</w:t>
      </w:r>
    </w:p>
    <w:p w14:paraId="0532416C" w14:textId="0FD42E65"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sz w:val="21"/>
          <w:szCs w:val="21"/>
          <w:lang w:eastAsia="es-ES"/>
        </w:rPr>
        <w:t xml:space="preserve">En la sesión constitutiva del Consejo de Participación celebrada el 4 de octubre de 2019 se creó, en su seno, un grupo de trabajo específico bajo la temática </w:t>
      </w:r>
      <w:r w:rsidRPr="00973028">
        <w:rPr>
          <w:rFonts w:ascii="Arial" w:eastAsia="Times New Roman" w:hAnsi="Arial" w:cs="Arial"/>
          <w:color w:val="000000"/>
          <w:sz w:val="21"/>
          <w:szCs w:val="21"/>
          <w:lang w:eastAsia="es-ES"/>
        </w:rPr>
        <w:t xml:space="preserve">“Protección del denunciante”. </w:t>
      </w:r>
    </w:p>
    <w:p w14:paraId="69FACDED" w14:textId="5A048892"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A la Dirección de Asuntos Jurídicos le corresponde la organización y coordinación de este grupo de trabajo, en el que han intervenido representantes de organizaciones cívicas y sociales integrantes del Consejo de Participación, como son la Asociación Española Sujetos Obligados en Prevención del Blanqueo (ASEBLAC), Transparencia Internacional España (TIE), el Sindicato de Técnicos del Ministerio de Hacienda (GESTHA), la Asociación de Alertadores contra la Corrupción (AcC), la Fundación por la Justicia (FxJ), la Fundación Internacional Baltasar Garzón (FIBGAR), la Open Society Initative for Europe – OSIFE y la Plataforma por la Honestidad (PlxH).</w:t>
      </w:r>
    </w:p>
    <w:p w14:paraId="55BAF91A" w14:textId="77777777"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Así pues, con carácter previo a cada una de las dos reuniones del Consejo de Participación, tuvieron lugar en 2020 sendas sesiones telemáticas de este grupo de trabajo, que fueron continuadas por trabajos posteriores y comentarios compartidos a través de correo electrónico por el conjunto de los participantes.</w:t>
      </w:r>
    </w:p>
    <w:p w14:paraId="427DCAC0" w14:textId="7AF8257F"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En efecto, el 14 de mayo de 2020 se reunió este grupo de trabajo para tratar, entre otros temas, el </w:t>
      </w:r>
      <w:r w:rsidRPr="00973028">
        <w:rPr>
          <w:rFonts w:ascii="Arial" w:hAnsi="Arial" w:cs="Arial"/>
          <w:sz w:val="21"/>
          <w:szCs w:val="21"/>
        </w:rPr>
        <w:t>estado de la situación de la protección de las personas denunciantes en la Agencia con referencia a la Memoria de actividad del ejercicio 2019, la situación de la protección de las personas denunciantes en España y la necesidad de transposición de la Directiva 2019/1937 (UE). También tuvo lugar un turno abierto de palabra dirigido a todos los participantes para realizar aportaciones, propuestas o comentarios.</w:t>
      </w:r>
    </w:p>
    <w:p w14:paraId="702D9AB6" w14:textId="1CC37EE3"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Los objetivos de la reunión fueron poner a disposición de los participantes la experiencia de la Agencia dentro de este ámbito, intercambiar otras experiencias y opiniones, debatir sobre los elementos esenciales para una correcta transposición de la Directiva, y proponer posibles líneas de actuación y estrategias para elevar al Consejo de Participación.</w:t>
      </w:r>
    </w:p>
    <w:p w14:paraId="17EEEFEB" w14:textId="65CF1A20" w:rsidR="006B510A" w:rsidRPr="00973028" w:rsidRDefault="006B510A" w:rsidP="00C1460B">
      <w:pPr>
        <w:spacing w:after="240" w:line="276" w:lineRule="auto"/>
        <w:jc w:val="both"/>
        <w:rPr>
          <w:rFonts w:ascii="Arial" w:eastAsia="Arial" w:hAnsi="Arial" w:cs="Arial"/>
          <w:sz w:val="21"/>
          <w:szCs w:val="21"/>
        </w:rPr>
      </w:pPr>
      <w:r w:rsidRPr="00973028">
        <w:rPr>
          <w:rFonts w:ascii="Arial" w:eastAsia="Times New Roman" w:hAnsi="Arial" w:cs="Arial"/>
          <w:color w:val="000000"/>
          <w:sz w:val="21"/>
          <w:szCs w:val="21"/>
          <w:lang w:eastAsia="es-ES"/>
        </w:rPr>
        <w:t xml:space="preserve">En este sentido, la reunión concluyó con el acuerdo de propuesta para que el grupo se implicase en la confección de un breve </w:t>
      </w:r>
      <w:r w:rsidRPr="00973028">
        <w:rPr>
          <w:rFonts w:ascii="Arial" w:eastAsia="Arial" w:hAnsi="Arial" w:cs="Arial"/>
          <w:sz w:val="21"/>
          <w:szCs w:val="21"/>
        </w:rPr>
        <w:t xml:space="preserve">documento en el que hacer figurar los principios que han de regir la protección de personas denunciantes. Dicha propuesta derivó en </w:t>
      </w:r>
      <w:r w:rsidRPr="00973028">
        <w:rPr>
          <w:rFonts w:ascii="Arial" w:eastAsia="Times New Roman" w:hAnsi="Arial" w:cs="Arial"/>
          <w:color w:val="000000"/>
          <w:sz w:val="21"/>
          <w:szCs w:val="21"/>
          <w:lang w:eastAsia="es-ES"/>
        </w:rPr>
        <w:t xml:space="preserve">la elaboración del </w:t>
      </w:r>
      <w:hyperlink r:id="rId154" w:history="1">
        <w:r w:rsidRPr="00973028">
          <w:rPr>
            <w:rStyle w:val="Hipervnculo"/>
            <w:rFonts w:ascii="Arial" w:eastAsia="Times New Roman" w:hAnsi="Arial" w:cs="Arial"/>
            <w:sz w:val="21"/>
            <w:szCs w:val="21"/>
            <w:lang w:eastAsia="es-ES"/>
          </w:rPr>
          <w:t>“Decálogo de principios que deben regir la protección de la persona denunciante o alertadoras”</w:t>
        </w:r>
      </w:hyperlink>
      <w:r w:rsidRPr="00973028">
        <w:rPr>
          <w:rFonts w:ascii="Arial" w:eastAsia="Times New Roman" w:hAnsi="Arial" w:cs="Arial"/>
          <w:color w:val="000000"/>
          <w:sz w:val="21"/>
          <w:szCs w:val="21"/>
          <w:lang w:eastAsia="es-ES"/>
        </w:rPr>
        <w:t>, que se elevó al Consejo de Participación y fue ratificado por el mismo en su sesión de junio de 2020.</w:t>
      </w:r>
    </w:p>
    <w:p w14:paraId="1B4C94C6" w14:textId="572A88F6" w:rsidR="006B510A" w:rsidRPr="00973028" w:rsidRDefault="006B510A" w:rsidP="00C1460B">
      <w:pPr>
        <w:pStyle w:val="Textbody"/>
        <w:spacing w:after="240" w:line="276" w:lineRule="auto"/>
        <w:jc w:val="both"/>
        <w:textAlignment w:val="auto"/>
        <w:rPr>
          <w:rFonts w:ascii="Arial" w:hAnsi="Arial"/>
          <w:sz w:val="21"/>
          <w:szCs w:val="21"/>
        </w:rPr>
      </w:pPr>
      <w:r w:rsidRPr="00973028">
        <w:rPr>
          <w:rFonts w:ascii="Arial" w:eastAsia="Arial" w:hAnsi="Arial"/>
          <w:sz w:val="21"/>
          <w:szCs w:val="21"/>
        </w:rPr>
        <w:t xml:space="preserve">La segunda reunión del grupo de trabajo tuvo lugar el </w:t>
      </w:r>
      <w:r w:rsidRPr="00973028">
        <w:rPr>
          <w:rFonts w:ascii="Arial" w:eastAsia="Times New Roman" w:hAnsi="Arial"/>
          <w:color w:val="000000"/>
          <w:sz w:val="21"/>
          <w:szCs w:val="21"/>
          <w:lang w:eastAsia="es-ES"/>
        </w:rPr>
        <w:t xml:space="preserve">28 de octubre de 2020. En el orden del día de esta reunión se contemplaba, de un lado, la </w:t>
      </w:r>
      <w:r w:rsidRPr="00973028">
        <w:rPr>
          <w:rFonts w:ascii="Arial" w:hAnsi="Arial"/>
          <w:sz w:val="21"/>
          <w:szCs w:val="21"/>
        </w:rPr>
        <w:t>presentación de la nueva metodología y directrices de Transparencia Internacional para una evaluación de la transposición de la Directiva (UE) 2019/1937, a cargo de David Martínez, y de otro, la exposición de la guía para transponer la Directiva Europea 2019/1937 de protección de alertadores como herramienta de evaluación online y buenas prácticas, a cargo de Bruno Galizzi en representación de FIBGAR.</w:t>
      </w:r>
    </w:p>
    <w:p w14:paraId="1765A324" w14:textId="31305B3E" w:rsidR="00096F00" w:rsidRPr="00096F00" w:rsidRDefault="006B510A" w:rsidP="00C1460B">
      <w:pPr>
        <w:spacing w:after="240" w:line="276" w:lineRule="auto"/>
        <w:jc w:val="both"/>
        <w:rPr>
          <w:rFonts w:ascii="Arial" w:hAnsi="Arial" w:cs="Arial"/>
          <w:sz w:val="21"/>
          <w:szCs w:val="21"/>
        </w:rPr>
      </w:pPr>
      <w:r w:rsidRPr="00973028">
        <w:rPr>
          <w:rFonts w:ascii="Arial" w:eastAsia="Times New Roman" w:hAnsi="Arial" w:cs="Arial"/>
          <w:color w:val="000000"/>
          <w:sz w:val="21"/>
          <w:szCs w:val="21"/>
          <w:lang w:eastAsia="es-ES"/>
        </w:rPr>
        <w:t>Eran objetivos de esta reunión la e</w:t>
      </w:r>
      <w:r w:rsidRPr="00973028">
        <w:rPr>
          <w:rFonts w:ascii="Arial" w:hAnsi="Arial" w:cs="Arial"/>
          <w:sz w:val="21"/>
          <w:szCs w:val="21"/>
        </w:rPr>
        <w:t>xposición, por parte de dos organizaciones sociales presentes en el Consejo de Participación de la AVAF, de sus recientes trabajos en relación con la adecuada implementación en los diferentes Estados de la citada Directiva, y la apertura de un debate en relación con este asunto con la participación de todos los miembros del grupo.</w:t>
      </w:r>
    </w:p>
    <w:p w14:paraId="4B232F55" w14:textId="567F3D22" w:rsidR="006B510A" w:rsidRPr="00E973F1" w:rsidRDefault="006B510A" w:rsidP="00E973F1">
      <w:pPr>
        <w:pStyle w:val="Prrafodelista"/>
        <w:keepNext/>
        <w:numPr>
          <w:ilvl w:val="1"/>
          <w:numId w:val="25"/>
        </w:numPr>
        <w:spacing w:before="360" w:after="240" w:line="276" w:lineRule="auto"/>
        <w:ind w:left="851" w:hanging="851"/>
        <w:contextualSpacing w:val="0"/>
        <w:jc w:val="both"/>
        <w:outlineLvl w:val="1"/>
        <w:rPr>
          <w:rFonts w:ascii="Arial" w:eastAsia="Times New Roman" w:hAnsi="Arial" w:cs="Arial"/>
          <w:b/>
          <w:color w:val="9D2235" w:themeColor="accent1"/>
          <w:sz w:val="32"/>
          <w:szCs w:val="32"/>
        </w:rPr>
      </w:pPr>
      <w:bookmarkStart w:id="173" w:name="_Toc67646295"/>
      <w:r w:rsidRPr="00E973F1">
        <w:rPr>
          <w:rFonts w:ascii="Arial" w:eastAsia="Times New Roman" w:hAnsi="Arial" w:cs="Arial"/>
          <w:b/>
          <w:color w:val="9D2235" w:themeColor="accent1"/>
          <w:sz w:val="32"/>
          <w:szCs w:val="32"/>
        </w:rPr>
        <w:t>Procedimientos judiciales</w:t>
      </w:r>
      <w:bookmarkEnd w:id="173"/>
    </w:p>
    <w:p w14:paraId="48BD2D02" w14:textId="09F6D440"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Ante las impugnaciones efectuadas por diferentes personas físicas o jurídicas de algunas resoluciones emitidas por la AVAF en el ejercicio de sus funciones, esta ha intervenido en sede judicial en diferentes </w:t>
      </w:r>
      <w:r w:rsidRPr="00973028">
        <w:rPr>
          <w:rFonts w:ascii="Arial" w:eastAsia="Times New Roman" w:hAnsi="Arial" w:cs="Arial"/>
          <w:b/>
          <w:bCs/>
          <w:color w:val="000000"/>
          <w:sz w:val="21"/>
          <w:szCs w:val="21"/>
          <w:lang w:eastAsia="es-ES"/>
        </w:rPr>
        <w:t xml:space="preserve">procedimientos </w:t>
      </w:r>
      <w:r w:rsidRPr="00973028">
        <w:rPr>
          <w:rFonts w:ascii="Arial" w:eastAsia="Times New Roman" w:hAnsi="Arial" w:cs="Arial"/>
          <w:b/>
          <w:bCs/>
          <w:sz w:val="21"/>
          <w:szCs w:val="21"/>
          <w:lang w:eastAsia="es-ES"/>
        </w:rPr>
        <w:t>contenciosos-</w:t>
      </w:r>
      <w:r w:rsidRPr="00973028">
        <w:rPr>
          <w:rFonts w:ascii="Arial" w:eastAsia="Times New Roman" w:hAnsi="Arial" w:cs="Arial"/>
          <w:b/>
          <w:bCs/>
          <w:color w:val="000000"/>
          <w:sz w:val="21"/>
          <w:szCs w:val="21"/>
          <w:lang w:eastAsia="es-ES"/>
        </w:rPr>
        <w:t xml:space="preserve">administrativos. </w:t>
      </w:r>
      <w:r w:rsidRPr="00973028">
        <w:rPr>
          <w:rFonts w:ascii="Arial" w:eastAsia="Times New Roman" w:hAnsi="Arial" w:cs="Arial"/>
          <w:color w:val="000000"/>
          <w:sz w:val="21"/>
          <w:szCs w:val="21"/>
          <w:lang w:eastAsia="es-ES"/>
        </w:rPr>
        <w:t>En dichos procedimientos la Agencia ha comparecido en los autos como parte demandada, presentando los correspondientes escritos procesales y realizando las actuaciones correspondientes en defensa de la validez de los actos recurridos.</w:t>
      </w:r>
    </w:p>
    <w:p w14:paraId="5D3949EE" w14:textId="0474FC1E" w:rsidR="009B69A4" w:rsidRPr="00973028" w:rsidRDefault="007F4E1B" w:rsidP="00C1460B">
      <w:pPr>
        <w:spacing w:after="240" w:line="276" w:lineRule="auto"/>
        <w:jc w:val="both"/>
        <w:rPr>
          <w:rFonts w:ascii="Arial" w:eastAsia="Times New Roman" w:hAnsi="Arial" w:cs="Arial"/>
          <w:color w:val="000000"/>
          <w:sz w:val="21"/>
          <w:szCs w:val="21"/>
          <w:lang w:eastAsia="es-ES"/>
        </w:rPr>
      </w:pPr>
      <w:bookmarkStart w:id="174" w:name="_Hlk65153946"/>
      <w:r w:rsidRPr="00973028">
        <w:rPr>
          <w:rFonts w:ascii="Arial" w:eastAsia="Times New Roman" w:hAnsi="Arial" w:cs="Arial"/>
          <w:color w:val="000000"/>
          <w:sz w:val="21"/>
          <w:szCs w:val="21"/>
          <w:lang w:eastAsia="es-ES"/>
        </w:rPr>
        <w:t>La</w:t>
      </w:r>
      <w:r w:rsidR="009B69A4" w:rsidRPr="00973028">
        <w:rPr>
          <w:rFonts w:ascii="Arial" w:eastAsia="Times New Roman" w:hAnsi="Arial" w:cs="Arial"/>
          <w:color w:val="000000"/>
          <w:sz w:val="21"/>
          <w:szCs w:val="21"/>
          <w:lang w:eastAsia="es-ES"/>
        </w:rPr>
        <w:t xml:space="preserve"> Agencia dispone </w:t>
      </w:r>
      <w:r w:rsidRPr="00973028">
        <w:rPr>
          <w:rFonts w:ascii="Arial" w:eastAsia="Times New Roman" w:hAnsi="Arial" w:cs="Arial"/>
          <w:color w:val="000000"/>
          <w:sz w:val="21"/>
          <w:szCs w:val="21"/>
          <w:lang w:eastAsia="es-ES"/>
        </w:rPr>
        <w:t>desde este año, de acceso</w:t>
      </w:r>
      <w:r w:rsidR="00914062" w:rsidRPr="00973028">
        <w:rPr>
          <w:rFonts w:ascii="Arial" w:eastAsia="Times New Roman" w:hAnsi="Arial" w:cs="Arial"/>
          <w:color w:val="000000"/>
          <w:sz w:val="21"/>
          <w:szCs w:val="21"/>
          <w:lang w:eastAsia="es-ES"/>
        </w:rPr>
        <w:t xml:space="preserve"> a </w:t>
      </w:r>
      <w:r w:rsidR="00914062" w:rsidRPr="00973028">
        <w:rPr>
          <w:rFonts w:ascii="Arial" w:eastAsia="Times New Roman" w:hAnsi="Arial" w:cs="Arial"/>
          <w:b/>
          <w:bCs/>
          <w:color w:val="000000"/>
          <w:sz w:val="21"/>
          <w:szCs w:val="21"/>
          <w:lang w:eastAsia="es-ES"/>
        </w:rPr>
        <w:t>LexNET</w:t>
      </w:r>
      <w:r w:rsidR="00914062" w:rsidRPr="00973028">
        <w:rPr>
          <w:rFonts w:ascii="Arial" w:eastAsia="Times New Roman" w:hAnsi="Arial" w:cs="Arial"/>
          <w:color w:val="000000"/>
          <w:sz w:val="21"/>
          <w:szCs w:val="21"/>
          <w:lang w:eastAsia="es-ES"/>
        </w:rPr>
        <w:t>, e</w:t>
      </w:r>
      <w:r w:rsidRPr="00973028">
        <w:rPr>
          <w:rFonts w:ascii="Arial" w:eastAsia="Times New Roman" w:hAnsi="Arial" w:cs="Arial"/>
          <w:color w:val="000000"/>
          <w:sz w:val="21"/>
          <w:szCs w:val="21"/>
          <w:lang w:eastAsia="es-ES"/>
        </w:rPr>
        <w:t>l sistema de gestión de notificaciones telemáticas y envío de escritos desarrollado por el Ministerio de Justicia</w:t>
      </w:r>
      <w:r w:rsidR="00914062" w:rsidRPr="00973028">
        <w:rPr>
          <w:rFonts w:ascii="Arial" w:eastAsia="Times New Roman" w:hAnsi="Arial" w:cs="Arial"/>
          <w:color w:val="000000"/>
          <w:sz w:val="21"/>
          <w:szCs w:val="21"/>
          <w:lang w:eastAsia="es-ES"/>
        </w:rPr>
        <w:t xml:space="preserve">, cuyo uso se encuentra regulado en el </w:t>
      </w:r>
      <w:hyperlink r:id="rId155" w:history="1">
        <w:r w:rsidR="00914062" w:rsidRPr="00973028">
          <w:rPr>
            <w:rStyle w:val="Hipervnculo"/>
            <w:rFonts w:ascii="Arial" w:hAnsi="Arial" w:cs="Arial"/>
            <w:sz w:val="21"/>
            <w:szCs w:val="21"/>
            <w:shd w:val="clear" w:color="auto" w:fill="FFFFFF"/>
          </w:rPr>
          <w:t>Real Decreto 84/2007, de 26 de enero, sobre implantación en la Administración de Justicia del sistema informático de telecomunicaciones Lexnet para la presentación de escritos y documentos, el traslado de copias y la realización de actos de comunicación procesal por medios telemáticos</w:t>
        </w:r>
      </w:hyperlink>
      <w:r w:rsidRPr="00973028">
        <w:rPr>
          <w:rFonts w:ascii="Arial" w:eastAsia="Times New Roman" w:hAnsi="Arial" w:cs="Arial"/>
          <w:color w:val="000000"/>
          <w:sz w:val="21"/>
          <w:szCs w:val="21"/>
          <w:lang w:eastAsia="es-ES"/>
        </w:rPr>
        <w:t>. Mediante dicho sistema se ha</w:t>
      </w:r>
      <w:r w:rsidR="00914062" w:rsidRPr="00973028">
        <w:rPr>
          <w:rFonts w:ascii="Arial" w:eastAsia="Times New Roman" w:hAnsi="Arial" w:cs="Arial"/>
          <w:color w:val="000000"/>
          <w:sz w:val="21"/>
          <w:szCs w:val="21"/>
          <w:lang w:eastAsia="es-ES"/>
        </w:rPr>
        <w:t>n</w:t>
      </w:r>
      <w:r w:rsidRPr="00973028">
        <w:rPr>
          <w:rFonts w:ascii="Arial" w:eastAsia="Times New Roman" w:hAnsi="Arial" w:cs="Arial"/>
          <w:color w:val="000000"/>
          <w:sz w:val="21"/>
          <w:szCs w:val="21"/>
          <w:lang w:eastAsia="es-ES"/>
        </w:rPr>
        <w:t xml:space="preserve"> agilizado de forma considerable la</w:t>
      </w:r>
      <w:r w:rsidR="00914062" w:rsidRPr="00973028">
        <w:rPr>
          <w:rFonts w:ascii="Arial" w:eastAsia="Times New Roman" w:hAnsi="Arial" w:cs="Arial"/>
          <w:color w:val="000000"/>
          <w:sz w:val="21"/>
          <w:szCs w:val="21"/>
          <w:lang w:eastAsia="es-ES"/>
        </w:rPr>
        <w:t>s</w:t>
      </w:r>
      <w:r w:rsidRPr="00973028">
        <w:rPr>
          <w:rFonts w:ascii="Arial" w:eastAsia="Times New Roman" w:hAnsi="Arial" w:cs="Arial"/>
          <w:color w:val="000000"/>
          <w:sz w:val="21"/>
          <w:szCs w:val="21"/>
          <w:lang w:eastAsia="es-ES"/>
        </w:rPr>
        <w:t xml:space="preserve"> interacci</w:t>
      </w:r>
      <w:r w:rsidR="00914062" w:rsidRPr="00973028">
        <w:rPr>
          <w:rFonts w:ascii="Arial" w:eastAsia="Times New Roman" w:hAnsi="Arial" w:cs="Arial"/>
          <w:color w:val="000000"/>
          <w:sz w:val="21"/>
          <w:szCs w:val="21"/>
          <w:lang w:eastAsia="es-ES"/>
        </w:rPr>
        <w:t>o</w:t>
      </w:r>
      <w:r w:rsidRPr="00973028">
        <w:rPr>
          <w:rFonts w:ascii="Arial" w:eastAsia="Times New Roman" w:hAnsi="Arial" w:cs="Arial"/>
          <w:color w:val="000000"/>
          <w:sz w:val="21"/>
          <w:szCs w:val="21"/>
          <w:lang w:eastAsia="es-ES"/>
        </w:rPr>
        <w:t>n</w:t>
      </w:r>
      <w:r w:rsidR="00914062" w:rsidRPr="00973028">
        <w:rPr>
          <w:rFonts w:ascii="Arial" w:eastAsia="Times New Roman" w:hAnsi="Arial" w:cs="Arial"/>
          <w:color w:val="000000"/>
          <w:sz w:val="21"/>
          <w:szCs w:val="21"/>
          <w:lang w:eastAsia="es-ES"/>
        </w:rPr>
        <w:t>es</w:t>
      </w:r>
      <w:r w:rsidRPr="00973028">
        <w:rPr>
          <w:rFonts w:ascii="Arial" w:eastAsia="Times New Roman" w:hAnsi="Arial" w:cs="Arial"/>
          <w:color w:val="000000"/>
          <w:sz w:val="21"/>
          <w:szCs w:val="21"/>
          <w:lang w:eastAsia="es-ES"/>
        </w:rPr>
        <w:t xml:space="preserve"> </w:t>
      </w:r>
      <w:r w:rsidR="00914062" w:rsidRPr="00973028">
        <w:rPr>
          <w:rFonts w:ascii="Arial" w:eastAsia="Times New Roman" w:hAnsi="Arial" w:cs="Arial"/>
          <w:color w:val="000000"/>
          <w:sz w:val="21"/>
          <w:szCs w:val="21"/>
          <w:lang w:eastAsia="es-ES"/>
        </w:rPr>
        <w:t xml:space="preserve">de la Agencia </w:t>
      </w:r>
      <w:r w:rsidRPr="00973028">
        <w:rPr>
          <w:rFonts w:ascii="Arial" w:eastAsia="Times New Roman" w:hAnsi="Arial" w:cs="Arial"/>
          <w:color w:val="000000"/>
          <w:sz w:val="21"/>
          <w:szCs w:val="21"/>
          <w:lang w:eastAsia="es-ES"/>
        </w:rPr>
        <w:t>con la Administración de Justicia</w:t>
      </w:r>
      <w:r w:rsidR="00914062" w:rsidRPr="00973028">
        <w:rPr>
          <w:rFonts w:ascii="Arial" w:eastAsia="Times New Roman" w:hAnsi="Arial" w:cs="Arial"/>
          <w:color w:val="000000"/>
          <w:sz w:val="21"/>
          <w:szCs w:val="21"/>
          <w:lang w:eastAsia="es-ES"/>
        </w:rPr>
        <w:t>, que han pasado a ser completamente electrónicas</w:t>
      </w:r>
      <w:r w:rsidRPr="00973028">
        <w:rPr>
          <w:rFonts w:ascii="Arial" w:eastAsia="Times New Roman" w:hAnsi="Arial" w:cs="Arial"/>
          <w:color w:val="000000"/>
          <w:sz w:val="21"/>
          <w:szCs w:val="21"/>
          <w:lang w:eastAsia="es-ES"/>
        </w:rPr>
        <w:t>.</w:t>
      </w:r>
    </w:p>
    <w:bookmarkEnd w:id="174"/>
    <w:p w14:paraId="1C747B4C" w14:textId="77777777"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Los recursos contencioso-administrativos que se encuentran en tramitación a 31 de diciembre de 2020 son de forma resumida los que figuran en la siguiente tabla:</w:t>
      </w:r>
    </w:p>
    <w:p w14:paraId="1393D70C" w14:textId="124E6702" w:rsidR="006B510A" w:rsidRPr="00973028" w:rsidRDefault="006B510A" w:rsidP="006B510A">
      <w:pPr>
        <w:spacing w:after="0" w:line="276" w:lineRule="auto"/>
        <w:jc w:val="both"/>
        <w:rPr>
          <w:rFonts w:ascii="Arial" w:eastAsia="Times New Roman" w:hAnsi="Arial" w:cs="Arial"/>
          <w:sz w:val="21"/>
          <w:szCs w:val="21"/>
          <w:lang w:eastAsia="es-ES"/>
        </w:rPr>
      </w:pPr>
    </w:p>
    <w:p w14:paraId="759848A1" w14:textId="00442343" w:rsidR="004E256D" w:rsidRPr="00973028" w:rsidRDefault="004E256D" w:rsidP="004E256D">
      <w:pPr>
        <w:pStyle w:val="Descripcin"/>
        <w:keepNext/>
        <w:rPr>
          <w:rFonts w:ascii="Arial" w:hAnsi="Arial" w:cs="Arial"/>
          <w:smallCaps w:val="0"/>
          <w:sz w:val="18"/>
        </w:rPr>
      </w:pPr>
      <w:bookmarkStart w:id="175" w:name="_Toc67646353"/>
      <w:r w:rsidRPr="00973028">
        <w:rPr>
          <w:rFonts w:ascii="Arial" w:hAnsi="Arial" w:cs="Arial"/>
          <w:smallCaps w:val="0"/>
          <w:color w:val="9D2235" w:themeColor="accent1"/>
          <w:sz w:val="18"/>
        </w:rPr>
        <w:t xml:space="preserve">Tabla </w:t>
      </w:r>
      <w:r w:rsidRPr="00973028">
        <w:rPr>
          <w:rFonts w:ascii="Arial" w:hAnsi="Arial" w:cs="Arial"/>
          <w:smallCaps w:val="0"/>
          <w:color w:val="9D2235" w:themeColor="accent1"/>
          <w:sz w:val="18"/>
        </w:rPr>
        <w:fldChar w:fldCharType="begin"/>
      </w:r>
      <w:r w:rsidRPr="00973028">
        <w:rPr>
          <w:rFonts w:ascii="Arial" w:hAnsi="Arial" w:cs="Arial"/>
          <w:smallCaps w:val="0"/>
          <w:color w:val="9D2235" w:themeColor="accent1"/>
          <w:sz w:val="18"/>
        </w:rPr>
        <w:instrText xml:space="preserve"> SEQ Tabla \* ARABIC </w:instrText>
      </w:r>
      <w:r w:rsidRPr="00973028">
        <w:rPr>
          <w:rFonts w:ascii="Arial" w:hAnsi="Arial" w:cs="Arial"/>
          <w:smallCaps w:val="0"/>
          <w:color w:val="9D2235" w:themeColor="accent1"/>
          <w:sz w:val="18"/>
        </w:rPr>
        <w:fldChar w:fldCharType="separate"/>
      </w:r>
      <w:r w:rsidR="00ED7F0D">
        <w:rPr>
          <w:rFonts w:ascii="Arial" w:hAnsi="Arial" w:cs="Arial"/>
          <w:smallCaps w:val="0"/>
          <w:noProof/>
          <w:color w:val="9D2235" w:themeColor="accent1"/>
          <w:sz w:val="18"/>
        </w:rPr>
        <w:t>16</w:t>
      </w:r>
      <w:r w:rsidRPr="00973028">
        <w:rPr>
          <w:rFonts w:ascii="Arial" w:hAnsi="Arial" w:cs="Arial"/>
          <w:smallCaps w:val="0"/>
          <w:color w:val="9D2235" w:themeColor="accent1"/>
          <w:sz w:val="18"/>
        </w:rPr>
        <w:fldChar w:fldCharType="end"/>
      </w:r>
      <w:r w:rsidR="00B00F7A">
        <w:rPr>
          <w:rFonts w:ascii="Arial" w:hAnsi="Arial" w:cs="Arial"/>
          <w:smallCaps w:val="0"/>
          <w:color w:val="9D2235" w:themeColor="accent1"/>
          <w:sz w:val="18"/>
        </w:rPr>
        <w:t>.</w:t>
      </w:r>
      <w:r w:rsidRPr="00973028">
        <w:rPr>
          <w:rFonts w:ascii="Arial" w:hAnsi="Arial" w:cs="Arial"/>
          <w:smallCaps w:val="0"/>
          <w:color w:val="9D2235" w:themeColor="accent1"/>
          <w:sz w:val="18"/>
        </w:rPr>
        <w:t xml:space="preserve"> </w:t>
      </w:r>
      <w:r w:rsidRPr="00973028">
        <w:rPr>
          <w:rFonts w:ascii="Arial" w:hAnsi="Arial" w:cs="Arial"/>
          <w:smallCaps w:val="0"/>
          <w:sz w:val="18"/>
        </w:rPr>
        <w:t>Recursos</w:t>
      </w:r>
      <w:r w:rsidRPr="00973028">
        <w:rPr>
          <w:rFonts w:ascii="Arial" w:hAnsi="Arial" w:cs="Arial"/>
          <w:smallCaps w:val="0"/>
          <w:noProof/>
          <w:sz w:val="18"/>
        </w:rPr>
        <w:t xml:space="preserve"> contencioso-administrativos en tramitación a 31 de diciembre de 2020</w:t>
      </w:r>
      <w:bookmarkEnd w:id="175"/>
    </w:p>
    <w:tbl>
      <w:tblPr>
        <w:tblW w:w="5000" w:type="pct"/>
        <w:tblCellMar>
          <w:left w:w="70" w:type="dxa"/>
          <w:right w:w="70" w:type="dxa"/>
        </w:tblCellMar>
        <w:tblLook w:val="04A0" w:firstRow="1" w:lastRow="0" w:firstColumn="1" w:lastColumn="0" w:noHBand="0" w:noVBand="1"/>
      </w:tblPr>
      <w:tblGrid>
        <w:gridCol w:w="634"/>
        <w:gridCol w:w="1543"/>
        <w:gridCol w:w="1211"/>
        <w:gridCol w:w="1864"/>
        <w:gridCol w:w="1709"/>
        <w:gridCol w:w="1543"/>
      </w:tblGrid>
      <w:tr w:rsidR="001D30AE" w:rsidRPr="00973028" w14:paraId="6ECD94D1" w14:textId="77777777" w:rsidTr="001D30AE">
        <w:trPr>
          <w:trHeight w:val="462"/>
        </w:trPr>
        <w:tc>
          <w:tcPr>
            <w:tcW w:w="373" w:type="pct"/>
            <w:tcBorders>
              <w:top w:val="nil"/>
              <w:left w:val="nil"/>
              <w:bottom w:val="single" w:sz="12" w:space="0" w:color="9D2235" w:themeColor="accent1"/>
              <w:right w:val="nil"/>
            </w:tcBorders>
            <w:shd w:val="clear" w:color="auto" w:fill="auto"/>
            <w:vAlign w:val="center"/>
            <w:hideMark/>
          </w:tcPr>
          <w:p w14:paraId="7D1A0A60" w14:textId="77777777" w:rsidR="001D30AE" w:rsidRPr="00973028" w:rsidRDefault="001D30AE" w:rsidP="001D30AE">
            <w:pPr>
              <w:spacing w:after="0" w:line="240" w:lineRule="auto"/>
              <w:jc w:val="both"/>
              <w:rPr>
                <w:rFonts w:ascii="Arial" w:eastAsia="Times New Roman" w:hAnsi="Arial" w:cs="Arial"/>
                <w:b/>
                <w:bCs/>
                <w:color w:val="9D2235" w:themeColor="accent1"/>
                <w:sz w:val="12"/>
                <w:szCs w:val="12"/>
                <w:lang w:eastAsia="es-ES"/>
              </w:rPr>
            </w:pPr>
            <w:r w:rsidRPr="00973028">
              <w:rPr>
                <w:rFonts w:ascii="Arial" w:eastAsia="Times New Roman" w:hAnsi="Arial" w:cs="Arial"/>
                <w:b/>
                <w:bCs/>
                <w:color w:val="9D2235" w:themeColor="accent1"/>
                <w:sz w:val="12"/>
                <w:szCs w:val="12"/>
                <w:lang w:eastAsia="es-ES"/>
              </w:rPr>
              <w:t>Expdte AVAF</w:t>
            </w:r>
          </w:p>
        </w:tc>
        <w:tc>
          <w:tcPr>
            <w:tcW w:w="907" w:type="pct"/>
            <w:tcBorders>
              <w:top w:val="nil"/>
              <w:left w:val="nil"/>
              <w:bottom w:val="single" w:sz="12" w:space="0" w:color="9D2235" w:themeColor="accent1"/>
              <w:right w:val="nil"/>
            </w:tcBorders>
            <w:shd w:val="clear" w:color="auto" w:fill="auto"/>
            <w:vAlign w:val="center"/>
            <w:hideMark/>
          </w:tcPr>
          <w:p w14:paraId="6B0CF0C5" w14:textId="77777777" w:rsidR="001D30AE" w:rsidRPr="00973028" w:rsidRDefault="001D30AE" w:rsidP="001D30AE">
            <w:pPr>
              <w:spacing w:after="0" w:line="240" w:lineRule="auto"/>
              <w:jc w:val="both"/>
              <w:rPr>
                <w:rFonts w:ascii="Arial" w:eastAsia="Times New Roman" w:hAnsi="Arial" w:cs="Arial"/>
                <w:b/>
                <w:bCs/>
                <w:color w:val="9D2235" w:themeColor="accent1"/>
                <w:sz w:val="12"/>
                <w:szCs w:val="12"/>
                <w:lang w:eastAsia="es-ES"/>
              </w:rPr>
            </w:pPr>
            <w:r w:rsidRPr="00973028">
              <w:rPr>
                <w:rFonts w:ascii="Arial" w:eastAsia="Times New Roman" w:hAnsi="Arial" w:cs="Arial"/>
                <w:b/>
                <w:bCs/>
                <w:color w:val="9D2235" w:themeColor="accent1"/>
                <w:sz w:val="12"/>
                <w:szCs w:val="12"/>
                <w:lang w:eastAsia="es-ES"/>
              </w:rPr>
              <w:t>Demandante</w:t>
            </w:r>
          </w:p>
        </w:tc>
        <w:tc>
          <w:tcPr>
            <w:tcW w:w="712" w:type="pct"/>
            <w:tcBorders>
              <w:top w:val="nil"/>
              <w:left w:val="nil"/>
              <w:bottom w:val="single" w:sz="12" w:space="0" w:color="9D2235" w:themeColor="accent1"/>
              <w:right w:val="nil"/>
            </w:tcBorders>
            <w:shd w:val="clear" w:color="auto" w:fill="auto"/>
            <w:vAlign w:val="center"/>
            <w:hideMark/>
          </w:tcPr>
          <w:p w14:paraId="6A7DA4FC" w14:textId="77777777" w:rsidR="001D30AE" w:rsidRPr="00973028" w:rsidRDefault="001D30AE" w:rsidP="001D30AE">
            <w:pPr>
              <w:spacing w:after="0" w:line="240" w:lineRule="auto"/>
              <w:jc w:val="both"/>
              <w:rPr>
                <w:rFonts w:ascii="Arial" w:eastAsia="Times New Roman" w:hAnsi="Arial" w:cs="Arial"/>
                <w:b/>
                <w:bCs/>
                <w:color w:val="9D2235" w:themeColor="accent1"/>
                <w:sz w:val="12"/>
                <w:szCs w:val="12"/>
                <w:lang w:eastAsia="es-ES"/>
              </w:rPr>
            </w:pPr>
            <w:r w:rsidRPr="00973028">
              <w:rPr>
                <w:rFonts w:ascii="Arial" w:eastAsia="Times New Roman" w:hAnsi="Arial" w:cs="Arial"/>
                <w:b/>
                <w:bCs/>
                <w:color w:val="9D2235" w:themeColor="accent1"/>
                <w:sz w:val="12"/>
                <w:szCs w:val="12"/>
                <w:lang w:eastAsia="es-ES"/>
              </w:rPr>
              <w:t>Procedimiento judicial</w:t>
            </w:r>
          </w:p>
        </w:tc>
        <w:tc>
          <w:tcPr>
            <w:tcW w:w="1096" w:type="pct"/>
            <w:tcBorders>
              <w:top w:val="nil"/>
              <w:left w:val="nil"/>
              <w:bottom w:val="single" w:sz="12" w:space="0" w:color="9D2235" w:themeColor="accent1"/>
              <w:right w:val="nil"/>
            </w:tcBorders>
            <w:shd w:val="clear" w:color="auto" w:fill="auto"/>
            <w:vAlign w:val="center"/>
            <w:hideMark/>
          </w:tcPr>
          <w:p w14:paraId="712F3548" w14:textId="77777777" w:rsidR="001D30AE" w:rsidRPr="00973028" w:rsidRDefault="001D30AE" w:rsidP="001D30AE">
            <w:pPr>
              <w:spacing w:after="0" w:line="240" w:lineRule="auto"/>
              <w:jc w:val="both"/>
              <w:rPr>
                <w:rFonts w:ascii="Arial" w:eastAsia="Times New Roman" w:hAnsi="Arial" w:cs="Arial"/>
                <w:b/>
                <w:bCs/>
                <w:color w:val="9D2235" w:themeColor="accent1"/>
                <w:sz w:val="12"/>
                <w:szCs w:val="12"/>
                <w:lang w:eastAsia="es-ES"/>
              </w:rPr>
            </w:pPr>
            <w:r w:rsidRPr="00973028">
              <w:rPr>
                <w:rFonts w:ascii="Arial" w:eastAsia="Times New Roman" w:hAnsi="Arial" w:cs="Arial"/>
                <w:b/>
                <w:bCs/>
                <w:color w:val="9D2235" w:themeColor="accent1"/>
                <w:sz w:val="12"/>
                <w:szCs w:val="12"/>
                <w:lang w:eastAsia="es-ES"/>
              </w:rPr>
              <w:t>Órgano judicial</w:t>
            </w:r>
          </w:p>
        </w:tc>
        <w:tc>
          <w:tcPr>
            <w:tcW w:w="1005" w:type="pct"/>
            <w:tcBorders>
              <w:top w:val="nil"/>
              <w:left w:val="nil"/>
              <w:bottom w:val="single" w:sz="12" w:space="0" w:color="9D2235" w:themeColor="accent1"/>
              <w:right w:val="nil"/>
            </w:tcBorders>
            <w:shd w:val="clear" w:color="auto" w:fill="auto"/>
            <w:vAlign w:val="center"/>
            <w:hideMark/>
          </w:tcPr>
          <w:p w14:paraId="3B1BEDEA" w14:textId="77777777" w:rsidR="001D30AE" w:rsidRPr="00973028" w:rsidRDefault="001D30AE" w:rsidP="001D30AE">
            <w:pPr>
              <w:spacing w:after="0" w:line="240" w:lineRule="auto"/>
              <w:jc w:val="both"/>
              <w:rPr>
                <w:rFonts w:ascii="Arial" w:eastAsia="Times New Roman" w:hAnsi="Arial" w:cs="Arial"/>
                <w:b/>
                <w:bCs/>
                <w:color w:val="9D2235" w:themeColor="accent1"/>
                <w:sz w:val="12"/>
                <w:szCs w:val="12"/>
                <w:lang w:eastAsia="es-ES"/>
              </w:rPr>
            </w:pPr>
            <w:r w:rsidRPr="00973028">
              <w:rPr>
                <w:rFonts w:ascii="Arial" w:eastAsia="Times New Roman" w:hAnsi="Arial" w:cs="Arial"/>
                <w:b/>
                <w:bCs/>
                <w:color w:val="9D2235" w:themeColor="accent1"/>
                <w:sz w:val="12"/>
                <w:szCs w:val="12"/>
                <w:lang w:eastAsia="es-ES"/>
              </w:rPr>
              <w:t>Objeto del recurso</w:t>
            </w:r>
          </w:p>
        </w:tc>
        <w:tc>
          <w:tcPr>
            <w:tcW w:w="907" w:type="pct"/>
            <w:tcBorders>
              <w:top w:val="nil"/>
              <w:left w:val="nil"/>
              <w:bottom w:val="single" w:sz="12" w:space="0" w:color="9D2235" w:themeColor="accent1"/>
              <w:right w:val="nil"/>
            </w:tcBorders>
            <w:shd w:val="clear" w:color="auto" w:fill="auto"/>
            <w:vAlign w:val="center"/>
            <w:hideMark/>
          </w:tcPr>
          <w:p w14:paraId="3982ED12" w14:textId="77777777" w:rsidR="001D30AE" w:rsidRPr="00973028" w:rsidRDefault="001D30AE" w:rsidP="001D30AE">
            <w:pPr>
              <w:spacing w:after="0" w:line="240" w:lineRule="auto"/>
              <w:jc w:val="both"/>
              <w:rPr>
                <w:rFonts w:ascii="Arial" w:eastAsia="Times New Roman" w:hAnsi="Arial" w:cs="Arial"/>
                <w:b/>
                <w:bCs/>
                <w:color w:val="9D2235" w:themeColor="accent1"/>
                <w:sz w:val="12"/>
                <w:szCs w:val="12"/>
                <w:lang w:eastAsia="es-ES"/>
              </w:rPr>
            </w:pPr>
            <w:r w:rsidRPr="00973028">
              <w:rPr>
                <w:rFonts w:ascii="Arial" w:eastAsia="Times New Roman" w:hAnsi="Arial" w:cs="Arial"/>
                <w:b/>
                <w:bCs/>
                <w:color w:val="9D2235" w:themeColor="accent1"/>
                <w:sz w:val="12"/>
                <w:szCs w:val="12"/>
                <w:lang w:eastAsia="es-ES"/>
              </w:rPr>
              <w:t>Estado</w:t>
            </w:r>
          </w:p>
        </w:tc>
      </w:tr>
      <w:tr w:rsidR="001D30AE" w:rsidRPr="00973028" w14:paraId="1C3B6802" w14:textId="77777777" w:rsidTr="001D30AE">
        <w:trPr>
          <w:trHeight w:val="675"/>
        </w:trPr>
        <w:tc>
          <w:tcPr>
            <w:tcW w:w="373" w:type="pct"/>
            <w:tcBorders>
              <w:top w:val="single" w:sz="12" w:space="0" w:color="9D2235" w:themeColor="accent1"/>
              <w:left w:val="nil"/>
              <w:bottom w:val="nil"/>
              <w:right w:val="nil"/>
            </w:tcBorders>
            <w:shd w:val="clear" w:color="auto" w:fill="auto"/>
            <w:vAlign w:val="center"/>
            <w:hideMark/>
          </w:tcPr>
          <w:p w14:paraId="5FD3087D" w14:textId="77777777" w:rsidR="001D30AE" w:rsidRPr="00973028" w:rsidRDefault="001D30AE" w:rsidP="001D30AE">
            <w:pPr>
              <w:spacing w:after="0" w:line="240" w:lineRule="auto"/>
              <w:jc w:val="both"/>
              <w:rPr>
                <w:rFonts w:ascii="Arial" w:eastAsia="Times New Roman" w:hAnsi="Arial" w:cs="Arial"/>
                <w:b/>
                <w:bCs/>
                <w:sz w:val="12"/>
                <w:szCs w:val="12"/>
                <w:lang w:eastAsia="es-ES"/>
              </w:rPr>
            </w:pPr>
            <w:r w:rsidRPr="00973028">
              <w:rPr>
                <w:rFonts w:ascii="Arial" w:eastAsia="Times New Roman" w:hAnsi="Arial" w:cs="Arial"/>
                <w:b/>
                <w:bCs/>
                <w:sz w:val="12"/>
                <w:szCs w:val="12"/>
                <w:lang w:eastAsia="es-ES"/>
              </w:rPr>
              <w:t>4-2019 y 5-2019</w:t>
            </w:r>
          </w:p>
        </w:tc>
        <w:tc>
          <w:tcPr>
            <w:tcW w:w="907" w:type="pct"/>
            <w:tcBorders>
              <w:top w:val="single" w:sz="12" w:space="0" w:color="9D2235" w:themeColor="accent1"/>
              <w:left w:val="nil"/>
              <w:bottom w:val="nil"/>
              <w:right w:val="nil"/>
            </w:tcBorders>
            <w:shd w:val="clear" w:color="auto" w:fill="auto"/>
            <w:vAlign w:val="center"/>
            <w:hideMark/>
          </w:tcPr>
          <w:p w14:paraId="3DF99946"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AYUNTAMIENTO DE LOS MONTESINOS Y ALCALDE</w:t>
            </w:r>
          </w:p>
        </w:tc>
        <w:tc>
          <w:tcPr>
            <w:tcW w:w="712" w:type="pct"/>
            <w:tcBorders>
              <w:top w:val="single" w:sz="12" w:space="0" w:color="9D2235" w:themeColor="accent1"/>
              <w:left w:val="nil"/>
              <w:bottom w:val="nil"/>
              <w:right w:val="nil"/>
            </w:tcBorders>
            <w:shd w:val="clear" w:color="auto" w:fill="auto"/>
            <w:vAlign w:val="center"/>
            <w:hideMark/>
          </w:tcPr>
          <w:p w14:paraId="2B79E18E" w14:textId="7DB59C54"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Procedimiento ordinario 99-2019 acumulado al Procedimiento Ordinario 427-2018</w:t>
            </w:r>
          </w:p>
        </w:tc>
        <w:tc>
          <w:tcPr>
            <w:tcW w:w="1096" w:type="pct"/>
            <w:tcBorders>
              <w:top w:val="single" w:sz="12" w:space="0" w:color="9D2235" w:themeColor="accent1"/>
              <w:left w:val="nil"/>
              <w:bottom w:val="nil"/>
              <w:right w:val="nil"/>
            </w:tcBorders>
            <w:shd w:val="clear" w:color="auto" w:fill="auto"/>
            <w:vAlign w:val="center"/>
            <w:hideMark/>
          </w:tcPr>
          <w:p w14:paraId="7DCED73A"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Tribunal Superior de Justicia Comunitat Valenciana, Sala de lo Contencioso-administrativo, Sección Cuarta</w:t>
            </w:r>
          </w:p>
        </w:tc>
        <w:tc>
          <w:tcPr>
            <w:tcW w:w="1005" w:type="pct"/>
            <w:tcBorders>
              <w:top w:val="single" w:sz="12" w:space="0" w:color="9D2235" w:themeColor="accent1"/>
              <w:left w:val="nil"/>
              <w:bottom w:val="nil"/>
              <w:right w:val="nil"/>
            </w:tcBorders>
            <w:shd w:val="clear" w:color="auto" w:fill="auto"/>
            <w:vAlign w:val="center"/>
            <w:hideMark/>
          </w:tcPr>
          <w:p w14:paraId="0323D9B0"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Resolución por la que se acuerda otorgar el estatuto de protección de persona denunciante</w:t>
            </w:r>
          </w:p>
        </w:tc>
        <w:tc>
          <w:tcPr>
            <w:tcW w:w="907" w:type="pct"/>
            <w:tcBorders>
              <w:top w:val="single" w:sz="12" w:space="0" w:color="9D2235" w:themeColor="accent1"/>
              <w:left w:val="nil"/>
              <w:bottom w:val="nil"/>
              <w:right w:val="nil"/>
            </w:tcBorders>
            <w:shd w:val="clear" w:color="auto" w:fill="auto"/>
            <w:vAlign w:val="center"/>
            <w:hideMark/>
          </w:tcPr>
          <w:p w14:paraId="1162F41B"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Pendiente emisión Sentencia</w:t>
            </w:r>
          </w:p>
        </w:tc>
      </w:tr>
      <w:tr w:rsidR="001D30AE" w:rsidRPr="00973028" w14:paraId="6D49775F" w14:textId="77777777" w:rsidTr="001D30AE">
        <w:trPr>
          <w:trHeight w:val="450"/>
        </w:trPr>
        <w:tc>
          <w:tcPr>
            <w:tcW w:w="373" w:type="pct"/>
            <w:tcBorders>
              <w:top w:val="nil"/>
              <w:left w:val="nil"/>
              <w:bottom w:val="nil"/>
              <w:right w:val="nil"/>
            </w:tcBorders>
            <w:shd w:val="clear" w:color="auto" w:fill="D9D9D9" w:themeFill="background1" w:themeFillShade="D9"/>
            <w:vAlign w:val="center"/>
            <w:hideMark/>
          </w:tcPr>
          <w:p w14:paraId="2E11E80C" w14:textId="77777777" w:rsidR="001D30AE" w:rsidRPr="00973028" w:rsidRDefault="001D30AE" w:rsidP="001D30AE">
            <w:pPr>
              <w:spacing w:after="0" w:line="240" w:lineRule="auto"/>
              <w:jc w:val="both"/>
              <w:rPr>
                <w:rFonts w:ascii="Arial" w:eastAsia="Times New Roman" w:hAnsi="Arial" w:cs="Arial"/>
                <w:b/>
                <w:bCs/>
                <w:sz w:val="12"/>
                <w:szCs w:val="12"/>
                <w:lang w:eastAsia="es-ES"/>
              </w:rPr>
            </w:pPr>
            <w:r w:rsidRPr="00973028">
              <w:rPr>
                <w:rFonts w:ascii="Arial" w:eastAsia="Times New Roman" w:hAnsi="Arial" w:cs="Arial"/>
                <w:b/>
                <w:bCs/>
                <w:sz w:val="12"/>
                <w:szCs w:val="12"/>
                <w:lang w:eastAsia="es-ES"/>
              </w:rPr>
              <w:t>6-2019</w:t>
            </w:r>
          </w:p>
        </w:tc>
        <w:tc>
          <w:tcPr>
            <w:tcW w:w="907" w:type="pct"/>
            <w:tcBorders>
              <w:top w:val="nil"/>
              <w:left w:val="nil"/>
              <w:bottom w:val="nil"/>
              <w:right w:val="nil"/>
            </w:tcBorders>
            <w:shd w:val="clear" w:color="auto" w:fill="D9D9D9" w:themeFill="background1" w:themeFillShade="D9"/>
            <w:vAlign w:val="center"/>
            <w:hideMark/>
          </w:tcPr>
          <w:p w14:paraId="7FFFED98"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FUNCIONARIO/A</w:t>
            </w:r>
          </w:p>
        </w:tc>
        <w:tc>
          <w:tcPr>
            <w:tcW w:w="712" w:type="pct"/>
            <w:tcBorders>
              <w:top w:val="nil"/>
              <w:left w:val="nil"/>
              <w:bottom w:val="nil"/>
              <w:right w:val="nil"/>
            </w:tcBorders>
            <w:shd w:val="clear" w:color="auto" w:fill="D9D9D9" w:themeFill="background1" w:themeFillShade="D9"/>
            <w:vAlign w:val="center"/>
            <w:hideMark/>
          </w:tcPr>
          <w:p w14:paraId="184AED3D" w14:textId="698FD4A1"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Procedimiento abreviado 388-2019</w:t>
            </w:r>
          </w:p>
        </w:tc>
        <w:tc>
          <w:tcPr>
            <w:tcW w:w="1096" w:type="pct"/>
            <w:tcBorders>
              <w:top w:val="nil"/>
              <w:left w:val="nil"/>
              <w:bottom w:val="nil"/>
              <w:right w:val="nil"/>
            </w:tcBorders>
            <w:shd w:val="clear" w:color="auto" w:fill="D9D9D9" w:themeFill="background1" w:themeFillShade="D9"/>
            <w:vAlign w:val="center"/>
            <w:hideMark/>
          </w:tcPr>
          <w:p w14:paraId="0D7BEAF2"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Juzgado Contencioso-administrativo núm.10 València</w:t>
            </w:r>
          </w:p>
        </w:tc>
        <w:tc>
          <w:tcPr>
            <w:tcW w:w="1005" w:type="pct"/>
            <w:tcBorders>
              <w:top w:val="nil"/>
              <w:left w:val="nil"/>
              <w:bottom w:val="nil"/>
              <w:right w:val="nil"/>
            </w:tcBorders>
            <w:shd w:val="clear" w:color="auto" w:fill="D9D9D9" w:themeFill="background1" w:themeFillShade="D9"/>
            <w:vAlign w:val="center"/>
            <w:hideMark/>
          </w:tcPr>
          <w:p w14:paraId="65F0F8B7" w14:textId="2FEAECCD"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Adjudicación de un puesto de trabajo de la AVAF</w:t>
            </w:r>
          </w:p>
        </w:tc>
        <w:tc>
          <w:tcPr>
            <w:tcW w:w="907" w:type="pct"/>
            <w:tcBorders>
              <w:top w:val="nil"/>
              <w:left w:val="nil"/>
              <w:bottom w:val="nil"/>
              <w:right w:val="nil"/>
            </w:tcBorders>
            <w:shd w:val="clear" w:color="auto" w:fill="D9D9D9" w:themeFill="background1" w:themeFillShade="D9"/>
            <w:vAlign w:val="center"/>
            <w:hideMark/>
          </w:tcPr>
          <w:p w14:paraId="68826429"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Sentencia firme núm. 782/2020, de 9 de diciembre de 2020: Desestima el recurso</w:t>
            </w:r>
          </w:p>
        </w:tc>
      </w:tr>
      <w:tr w:rsidR="001D30AE" w:rsidRPr="00973028" w14:paraId="14D38D22" w14:textId="77777777" w:rsidTr="001D30AE">
        <w:trPr>
          <w:trHeight w:val="450"/>
        </w:trPr>
        <w:tc>
          <w:tcPr>
            <w:tcW w:w="373" w:type="pct"/>
            <w:tcBorders>
              <w:top w:val="nil"/>
              <w:left w:val="nil"/>
              <w:bottom w:val="nil"/>
              <w:right w:val="nil"/>
            </w:tcBorders>
            <w:shd w:val="clear" w:color="auto" w:fill="auto"/>
            <w:vAlign w:val="center"/>
            <w:hideMark/>
          </w:tcPr>
          <w:p w14:paraId="367568BB" w14:textId="77777777" w:rsidR="001D30AE" w:rsidRPr="00973028" w:rsidRDefault="001D30AE" w:rsidP="001D30AE">
            <w:pPr>
              <w:spacing w:after="0" w:line="240" w:lineRule="auto"/>
              <w:jc w:val="both"/>
              <w:rPr>
                <w:rFonts w:ascii="Arial" w:eastAsia="Times New Roman" w:hAnsi="Arial" w:cs="Arial"/>
                <w:b/>
                <w:bCs/>
                <w:sz w:val="12"/>
                <w:szCs w:val="12"/>
                <w:lang w:eastAsia="es-ES"/>
              </w:rPr>
            </w:pPr>
            <w:r w:rsidRPr="00973028">
              <w:rPr>
                <w:rFonts w:ascii="Arial" w:eastAsia="Times New Roman" w:hAnsi="Arial" w:cs="Arial"/>
                <w:b/>
                <w:bCs/>
                <w:sz w:val="12"/>
                <w:szCs w:val="12"/>
                <w:lang w:eastAsia="es-ES"/>
              </w:rPr>
              <w:t>7-2019</w:t>
            </w:r>
          </w:p>
        </w:tc>
        <w:tc>
          <w:tcPr>
            <w:tcW w:w="907" w:type="pct"/>
            <w:tcBorders>
              <w:top w:val="nil"/>
              <w:left w:val="nil"/>
              <w:bottom w:val="nil"/>
              <w:right w:val="nil"/>
            </w:tcBorders>
            <w:shd w:val="clear" w:color="auto" w:fill="auto"/>
            <w:vAlign w:val="center"/>
            <w:hideMark/>
          </w:tcPr>
          <w:p w14:paraId="513F9317"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FUNCIONARIO/A</w:t>
            </w:r>
          </w:p>
        </w:tc>
        <w:tc>
          <w:tcPr>
            <w:tcW w:w="712" w:type="pct"/>
            <w:tcBorders>
              <w:top w:val="nil"/>
              <w:left w:val="nil"/>
              <w:bottom w:val="nil"/>
              <w:right w:val="nil"/>
            </w:tcBorders>
            <w:shd w:val="clear" w:color="auto" w:fill="auto"/>
            <w:vAlign w:val="center"/>
            <w:hideMark/>
          </w:tcPr>
          <w:p w14:paraId="0EFACC4C" w14:textId="3423B686"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Procedimiento abreviado 305-2020</w:t>
            </w:r>
          </w:p>
        </w:tc>
        <w:tc>
          <w:tcPr>
            <w:tcW w:w="1096" w:type="pct"/>
            <w:tcBorders>
              <w:top w:val="nil"/>
              <w:left w:val="nil"/>
              <w:bottom w:val="nil"/>
              <w:right w:val="nil"/>
            </w:tcBorders>
            <w:shd w:val="clear" w:color="auto" w:fill="auto"/>
            <w:vAlign w:val="center"/>
            <w:hideMark/>
          </w:tcPr>
          <w:p w14:paraId="467C4B83"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Juzgado Contencioso-administrativo núm. 5 València</w:t>
            </w:r>
          </w:p>
        </w:tc>
        <w:tc>
          <w:tcPr>
            <w:tcW w:w="1005" w:type="pct"/>
            <w:tcBorders>
              <w:top w:val="nil"/>
              <w:left w:val="nil"/>
              <w:bottom w:val="nil"/>
              <w:right w:val="nil"/>
            </w:tcBorders>
            <w:shd w:val="clear" w:color="auto" w:fill="auto"/>
            <w:vAlign w:val="center"/>
            <w:hideMark/>
          </w:tcPr>
          <w:p w14:paraId="2969BA81"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Cese de un puesto de trabajo de la AVAF</w:t>
            </w:r>
          </w:p>
        </w:tc>
        <w:tc>
          <w:tcPr>
            <w:tcW w:w="907" w:type="pct"/>
            <w:tcBorders>
              <w:top w:val="nil"/>
              <w:left w:val="nil"/>
              <w:bottom w:val="nil"/>
              <w:right w:val="nil"/>
            </w:tcBorders>
            <w:shd w:val="clear" w:color="auto" w:fill="auto"/>
            <w:vAlign w:val="center"/>
            <w:hideMark/>
          </w:tcPr>
          <w:p w14:paraId="5824BF81"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 xml:space="preserve"> En trámite</w:t>
            </w:r>
          </w:p>
        </w:tc>
      </w:tr>
      <w:tr w:rsidR="001D30AE" w:rsidRPr="00973028" w14:paraId="248578DE" w14:textId="77777777" w:rsidTr="001D30AE">
        <w:trPr>
          <w:trHeight w:val="900"/>
        </w:trPr>
        <w:tc>
          <w:tcPr>
            <w:tcW w:w="373" w:type="pct"/>
            <w:tcBorders>
              <w:top w:val="nil"/>
              <w:left w:val="nil"/>
              <w:bottom w:val="nil"/>
              <w:right w:val="nil"/>
            </w:tcBorders>
            <w:shd w:val="clear" w:color="auto" w:fill="D9D9D9" w:themeFill="background1" w:themeFillShade="D9"/>
            <w:vAlign w:val="center"/>
            <w:hideMark/>
          </w:tcPr>
          <w:p w14:paraId="12DA1FF4" w14:textId="77777777" w:rsidR="001D30AE" w:rsidRPr="00973028" w:rsidRDefault="001D30AE" w:rsidP="001D30AE">
            <w:pPr>
              <w:spacing w:after="0" w:line="240" w:lineRule="auto"/>
              <w:jc w:val="both"/>
              <w:rPr>
                <w:rFonts w:ascii="Arial" w:eastAsia="Times New Roman" w:hAnsi="Arial" w:cs="Arial"/>
                <w:b/>
                <w:bCs/>
                <w:sz w:val="12"/>
                <w:szCs w:val="12"/>
                <w:lang w:eastAsia="es-ES"/>
              </w:rPr>
            </w:pPr>
            <w:r w:rsidRPr="00973028">
              <w:rPr>
                <w:rFonts w:ascii="Arial" w:eastAsia="Times New Roman" w:hAnsi="Arial" w:cs="Arial"/>
                <w:b/>
                <w:bCs/>
                <w:sz w:val="12"/>
                <w:szCs w:val="12"/>
                <w:lang w:eastAsia="es-ES"/>
              </w:rPr>
              <w:lastRenderedPageBreak/>
              <w:t>8-2019</w:t>
            </w:r>
          </w:p>
        </w:tc>
        <w:tc>
          <w:tcPr>
            <w:tcW w:w="907" w:type="pct"/>
            <w:tcBorders>
              <w:top w:val="nil"/>
              <w:left w:val="nil"/>
              <w:bottom w:val="nil"/>
              <w:right w:val="nil"/>
            </w:tcBorders>
            <w:shd w:val="clear" w:color="auto" w:fill="D9D9D9" w:themeFill="background1" w:themeFillShade="D9"/>
            <w:vAlign w:val="center"/>
            <w:hideMark/>
          </w:tcPr>
          <w:p w14:paraId="55089BDF"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DIPUTADO/A CORTS VALENCIANES</w:t>
            </w:r>
          </w:p>
        </w:tc>
        <w:tc>
          <w:tcPr>
            <w:tcW w:w="712" w:type="pct"/>
            <w:tcBorders>
              <w:top w:val="nil"/>
              <w:left w:val="nil"/>
              <w:bottom w:val="nil"/>
              <w:right w:val="nil"/>
            </w:tcBorders>
            <w:shd w:val="clear" w:color="auto" w:fill="D9D9D9" w:themeFill="background1" w:themeFillShade="D9"/>
            <w:vAlign w:val="center"/>
            <w:hideMark/>
          </w:tcPr>
          <w:p w14:paraId="465097BF"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Procedimiento especial derechos fundamentales</w:t>
            </w:r>
            <w:r w:rsidRPr="00973028">
              <w:rPr>
                <w:rFonts w:ascii="Arial" w:eastAsia="Times New Roman" w:hAnsi="Arial" w:cs="Arial"/>
                <w:sz w:val="12"/>
                <w:szCs w:val="12"/>
                <w:lang w:eastAsia="es-ES"/>
              </w:rPr>
              <w:br/>
              <w:t>347-2019</w:t>
            </w:r>
          </w:p>
        </w:tc>
        <w:tc>
          <w:tcPr>
            <w:tcW w:w="1096" w:type="pct"/>
            <w:tcBorders>
              <w:top w:val="nil"/>
              <w:left w:val="nil"/>
              <w:bottom w:val="nil"/>
              <w:right w:val="nil"/>
            </w:tcBorders>
            <w:shd w:val="clear" w:color="auto" w:fill="D9D9D9" w:themeFill="background1" w:themeFillShade="D9"/>
            <w:vAlign w:val="center"/>
            <w:hideMark/>
          </w:tcPr>
          <w:p w14:paraId="1CDA5D25"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Tribunal Superior de Justicia Comunitat Valenciana, Sala de lo Contencioso-administrativo, Sección Cuarta</w:t>
            </w:r>
          </w:p>
        </w:tc>
        <w:tc>
          <w:tcPr>
            <w:tcW w:w="1005" w:type="pct"/>
            <w:tcBorders>
              <w:top w:val="nil"/>
              <w:left w:val="nil"/>
              <w:bottom w:val="nil"/>
              <w:right w:val="nil"/>
            </w:tcBorders>
            <w:shd w:val="clear" w:color="auto" w:fill="D9D9D9" w:themeFill="background1" w:themeFillShade="D9"/>
            <w:vAlign w:val="center"/>
            <w:hideMark/>
          </w:tcPr>
          <w:p w14:paraId="0034175B"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Acceso a documentación expedientes de investigación</w:t>
            </w:r>
          </w:p>
        </w:tc>
        <w:tc>
          <w:tcPr>
            <w:tcW w:w="907" w:type="pct"/>
            <w:tcBorders>
              <w:top w:val="nil"/>
              <w:left w:val="nil"/>
              <w:bottom w:val="nil"/>
              <w:right w:val="nil"/>
            </w:tcBorders>
            <w:shd w:val="clear" w:color="auto" w:fill="D9D9D9" w:themeFill="background1" w:themeFillShade="D9"/>
            <w:vAlign w:val="center"/>
            <w:hideMark/>
          </w:tcPr>
          <w:p w14:paraId="6970B966"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Sentencia núm. 198/2020, de 4 de junio: Estima el recurso contencioso administrativo. Interpuesto recurso de casación ante Sala especial TSJCV</w:t>
            </w:r>
          </w:p>
        </w:tc>
      </w:tr>
      <w:tr w:rsidR="001D30AE" w:rsidRPr="00973028" w14:paraId="71016202" w14:textId="77777777" w:rsidTr="001D30AE">
        <w:trPr>
          <w:trHeight w:val="675"/>
        </w:trPr>
        <w:tc>
          <w:tcPr>
            <w:tcW w:w="373" w:type="pct"/>
            <w:tcBorders>
              <w:top w:val="nil"/>
              <w:left w:val="nil"/>
              <w:bottom w:val="nil"/>
              <w:right w:val="nil"/>
            </w:tcBorders>
            <w:shd w:val="clear" w:color="auto" w:fill="auto"/>
            <w:vAlign w:val="center"/>
            <w:hideMark/>
          </w:tcPr>
          <w:p w14:paraId="2F7A9359" w14:textId="77777777" w:rsidR="001D30AE" w:rsidRPr="00973028" w:rsidRDefault="001D30AE" w:rsidP="001D30AE">
            <w:pPr>
              <w:spacing w:after="0" w:line="240" w:lineRule="auto"/>
              <w:jc w:val="both"/>
              <w:rPr>
                <w:rFonts w:ascii="Arial" w:eastAsia="Times New Roman" w:hAnsi="Arial" w:cs="Arial"/>
                <w:b/>
                <w:bCs/>
                <w:sz w:val="12"/>
                <w:szCs w:val="12"/>
                <w:lang w:eastAsia="es-ES"/>
              </w:rPr>
            </w:pPr>
            <w:r w:rsidRPr="00973028">
              <w:rPr>
                <w:rFonts w:ascii="Arial" w:eastAsia="Times New Roman" w:hAnsi="Arial" w:cs="Arial"/>
                <w:b/>
                <w:bCs/>
                <w:sz w:val="12"/>
                <w:szCs w:val="12"/>
                <w:lang w:eastAsia="es-ES"/>
              </w:rPr>
              <w:t>1-2020</w:t>
            </w:r>
          </w:p>
        </w:tc>
        <w:tc>
          <w:tcPr>
            <w:tcW w:w="907" w:type="pct"/>
            <w:tcBorders>
              <w:top w:val="nil"/>
              <w:left w:val="nil"/>
              <w:bottom w:val="nil"/>
              <w:right w:val="nil"/>
            </w:tcBorders>
            <w:shd w:val="clear" w:color="auto" w:fill="auto"/>
            <w:vAlign w:val="center"/>
            <w:hideMark/>
          </w:tcPr>
          <w:p w14:paraId="0C7387BD"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SINDICATO DE POLICIAS</w:t>
            </w:r>
          </w:p>
        </w:tc>
        <w:tc>
          <w:tcPr>
            <w:tcW w:w="712" w:type="pct"/>
            <w:tcBorders>
              <w:top w:val="nil"/>
              <w:left w:val="nil"/>
              <w:bottom w:val="nil"/>
              <w:right w:val="nil"/>
            </w:tcBorders>
            <w:shd w:val="clear" w:color="auto" w:fill="auto"/>
            <w:vAlign w:val="center"/>
            <w:hideMark/>
          </w:tcPr>
          <w:p w14:paraId="472B1F4C" w14:textId="6CF92858"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Procedimiento abreviado 642-2020</w:t>
            </w:r>
          </w:p>
        </w:tc>
        <w:tc>
          <w:tcPr>
            <w:tcW w:w="1096" w:type="pct"/>
            <w:tcBorders>
              <w:top w:val="nil"/>
              <w:left w:val="nil"/>
              <w:bottom w:val="nil"/>
              <w:right w:val="nil"/>
            </w:tcBorders>
            <w:shd w:val="clear" w:color="auto" w:fill="auto"/>
            <w:vAlign w:val="center"/>
            <w:hideMark/>
          </w:tcPr>
          <w:p w14:paraId="5C5C84F1"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Juzgado Contencioso-administrativo núm.10 València</w:t>
            </w:r>
          </w:p>
        </w:tc>
        <w:tc>
          <w:tcPr>
            <w:tcW w:w="1005" w:type="pct"/>
            <w:tcBorders>
              <w:top w:val="nil"/>
              <w:left w:val="nil"/>
              <w:bottom w:val="nil"/>
              <w:right w:val="nil"/>
            </w:tcBorders>
            <w:shd w:val="clear" w:color="auto" w:fill="auto"/>
            <w:vAlign w:val="center"/>
            <w:hideMark/>
          </w:tcPr>
          <w:p w14:paraId="646505B0"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Resolución desestimación por silencio negativo de la solicitud de estatuto de protección</w:t>
            </w:r>
          </w:p>
        </w:tc>
        <w:tc>
          <w:tcPr>
            <w:tcW w:w="907" w:type="pct"/>
            <w:tcBorders>
              <w:top w:val="nil"/>
              <w:left w:val="nil"/>
              <w:bottom w:val="nil"/>
              <w:right w:val="nil"/>
            </w:tcBorders>
            <w:shd w:val="clear" w:color="auto" w:fill="auto"/>
            <w:vAlign w:val="center"/>
            <w:hideMark/>
          </w:tcPr>
          <w:p w14:paraId="12981F9C"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 xml:space="preserve"> En trámite</w:t>
            </w:r>
          </w:p>
        </w:tc>
      </w:tr>
      <w:tr w:rsidR="001D30AE" w:rsidRPr="00973028" w14:paraId="7E384247" w14:textId="77777777" w:rsidTr="001D30AE">
        <w:trPr>
          <w:trHeight w:val="675"/>
        </w:trPr>
        <w:tc>
          <w:tcPr>
            <w:tcW w:w="373" w:type="pct"/>
            <w:tcBorders>
              <w:top w:val="nil"/>
              <w:left w:val="nil"/>
              <w:bottom w:val="nil"/>
              <w:right w:val="nil"/>
            </w:tcBorders>
            <w:shd w:val="clear" w:color="auto" w:fill="D9D9D9" w:themeFill="background1" w:themeFillShade="D9"/>
            <w:vAlign w:val="center"/>
            <w:hideMark/>
          </w:tcPr>
          <w:p w14:paraId="5D19EBB9" w14:textId="77777777" w:rsidR="001D30AE" w:rsidRPr="00973028" w:rsidRDefault="001D30AE" w:rsidP="001D30AE">
            <w:pPr>
              <w:spacing w:after="0" w:line="240" w:lineRule="auto"/>
              <w:jc w:val="both"/>
              <w:rPr>
                <w:rFonts w:ascii="Arial" w:eastAsia="Times New Roman" w:hAnsi="Arial" w:cs="Arial"/>
                <w:b/>
                <w:bCs/>
                <w:sz w:val="12"/>
                <w:szCs w:val="12"/>
                <w:lang w:eastAsia="es-ES"/>
              </w:rPr>
            </w:pPr>
            <w:r w:rsidRPr="00973028">
              <w:rPr>
                <w:rFonts w:ascii="Arial" w:eastAsia="Times New Roman" w:hAnsi="Arial" w:cs="Arial"/>
                <w:b/>
                <w:bCs/>
                <w:sz w:val="12"/>
                <w:szCs w:val="12"/>
                <w:lang w:eastAsia="es-ES"/>
              </w:rPr>
              <w:t>2-2020</w:t>
            </w:r>
          </w:p>
        </w:tc>
        <w:tc>
          <w:tcPr>
            <w:tcW w:w="907" w:type="pct"/>
            <w:tcBorders>
              <w:top w:val="nil"/>
              <w:left w:val="nil"/>
              <w:bottom w:val="nil"/>
              <w:right w:val="nil"/>
            </w:tcBorders>
            <w:shd w:val="clear" w:color="auto" w:fill="D9D9D9" w:themeFill="background1" w:themeFillShade="D9"/>
            <w:vAlign w:val="center"/>
            <w:hideMark/>
          </w:tcPr>
          <w:p w14:paraId="467501EE"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DIPUTADO/A CORTS VALENCIANES</w:t>
            </w:r>
          </w:p>
        </w:tc>
        <w:tc>
          <w:tcPr>
            <w:tcW w:w="712" w:type="pct"/>
            <w:tcBorders>
              <w:top w:val="nil"/>
              <w:left w:val="nil"/>
              <w:bottom w:val="nil"/>
              <w:right w:val="nil"/>
            </w:tcBorders>
            <w:shd w:val="clear" w:color="auto" w:fill="D9D9D9" w:themeFill="background1" w:themeFillShade="D9"/>
            <w:vAlign w:val="center"/>
            <w:hideMark/>
          </w:tcPr>
          <w:p w14:paraId="11D7EC9E"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Procedimiento ordinario 225-2020</w:t>
            </w:r>
          </w:p>
        </w:tc>
        <w:tc>
          <w:tcPr>
            <w:tcW w:w="1096" w:type="pct"/>
            <w:tcBorders>
              <w:top w:val="nil"/>
              <w:left w:val="nil"/>
              <w:bottom w:val="nil"/>
              <w:right w:val="nil"/>
            </w:tcBorders>
            <w:shd w:val="clear" w:color="auto" w:fill="D9D9D9" w:themeFill="background1" w:themeFillShade="D9"/>
            <w:vAlign w:val="center"/>
            <w:hideMark/>
          </w:tcPr>
          <w:p w14:paraId="239D251E"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Tribunal Superior de Justicia Comunitat Valenciana, Sala de lo Contencioso-administrativo, Sección Cuarta</w:t>
            </w:r>
          </w:p>
        </w:tc>
        <w:tc>
          <w:tcPr>
            <w:tcW w:w="1005" w:type="pct"/>
            <w:tcBorders>
              <w:top w:val="nil"/>
              <w:left w:val="nil"/>
              <w:bottom w:val="nil"/>
              <w:right w:val="nil"/>
            </w:tcBorders>
            <w:shd w:val="clear" w:color="auto" w:fill="D9D9D9" w:themeFill="background1" w:themeFillShade="D9"/>
            <w:vAlign w:val="center"/>
            <w:hideMark/>
          </w:tcPr>
          <w:p w14:paraId="5EA5C0D2"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Acceso a documentación expedientes de investigación</w:t>
            </w:r>
          </w:p>
        </w:tc>
        <w:tc>
          <w:tcPr>
            <w:tcW w:w="907" w:type="pct"/>
            <w:tcBorders>
              <w:top w:val="nil"/>
              <w:left w:val="nil"/>
              <w:bottom w:val="nil"/>
              <w:right w:val="nil"/>
            </w:tcBorders>
            <w:shd w:val="clear" w:color="auto" w:fill="D9D9D9" w:themeFill="background1" w:themeFillShade="D9"/>
            <w:vAlign w:val="center"/>
            <w:hideMark/>
          </w:tcPr>
          <w:p w14:paraId="17E318B9"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 xml:space="preserve"> En trámite</w:t>
            </w:r>
          </w:p>
        </w:tc>
      </w:tr>
      <w:tr w:rsidR="001D30AE" w:rsidRPr="00973028" w14:paraId="7FF3444A" w14:textId="77777777" w:rsidTr="001D30AE">
        <w:trPr>
          <w:trHeight w:val="675"/>
        </w:trPr>
        <w:tc>
          <w:tcPr>
            <w:tcW w:w="373" w:type="pct"/>
            <w:tcBorders>
              <w:top w:val="nil"/>
              <w:left w:val="nil"/>
              <w:bottom w:val="nil"/>
              <w:right w:val="nil"/>
            </w:tcBorders>
            <w:shd w:val="clear" w:color="auto" w:fill="auto"/>
            <w:vAlign w:val="center"/>
            <w:hideMark/>
          </w:tcPr>
          <w:p w14:paraId="4F538C29" w14:textId="77777777" w:rsidR="001D30AE" w:rsidRPr="00973028" w:rsidRDefault="001D30AE" w:rsidP="001D30AE">
            <w:pPr>
              <w:spacing w:after="0" w:line="240" w:lineRule="auto"/>
              <w:jc w:val="both"/>
              <w:rPr>
                <w:rFonts w:ascii="Arial" w:eastAsia="Times New Roman" w:hAnsi="Arial" w:cs="Arial"/>
                <w:b/>
                <w:bCs/>
                <w:sz w:val="12"/>
                <w:szCs w:val="12"/>
                <w:lang w:eastAsia="es-ES"/>
              </w:rPr>
            </w:pPr>
            <w:r w:rsidRPr="00973028">
              <w:rPr>
                <w:rFonts w:ascii="Arial" w:eastAsia="Times New Roman" w:hAnsi="Arial" w:cs="Arial"/>
                <w:b/>
                <w:bCs/>
                <w:sz w:val="12"/>
                <w:szCs w:val="12"/>
                <w:lang w:eastAsia="es-ES"/>
              </w:rPr>
              <w:t>3-2020</w:t>
            </w:r>
          </w:p>
        </w:tc>
        <w:tc>
          <w:tcPr>
            <w:tcW w:w="907" w:type="pct"/>
            <w:tcBorders>
              <w:top w:val="nil"/>
              <w:left w:val="nil"/>
              <w:bottom w:val="nil"/>
              <w:right w:val="nil"/>
            </w:tcBorders>
            <w:shd w:val="clear" w:color="auto" w:fill="auto"/>
            <w:vAlign w:val="center"/>
            <w:hideMark/>
          </w:tcPr>
          <w:p w14:paraId="5334F02A"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DIPUTADO/A CORTS VALENCIANES</w:t>
            </w:r>
          </w:p>
        </w:tc>
        <w:tc>
          <w:tcPr>
            <w:tcW w:w="712" w:type="pct"/>
            <w:tcBorders>
              <w:top w:val="nil"/>
              <w:left w:val="nil"/>
              <w:bottom w:val="nil"/>
              <w:right w:val="nil"/>
            </w:tcBorders>
            <w:shd w:val="clear" w:color="auto" w:fill="auto"/>
            <w:vAlign w:val="center"/>
            <w:hideMark/>
          </w:tcPr>
          <w:p w14:paraId="30EE4AFC"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Procedimiento ordinario 275-2020</w:t>
            </w:r>
          </w:p>
        </w:tc>
        <w:tc>
          <w:tcPr>
            <w:tcW w:w="1096" w:type="pct"/>
            <w:tcBorders>
              <w:top w:val="nil"/>
              <w:left w:val="nil"/>
              <w:bottom w:val="nil"/>
              <w:right w:val="nil"/>
            </w:tcBorders>
            <w:shd w:val="clear" w:color="auto" w:fill="auto"/>
            <w:vAlign w:val="center"/>
            <w:hideMark/>
          </w:tcPr>
          <w:p w14:paraId="40BF6337"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Tribunal Superior de Justicia Comunitat Valenciana, Sala de lo Contencioso-administrativo, Sección Cuarta</w:t>
            </w:r>
          </w:p>
        </w:tc>
        <w:tc>
          <w:tcPr>
            <w:tcW w:w="1005" w:type="pct"/>
            <w:tcBorders>
              <w:top w:val="nil"/>
              <w:left w:val="nil"/>
              <w:bottom w:val="nil"/>
              <w:right w:val="nil"/>
            </w:tcBorders>
            <w:shd w:val="clear" w:color="auto" w:fill="auto"/>
            <w:vAlign w:val="center"/>
            <w:hideMark/>
          </w:tcPr>
          <w:p w14:paraId="094DFB44"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Acceso a documentación expedientes de investigación</w:t>
            </w:r>
          </w:p>
        </w:tc>
        <w:tc>
          <w:tcPr>
            <w:tcW w:w="907" w:type="pct"/>
            <w:tcBorders>
              <w:top w:val="nil"/>
              <w:left w:val="nil"/>
              <w:bottom w:val="nil"/>
              <w:right w:val="nil"/>
            </w:tcBorders>
            <w:shd w:val="clear" w:color="auto" w:fill="auto"/>
            <w:vAlign w:val="center"/>
            <w:hideMark/>
          </w:tcPr>
          <w:p w14:paraId="0FAD21B8" w14:textId="77777777" w:rsidR="001D30AE" w:rsidRPr="00973028" w:rsidRDefault="001D30AE" w:rsidP="001D30AE">
            <w:pPr>
              <w:spacing w:after="0" w:line="240" w:lineRule="auto"/>
              <w:jc w:val="both"/>
              <w:rPr>
                <w:rFonts w:ascii="Arial" w:eastAsia="Times New Roman" w:hAnsi="Arial" w:cs="Arial"/>
                <w:sz w:val="12"/>
                <w:szCs w:val="12"/>
                <w:lang w:eastAsia="es-ES"/>
              </w:rPr>
            </w:pPr>
            <w:r w:rsidRPr="00973028">
              <w:rPr>
                <w:rFonts w:ascii="Arial" w:eastAsia="Times New Roman" w:hAnsi="Arial" w:cs="Arial"/>
                <w:sz w:val="12"/>
                <w:szCs w:val="12"/>
                <w:lang w:eastAsia="es-ES"/>
              </w:rPr>
              <w:t xml:space="preserve"> En trámite</w:t>
            </w:r>
          </w:p>
        </w:tc>
      </w:tr>
    </w:tbl>
    <w:p w14:paraId="29ADA494" w14:textId="77777777" w:rsidR="006B510A" w:rsidRPr="00973028" w:rsidRDefault="006B510A" w:rsidP="006B510A">
      <w:pPr>
        <w:spacing w:after="0" w:line="276" w:lineRule="auto"/>
        <w:jc w:val="both"/>
        <w:rPr>
          <w:rFonts w:ascii="Arial" w:eastAsia="Times New Roman" w:hAnsi="Arial" w:cs="Arial"/>
          <w:sz w:val="21"/>
          <w:szCs w:val="21"/>
          <w:lang w:eastAsia="es-ES"/>
        </w:rPr>
      </w:pPr>
    </w:p>
    <w:p w14:paraId="6DDEE2AE" w14:textId="5ACD349A" w:rsidR="006B510A" w:rsidRPr="00E973F1" w:rsidRDefault="006B510A" w:rsidP="00E973F1">
      <w:pPr>
        <w:pStyle w:val="Prrafodelista"/>
        <w:keepNext/>
        <w:numPr>
          <w:ilvl w:val="2"/>
          <w:numId w:val="25"/>
        </w:numPr>
        <w:spacing w:before="360" w:after="240" w:line="276" w:lineRule="auto"/>
        <w:ind w:left="1134" w:hanging="1134"/>
        <w:contextualSpacing w:val="0"/>
        <w:jc w:val="both"/>
        <w:outlineLvl w:val="2"/>
        <w:rPr>
          <w:rFonts w:ascii="Arial" w:eastAsia="Times New Roman" w:hAnsi="Arial" w:cs="Arial"/>
          <w:b/>
          <w:color w:val="9D2235" w:themeColor="accent1"/>
          <w:sz w:val="28"/>
          <w:szCs w:val="28"/>
        </w:rPr>
      </w:pPr>
      <w:bookmarkStart w:id="176" w:name="_Toc67646296"/>
      <w:r w:rsidRPr="00E973F1">
        <w:rPr>
          <w:rFonts w:ascii="Arial" w:eastAsia="Times New Roman" w:hAnsi="Arial" w:cs="Arial"/>
          <w:b/>
          <w:color w:val="9D2235" w:themeColor="accent1"/>
          <w:sz w:val="28"/>
          <w:szCs w:val="28"/>
        </w:rPr>
        <w:t>Sobre la confidencialidad y reserva de las actuaciones de expedientes de investigación en trámite</w:t>
      </w:r>
      <w:bookmarkEnd w:id="176"/>
    </w:p>
    <w:p w14:paraId="33C92F87" w14:textId="1A98873D"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A 31 de diciembre de 2020 podemos contabilizar tres recursos contencioso-administrativos interpuestos por una diputada de un grupo parlamentario en las Corts, cuyo conocimiento ha recaído en todos los casos en la Sección Cuarta de la Sala de lo Contencioso-Administrativo del Tribunal Superior de Justicia de la Comunitat Valenciana.</w:t>
      </w:r>
    </w:p>
    <w:p w14:paraId="21D96F02" w14:textId="6888E256"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El primero de estos recursos ha sido entablado por el pr</w:t>
      </w:r>
      <w:bookmarkStart w:id="177" w:name="_Hlk63950007"/>
      <w:r w:rsidRPr="00973028">
        <w:rPr>
          <w:rFonts w:ascii="Arial" w:eastAsia="Times New Roman" w:hAnsi="Arial" w:cs="Arial"/>
          <w:color w:val="000000"/>
          <w:sz w:val="21"/>
          <w:szCs w:val="21"/>
          <w:lang w:eastAsia="es-ES"/>
        </w:rPr>
        <w:t>ocedimiento especial de derechos fundamentales, y los dos subsiguientes, que afectan a un único expediente de la Agencia, por el procedimiento ordinario.</w:t>
      </w:r>
      <w:bookmarkEnd w:id="177"/>
    </w:p>
    <w:p w14:paraId="5EA18D4B" w14:textId="77777777" w:rsidR="00C1460B" w:rsidRPr="00234697" w:rsidRDefault="006B510A" w:rsidP="00C1460B">
      <w:pPr>
        <w:spacing w:after="240" w:line="276" w:lineRule="auto"/>
        <w:jc w:val="both"/>
        <w:rPr>
          <w:rFonts w:ascii="Arial" w:eastAsia="NSimSun" w:hAnsi="Arial" w:cs="Arial"/>
          <w:sz w:val="21"/>
          <w:szCs w:val="21"/>
        </w:rPr>
      </w:pPr>
      <w:r w:rsidRPr="00973028">
        <w:rPr>
          <w:rFonts w:ascii="Arial" w:eastAsia="Times New Roman" w:hAnsi="Arial" w:cs="Arial"/>
          <w:color w:val="000000"/>
          <w:sz w:val="21"/>
          <w:szCs w:val="21"/>
          <w:lang w:eastAsia="es-ES"/>
        </w:rPr>
        <w:t xml:space="preserve">En los referidos recursos </w:t>
      </w:r>
      <w:r w:rsidRPr="00973028">
        <w:rPr>
          <w:rFonts w:ascii="Arial" w:eastAsia="NSimSun" w:hAnsi="Arial" w:cs="Arial"/>
          <w:sz w:val="21"/>
          <w:szCs w:val="21"/>
        </w:rPr>
        <w:t xml:space="preserve">se impugnan los escritos de respuesta del director de la Agencia, efectuada a través del president de las Corts, en los que se deniega las solicitudes de documentación formuladas por el citado grupo parlamentario, relativas a expedientes de investigación abiertos en la AVAF por presuntas irregularidades que podrían ser constitutivas de fraude o corrupción y que se encuentran en curso; irregularidades que podrían implicar o afectar al ámbito </w:t>
      </w:r>
      <w:r w:rsidRPr="00234697">
        <w:rPr>
          <w:rFonts w:ascii="Arial" w:eastAsia="NSimSun" w:hAnsi="Arial" w:cs="Arial"/>
          <w:sz w:val="21"/>
          <w:szCs w:val="21"/>
        </w:rPr>
        <w:t xml:space="preserve">de otros grupos políticos. </w:t>
      </w:r>
    </w:p>
    <w:p w14:paraId="061DA1B9" w14:textId="01A728CE" w:rsidR="006B510A" w:rsidRPr="00973028" w:rsidRDefault="006B510A" w:rsidP="00C1460B">
      <w:pPr>
        <w:spacing w:after="240" w:line="276" w:lineRule="auto"/>
        <w:jc w:val="both"/>
        <w:rPr>
          <w:rFonts w:ascii="Arial" w:eastAsia="NSimSun" w:hAnsi="Arial" w:cs="Arial"/>
          <w:sz w:val="21"/>
          <w:szCs w:val="21"/>
        </w:rPr>
      </w:pPr>
      <w:r w:rsidRPr="00234697">
        <w:rPr>
          <w:rFonts w:ascii="Arial" w:eastAsia="NSimSun" w:hAnsi="Arial" w:cs="Arial"/>
          <w:sz w:val="21"/>
          <w:szCs w:val="21"/>
        </w:rPr>
        <w:t>Dicho grupo parlamentario había solicitado a la AVAF, concretamente, copia íntegra de los documentos obrantes en procedimiento</w:t>
      </w:r>
      <w:r w:rsidRPr="00234697">
        <w:rPr>
          <w:rFonts w:ascii="Arial" w:eastAsia="NSimSun" w:hAnsi="Arial" w:cs="Arial"/>
          <w:strike/>
          <w:sz w:val="21"/>
          <w:szCs w:val="21"/>
        </w:rPr>
        <w:t>s</w:t>
      </w:r>
      <w:r w:rsidRPr="00234697">
        <w:rPr>
          <w:rFonts w:ascii="Arial" w:eastAsia="NSimSun" w:hAnsi="Arial" w:cs="Arial"/>
          <w:sz w:val="21"/>
          <w:szCs w:val="21"/>
        </w:rPr>
        <w:t xml:space="preserve"> de investigación que se </w:t>
      </w:r>
      <w:r w:rsidR="005C1EF1" w:rsidRPr="00234697">
        <w:rPr>
          <w:rFonts w:ascii="Arial" w:eastAsia="NSimSun" w:hAnsi="Arial" w:cs="Arial"/>
          <w:sz w:val="21"/>
          <w:szCs w:val="21"/>
        </w:rPr>
        <w:t xml:space="preserve">abrió </w:t>
      </w:r>
      <w:r w:rsidRPr="00234697">
        <w:rPr>
          <w:rFonts w:ascii="Arial" w:eastAsia="NSimSun" w:hAnsi="Arial" w:cs="Arial"/>
          <w:sz w:val="21"/>
          <w:szCs w:val="21"/>
        </w:rPr>
        <w:t>como consecuencia de denuncias presentadas ante la misma y que</w:t>
      </w:r>
      <w:r w:rsidR="005C1EF1" w:rsidRPr="00234697">
        <w:rPr>
          <w:rFonts w:ascii="Arial" w:eastAsia="NSimSun" w:hAnsi="Arial" w:cs="Arial"/>
          <w:sz w:val="21"/>
          <w:szCs w:val="21"/>
        </w:rPr>
        <w:t xml:space="preserve"> tuvo</w:t>
      </w:r>
      <w:r w:rsidRPr="00234697">
        <w:rPr>
          <w:rFonts w:ascii="Arial" w:eastAsia="NSimSun" w:hAnsi="Arial" w:cs="Arial"/>
          <w:sz w:val="21"/>
          <w:szCs w:val="21"/>
        </w:rPr>
        <w:t xml:space="preserve"> que ser interrumpido</w:t>
      </w:r>
      <w:r w:rsidRPr="00234697">
        <w:rPr>
          <w:rFonts w:ascii="Arial" w:eastAsia="NSimSun" w:hAnsi="Arial" w:cs="Arial"/>
          <w:strike/>
          <w:sz w:val="21"/>
          <w:szCs w:val="21"/>
        </w:rPr>
        <w:t>s</w:t>
      </w:r>
      <w:r w:rsidRPr="00234697">
        <w:rPr>
          <w:rFonts w:ascii="Arial" w:eastAsia="NSimSun" w:hAnsi="Arial" w:cs="Arial"/>
          <w:sz w:val="21"/>
          <w:szCs w:val="21"/>
        </w:rPr>
        <w:t xml:space="preserve"> por aplicación del </w:t>
      </w:r>
      <w:hyperlink r:id="rId156" w:history="1">
        <w:r w:rsidRPr="00234697">
          <w:rPr>
            <w:rStyle w:val="Hipervnculo"/>
            <w:rFonts w:ascii="Arial" w:eastAsia="NSimSun" w:hAnsi="Arial" w:cs="Arial"/>
            <w:sz w:val="21"/>
            <w:szCs w:val="21"/>
          </w:rPr>
          <w:t>artículo 5.2 de la Ley 11/2016.</w:t>
        </w:r>
      </w:hyperlink>
      <w:r w:rsidRPr="00234697">
        <w:rPr>
          <w:rFonts w:ascii="Arial" w:eastAsia="NSimSun" w:hAnsi="Arial" w:cs="Arial"/>
          <w:sz w:val="21"/>
          <w:szCs w:val="21"/>
        </w:rPr>
        <w:t xml:space="preserve"> Como consecuencia de esta interrupción legal, la </w:t>
      </w:r>
      <w:r w:rsidRPr="00234697">
        <w:rPr>
          <w:rFonts w:ascii="Arial" w:eastAsia="Times New Roman" w:hAnsi="Arial" w:cs="Arial"/>
          <w:color w:val="000000"/>
          <w:sz w:val="21"/>
          <w:szCs w:val="21"/>
          <w:lang w:eastAsia="es-ES"/>
        </w:rPr>
        <w:t>documentación obrante en la Agencia se remitió al correspondiente</w:t>
      </w:r>
      <w:r w:rsidRPr="00973028">
        <w:rPr>
          <w:rFonts w:ascii="Arial" w:eastAsia="Times New Roman" w:hAnsi="Arial" w:cs="Arial"/>
          <w:color w:val="000000"/>
          <w:sz w:val="21"/>
          <w:szCs w:val="21"/>
          <w:lang w:eastAsia="es-ES"/>
        </w:rPr>
        <w:t xml:space="preserve"> Juzgado de Instrucción para conocimiento del asunto por el orden jurisdiccional penal. Se hace necesario destacar que la demandante en este recurso contencioso-administrativo se encuentra personada en esta causa como querellante, por lo que tiene acceso a toda la documentación solicitada a esta Agencia.</w:t>
      </w:r>
    </w:p>
    <w:p w14:paraId="42D9A8F3" w14:textId="4FB1998C" w:rsidR="006B510A" w:rsidRPr="00973028" w:rsidRDefault="006B510A" w:rsidP="00C1460B">
      <w:pPr>
        <w:spacing w:after="240" w:line="276" w:lineRule="auto"/>
        <w:jc w:val="both"/>
        <w:rPr>
          <w:rFonts w:ascii="Arial" w:hAnsi="Arial" w:cs="Verdana"/>
          <w:color w:val="000000"/>
          <w:sz w:val="21"/>
          <w:szCs w:val="21"/>
        </w:rPr>
      </w:pPr>
      <w:r w:rsidRPr="00973028">
        <w:rPr>
          <w:rFonts w:ascii="Arial" w:hAnsi="Arial" w:cs="Verdana"/>
          <w:color w:val="000000"/>
          <w:sz w:val="21"/>
          <w:szCs w:val="21"/>
        </w:rPr>
        <w:t>Estos recursos contencioso-administrativos siguen actualmente su curso en la vía judicial, bien en primera instancia, bien en fase de recurso.</w:t>
      </w:r>
    </w:p>
    <w:p w14:paraId="4F24AD4A" w14:textId="6B5C5E28"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hAnsi="Arial" w:cs="Verdana"/>
          <w:color w:val="000000"/>
          <w:sz w:val="21"/>
          <w:szCs w:val="21"/>
        </w:rPr>
        <w:t xml:space="preserve">Respecto del primero de ellos, </w:t>
      </w:r>
      <w:r w:rsidRPr="00973028">
        <w:rPr>
          <w:rFonts w:ascii="Arial" w:eastAsia="Times New Roman" w:hAnsi="Arial" w:cs="Arial"/>
          <w:color w:val="000000"/>
          <w:sz w:val="21"/>
          <w:szCs w:val="21"/>
          <w:lang w:eastAsia="es-ES"/>
        </w:rPr>
        <w:t xml:space="preserve">recurso contencioso-administrativo núm. 347/2019, recayó Sentencia núm. 198/2020 de fecha 4 de junio, de la citada Sección Cuarta, estimatoria del </w:t>
      </w:r>
      <w:r w:rsidRPr="00973028">
        <w:rPr>
          <w:rFonts w:ascii="Arial" w:eastAsia="Times New Roman" w:hAnsi="Arial" w:cs="Arial"/>
          <w:color w:val="000000"/>
          <w:sz w:val="21"/>
          <w:szCs w:val="21"/>
          <w:lang w:eastAsia="es-ES"/>
        </w:rPr>
        <w:lastRenderedPageBreak/>
        <w:t>recurso interpuesto. Dicha Sentencia fue emitida en contra de la posición defendida por esta Agencia y también por la Fiscalía.</w:t>
      </w:r>
    </w:p>
    <w:p w14:paraId="4BF3E4E3" w14:textId="51951D9D" w:rsidR="006B510A" w:rsidRPr="00973028" w:rsidRDefault="006B510A" w:rsidP="00C1460B">
      <w:pPr>
        <w:autoSpaceDE w:val="0"/>
        <w:autoSpaceDN w:val="0"/>
        <w:adjustRightInd w:val="0"/>
        <w:spacing w:after="240" w:line="276" w:lineRule="auto"/>
        <w:jc w:val="both"/>
        <w:rPr>
          <w:rFonts w:ascii="Arial" w:eastAsia="Times New Roman" w:hAnsi="Arial" w:cs="Arial"/>
          <w:color w:val="000000"/>
          <w:sz w:val="21"/>
          <w:szCs w:val="21"/>
          <w:highlight w:val="yellow"/>
          <w:lang w:eastAsia="es-ES"/>
        </w:rPr>
      </w:pPr>
      <w:r w:rsidRPr="00973028">
        <w:rPr>
          <w:rFonts w:ascii="Arial" w:eastAsia="NSimSun" w:hAnsi="Arial" w:cs="Arial"/>
          <w:sz w:val="21"/>
          <w:szCs w:val="21"/>
        </w:rPr>
        <w:t>La recurrente entiende que se ha producido una vulneración del artículo 23 de la Constitución Española, a cuyo tenor todos los ciudadanos tienen derecho a participar en los asuntos públicos, directamente o por medio de sus representantes, lo que fue confirmado por la citada Sentencia, que antepuso la aplicación del artículo 12 del Reglamento de las Corts, a la Ley 11/2016, de 28 de noviembre, de la Generalitat, de la Agencia de Prevención y Lucha contra el Fraude y la Corrupción de la Comunitat Valenciana.</w:t>
      </w:r>
    </w:p>
    <w:p w14:paraId="3D135573" w14:textId="609DFE41" w:rsidR="006B510A" w:rsidRPr="00973028" w:rsidRDefault="006B510A" w:rsidP="00C1460B">
      <w:pPr>
        <w:spacing w:after="240" w:line="276" w:lineRule="auto"/>
        <w:jc w:val="both"/>
        <w:rPr>
          <w:rFonts w:ascii="Arial" w:eastAsia="NSimSun" w:hAnsi="Arial" w:cs="Arial"/>
          <w:sz w:val="21"/>
          <w:szCs w:val="21"/>
        </w:rPr>
      </w:pPr>
      <w:r w:rsidRPr="00973028">
        <w:rPr>
          <w:rFonts w:ascii="Arial" w:eastAsia="NSimSun" w:hAnsi="Arial" w:cs="Arial"/>
          <w:sz w:val="21"/>
          <w:szCs w:val="21"/>
        </w:rPr>
        <w:t>No obstante, el Fiscal en sus conclusiones, previas a la emisión de la Sentencia, señalaba literalmente lo siguiente:</w:t>
      </w:r>
    </w:p>
    <w:p w14:paraId="1024C853" w14:textId="0A350FEF" w:rsidR="006B510A" w:rsidRPr="00973028" w:rsidRDefault="006B510A" w:rsidP="004E256D">
      <w:pPr>
        <w:spacing w:after="120" w:line="276" w:lineRule="auto"/>
        <w:ind w:left="567"/>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“De lo remitido a la Presidencia de Les Corts por la Agencia Antifraude se puede decir que sí se le ha dado información, pero no se le ha dado copia de los expedientes citados. Existiendo un asunto judicializado debió dirigirse al órgano judicial para la entrega de los expedientes que pretendía y no a la Agencia Antifraude.</w:t>
      </w:r>
    </w:p>
    <w:p w14:paraId="3CED3B0C" w14:textId="30B10922" w:rsidR="006B510A" w:rsidRPr="00973028" w:rsidRDefault="006B510A" w:rsidP="004E256D">
      <w:pPr>
        <w:spacing w:after="120" w:line="276" w:lineRule="auto"/>
        <w:ind w:left="567"/>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La Directiva de la Unión Europea 2019/1937 relativa a la protección de las personas que informen sobre infracciones del Derecho de la Unión que entró en vigor en España el 17 de noviembre de 2019, en su artículo 16, que se refiere al deber de confidencialidad, es del tenor siguiente: </w:t>
      </w:r>
      <w:r w:rsidRPr="004530CB">
        <w:rPr>
          <w:rFonts w:ascii="Arial" w:eastAsia="Times New Roman" w:hAnsi="Arial" w:cs="Arial"/>
          <w:i/>
          <w:iCs/>
          <w:color w:val="000000"/>
          <w:sz w:val="21"/>
          <w:szCs w:val="21"/>
          <w:lang w:eastAsia="es-ES"/>
        </w:rPr>
        <w:t>Los Estados miembros velaran porque no se revele la identidad sin su consentimiento expreso a ninguna persona que no sea miembro autorizado del personal competente para recibir o seguir denuncias. Lo anterior también se aplicará a cualquier otra información de la que se pueda deducir directa o indirectamente la identidad del denunciante.</w:t>
      </w:r>
      <w:r w:rsidRPr="00973028">
        <w:rPr>
          <w:rFonts w:ascii="Arial" w:eastAsia="Times New Roman" w:hAnsi="Arial" w:cs="Arial"/>
          <w:color w:val="000000"/>
          <w:sz w:val="21"/>
          <w:szCs w:val="21"/>
          <w:lang w:eastAsia="es-ES"/>
        </w:rPr>
        <w:t xml:space="preserve"> De remitirse todo lo solicitado por la demandante la confidencialidad del denunciante hubiese quedado más que en entredicho, con clara vulneración de la Directiva de la Unión Europea vigente en España.</w:t>
      </w:r>
    </w:p>
    <w:p w14:paraId="19AF704B" w14:textId="12B837DE" w:rsidR="006B510A" w:rsidRPr="00973028" w:rsidRDefault="006B510A" w:rsidP="004E256D">
      <w:pPr>
        <w:spacing w:after="240" w:line="276" w:lineRule="auto"/>
        <w:ind w:left="567"/>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De lo expuesto se deduce, que se le dio información, que su pretensión de entrega de los expedientes no era viable y, en consecuencia, se puede afirmar que no hubo vulneración del artículo 23 de la C.E. alegado, por lo que procede desestimar la demanda interpuesta.”</w:t>
      </w:r>
    </w:p>
    <w:p w14:paraId="3FECB643" w14:textId="4044034F"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Asimismo, se hace necesario transcribir a continuación un pasaje del escrito de conclusiones que presentó esta Agencia en el marco del citado contencioso:</w:t>
      </w:r>
    </w:p>
    <w:p w14:paraId="1245151D" w14:textId="0C3FC85E" w:rsidR="006B510A" w:rsidRPr="00973028" w:rsidRDefault="006B510A" w:rsidP="004E256D">
      <w:pPr>
        <w:spacing w:after="120" w:line="276" w:lineRule="auto"/>
        <w:ind w:left="567"/>
        <w:jc w:val="both"/>
        <w:rPr>
          <w:rFonts w:ascii="Arial" w:eastAsia="NSimSun" w:hAnsi="Arial" w:cs="Arial"/>
          <w:bCs/>
          <w:color w:val="000000"/>
          <w:sz w:val="21"/>
          <w:szCs w:val="21"/>
        </w:rPr>
      </w:pPr>
      <w:r w:rsidRPr="00973028">
        <w:rPr>
          <w:rFonts w:ascii="Arial" w:hAnsi="Arial"/>
          <w:bCs/>
          <w:color w:val="000000"/>
          <w:sz w:val="21"/>
          <w:szCs w:val="21"/>
        </w:rPr>
        <w:t xml:space="preserve">“Sin embargo, </w:t>
      </w:r>
      <w:r w:rsidRPr="00973028">
        <w:rPr>
          <w:rFonts w:ascii="Arial" w:hAnsi="Arial"/>
          <w:b/>
          <w:bCs/>
          <w:color w:val="000000"/>
          <w:sz w:val="21"/>
          <w:szCs w:val="21"/>
        </w:rPr>
        <w:t>nos encontramos ante un caso muy diferente a los anteriores</w:t>
      </w:r>
      <w:r w:rsidRPr="00973028">
        <w:rPr>
          <w:rFonts w:ascii="Arial" w:hAnsi="Arial"/>
          <w:bCs/>
          <w:color w:val="000000"/>
          <w:sz w:val="21"/>
          <w:szCs w:val="21"/>
        </w:rPr>
        <w:t>, que va más allá de la propia solicitud de acceso a la documentación de un expediente de investigación concreto.</w:t>
      </w:r>
    </w:p>
    <w:p w14:paraId="7EA4FCA7" w14:textId="05F66963" w:rsidR="006B510A" w:rsidRPr="00973028" w:rsidRDefault="006B510A" w:rsidP="004E256D">
      <w:pPr>
        <w:spacing w:after="120" w:line="276" w:lineRule="auto"/>
        <w:ind w:left="567"/>
        <w:jc w:val="both"/>
        <w:rPr>
          <w:rFonts w:ascii="Arial" w:hAnsi="Arial"/>
          <w:bCs/>
          <w:color w:val="000000"/>
          <w:sz w:val="21"/>
          <w:szCs w:val="21"/>
        </w:rPr>
      </w:pPr>
      <w:r w:rsidRPr="00973028">
        <w:rPr>
          <w:rFonts w:ascii="Arial" w:hAnsi="Arial"/>
          <w:bCs/>
          <w:color w:val="000000"/>
          <w:sz w:val="21"/>
          <w:szCs w:val="21"/>
        </w:rPr>
        <w:t>Es un</w:t>
      </w:r>
      <w:r w:rsidRPr="00973028">
        <w:rPr>
          <w:rFonts w:ascii="Arial" w:hAnsi="Arial"/>
          <w:b/>
          <w:bCs/>
          <w:color w:val="000000"/>
          <w:sz w:val="21"/>
          <w:szCs w:val="21"/>
        </w:rPr>
        <w:t xml:space="preserve"> asunto que afecta a la propia naturaleza, funciones, fines y alcance de las actuaciones, no solo de la propia Agencia Valenciana Antifraude</w:t>
      </w:r>
      <w:r w:rsidRPr="00973028">
        <w:rPr>
          <w:rFonts w:ascii="Arial" w:hAnsi="Arial"/>
          <w:bCs/>
          <w:color w:val="000000"/>
          <w:sz w:val="21"/>
          <w:szCs w:val="21"/>
        </w:rPr>
        <w:t>, sino también al resto de las agencias u oficinas de lucha contra el fraude y la corrupción, que vienen funcionando en algunas Comunidades Autónomas y que en muchos países europeos y de nuestro entorno existen desde hace años y cuyas potestades no se cuestionan.</w:t>
      </w:r>
    </w:p>
    <w:p w14:paraId="5B8CE862" w14:textId="5935A705" w:rsidR="006B510A" w:rsidRPr="00973028" w:rsidRDefault="006B510A" w:rsidP="004E256D">
      <w:pPr>
        <w:spacing w:after="120" w:line="276" w:lineRule="auto"/>
        <w:ind w:left="567"/>
        <w:jc w:val="both"/>
        <w:rPr>
          <w:rFonts w:ascii="Arial" w:eastAsia="NSimSun" w:hAnsi="Arial" w:cs="Arial"/>
          <w:sz w:val="21"/>
          <w:szCs w:val="21"/>
        </w:rPr>
      </w:pPr>
      <w:r w:rsidRPr="00973028">
        <w:rPr>
          <w:rFonts w:ascii="Arial" w:hAnsi="Arial"/>
          <w:bCs/>
          <w:color w:val="000000"/>
          <w:sz w:val="21"/>
          <w:szCs w:val="21"/>
        </w:rPr>
        <w:t xml:space="preserve">Conviene recordar, por una parte, que el </w:t>
      </w:r>
      <w:r w:rsidRPr="00973028">
        <w:rPr>
          <w:rFonts w:ascii="Arial" w:hAnsi="Arial"/>
          <w:b/>
          <w:bCs/>
          <w:color w:val="000000"/>
          <w:sz w:val="21"/>
          <w:szCs w:val="21"/>
        </w:rPr>
        <w:t>ámbito material de actuación de dichas agencias u oficinas</w:t>
      </w:r>
      <w:r w:rsidRPr="00973028">
        <w:rPr>
          <w:rFonts w:ascii="Arial" w:hAnsi="Arial"/>
          <w:bCs/>
          <w:color w:val="000000"/>
          <w:sz w:val="21"/>
          <w:szCs w:val="21"/>
        </w:rPr>
        <w:t xml:space="preserve"> incluye, por regla general y como es el caso de la Agencia Valenciana Antifraude, también a los propios </w:t>
      </w:r>
      <w:r w:rsidRPr="00973028">
        <w:rPr>
          <w:rFonts w:ascii="Arial" w:hAnsi="Arial"/>
          <w:b/>
          <w:bCs/>
          <w:color w:val="000000"/>
          <w:sz w:val="21"/>
          <w:szCs w:val="21"/>
        </w:rPr>
        <w:t>partidos políticos</w:t>
      </w:r>
      <w:r w:rsidRPr="00973028">
        <w:rPr>
          <w:rFonts w:ascii="Arial" w:hAnsi="Arial"/>
          <w:bCs/>
          <w:color w:val="000000"/>
          <w:sz w:val="21"/>
          <w:szCs w:val="21"/>
        </w:rPr>
        <w:t xml:space="preserve">, conforme previene </w:t>
      </w:r>
      <w:r w:rsidRPr="00973028">
        <w:rPr>
          <w:rFonts w:ascii="Arial" w:hAnsi="Arial"/>
          <w:bCs/>
          <w:color w:val="000000"/>
          <w:sz w:val="21"/>
          <w:szCs w:val="21"/>
        </w:rPr>
        <w:lastRenderedPageBreak/>
        <w:t>el art. 3.j) de la Ley 11/2016; y por otra parte, que la reciente Directiva (UE) 2019/1937 del Parlamento Europeo y del Consejo de 23 de octubre de 2019, relativa a la protección de las personas que informen sobre infracciones del Derecho de la Unión, establece la necesidad imperativa de efectuar una protección eficaz a los denunciantes (bajo sanción si ello no se respeta) y de crear canales de denuncia y autoridades competentes para llevar a cabo las investigaciones; misiones estas que en el ámbito de la Comunitat Valenciana viene desplegando, adelantándose a los postulados de la norma comunitaria, esta Agencia, en virtud de la Ley 11/2016, de 28 de noviembre, de la Generalitat, de la Agencia de Prevención y Lucha contra la Corrupción de la Comunitat Valenciana, y que España tiene dos años para transponer en el ámbito de todo el territorio nacional.</w:t>
      </w:r>
    </w:p>
    <w:p w14:paraId="0BF14721" w14:textId="7A556386" w:rsidR="006B510A" w:rsidRPr="00973028" w:rsidRDefault="006B510A" w:rsidP="004E256D">
      <w:pPr>
        <w:spacing w:after="120" w:line="276" w:lineRule="auto"/>
        <w:ind w:left="567"/>
        <w:jc w:val="both"/>
        <w:rPr>
          <w:rFonts w:ascii="Arial" w:hAnsi="Arial"/>
          <w:sz w:val="21"/>
          <w:szCs w:val="21"/>
        </w:rPr>
      </w:pPr>
      <w:r w:rsidRPr="00973028">
        <w:rPr>
          <w:rFonts w:ascii="Arial" w:hAnsi="Arial"/>
          <w:bCs/>
          <w:color w:val="000000"/>
          <w:sz w:val="21"/>
          <w:szCs w:val="21"/>
        </w:rPr>
        <w:t>Pues bien, admitir sin mayores consideraciones que cualquier diputado, por el simple hecho de ostentar dicho cargo, puede acceder a cualquier expediente de investigación que se tramite en las Agencias Antifraude (como la valenciana), sin posibilidad de limitar dicho acceso so pena de constituir una vulneración de su derecho a la participación en los asuntos públicos del art 23.2 de la CE, supondría:</w:t>
      </w:r>
    </w:p>
    <w:p w14:paraId="0CCF9527" w14:textId="38D7FD6C" w:rsidR="006B510A" w:rsidRPr="00973028" w:rsidRDefault="006B510A" w:rsidP="004E256D">
      <w:pPr>
        <w:spacing w:after="120" w:line="276" w:lineRule="auto"/>
        <w:ind w:left="567"/>
        <w:jc w:val="both"/>
        <w:rPr>
          <w:rFonts w:ascii="Arial" w:hAnsi="Arial"/>
          <w:sz w:val="21"/>
          <w:szCs w:val="21"/>
        </w:rPr>
      </w:pPr>
      <w:r w:rsidRPr="00973028">
        <w:rPr>
          <w:rFonts w:ascii="Arial" w:hAnsi="Arial"/>
          <w:bCs/>
          <w:color w:val="000000"/>
          <w:sz w:val="21"/>
          <w:szCs w:val="21"/>
        </w:rPr>
        <w:t>1.- Vaciar la eficacia la labor de este tipo de Oficinas de control externo (OCEX) en su lucha contra los casos de corrupción y fraude, en particular en los casos en que la actuación de estas agencias se dirija frente al propio partido político del que forma el diputado solicitante.</w:t>
      </w:r>
    </w:p>
    <w:p w14:paraId="2C392AD9" w14:textId="5121E7E2" w:rsidR="006B510A" w:rsidRPr="00973028" w:rsidRDefault="006B510A" w:rsidP="004E256D">
      <w:pPr>
        <w:spacing w:after="120" w:line="276" w:lineRule="auto"/>
        <w:ind w:left="567"/>
        <w:jc w:val="both"/>
        <w:rPr>
          <w:rFonts w:ascii="Arial" w:hAnsi="Arial"/>
          <w:sz w:val="21"/>
          <w:szCs w:val="21"/>
        </w:rPr>
      </w:pPr>
      <w:r w:rsidRPr="00973028">
        <w:rPr>
          <w:rFonts w:ascii="Arial" w:hAnsi="Arial"/>
          <w:bCs/>
          <w:color w:val="000000"/>
          <w:sz w:val="21"/>
          <w:szCs w:val="21"/>
        </w:rPr>
        <w:t>2.- Otorgar al solicitante de dicha información más derechos que al propio denunciante. El denunciante no tiene derecho a acceder al expediente y obtener copia del mismo pues no es interesado. El interesado en el expediente de investigación es el denunciado o investigado, cuyos derechos asimismo han de protegerse, entre ellos el derecho de defensa (art. 24 CE).</w:t>
      </w:r>
    </w:p>
    <w:p w14:paraId="7799ADC0" w14:textId="4D257951" w:rsidR="006B510A" w:rsidRPr="00973028" w:rsidRDefault="006B510A" w:rsidP="004E256D">
      <w:pPr>
        <w:spacing w:after="120" w:line="276" w:lineRule="auto"/>
        <w:ind w:left="567"/>
        <w:jc w:val="both"/>
        <w:rPr>
          <w:rFonts w:ascii="Arial" w:hAnsi="Arial"/>
          <w:sz w:val="21"/>
          <w:szCs w:val="21"/>
        </w:rPr>
      </w:pPr>
      <w:r w:rsidRPr="00973028">
        <w:rPr>
          <w:rFonts w:ascii="Arial" w:hAnsi="Arial"/>
          <w:bCs/>
          <w:color w:val="000000"/>
          <w:sz w:val="21"/>
          <w:szCs w:val="21"/>
        </w:rPr>
        <w:t xml:space="preserve">3.- Desproteger (y desalentar) a los denunciantes de casos de fraude o corrupción al facilitar datos que permiten identificar el origen de la denuncia, favoreciendo que surja contra los mismos cualquier tipo de represalia como consecuencia de la misma. </w:t>
      </w:r>
    </w:p>
    <w:p w14:paraId="1B936D40" w14:textId="31AC0719" w:rsidR="006B510A" w:rsidRPr="00973028" w:rsidRDefault="006B510A" w:rsidP="004E256D">
      <w:pPr>
        <w:spacing w:after="120" w:line="276" w:lineRule="auto"/>
        <w:ind w:left="567"/>
        <w:jc w:val="both"/>
        <w:rPr>
          <w:rFonts w:ascii="Arial" w:hAnsi="Arial"/>
          <w:sz w:val="21"/>
          <w:szCs w:val="21"/>
        </w:rPr>
      </w:pPr>
      <w:r w:rsidRPr="00973028">
        <w:rPr>
          <w:rFonts w:ascii="Arial" w:hAnsi="Arial"/>
          <w:bCs/>
          <w:color w:val="000000"/>
          <w:sz w:val="21"/>
          <w:szCs w:val="21"/>
        </w:rPr>
        <w:t>4.- Conculcar el régimen de funcionamiento e independencia de la Agencia en relación con sus investigaciones y la protección a las personas denunciantes que debe realizar, siguiendo las prescripciones de su Ley fundacional, en especial arts. 1, 8, 11.2, 14.</w:t>
      </w:r>
    </w:p>
    <w:p w14:paraId="145732A6" w14:textId="2F99086C" w:rsidR="006B510A" w:rsidRPr="00973028" w:rsidRDefault="006B510A" w:rsidP="004E256D">
      <w:pPr>
        <w:spacing w:after="240" w:line="276" w:lineRule="auto"/>
        <w:ind w:left="567"/>
        <w:jc w:val="both"/>
        <w:rPr>
          <w:b/>
          <w:bCs/>
          <w:sz w:val="21"/>
          <w:szCs w:val="21"/>
        </w:rPr>
      </w:pPr>
      <w:r w:rsidRPr="00973028">
        <w:rPr>
          <w:rFonts w:ascii="Arial" w:hAnsi="Arial"/>
          <w:bCs/>
          <w:color w:val="000000"/>
          <w:sz w:val="21"/>
          <w:szCs w:val="21"/>
        </w:rPr>
        <w:t>Es por todo lo manifestado que decimos que hasta la fecha no ha habido un pronunciamiento judicial respecto de la limitación de acceso de los parlamentarios autonómicos a documentos o expedientes que obran en poder de organismos no integrantes o dependientes del ejecutivo regional y que ostentan la naturaleza, funciones y fines descritos e inherentes a la Agencia Valenciana Antifraude. Esta será la primera sentencia que se pronuncie sobre ello, y por tanto de singular importancia en relación con las funciones que vienen desarrollando las agencias y oficinas de lucha contra el fraude y la corrupción.”</w:t>
      </w:r>
    </w:p>
    <w:p w14:paraId="324B6719" w14:textId="595854CB"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Por todas estas razones, siendo la mencionada Sentencia de 4 de junio de 2020 de la Sección Cuarta de la Sala de lo Contencioso-administrativo del Tribunal Superior de Justicia contraria a los postulados de la Fiscalía y de la propia Agencia, y conforme procede en derecho, esta interpuso sendos recursos de casación, respectivamente ante el Tribunal Supremo y ante la Sala Especial del Tribunal Superior de Justicia de la Comunitat </w:t>
      </w:r>
      <w:r w:rsidRPr="00973028">
        <w:rPr>
          <w:rFonts w:ascii="Arial" w:eastAsia="Times New Roman" w:hAnsi="Arial" w:cs="Arial"/>
          <w:color w:val="000000"/>
          <w:sz w:val="21"/>
          <w:szCs w:val="21"/>
          <w:lang w:eastAsia="es-ES"/>
        </w:rPr>
        <w:lastRenderedPageBreak/>
        <w:t>Valenciana, considerando que había existido infracción de leyes estatales y autonómicas así como de la jurisprudencia</w:t>
      </w:r>
      <w:r w:rsidR="00C1460B" w:rsidRPr="00973028">
        <w:rPr>
          <w:rFonts w:ascii="Arial" w:eastAsia="Times New Roman" w:hAnsi="Arial" w:cs="Arial"/>
          <w:color w:val="000000"/>
          <w:sz w:val="21"/>
          <w:szCs w:val="21"/>
          <w:lang w:eastAsia="es-ES"/>
        </w:rPr>
        <w:t>.</w:t>
      </w:r>
    </w:p>
    <w:p w14:paraId="686DC1C0" w14:textId="2CB9D5F3"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En fecha reciente a la redacción de la presente Memoria, el 4 de febrero de 2021, el Tribunal Supremo ha inadmitido el recurso de casación, por entender que no existe legislación estatal infringida, lo que supone la derivación de la decisión de este asunto a la Sala Especial de lo Contencioso-administrativo del Tribunal Superior de Justicia; recurso que está pendiente de tramitación en este momento pues la sentencia no es firme.</w:t>
      </w:r>
    </w:p>
    <w:p w14:paraId="2C37F683" w14:textId="1BA811CA" w:rsidR="006B510A" w:rsidRPr="00973028" w:rsidRDefault="006B510A" w:rsidP="00672ABA">
      <w:pPr>
        <w:pStyle w:val="Standard"/>
        <w:numPr>
          <w:ilvl w:val="0"/>
          <w:numId w:val="32"/>
        </w:numPr>
        <w:shd w:val="clear" w:color="auto" w:fill="FFFFFF"/>
        <w:suppressAutoHyphens w:val="0"/>
        <w:autoSpaceDN w:val="0"/>
        <w:spacing w:after="240" w:line="276" w:lineRule="auto"/>
        <w:jc w:val="both"/>
        <w:textAlignment w:val="auto"/>
        <w:rPr>
          <w:rFonts w:ascii="Arial" w:eastAsia="Times New Roman" w:hAnsi="Arial"/>
          <w:color w:val="000000"/>
          <w:sz w:val="21"/>
          <w:szCs w:val="21"/>
          <w:lang w:eastAsia="es-ES"/>
        </w:rPr>
      </w:pPr>
      <w:r w:rsidRPr="00973028">
        <w:rPr>
          <w:rFonts w:ascii="Arial" w:eastAsia="Times New Roman" w:hAnsi="Arial"/>
          <w:color w:val="000000"/>
          <w:sz w:val="21"/>
          <w:szCs w:val="21"/>
          <w:lang w:eastAsia="es-ES"/>
        </w:rPr>
        <w:t>Al respecto, cabe destacar que esta Agencia ha venido manteniendo que la Sentencia emitida el 4 de junio de 2020 realiza una interpretación errónea de normas constitucionales y estatales, tales como el artículo 23 de la Constitución Española, que no es un derecho absoluto sino de configuración legal (según la jurisprudencia del Tribunal Constitucional), y por tanto, debe ser puesto en relación con el respeto a otros derechos constitucionales como el de defensa y la presunción de inocencia, asimismo contenidos en el artículo 24 de la Constitución Española, y también en relación con lo expresamente establecido en las leyes, estatales o autonómicas.</w:t>
      </w:r>
    </w:p>
    <w:p w14:paraId="56DD4F1F" w14:textId="19BF23C3" w:rsidR="006B510A" w:rsidRPr="00973028" w:rsidRDefault="006B510A" w:rsidP="00C1460B">
      <w:pPr>
        <w:pStyle w:val="Standard"/>
        <w:shd w:val="clear" w:color="auto" w:fill="FFFFFF"/>
        <w:suppressAutoHyphens w:val="0"/>
        <w:autoSpaceDN w:val="0"/>
        <w:spacing w:after="240" w:line="276" w:lineRule="auto"/>
        <w:jc w:val="both"/>
        <w:textAlignment w:val="auto"/>
        <w:rPr>
          <w:rFonts w:ascii="Arial" w:hAnsi="Arial"/>
          <w:spacing w:val="-3"/>
          <w:sz w:val="21"/>
          <w:szCs w:val="21"/>
        </w:rPr>
      </w:pPr>
      <w:r w:rsidRPr="00973028">
        <w:rPr>
          <w:rFonts w:ascii="Arial" w:eastAsia="Times New Roman" w:hAnsi="Arial"/>
          <w:color w:val="000000"/>
          <w:sz w:val="21"/>
          <w:szCs w:val="21"/>
          <w:lang w:eastAsia="es-ES"/>
        </w:rPr>
        <w:t xml:space="preserve">En este sentido, el artículo 14 de la </w:t>
      </w:r>
      <w:r w:rsidRPr="00973028">
        <w:rPr>
          <w:rFonts w:ascii="Arial" w:hAnsi="Arial"/>
          <w:sz w:val="21"/>
          <w:szCs w:val="21"/>
        </w:rPr>
        <w:t xml:space="preserve">Ley 19/2013, de 9 de diciembre, de Transparencia, Acceso a la Información Pública y Buen Gobierno, establece que </w:t>
      </w:r>
      <w:r w:rsidRPr="00973028">
        <w:rPr>
          <w:rFonts w:ascii="Arial" w:hAnsi="Arial"/>
          <w:spacing w:val="-3"/>
          <w:sz w:val="21"/>
          <w:szCs w:val="21"/>
        </w:rPr>
        <w:t>el derecho de acceso a la información podrá ser limitado cuando acceder a ella suponga un perjuicio, ya para la investigación y sanción de ilícitos penales, administrativos o disciplinarios, ya para las funciones administrativas de vigilancia, inspección y control, ya para la salvaguarda de la garantía de la confidencialidad o el secreto requerido en los procesos de toma de decisión.</w:t>
      </w:r>
    </w:p>
    <w:p w14:paraId="110B64BE" w14:textId="54CBBE37" w:rsidR="006B510A" w:rsidRPr="00973028" w:rsidRDefault="006B510A" w:rsidP="00C1460B">
      <w:pPr>
        <w:pStyle w:val="Standard"/>
        <w:shd w:val="clear" w:color="auto" w:fill="FFFFFF"/>
        <w:suppressAutoHyphens w:val="0"/>
        <w:autoSpaceDN w:val="0"/>
        <w:spacing w:after="240" w:line="276" w:lineRule="auto"/>
        <w:jc w:val="both"/>
        <w:textAlignment w:val="auto"/>
        <w:rPr>
          <w:rFonts w:ascii="Arial" w:hAnsi="Arial"/>
          <w:spacing w:val="-3"/>
          <w:sz w:val="21"/>
          <w:szCs w:val="21"/>
        </w:rPr>
      </w:pPr>
      <w:r w:rsidRPr="00973028">
        <w:rPr>
          <w:rFonts w:ascii="Arial" w:hAnsi="Arial"/>
          <w:spacing w:val="-3"/>
          <w:sz w:val="21"/>
          <w:szCs w:val="21"/>
        </w:rPr>
        <w:t>Asimismo, en relación con los principios de legalidad y jerarquía normativa, se hace imprescindible resaltar que la “ley posterior deroga a la anterior” y también el principio de especialidad (“ley especial se aplica frente a ley general”), y, en consecuencia, lo dispuesto en el artículo 9, apartados 1 y 3, de la Constitución Española, en el artículo 5.1 de la Ley Orgánica del Poder Judicial, y respecto del Código Civil sus artículos 1, 2.2 y 3.</w:t>
      </w:r>
    </w:p>
    <w:p w14:paraId="7C5CD76E" w14:textId="1D4FE79F" w:rsidR="006B510A" w:rsidRPr="00973028" w:rsidRDefault="006B510A" w:rsidP="00C1460B">
      <w:pPr>
        <w:pStyle w:val="Standard"/>
        <w:shd w:val="clear" w:color="auto" w:fill="FFFFFF"/>
        <w:suppressAutoHyphens w:val="0"/>
        <w:autoSpaceDN w:val="0"/>
        <w:spacing w:after="240" w:line="276" w:lineRule="auto"/>
        <w:jc w:val="both"/>
        <w:textAlignment w:val="auto"/>
        <w:rPr>
          <w:rFonts w:ascii="Arial" w:hAnsi="Arial"/>
          <w:spacing w:val="-3"/>
          <w:sz w:val="21"/>
          <w:szCs w:val="21"/>
        </w:rPr>
      </w:pPr>
      <w:r w:rsidRPr="00973028">
        <w:rPr>
          <w:rFonts w:ascii="Arial" w:hAnsi="Arial"/>
          <w:spacing w:val="-3"/>
          <w:sz w:val="21"/>
          <w:szCs w:val="21"/>
        </w:rPr>
        <w:t xml:space="preserve">El Reglamento de </w:t>
      </w:r>
      <w:r w:rsidR="00C24960">
        <w:rPr>
          <w:rFonts w:ascii="Arial" w:hAnsi="Arial"/>
          <w:spacing w:val="-3"/>
          <w:sz w:val="21"/>
          <w:szCs w:val="21"/>
        </w:rPr>
        <w:t>la</w:t>
      </w:r>
      <w:r w:rsidRPr="00973028">
        <w:rPr>
          <w:rFonts w:ascii="Arial" w:hAnsi="Arial"/>
          <w:spacing w:val="-3"/>
          <w:sz w:val="21"/>
          <w:szCs w:val="21"/>
        </w:rPr>
        <w:t>s Corts fue aprobado en el año 2006, mientras que la Ley que rige las actuaciones de la Agencia, norma especial y ratificada igualmente por los diputados y diputadas del propio parlamento valenciano, fue aprobada el 28 de noviembre de 2016 (diez años después de aquel).</w:t>
      </w:r>
    </w:p>
    <w:p w14:paraId="6DA2FA12" w14:textId="54781338" w:rsidR="006B510A" w:rsidRPr="00973028" w:rsidRDefault="006B510A" w:rsidP="00C1460B">
      <w:pPr>
        <w:pStyle w:val="Standarduseruseruser"/>
        <w:autoSpaceDE w:val="0"/>
        <w:spacing w:after="240" w:line="276" w:lineRule="auto"/>
        <w:jc w:val="both"/>
        <w:rPr>
          <w:rFonts w:ascii="Arial" w:hAnsi="Arial" w:cs="Arial"/>
          <w:sz w:val="21"/>
          <w:szCs w:val="21"/>
        </w:rPr>
      </w:pPr>
      <w:r w:rsidRPr="00973028">
        <w:rPr>
          <w:rFonts w:ascii="Arial" w:hAnsi="Arial" w:cs="Arial"/>
          <w:sz w:val="21"/>
          <w:szCs w:val="21"/>
        </w:rPr>
        <w:t xml:space="preserve">La Ley 11/2016, de 28 de noviembre, de la Generalitat, de la Agencia de Prevención y Lucha contra el Fraude y la Corrupción de la Comunitat Valenciana, establece un régimen específico y particular, en atención a la naturaleza de esta entidad, a su ámbito de actuación y a sus funciones y fines. </w:t>
      </w:r>
    </w:p>
    <w:p w14:paraId="312D6638" w14:textId="1D862CFA" w:rsidR="006B510A" w:rsidRPr="00973028" w:rsidRDefault="006B510A" w:rsidP="00C1460B">
      <w:pPr>
        <w:pStyle w:val="Standarduseruseruser"/>
        <w:autoSpaceDE w:val="0"/>
        <w:spacing w:after="240" w:line="276" w:lineRule="auto"/>
        <w:jc w:val="both"/>
        <w:rPr>
          <w:rFonts w:ascii="Arial" w:hAnsi="Arial" w:cs="Arial"/>
          <w:sz w:val="21"/>
          <w:szCs w:val="21"/>
        </w:rPr>
      </w:pPr>
      <w:r w:rsidRPr="00973028">
        <w:rPr>
          <w:rFonts w:ascii="Arial" w:hAnsi="Arial" w:cs="Arial"/>
          <w:sz w:val="21"/>
          <w:szCs w:val="21"/>
        </w:rPr>
        <w:t>Así, cabe referenciar algunos de sus preceptos:</w:t>
      </w:r>
    </w:p>
    <w:p w14:paraId="50ED3B89" w14:textId="3F78404C" w:rsidR="006B510A" w:rsidRPr="00973028" w:rsidRDefault="006B510A" w:rsidP="00C1460B">
      <w:pPr>
        <w:pStyle w:val="Standarduseruseruser"/>
        <w:autoSpaceDE w:val="0"/>
        <w:spacing w:after="240" w:line="276" w:lineRule="auto"/>
        <w:ind w:left="567"/>
        <w:jc w:val="both"/>
        <w:rPr>
          <w:rFonts w:ascii="Arial" w:hAnsi="Arial" w:cs="Arial"/>
          <w:sz w:val="21"/>
          <w:szCs w:val="21"/>
        </w:rPr>
      </w:pPr>
      <w:r w:rsidRPr="00973028">
        <w:rPr>
          <w:rFonts w:ascii="Arial" w:hAnsi="Arial" w:cs="Arial"/>
          <w:sz w:val="21"/>
          <w:szCs w:val="21"/>
        </w:rPr>
        <w:t xml:space="preserve">Art. 2. </w:t>
      </w:r>
      <w:r w:rsidRPr="00973028">
        <w:rPr>
          <w:rFonts w:ascii="Arial" w:hAnsi="Arial" w:cs="Arial"/>
          <w:b/>
          <w:bCs/>
          <w:sz w:val="21"/>
          <w:szCs w:val="21"/>
        </w:rPr>
        <w:t>Régimen jurídico de la Agencia</w:t>
      </w:r>
      <w:r w:rsidRPr="00973028">
        <w:rPr>
          <w:rFonts w:ascii="Arial" w:hAnsi="Arial" w:cs="Arial"/>
          <w:sz w:val="21"/>
          <w:szCs w:val="21"/>
        </w:rPr>
        <w:t>: sujeción a la Ley 11/2016 y su normativa de</w:t>
      </w:r>
      <w:r w:rsidRPr="00973028">
        <w:rPr>
          <w:rFonts w:ascii="Arial" w:hAnsi="Arial" w:cs="Arial"/>
          <w:sz w:val="21"/>
          <w:szCs w:val="21"/>
          <w:shd w:val="clear" w:color="auto" w:fill="FFFF00"/>
        </w:rPr>
        <w:t xml:space="preserve"> </w:t>
      </w:r>
      <w:r w:rsidRPr="00973028">
        <w:rPr>
          <w:rFonts w:ascii="Arial" w:hAnsi="Arial" w:cs="Arial"/>
          <w:sz w:val="21"/>
          <w:szCs w:val="21"/>
        </w:rPr>
        <w:t>desarrollo y en su defecto normas de procedimiento administrativo común.</w:t>
      </w:r>
    </w:p>
    <w:p w14:paraId="3811CC30" w14:textId="77777777" w:rsidR="006B510A" w:rsidRPr="00973028" w:rsidRDefault="006B510A" w:rsidP="00672ABA">
      <w:pPr>
        <w:pStyle w:val="Standarduseruseruser"/>
        <w:numPr>
          <w:ilvl w:val="0"/>
          <w:numId w:val="33"/>
        </w:numPr>
        <w:autoSpaceDE w:val="0"/>
        <w:spacing w:after="240" w:line="276" w:lineRule="auto"/>
        <w:ind w:left="567"/>
        <w:jc w:val="both"/>
        <w:rPr>
          <w:rFonts w:ascii="Arial" w:hAnsi="Arial" w:cs="Arial"/>
          <w:sz w:val="21"/>
          <w:szCs w:val="21"/>
        </w:rPr>
      </w:pPr>
      <w:r w:rsidRPr="00973028">
        <w:rPr>
          <w:rFonts w:ascii="Arial" w:hAnsi="Arial" w:cs="Arial"/>
          <w:sz w:val="21"/>
          <w:szCs w:val="21"/>
        </w:rPr>
        <w:t xml:space="preserve">Artículos relativos al </w:t>
      </w:r>
      <w:r w:rsidRPr="00973028">
        <w:rPr>
          <w:rFonts w:ascii="Arial" w:hAnsi="Arial" w:cs="Arial"/>
          <w:b/>
          <w:bCs/>
          <w:sz w:val="21"/>
          <w:szCs w:val="21"/>
        </w:rPr>
        <w:t>carácter confidencial y reservado de sus actuaciones</w:t>
      </w:r>
      <w:r w:rsidRPr="00973028">
        <w:rPr>
          <w:rFonts w:ascii="Arial" w:hAnsi="Arial" w:cs="Arial"/>
          <w:sz w:val="21"/>
          <w:szCs w:val="21"/>
        </w:rPr>
        <w:t>:</w:t>
      </w:r>
    </w:p>
    <w:p w14:paraId="48FE1BCF" w14:textId="77777777" w:rsidR="006B510A" w:rsidRPr="00973028" w:rsidRDefault="006B510A" w:rsidP="004E256D">
      <w:pPr>
        <w:pStyle w:val="Standarduseruseruser"/>
        <w:numPr>
          <w:ilvl w:val="0"/>
          <w:numId w:val="33"/>
        </w:numPr>
        <w:autoSpaceDE w:val="0"/>
        <w:spacing w:after="120" w:line="276" w:lineRule="auto"/>
        <w:ind w:left="1134" w:firstLine="567"/>
        <w:jc w:val="both"/>
        <w:rPr>
          <w:rFonts w:ascii="Arial" w:hAnsi="Arial" w:cs="Arial"/>
          <w:sz w:val="21"/>
          <w:szCs w:val="21"/>
        </w:rPr>
      </w:pPr>
      <w:r w:rsidRPr="00973028">
        <w:rPr>
          <w:rFonts w:ascii="Arial" w:hAnsi="Arial" w:cs="Arial"/>
          <w:sz w:val="21"/>
          <w:szCs w:val="21"/>
        </w:rPr>
        <w:t>Art. 6. Potestades de investigación</w:t>
      </w:r>
    </w:p>
    <w:p w14:paraId="577DB2AF" w14:textId="77777777" w:rsidR="006B510A" w:rsidRPr="00973028" w:rsidRDefault="006B510A" w:rsidP="004E256D">
      <w:pPr>
        <w:pStyle w:val="Standarduseruseruser"/>
        <w:autoSpaceDE w:val="0"/>
        <w:spacing w:after="120" w:line="276" w:lineRule="auto"/>
        <w:ind w:left="1134" w:firstLine="567"/>
        <w:jc w:val="both"/>
        <w:rPr>
          <w:rFonts w:ascii="Arial" w:hAnsi="Arial" w:cs="Arial"/>
          <w:sz w:val="21"/>
          <w:szCs w:val="21"/>
        </w:rPr>
      </w:pPr>
      <w:r w:rsidRPr="00973028">
        <w:rPr>
          <w:rFonts w:ascii="Arial" w:hAnsi="Arial" w:cs="Arial"/>
          <w:sz w:val="21"/>
          <w:szCs w:val="21"/>
        </w:rPr>
        <w:lastRenderedPageBreak/>
        <w:t>Art. 8. Confidencialidad</w:t>
      </w:r>
    </w:p>
    <w:p w14:paraId="0C3CBF4A" w14:textId="77777777" w:rsidR="006B510A" w:rsidRPr="00973028" w:rsidRDefault="006B510A" w:rsidP="004E256D">
      <w:pPr>
        <w:pStyle w:val="Standarduseruseruser"/>
        <w:autoSpaceDE w:val="0"/>
        <w:spacing w:after="120" w:line="276" w:lineRule="auto"/>
        <w:ind w:left="1134" w:firstLine="567"/>
        <w:jc w:val="both"/>
        <w:rPr>
          <w:rFonts w:ascii="Arial" w:hAnsi="Arial" w:cs="Arial"/>
          <w:sz w:val="21"/>
          <w:szCs w:val="21"/>
        </w:rPr>
      </w:pPr>
      <w:r w:rsidRPr="00973028">
        <w:rPr>
          <w:rFonts w:ascii="Arial" w:hAnsi="Arial" w:cs="Arial"/>
          <w:sz w:val="21"/>
          <w:szCs w:val="21"/>
        </w:rPr>
        <w:t>Art. 9. Protección y cesión de datos</w:t>
      </w:r>
    </w:p>
    <w:p w14:paraId="118339F3" w14:textId="77777777" w:rsidR="006B510A" w:rsidRPr="00973028" w:rsidRDefault="006B510A" w:rsidP="004E256D">
      <w:pPr>
        <w:pStyle w:val="Standarduseruseruser"/>
        <w:autoSpaceDE w:val="0"/>
        <w:spacing w:after="120" w:line="276" w:lineRule="auto"/>
        <w:ind w:left="1134" w:firstLine="567"/>
        <w:jc w:val="both"/>
        <w:rPr>
          <w:rFonts w:ascii="Arial" w:hAnsi="Arial" w:cs="Arial"/>
          <w:sz w:val="21"/>
          <w:szCs w:val="21"/>
        </w:rPr>
      </w:pPr>
      <w:r w:rsidRPr="00973028">
        <w:rPr>
          <w:rFonts w:ascii="Arial" w:hAnsi="Arial" w:cs="Arial"/>
          <w:sz w:val="21"/>
          <w:szCs w:val="21"/>
        </w:rPr>
        <w:t>Art. 10. Garantías procedimentales</w:t>
      </w:r>
    </w:p>
    <w:p w14:paraId="7252DE5D" w14:textId="77777777" w:rsidR="006B510A" w:rsidRPr="00973028" w:rsidRDefault="006B510A" w:rsidP="004E256D">
      <w:pPr>
        <w:pStyle w:val="Standarduseruseruser"/>
        <w:autoSpaceDE w:val="0"/>
        <w:spacing w:after="120" w:line="276" w:lineRule="auto"/>
        <w:ind w:left="1134" w:firstLine="567"/>
        <w:jc w:val="both"/>
        <w:rPr>
          <w:rFonts w:ascii="Arial" w:hAnsi="Arial" w:cs="Arial"/>
          <w:sz w:val="21"/>
          <w:szCs w:val="21"/>
        </w:rPr>
      </w:pPr>
      <w:r w:rsidRPr="00973028">
        <w:rPr>
          <w:rFonts w:ascii="Arial" w:hAnsi="Arial" w:cs="Arial"/>
          <w:sz w:val="21"/>
          <w:szCs w:val="21"/>
        </w:rPr>
        <w:t>Art. 11</w:t>
      </w:r>
      <w:r w:rsidRPr="00973028">
        <w:rPr>
          <w:rFonts w:ascii="Arial" w:hAnsi="Arial" w:cs="Arial"/>
          <w:i/>
          <w:iCs/>
          <w:sz w:val="21"/>
          <w:szCs w:val="21"/>
        </w:rPr>
        <w:t>.</w:t>
      </w:r>
      <w:r w:rsidRPr="00973028">
        <w:rPr>
          <w:rFonts w:ascii="Arial" w:hAnsi="Arial" w:cs="Arial"/>
          <w:sz w:val="21"/>
          <w:szCs w:val="21"/>
        </w:rPr>
        <w:t>2</w:t>
      </w:r>
      <w:r w:rsidRPr="00973028">
        <w:rPr>
          <w:rFonts w:ascii="Arial" w:hAnsi="Arial" w:cs="Arial"/>
          <w:i/>
          <w:iCs/>
          <w:sz w:val="21"/>
          <w:szCs w:val="21"/>
        </w:rPr>
        <w:t xml:space="preserve">. </w:t>
      </w:r>
      <w:r w:rsidRPr="00973028">
        <w:rPr>
          <w:rFonts w:ascii="Arial" w:hAnsi="Arial" w:cs="Arial"/>
          <w:sz w:val="21"/>
          <w:szCs w:val="21"/>
        </w:rPr>
        <w:t>Procedimiento</w:t>
      </w:r>
    </w:p>
    <w:p w14:paraId="702993BD" w14:textId="77777777" w:rsidR="006B510A" w:rsidRPr="00973028" w:rsidRDefault="006B510A" w:rsidP="004E256D">
      <w:pPr>
        <w:pStyle w:val="Standarduseruseruser"/>
        <w:autoSpaceDE w:val="0"/>
        <w:spacing w:after="120" w:line="276" w:lineRule="auto"/>
        <w:ind w:left="1134" w:firstLine="567"/>
        <w:jc w:val="both"/>
        <w:rPr>
          <w:rFonts w:ascii="Arial" w:hAnsi="Arial" w:cs="Arial"/>
          <w:sz w:val="21"/>
          <w:szCs w:val="21"/>
        </w:rPr>
      </w:pPr>
      <w:r w:rsidRPr="00973028">
        <w:rPr>
          <w:rFonts w:ascii="Arial" w:hAnsi="Arial" w:cs="Arial"/>
          <w:sz w:val="21"/>
          <w:szCs w:val="21"/>
        </w:rPr>
        <w:t>Art. 14. Estatuto de la persona denunciante</w:t>
      </w:r>
    </w:p>
    <w:p w14:paraId="06BC90BF" w14:textId="03477669" w:rsidR="006B510A" w:rsidRPr="00973028" w:rsidRDefault="006B510A" w:rsidP="004E256D">
      <w:pPr>
        <w:pStyle w:val="Standarduseruseruser"/>
        <w:autoSpaceDE w:val="0"/>
        <w:spacing w:after="240" w:line="276" w:lineRule="auto"/>
        <w:ind w:left="1134" w:firstLine="567"/>
        <w:jc w:val="both"/>
        <w:rPr>
          <w:rFonts w:ascii="Arial" w:hAnsi="Arial" w:cs="Arial"/>
          <w:sz w:val="21"/>
          <w:szCs w:val="21"/>
        </w:rPr>
      </w:pPr>
      <w:r w:rsidRPr="00973028">
        <w:rPr>
          <w:rFonts w:ascii="Arial" w:hAnsi="Arial" w:cs="Arial"/>
          <w:sz w:val="21"/>
          <w:szCs w:val="21"/>
        </w:rPr>
        <w:t>Art. 29.1.2º. Deber de secreto</w:t>
      </w:r>
    </w:p>
    <w:p w14:paraId="0E7A0A47" w14:textId="6796429B" w:rsidR="006B510A" w:rsidRPr="00973028" w:rsidRDefault="006B510A" w:rsidP="00C1460B">
      <w:pPr>
        <w:pStyle w:val="Standarduseruseruser"/>
        <w:tabs>
          <w:tab w:val="left" w:pos="1193"/>
        </w:tabs>
        <w:autoSpaceDE w:val="0"/>
        <w:spacing w:after="240" w:line="276" w:lineRule="auto"/>
        <w:ind w:left="567"/>
        <w:jc w:val="both"/>
        <w:rPr>
          <w:rFonts w:ascii="Arial" w:hAnsi="Arial" w:cs="Arial"/>
          <w:sz w:val="21"/>
          <w:szCs w:val="21"/>
        </w:rPr>
      </w:pPr>
      <w:r w:rsidRPr="00973028">
        <w:rPr>
          <w:rFonts w:ascii="Arial" w:hAnsi="Arial" w:cs="Arial"/>
          <w:sz w:val="21"/>
          <w:szCs w:val="21"/>
        </w:rPr>
        <w:t xml:space="preserve">Artículos </w:t>
      </w:r>
      <w:r w:rsidRPr="00973028">
        <w:rPr>
          <w:rFonts w:ascii="Arial" w:hAnsi="Arial" w:cs="Arial"/>
          <w:b/>
          <w:bCs/>
          <w:sz w:val="21"/>
          <w:szCs w:val="21"/>
        </w:rPr>
        <w:t>relativos a la independencia de la AVAF</w:t>
      </w:r>
      <w:r w:rsidRPr="00973028">
        <w:rPr>
          <w:rFonts w:ascii="Arial" w:hAnsi="Arial" w:cs="Arial"/>
          <w:sz w:val="21"/>
          <w:szCs w:val="21"/>
        </w:rPr>
        <w:t>:</w:t>
      </w:r>
    </w:p>
    <w:p w14:paraId="7AE8EC9A" w14:textId="77777777" w:rsidR="006B510A" w:rsidRPr="00973028" w:rsidRDefault="006B510A" w:rsidP="004E256D">
      <w:pPr>
        <w:pStyle w:val="Standarduseruseruser"/>
        <w:autoSpaceDE w:val="0"/>
        <w:spacing w:after="120" w:line="276" w:lineRule="auto"/>
        <w:ind w:left="1134" w:firstLine="567"/>
        <w:jc w:val="both"/>
        <w:rPr>
          <w:rFonts w:ascii="Arial" w:hAnsi="Arial" w:cs="Arial"/>
          <w:sz w:val="21"/>
          <w:szCs w:val="21"/>
        </w:rPr>
      </w:pPr>
      <w:r w:rsidRPr="00973028">
        <w:rPr>
          <w:rFonts w:ascii="Arial" w:hAnsi="Arial" w:cs="Arial"/>
          <w:sz w:val="21"/>
          <w:szCs w:val="21"/>
        </w:rPr>
        <w:t>Art. 1. Objeto y naturaleza jurídica.</w:t>
      </w:r>
    </w:p>
    <w:p w14:paraId="54C9D398" w14:textId="77777777" w:rsidR="006B510A" w:rsidRPr="00973028" w:rsidRDefault="006B510A" w:rsidP="004E256D">
      <w:pPr>
        <w:pStyle w:val="Standarduseruseruser"/>
        <w:autoSpaceDE w:val="0"/>
        <w:spacing w:after="120" w:line="276" w:lineRule="auto"/>
        <w:ind w:left="1134" w:firstLine="567"/>
        <w:jc w:val="both"/>
        <w:rPr>
          <w:rFonts w:ascii="Arial" w:hAnsi="Arial" w:cs="Arial"/>
          <w:sz w:val="21"/>
          <w:szCs w:val="21"/>
        </w:rPr>
      </w:pPr>
      <w:r w:rsidRPr="00973028">
        <w:rPr>
          <w:rFonts w:ascii="Arial" w:hAnsi="Arial" w:cs="Arial"/>
          <w:sz w:val="21"/>
          <w:szCs w:val="21"/>
        </w:rPr>
        <w:t>Art. 3. a), h) y j). Ámbito de actuación de la Agencia.</w:t>
      </w:r>
    </w:p>
    <w:p w14:paraId="41F8EF8D" w14:textId="0A861173" w:rsidR="006B510A" w:rsidRPr="00973028" w:rsidRDefault="006B510A" w:rsidP="004E256D">
      <w:pPr>
        <w:pStyle w:val="Standarduseruseruser"/>
        <w:autoSpaceDE w:val="0"/>
        <w:spacing w:after="240" w:line="276" w:lineRule="auto"/>
        <w:ind w:left="1134" w:firstLine="567"/>
        <w:jc w:val="both"/>
        <w:rPr>
          <w:rFonts w:ascii="Arial" w:hAnsi="Arial" w:cs="Arial"/>
          <w:sz w:val="21"/>
          <w:szCs w:val="21"/>
        </w:rPr>
      </w:pPr>
      <w:r w:rsidRPr="00973028">
        <w:rPr>
          <w:rFonts w:ascii="Arial" w:hAnsi="Arial" w:cs="Arial"/>
          <w:sz w:val="21"/>
          <w:szCs w:val="21"/>
        </w:rPr>
        <w:t>Art. 5. Delimitación de funciones y colaboración</w:t>
      </w:r>
    </w:p>
    <w:p w14:paraId="67C98AE5" w14:textId="54582ACA" w:rsidR="006B510A" w:rsidRPr="003E7826" w:rsidRDefault="006B510A" w:rsidP="00C1460B">
      <w:pPr>
        <w:pStyle w:val="Standarduseruseruser"/>
        <w:autoSpaceDE w:val="0"/>
        <w:spacing w:after="240" w:line="276" w:lineRule="auto"/>
        <w:jc w:val="both"/>
        <w:rPr>
          <w:rFonts w:ascii="Arial" w:hAnsi="Arial" w:cs="Arial"/>
          <w:sz w:val="21"/>
          <w:szCs w:val="21"/>
        </w:rPr>
      </w:pPr>
      <w:r w:rsidRPr="003E7826">
        <w:rPr>
          <w:rFonts w:ascii="Arial" w:hAnsi="Arial" w:cs="Arial"/>
          <w:sz w:val="21"/>
          <w:szCs w:val="21"/>
        </w:rPr>
        <w:t xml:space="preserve">Una vez más reiteramos aquí que la AVAF no forma parte de la administración del Consell ni de las Consellerias, ni de su sector público vinculado, sino que encuentra como antecedente, como el propio preámbulo de su Ley indica, otros organismos antifraude o anticorrupción como la Oficina Europea de Lucha contra el Fraude (OLAF). </w:t>
      </w:r>
    </w:p>
    <w:p w14:paraId="3E8605F8" w14:textId="6F70D202" w:rsidR="006B510A" w:rsidRPr="003E7826" w:rsidRDefault="006B510A" w:rsidP="00C1460B">
      <w:pPr>
        <w:pStyle w:val="Standarduseruseruser"/>
        <w:autoSpaceDE w:val="0"/>
        <w:spacing w:after="240" w:line="276" w:lineRule="auto"/>
        <w:jc w:val="both"/>
        <w:rPr>
          <w:rFonts w:ascii="Arial" w:hAnsi="Arial" w:cs="Arial"/>
          <w:sz w:val="21"/>
          <w:szCs w:val="21"/>
        </w:rPr>
      </w:pPr>
      <w:r w:rsidRPr="003E7826">
        <w:rPr>
          <w:rFonts w:ascii="Arial" w:hAnsi="Arial" w:cs="Arial"/>
          <w:sz w:val="21"/>
          <w:szCs w:val="21"/>
        </w:rPr>
        <w:t xml:space="preserve">Una interpretación acorde con todo ello también es posible dentro de la literalidad del artículo 12 del Reglamento de </w:t>
      </w:r>
      <w:r w:rsidR="00C24960" w:rsidRPr="003E7826">
        <w:rPr>
          <w:rFonts w:ascii="Arial" w:hAnsi="Arial" w:cs="Arial"/>
          <w:sz w:val="21"/>
          <w:szCs w:val="21"/>
        </w:rPr>
        <w:t>la</w:t>
      </w:r>
      <w:r w:rsidRPr="003E7826">
        <w:rPr>
          <w:rFonts w:ascii="Arial" w:hAnsi="Arial" w:cs="Arial"/>
          <w:sz w:val="21"/>
          <w:szCs w:val="21"/>
        </w:rPr>
        <w:t>s Corts, pues este expresamente señala que puede negarse el derecho a la información de los diputados y diputadas cuando “existan razones fundadas en derecho”. Razones fundadas en derecho son las previstas en este caso en una norma con categoría de Ley, la propia Ley 11/2016.</w:t>
      </w:r>
    </w:p>
    <w:p w14:paraId="3F44D7F8" w14:textId="77777777" w:rsidR="007A1751" w:rsidRPr="003E7826" w:rsidRDefault="006B510A" w:rsidP="00C1460B">
      <w:pPr>
        <w:pStyle w:val="Standarduseruseruser"/>
        <w:autoSpaceDE w:val="0"/>
        <w:spacing w:after="240" w:line="276" w:lineRule="auto"/>
        <w:jc w:val="both"/>
        <w:rPr>
          <w:rFonts w:ascii="Arial" w:hAnsi="Arial" w:cs="Arial"/>
          <w:sz w:val="21"/>
          <w:szCs w:val="21"/>
        </w:rPr>
      </w:pPr>
      <w:r w:rsidRPr="003E7826">
        <w:rPr>
          <w:rFonts w:ascii="Arial" w:hAnsi="Arial" w:cs="Arial"/>
          <w:sz w:val="21"/>
          <w:szCs w:val="21"/>
        </w:rPr>
        <w:t xml:space="preserve">Ahora la decisión de esta cuestión desde la perspectiva judicial se encuentra, como ha quedado dicho, en la Sala Especial del Tribunal Superior de Justicia. </w:t>
      </w:r>
    </w:p>
    <w:p w14:paraId="7100DFB5" w14:textId="77777777" w:rsidR="007A1751" w:rsidRPr="003E7826" w:rsidRDefault="007A1751" w:rsidP="007A1751">
      <w:pPr>
        <w:suppressAutoHyphens/>
        <w:spacing w:after="0" w:line="276" w:lineRule="auto"/>
        <w:jc w:val="both"/>
        <w:rPr>
          <w:rFonts w:ascii="Arial" w:eastAsia="SimSun" w:hAnsi="Arial" w:cs="Arial"/>
          <w:color w:val="000000"/>
          <w:kern w:val="2"/>
          <w:sz w:val="21"/>
          <w:szCs w:val="21"/>
          <w:lang w:eastAsia="zh-CN" w:bidi="hi-IN"/>
        </w:rPr>
      </w:pPr>
      <w:r w:rsidRPr="003E7826">
        <w:rPr>
          <w:rFonts w:ascii="Arial" w:eastAsia="SimSun" w:hAnsi="Arial" w:cs="Arial"/>
          <w:color w:val="000000"/>
          <w:kern w:val="2"/>
          <w:sz w:val="21"/>
          <w:szCs w:val="21"/>
          <w:lang w:eastAsia="zh-CN" w:bidi="hi-IN"/>
        </w:rPr>
        <w:t>El propio Reglamento de les Corts, reconoce la existencia de razones jurídicas, por tal debe entenderse el término “fundadas en derecho”, que impidan facilitar la documentación solicitada por los parlamentarios.</w:t>
      </w:r>
      <w:r w:rsidRPr="003E7826">
        <w:rPr>
          <w:rFonts w:ascii="Arial" w:eastAsia="SimSun" w:hAnsi="Arial" w:cs="Arial"/>
          <w:b/>
          <w:bCs/>
          <w:color w:val="000000"/>
          <w:kern w:val="2"/>
          <w:sz w:val="21"/>
          <w:szCs w:val="21"/>
          <w:lang w:eastAsia="zh-CN" w:bidi="hi-IN"/>
        </w:rPr>
        <w:t xml:space="preserve"> </w:t>
      </w:r>
      <w:r w:rsidRPr="003E7826">
        <w:rPr>
          <w:rFonts w:ascii="Arial" w:eastAsia="SimSun" w:hAnsi="Arial" w:cs="Arial"/>
          <w:color w:val="000000"/>
          <w:kern w:val="2"/>
          <w:sz w:val="21"/>
          <w:szCs w:val="21"/>
          <w:lang w:eastAsia="zh-CN" w:bidi="hi-IN"/>
        </w:rPr>
        <w:t>Ello viene a corroborar que no estamos ante un derecho absoluto, y mucho menos automático, tal y como se ha ocupado en señalar tanto el Tribunal Supremo como el Tribunal Constitucional, y en igual sentido, los Tribunales Superiores de Justicia, entre ellos el de la Comunitat Valenciana.</w:t>
      </w:r>
    </w:p>
    <w:p w14:paraId="499311B9" w14:textId="77777777" w:rsidR="007A1751" w:rsidRPr="003E7826" w:rsidRDefault="007A1751" w:rsidP="007A1751">
      <w:pPr>
        <w:suppressAutoHyphens/>
        <w:spacing w:after="0" w:line="276" w:lineRule="auto"/>
        <w:jc w:val="both"/>
        <w:rPr>
          <w:rFonts w:ascii="Arial" w:eastAsia="SimSun" w:hAnsi="Arial" w:cs="Arial"/>
          <w:color w:val="000000"/>
          <w:kern w:val="2"/>
          <w:sz w:val="21"/>
          <w:szCs w:val="21"/>
          <w:lang w:eastAsia="zh-CN" w:bidi="hi-IN"/>
        </w:rPr>
      </w:pPr>
    </w:p>
    <w:p w14:paraId="2A1BC07F" w14:textId="77777777" w:rsidR="007A1751" w:rsidRPr="003E7826" w:rsidRDefault="007A1751" w:rsidP="007A1751">
      <w:pPr>
        <w:suppressAutoHyphens/>
        <w:spacing w:after="0" w:line="276" w:lineRule="auto"/>
        <w:jc w:val="both"/>
        <w:rPr>
          <w:rFonts w:ascii="Arial" w:eastAsia="SimSun" w:hAnsi="Arial" w:cs="Arial"/>
          <w:color w:val="000000"/>
          <w:kern w:val="2"/>
          <w:sz w:val="21"/>
          <w:szCs w:val="21"/>
          <w:lang w:eastAsia="zh-CN" w:bidi="hi-IN"/>
        </w:rPr>
      </w:pPr>
      <w:r w:rsidRPr="003E7826">
        <w:rPr>
          <w:rFonts w:ascii="Arial" w:eastAsia="SimSun" w:hAnsi="Arial" w:cs="Arial"/>
          <w:color w:val="000000"/>
          <w:kern w:val="2"/>
          <w:sz w:val="21"/>
          <w:szCs w:val="21"/>
          <w:lang w:eastAsia="zh-CN" w:bidi="hi-IN"/>
        </w:rPr>
        <w:t xml:space="preserve">El </w:t>
      </w:r>
      <w:r w:rsidRPr="003E7826">
        <w:rPr>
          <w:rFonts w:ascii="Arial" w:eastAsia="SimSun" w:hAnsi="Arial" w:cs="Arial"/>
          <w:b/>
          <w:bCs/>
          <w:color w:val="000000"/>
          <w:kern w:val="2"/>
          <w:sz w:val="21"/>
          <w:szCs w:val="21"/>
          <w:lang w:eastAsia="zh-CN" w:bidi="hi-IN"/>
        </w:rPr>
        <w:t>Tribunal Superior de Justicia de la Comunitat Valenciana</w:t>
      </w:r>
      <w:r w:rsidRPr="003E7826">
        <w:rPr>
          <w:rFonts w:ascii="Arial" w:eastAsia="SimSun" w:hAnsi="Arial" w:cs="Arial"/>
          <w:color w:val="000000"/>
          <w:kern w:val="2"/>
          <w:sz w:val="21"/>
          <w:szCs w:val="21"/>
          <w:lang w:eastAsia="zh-CN" w:bidi="hi-IN"/>
        </w:rPr>
        <w:t xml:space="preserve"> ha recogido el citado planteamiento de forma pacífica y constante en sentencias de la </w:t>
      </w:r>
      <w:r w:rsidRPr="003E7826">
        <w:rPr>
          <w:rFonts w:ascii="Arial" w:eastAsia="SimSun" w:hAnsi="Arial" w:cs="Arial"/>
          <w:b/>
          <w:bCs/>
          <w:color w:val="000000"/>
          <w:kern w:val="2"/>
          <w:sz w:val="21"/>
          <w:szCs w:val="21"/>
          <w:lang w:eastAsia="zh-CN" w:bidi="hi-IN"/>
        </w:rPr>
        <w:t>Sección Quinta</w:t>
      </w:r>
      <w:r w:rsidRPr="003E7826">
        <w:rPr>
          <w:rFonts w:ascii="Arial" w:eastAsia="SimSun" w:hAnsi="Arial" w:cs="Arial"/>
          <w:color w:val="000000"/>
          <w:kern w:val="2"/>
          <w:sz w:val="21"/>
          <w:szCs w:val="21"/>
          <w:lang w:eastAsia="zh-CN" w:bidi="hi-IN"/>
        </w:rPr>
        <w:t xml:space="preserve">, de su </w:t>
      </w:r>
      <w:r w:rsidRPr="003E7826">
        <w:rPr>
          <w:rFonts w:ascii="Arial" w:eastAsia="SimSun" w:hAnsi="Arial" w:cs="Arial"/>
          <w:b/>
          <w:bCs/>
          <w:color w:val="000000"/>
          <w:kern w:val="2"/>
          <w:sz w:val="21"/>
          <w:szCs w:val="21"/>
          <w:lang w:eastAsia="zh-CN" w:bidi="hi-IN"/>
        </w:rPr>
        <w:t>Sala de lo Contencioso-Administrativo</w:t>
      </w:r>
      <w:r w:rsidRPr="003E7826">
        <w:rPr>
          <w:rFonts w:ascii="Arial" w:eastAsia="SimSun" w:hAnsi="Arial" w:cs="Arial"/>
          <w:color w:val="000000"/>
          <w:kern w:val="2"/>
          <w:sz w:val="21"/>
          <w:szCs w:val="21"/>
          <w:lang w:eastAsia="zh-CN" w:bidi="hi-IN"/>
        </w:rPr>
        <w:t>, pudiendo citar a modo de ejemplo las siguientes:</w:t>
      </w:r>
    </w:p>
    <w:p w14:paraId="05B49D42" w14:textId="77777777" w:rsidR="007A1751" w:rsidRPr="003E7826" w:rsidRDefault="007A1751" w:rsidP="007A1751">
      <w:pPr>
        <w:suppressAutoHyphens/>
        <w:spacing w:after="0" w:line="276" w:lineRule="auto"/>
        <w:jc w:val="both"/>
        <w:rPr>
          <w:rFonts w:ascii="Arial" w:eastAsia="SimSun" w:hAnsi="Arial" w:cs="Arial"/>
          <w:color w:val="000000"/>
          <w:kern w:val="2"/>
          <w:sz w:val="21"/>
          <w:szCs w:val="21"/>
          <w:lang w:eastAsia="zh-CN" w:bidi="hi-IN"/>
        </w:rPr>
      </w:pPr>
    </w:p>
    <w:p w14:paraId="7D01ADA3" w14:textId="77777777" w:rsidR="007A1751" w:rsidRPr="003E7826" w:rsidRDefault="007A1751" w:rsidP="007A1751">
      <w:pPr>
        <w:numPr>
          <w:ilvl w:val="0"/>
          <w:numId w:val="62"/>
        </w:numPr>
        <w:suppressAutoHyphens/>
        <w:spacing w:after="0" w:line="276" w:lineRule="auto"/>
        <w:jc w:val="both"/>
        <w:rPr>
          <w:rFonts w:ascii="Arial" w:eastAsia="SimSun" w:hAnsi="Arial" w:cs="Arial"/>
          <w:color w:val="000000"/>
          <w:kern w:val="2"/>
          <w:sz w:val="21"/>
          <w:szCs w:val="21"/>
          <w:lang w:eastAsia="zh-CN" w:bidi="hi-IN"/>
        </w:rPr>
      </w:pPr>
      <w:r w:rsidRPr="003E7826">
        <w:rPr>
          <w:rFonts w:ascii="Arial" w:eastAsia="SimSun" w:hAnsi="Arial" w:cs="Arial"/>
          <w:color w:val="000000"/>
          <w:kern w:val="2"/>
          <w:sz w:val="21"/>
          <w:szCs w:val="21"/>
          <w:lang w:eastAsia="zh-CN" w:bidi="hi-IN"/>
        </w:rPr>
        <w:t xml:space="preserve">Sentencia núm. 2/2014 de 14 de enero de 2014, que en su Fundamento Jurídico 4º indica: “Que además en este caso concreto no se ha dado razón alguna que justifique la negativa a facilitar dicha información, porque </w:t>
      </w:r>
      <w:r w:rsidRPr="003E7826">
        <w:rPr>
          <w:rFonts w:ascii="Arial" w:eastAsia="SimSun" w:hAnsi="Arial" w:cs="Arial"/>
          <w:b/>
          <w:bCs/>
          <w:color w:val="000000"/>
          <w:kern w:val="2"/>
          <w:sz w:val="21"/>
          <w:szCs w:val="21"/>
          <w:lang w:eastAsia="zh-CN" w:bidi="hi-IN"/>
        </w:rPr>
        <w:t>ciertamente si dicha razón es justificada podría prevalecer a no ser ilimitado el derecho a la información de los parlamentarios</w:t>
      </w:r>
      <w:r w:rsidRPr="003E7826">
        <w:rPr>
          <w:rFonts w:ascii="Arial" w:eastAsia="SimSun" w:hAnsi="Arial" w:cs="Arial"/>
          <w:color w:val="000000"/>
          <w:kern w:val="2"/>
          <w:sz w:val="21"/>
          <w:szCs w:val="21"/>
          <w:lang w:eastAsia="zh-CN" w:bidi="hi-IN"/>
        </w:rPr>
        <w:t>”.</w:t>
      </w:r>
    </w:p>
    <w:p w14:paraId="446F3D0D" w14:textId="77777777" w:rsidR="007A1751" w:rsidRPr="003E7826" w:rsidRDefault="007A1751" w:rsidP="007A1751">
      <w:pPr>
        <w:suppressAutoHyphens/>
        <w:spacing w:after="0" w:line="276" w:lineRule="auto"/>
        <w:ind w:left="720"/>
        <w:jc w:val="both"/>
        <w:rPr>
          <w:rFonts w:ascii="Arial" w:eastAsia="SimSun" w:hAnsi="Arial" w:cs="Arial"/>
          <w:color w:val="000000"/>
          <w:kern w:val="2"/>
          <w:sz w:val="21"/>
          <w:szCs w:val="21"/>
          <w:lang w:eastAsia="zh-CN" w:bidi="hi-IN"/>
        </w:rPr>
      </w:pPr>
    </w:p>
    <w:p w14:paraId="7A85F8DB" w14:textId="77777777" w:rsidR="007A1751" w:rsidRPr="003E7826" w:rsidRDefault="007A1751" w:rsidP="007A1751">
      <w:pPr>
        <w:numPr>
          <w:ilvl w:val="0"/>
          <w:numId w:val="62"/>
        </w:numPr>
        <w:suppressAutoHyphens/>
        <w:spacing w:after="0" w:line="276" w:lineRule="auto"/>
        <w:jc w:val="both"/>
        <w:rPr>
          <w:rFonts w:ascii="Arial" w:eastAsia="SimSun" w:hAnsi="Arial" w:cs="Arial"/>
          <w:color w:val="000000"/>
          <w:kern w:val="2"/>
          <w:sz w:val="21"/>
          <w:szCs w:val="21"/>
          <w:lang w:eastAsia="zh-CN" w:bidi="hi-IN"/>
        </w:rPr>
      </w:pPr>
      <w:r w:rsidRPr="003E7826">
        <w:rPr>
          <w:rFonts w:ascii="Arial" w:eastAsia="SimSun" w:hAnsi="Arial" w:cs="Arial"/>
          <w:color w:val="000000"/>
          <w:kern w:val="2"/>
          <w:sz w:val="21"/>
          <w:szCs w:val="21"/>
          <w:lang w:eastAsia="zh-CN" w:bidi="hi-IN"/>
        </w:rPr>
        <w:lastRenderedPageBreak/>
        <w:t xml:space="preserve">Sentencia núm. 725/2014 de 24 de septiembre de 2014, que en su Fundamento Jurídico 2º señala: “Sin embargo, (la Honorable Consellera) no menciona en su acuerdo de 3 de febrero 2014 </w:t>
      </w:r>
      <w:r w:rsidRPr="003E7826">
        <w:rPr>
          <w:rFonts w:ascii="Arial" w:eastAsia="SimSun" w:hAnsi="Arial" w:cs="Arial"/>
          <w:b/>
          <w:bCs/>
          <w:color w:val="000000"/>
          <w:kern w:val="2"/>
          <w:sz w:val="21"/>
          <w:szCs w:val="21"/>
          <w:lang w:eastAsia="zh-CN" w:bidi="hi-IN"/>
        </w:rPr>
        <w:t>la existencia de previsión normativa y/o aval jurisprudencial que le permite rechazar la entrega de una serie de documentos</w:t>
      </w:r>
      <w:r w:rsidRPr="003E7826">
        <w:rPr>
          <w:rFonts w:ascii="Arial" w:eastAsia="SimSun" w:hAnsi="Arial" w:cs="Arial"/>
          <w:color w:val="000000"/>
          <w:kern w:val="2"/>
          <w:sz w:val="21"/>
          <w:szCs w:val="21"/>
          <w:lang w:eastAsia="zh-CN" w:bidi="hi-IN"/>
        </w:rPr>
        <w:t xml:space="preserve"> porque la normativa en relación con la que se emitieron éstos ya no se encuentra en vigor (...)”.</w:t>
      </w:r>
    </w:p>
    <w:p w14:paraId="00A8E14C" w14:textId="77777777" w:rsidR="007A1751" w:rsidRPr="003E7826" w:rsidRDefault="007A1751" w:rsidP="007A1751">
      <w:pPr>
        <w:suppressAutoHyphens/>
        <w:spacing w:after="0" w:line="276" w:lineRule="auto"/>
        <w:ind w:left="708"/>
        <w:rPr>
          <w:rFonts w:ascii="Arial" w:eastAsia="Droid Sans Fallback" w:hAnsi="Arial" w:cs="Arial"/>
          <w:color w:val="000000"/>
          <w:kern w:val="2"/>
          <w:sz w:val="21"/>
          <w:szCs w:val="21"/>
          <w:lang w:eastAsia="zh-CN" w:bidi="hi-IN"/>
        </w:rPr>
      </w:pPr>
    </w:p>
    <w:p w14:paraId="69D7DE46" w14:textId="77777777" w:rsidR="007A1751" w:rsidRPr="003E7826" w:rsidRDefault="007A1751" w:rsidP="007A1751">
      <w:pPr>
        <w:numPr>
          <w:ilvl w:val="0"/>
          <w:numId w:val="62"/>
        </w:numPr>
        <w:suppressAutoHyphens/>
        <w:spacing w:after="0" w:line="276" w:lineRule="auto"/>
        <w:jc w:val="both"/>
        <w:rPr>
          <w:rFonts w:ascii="Arial" w:eastAsia="SimSun" w:hAnsi="Arial" w:cs="Arial"/>
          <w:color w:val="000000"/>
          <w:kern w:val="2"/>
          <w:sz w:val="21"/>
          <w:szCs w:val="21"/>
          <w:lang w:eastAsia="zh-CN" w:bidi="hi-IN"/>
        </w:rPr>
      </w:pPr>
      <w:r w:rsidRPr="003E7826">
        <w:rPr>
          <w:rFonts w:ascii="Arial" w:eastAsia="SimSun" w:hAnsi="Arial" w:cs="Arial"/>
          <w:color w:val="000000"/>
          <w:kern w:val="2"/>
          <w:sz w:val="21"/>
          <w:szCs w:val="21"/>
          <w:lang w:eastAsia="zh-CN" w:bidi="hi-IN"/>
        </w:rPr>
        <w:t xml:space="preserve">Sentencia núm. 849/2014 de 29 de octubre de 2014, que en su Fundamento Jurídico 2º establece: “Es evidente que cuando se remita a las Cortes tendrán acceso, pero estamos ante una </w:t>
      </w:r>
      <w:r w:rsidRPr="003E7826">
        <w:rPr>
          <w:rFonts w:ascii="Arial" w:eastAsia="SimSun" w:hAnsi="Arial" w:cs="Arial"/>
          <w:b/>
          <w:bCs/>
          <w:color w:val="000000"/>
          <w:kern w:val="2"/>
          <w:sz w:val="21"/>
          <w:szCs w:val="21"/>
          <w:lang w:eastAsia="zh-CN" w:bidi="hi-IN"/>
        </w:rPr>
        <w:t>petición</w:t>
      </w:r>
      <w:r w:rsidRPr="003E7826">
        <w:rPr>
          <w:rFonts w:ascii="Arial" w:eastAsia="SimSun" w:hAnsi="Arial" w:cs="Arial"/>
          <w:color w:val="000000"/>
          <w:kern w:val="2"/>
          <w:sz w:val="21"/>
          <w:szCs w:val="21"/>
          <w:lang w:eastAsia="zh-CN" w:bidi="hi-IN"/>
        </w:rPr>
        <w:t xml:space="preserve"> de las Cortes al Gobierno, que </w:t>
      </w:r>
      <w:r w:rsidRPr="003E7826">
        <w:rPr>
          <w:rFonts w:ascii="Arial" w:eastAsia="SimSun" w:hAnsi="Arial" w:cs="Arial"/>
          <w:b/>
          <w:bCs/>
          <w:color w:val="000000"/>
          <w:kern w:val="2"/>
          <w:sz w:val="21"/>
          <w:szCs w:val="21"/>
          <w:lang w:eastAsia="zh-CN" w:bidi="hi-IN"/>
        </w:rPr>
        <w:t>puede negarse por motivos fundados</w:t>
      </w:r>
      <w:r w:rsidRPr="003E7826">
        <w:rPr>
          <w:rFonts w:ascii="Arial" w:eastAsia="SimSun" w:hAnsi="Arial" w:cs="Arial"/>
          <w:color w:val="000000"/>
          <w:kern w:val="2"/>
          <w:sz w:val="21"/>
          <w:szCs w:val="21"/>
          <w:lang w:eastAsia="zh-CN" w:bidi="hi-IN"/>
        </w:rPr>
        <w:t>, para obviar el conocimiento actual que se le está solicitando de determinada documentación que ya obra en su poder -o al menos, no se indica que no sea así- y en la medida en que no facilita esos motivos fundados y legítimos, debemos declarar la existencia de vulneración constitucional en dicha negativa a facilitar los datos solicitados por el demandante, a que viene obligado el órgano requerido, y en tales términos procede la estimación del recurso interpuesto.”</w:t>
      </w:r>
    </w:p>
    <w:p w14:paraId="19771014" w14:textId="77777777" w:rsidR="007A1751" w:rsidRPr="003E7826" w:rsidRDefault="007A1751" w:rsidP="007A1751">
      <w:pPr>
        <w:suppressAutoHyphens/>
        <w:spacing w:after="0" w:line="276" w:lineRule="auto"/>
        <w:ind w:left="708"/>
        <w:rPr>
          <w:rFonts w:ascii="Arial" w:eastAsia="Droid Sans Fallback" w:hAnsi="Arial" w:cs="Arial"/>
          <w:color w:val="000000"/>
          <w:kern w:val="2"/>
          <w:sz w:val="21"/>
          <w:szCs w:val="21"/>
          <w:lang w:eastAsia="zh-CN" w:bidi="hi-IN"/>
        </w:rPr>
      </w:pPr>
    </w:p>
    <w:p w14:paraId="07B09CBF" w14:textId="77777777" w:rsidR="007A1751" w:rsidRPr="003E7826" w:rsidRDefault="007A1751" w:rsidP="007A1751">
      <w:pPr>
        <w:numPr>
          <w:ilvl w:val="0"/>
          <w:numId w:val="62"/>
        </w:numPr>
        <w:suppressAutoHyphens/>
        <w:spacing w:after="0" w:line="276" w:lineRule="auto"/>
        <w:jc w:val="both"/>
        <w:rPr>
          <w:rFonts w:ascii="Arial" w:eastAsia="SimSun" w:hAnsi="Arial" w:cs="Arial"/>
          <w:color w:val="000000"/>
          <w:kern w:val="2"/>
          <w:sz w:val="21"/>
          <w:szCs w:val="21"/>
          <w:lang w:eastAsia="zh-CN" w:bidi="hi-IN"/>
        </w:rPr>
      </w:pPr>
      <w:r w:rsidRPr="003E7826">
        <w:rPr>
          <w:rFonts w:ascii="Arial" w:eastAsia="SimSun" w:hAnsi="Arial" w:cs="Arial"/>
          <w:color w:val="000000"/>
          <w:kern w:val="2"/>
          <w:sz w:val="21"/>
          <w:szCs w:val="21"/>
          <w:lang w:eastAsia="zh-CN" w:bidi="hi-IN"/>
        </w:rPr>
        <w:t xml:space="preserve">Sentencia núm. 1101/2014 de 17 de diciembre de 2014, que en su Fundamento Jurídico 4º manifiesta: “(…) Sin que se haya dado razón alguna que justifique la negativa a facilitar dicha información, porque </w:t>
      </w:r>
      <w:r w:rsidRPr="003E7826">
        <w:rPr>
          <w:rFonts w:ascii="Arial" w:eastAsia="SimSun" w:hAnsi="Arial" w:cs="Arial"/>
          <w:b/>
          <w:bCs/>
          <w:color w:val="000000"/>
          <w:kern w:val="2"/>
          <w:sz w:val="21"/>
          <w:szCs w:val="21"/>
          <w:lang w:eastAsia="zh-CN" w:bidi="hi-IN"/>
        </w:rPr>
        <w:t xml:space="preserve">ciertamente si dicha razón es justificada </w:t>
      </w:r>
      <w:r w:rsidRPr="003E7826">
        <w:rPr>
          <w:rFonts w:ascii="Arial" w:eastAsia="SimSun" w:hAnsi="Arial" w:cs="Arial"/>
          <w:color w:val="000000"/>
          <w:kern w:val="2"/>
          <w:sz w:val="21"/>
          <w:szCs w:val="21"/>
          <w:lang w:eastAsia="zh-CN" w:bidi="hi-IN"/>
        </w:rPr>
        <w:t>podría prevalecer a no ser ilimitado el derecho a la información de los parlamentarios”.</w:t>
      </w:r>
    </w:p>
    <w:p w14:paraId="1D79F7D2" w14:textId="77777777" w:rsidR="007A1751" w:rsidRPr="003E7826" w:rsidRDefault="007A1751" w:rsidP="007A1751">
      <w:pPr>
        <w:suppressAutoHyphens/>
        <w:spacing w:after="0" w:line="276" w:lineRule="auto"/>
        <w:ind w:left="708"/>
        <w:rPr>
          <w:rFonts w:ascii="Arial" w:eastAsia="Droid Sans Fallback" w:hAnsi="Arial" w:cs="Arial"/>
          <w:color w:val="000000"/>
          <w:kern w:val="2"/>
          <w:sz w:val="21"/>
          <w:szCs w:val="21"/>
          <w:lang w:eastAsia="zh-CN" w:bidi="hi-IN"/>
        </w:rPr>
      </w:pPr>
    </w:p>
    <w:p w14:paraId="6B25021C" w14:textId="77777777" w:rsidR="007A1751" w:rsidRPr="003E7826" w:rsidRDefault="007A1751" w:rsidP="007A1751">
      <w:pPr>
        <w:numPr>
          <w:ilvl w:val="0"/>
          <w:numId w:val="62"/>
        </w:numPr>
        <w:suppressAutoHyphens/>
        <w:spacing w:after="0" w:line="276" w:lineRule="auto"/>
        <w:jc w:val="both"/>
        <w:rPr>
          <w:rFonts w:ascii="Arial" w:eastAsia="SimSun" w:hAnsi="Arial" w:cs="Arial"/>
          <w:color w:val="000000"/>
          <w:kern w:val="2"/>
          <w:sz w:val="21"/>
          <w:szCs w:val="21"/>
          <w:lang w:eastAsia="zh-CN" w:bidi="hi-IN"/>
        </w:rPr>
      </w:pPr>
      <w:r w:rsidRPr="003E7826">
        <w:rPr>
          <w:rFonts w:ascii="Arial" w:eastAsia="SimSun" w:hAnsi="Arial" w:cs="Arial"/>
          <w:color w:val="000000"/>
          <w:kern w:val="2"/>
          <w:sz w:val="21"/>
          <w:szCs w:val="21"/>
          <w:lang w:eastAsia="zh-CN" w:bidi="hi-IN"/>
        </w:rPr>
        <w:t>Sentencia núm. 67/2015 de 14 de julio de 2015, que en su Fundamento Jurídico 4º reitera: “En este caso concreto no se ha dado razón alguna que justifique la negativa a facilitar dicha información, porque ciertamente</w:t>
      </w:r>
      <w:r w:rsidRPr="003E7826">
        <w:rPr>
          <w:rFonts w:ascii="Arial" w:eastAsia="SimSun" w:hAnsi="Arial" w:cs="Arial"/>
          <w:b/>
          <w:bCs/>
          <w:color w:val="000000"/>
          <w:kern w:val="2"/>
          <w:sz w:val="21"/>
          <w:szCs w:val="21"/>
          <w:lang w:eastAsia="zh-CN" w:bidi="hi-IN"/>
        </w:rPr>
        <w:t xml:space="preserve"> si dicha razón es justificada podría prevalecer</w:t>
      </w:r>
      <w:r w:rsidRPr="003E7826">
        <w:rPr>
          <w:rFonts w:ascii="Arial" w:eastAsia="SimSun" w:hAnsi="Arial" w:cs="Arial"/>
          <w:color w:val="000000"/>
          <w:kern w:val="2"/>
          <w:sz w:val="21"/>
          <w:szCs w:val="21"/>
          <w:lang w:eastAsia="zh-CN" w:bidi="hi-IN"/>
        </w:rPr>
        <w:t xml:space="preserve"> a no ser ilimitado el derecho a la información de los parlamentarios.”</w:t>
      </w:r>
    </w:p>
    <w:p w14:paraId="05CEEFAD" w14:textId="77777777" w:rsidR="007A1751" w:rsidRPr="003E7826" w:rsidRDefault="007A1751" w:rsidP="007A1751">
      <w:pPr>
        <w:suppressAutoHyphens/>
        <w:autoSpaceDE w:val="0"/>
        <w:autoSpaceDN w:val="0"/>
        <w:spacing w:after="0" w:line="276" w:lineRule="auto"/>
        <w:jc w:val="both"/>
        <w:textAlignment w:val="baseline"/>
        <w:rPr>
          <w:rFonts w:ascii="Arial" w:eastAsia="NSimSun" w:hAnsi="Arial" w:cs="Arial"/>
          <w:bCs/>
          <w:iCs/>
          <w:kern w:val="3"/>
          <w:sz w:val="21"/>
          <w:szCs w:val="21"/>
          <w:lang w:eastAsia="zh-CN" w:bidi="hi-IN"/>
        </w:rPr>
      </w:pPr>
    </w:p>
    <w:p w14:paraId="6ECD6AEE" w14:textId="77777777" w:rsidR="007A1751" w:rsidRPr="003E7826" w:rsidRDefault="007A1751" w:rsidP="007A1751">
      <w:pPr>
        <w:suppressAutoHyphens/>
        <w:spacing w:after="0" w:line="276" w:lineRule="auto"/>
        <w:jc w:val="both"/>
        <w:rPr>
          <w:rFonts w:ascii="Arial" w:eastAsia="SimSun" w:hAnsi="Arial" w:cs="Arial"/>
          <w:color w:val="000000"/>
          <w:kern w:val="2"/>
          <w:sz w:val="21"/>
          <w:szCs w:val="21"/>
          <w:lang w:eastAsia="zh-CN" w:bidi="hi-IN"/>
        </w:rPr>
      </w:pPr>
      <w:r w:rsidRPr="003E7826">
        <w:rPr>
          <w:rFonts w:ascii="Arial" w:eastAsia="SimSun" w:hAnsi="Arial" w:cs="Arial"/>
          <w:color w:val="000000"/>
          <w:kern w:val="2"/>
          <w:sz w:val="21"/>
          <w:szCs w:val="21"/>
          <w:lang w:eastAsia="zh-CN" w:bidi="hi-IN"/>
        </w:rPr>
        <w:t xml:space="preserve">La </w:t>
      </w:r>
      <w:r w:rsidRPr="003E7826">
        <w:rPr>
          <w:rFonts w:ascii="Arial" w:eastAsia="SimSun" w:hAnsi="Arial" w:cs="Arial"/>
          <w:b/>
          <w:bCs/>
          <w:color w:val="000000"/>
          <w:kern w:val="2"/>
          <w:sz w:val="21"/>
          <w:szCs w:val="21"/>
          <w:lang w:eastAsia="zh-CN" w:bidi="hi-IN"/>
        </w:rPr>
        <w:t xml:space="preserve">Sentencia del Tribunal Supremo </w:t>
      </w:r>
      <w:r w:rsidRPr="003E7826">
        <w:rPr>
          <w:rFonts w:ascii="Arial" w:eastAsia="SimSun" w:hAnsi="Arial" w:cs="Arial"/>
          <w:color w:val="000000"/>
          <w:kern w:val="2"/>
          <w:sz w:val="21"/>
          <w:szCs w:val="21"/>
          <w:lang w:eastAsia="zh-CN" w:bidi="hi-IN"/>
        </w:rPr>
        <w:t>núm. 2388/2015 de 1 de junio, en su Fundamento Jurídico 6º resalta textualmente:</w:t>
      </w:r>
    </w:p>
    <w:p w14:paraId="598C174F" w14:textId="77777777" w:rsidR="007A1751" w:rsidRPr="003E7826" w:rsidRDefault="007A1751" w:rsidP="007A1751">
      <w:pPr>
        <w:suppressAutoHyphens/>
        <w:spacing w:after="0" w:line="276" w:lineRule="auto"/>
        <w:jc w:val="both"/>
        <w:rPr>
          <w:rFonts w:ascii="Arial" w:eastAsia="SimSun" w:hAnsi="Arial" w:cs="Arial"/>
          <w:color w:val="000000"/>
          <w:kern w:val="2"/>
          <w:sz w:val="21"/>
          <w:szCs w:val="21"/>
          <w:lang w:eastAsia="zh-CN" w:bidi="hi-IN"/>
        </w:rPr>
      </w:pPr>
    </w:p>
    <w:p w14:paraId="6E670C6F" w14:textId="77777777" w:rsidR="007A1751" w:rsidRPr="003E7826" w:rsidRDefault="007A1751" w:rsidP="007A1751">
      <w:pPr>
        <w:suppressAutoHyphens/>
        <w:spacing w:after="0" w:line="276" w:lineRule="auto"/>
        <w:jc w:val="both"/>
        <w:rPr>
          <w:rFonts w:ascii="Arial" w:eastAsia="SimSun" w:hAnsi="Arial" w:cs="Arial"/>
          <w:color w:val="000000"/>
          <w:kern w:val="2"/>
          <w:sz w:val="21"/>
          <w:szCs w:val="21"/>
          <w:lang w:eastAsia="zh-CN" w:bidi="hi-IN"/>
        </w:rPr>
      </w:pPr>
      <w:r w:rsidRPr="003E7826">
        <w:rPr>
          <w:rFonts w:ascii="Arial" w:eastAsia="SimSun" w:hAnsi="Arial" w:cs="Arial"/>
          <w:color w:val="000000"/>
          <w:kern w:val="2"/>
          <w:sz w:val="21"/>
          <w:szCs w:val="21"/>
          <w:lang w:eastAsia="zh-CN" w:bidi="hi-IN"/>
        </w:rPr>
        <w:t xml:space="preserve">“Así, pues, el ordenamiento jurídico reconoce expresamente la facultad de estos diputados de "recabar los datos, informes y documentos administrativos" y el correlativo deber de la Administración valenciana requerida de </w:t>
      </w:r>
      <w:r w:rsidRPr="003E7826">
        <w:rPr>
          <w:rFonts w:ascii="Arial" w:eastAsia="SimSun" w:hAnsi="Arial" w:cs="Arial"/>
          <w:b/>
          <w:bCs/>
          <w:color w:val="000000"/>
          <w:kern w:val="2"/>
          <w:sz w:val="21"/>
          <w:szCs w:val="21"/>
          <w:lang w:eastAsia="zh-CN" w:bidi="hi-IN"/>
        </w:rPr>
        <w:t>facilitarlos a no ser que razones fundadas en Derecho se lo impidan</w:t>
      </w:r>
      <w:r w:rsidRPr="003E7826">
        <w:rPr>
          <w:rFonts w:ascii="Arial" w:eastAsia="SimSun" w:hAnsi="Arial" w:cs="Arial"/>
          <w:color w:val="000000"/>
          <w:kern w:val="2"/>
          <w:sz w:val="21"/>
          <w:szCs w:val="21"/>
          <w:lang w:eastAsia="zh-CN" w:bidi="hi-IN"/>
        </w:rPr>
        <w:t>. Nos encontramos, pues, con una relación jurídica de derecho-deber en la que la posición activa de los parlamentarios se corresponde con la pasiva del Gobierno. (...) Tal como explica la sentencia recurrida, únicamente de ser fundada en Derecho la razón dada</w:t>
      </w:r>
      <w:r w:rsidRPr="003E7826">
        <w:rPr>
          <w:rFonts w:ascii="Arial" w:eastAsia="SimSun" w:hAnsi="Arial" w:cs="Arial"/>
          <w:b/>
          <w:bCs/>
          <w:color w:val="000000"/>
          <w:kern w:val="2"/>
          <w:sz w:val="21"/>
          <w:szCs w:val="21"/>
          <w:lang w:eastAsia="zh-CN" w:bidi="hi-IN"/>
        </w:rPr>
        <w:t xml:space="preserve"> </w:t>
      </w:r>
      <w:r w:rsidRPr="003E7826">
        <w:rPr>
          <w:rFonts w:ascii="Arial" w:eastAsia="SimSun" w:hAnsi="Arial" w:cs="Arial"/>
          <w:color w:val="000000"/>
          <w:kern w:val="2"/>
          <w:sz w:val="21"/>
          <w:szCs w:val="21"/>
          <w:lang w:eastAsia="zh-CN" w:bidi="hi-IN"/>
        </w:rPr>
        <w:t xml:space="preserve">para no facilitar la información pedida podría ser compatible con ese derecho fundamental la negativa gubernamental porque, es verdad, </w:t>
      </w:r>
      <w:r w:rsidRPr="003E7826">
        <w:rPr>
          <w:rFonts w:ascii="Arial" w:eastAsia="SimSun" w:hAnsi="Arial" w:cs="Arial"/>
          <w:b/>
          <w:bCs/>
          <w:color w:val="000000"/>
          <w:kern w:val="2"/>
          <w:sz w:val="21"/>
          <w:szCs w:val="21"/>
          <w:lang w:eastAsia="zh-CN" w:bidi="hi-IN"/>
        </w:rPr>
        <w:t>no es ilimitado el derecho de los parlamentarios</w:t>
      </w:r>
      <w:r w:rsidRPr="003E7826">
        <w:rPr>
          <w:rFonts w:ascii="Arial" w:eastAsia="SimSun" w:hAnsi="Arial" w:cs="Arial"/>
          <w:color w:val="000000"/>
          <w:kern w:val="2"/>
          <w:sz w:val="21"/>
          <w:szCs w:val="21"/>
          <w:lang w:eastAsia="zh-CN" w:bidi="hi-IN"/>
        </w:rPr>
        <w:t>“.</w:t>
      </w:r>
    </w:p>
    <w:p w14:paraId="0254FD42" w14:textId="77777777" w:rsidR="007A1751" w:rsidRPr="003E7826" w:rsidRDefault="007A1751" w:rsidP="007A1751">
      <w:pPr>
        <w:suppressAutoHyphens/>
        <w:spacing w:after="0" w:line="276" w:lineRule="auto"/>
        <w:jc w:val="both"/>
        <w:rPr>
          <w:rFonts w:ascii="Arial" w:eastAsia="SimSun" w:hAnsi="Arial" w:cs="Arial"/>
          <w:color w:val="000000"/>
          <w:kern w:val="2"/>
          <w:sz w:val="21"/>
          <w:szCs w:val="21"/>
          <w:lang w:eastAsia="zh-CN" w:bidi="hi-IN"/>
        </w:rPr>
      </w:pPr>
    </w:p>
    <w:p w14:paraId="11847511" w14:textId="77777777" w:rsidR="007A1751" w:rsidRPr="003E7826" w:rsidRDefault="007A1751" w:rsidP="007A1751">
      <w:pPr>
        <w:suppressAutoHyphens/>
        <w:spacing w:after="0" w:line="276" w:lineRule="auto"/>
        <w:jc w:val="both"/>
        <w:rPr>
          <w:rFonts w:ascii="Arial" w:eastAsia="SimSun" w:hAnsi="Arial" w:cs="Arial"/>
          <w:color w:val="000000"/>
          <w:kern w:val="2"/>
          <w:sz w:val="21"/>
          <w:szCs w:val="21"/>
          <w:lang w:eastAsia="zh-CN" w:bidi="hi-IN"/>
        </w:rPr>
      </w:pPr>
      <w:r w:rsidRPr="003E7826">
        <w:rPr>
          <w:rFonts w:ascii="Arial" w:eastAsia="SimSun" w:hAnsi="Arial" w:cs="Arial"/>
          <w:color w:val="000000"/>
          <w:kern w:val="2"/>
          <w:sz w:val="21"/>
          <w:szCs w:val="21"/>
          <w:lang w:eastAsia="zh-CN" w:bidi="hi-IN"/>
        </w:rPr>
        <w:t xml:space="preserve">Dicha consideración es nuevamente repetida en el Fundamento Jurídico 8º de la citada Sentencia del Tribunal Supremo, al señalar, haciendo mención a la </w:t>
      </w:r>
      <w:r w:rsidRPr="003E7826">
        <w:rPr>
          <w:rFonts w:ascii="Arial" w:eastAsia="SimSun" w:hAnsi="Arial" w:cs="Arial"/>
          <w:b/>
          <w:bCs/>
          <w:color w:val="000000"/>
          <w:kern w:val="2"/>
          <w:sz w:val="21"/>
          <w:szCs w:val="21"/>
          <w:lang w:eastAsia="zh-CN" w:bidi="hi-IN"/>
        </w:rPr>
        <w:t>Sentencia del Tribunal Constitucional núm. 220/1991</w:t>
      </w:r>
      <w:r w:rsidRPr="003E7826">
        <w:rPr>
          <w:rFonts w:ascii="Arial" w:eastAsia="SimSun" w:hAnsi="Arial" w:cs="Arial"/>
          <w:color w:val="000000"/>
          <w:kern w:val="2"/>
          <w:sz w:val="21"/>
          <w:szCs w:val="21"/>
          <w:lang w:eastAsia="zh-CN" w:bidi="hi-IN"/>
        </w:rPr>
        <w:t xml:space="preserve">, “(...) En el caso controvertido, no apreció infracción de ese derecho porque la negativa del Gobierno Vasco a facilitar la información que se le pidió descansaba en una expresa previsión de una ley vasca que calificaba como reservados los </w:t>
      </w:r>
      <w:r w:rsidRPr="003E7826">
        <w:rPr>
          <w:rFonts w:ascii="Arial" w:eastAsia="SimSun" w:hAnsi="Arial" w:cs="Arial"/>
          <w:color w:val="000000"/>
          <w:kern w:val="2"/>
          <w:sz w:val="21"/>
          <w:szCs w:val="21"/>
          <w:lang w:eastAsia="zh-CN" w:bidi="hi-IN"/>
        </w:rPr>
        <w:lastRenderedPageBreak/>
        <w:t>datos pedidos, que se referían al destino de determinados gastos considerados como reservados por las leyes de presupuestos para los años 1988 y 1989”.</w:t>
      </w:r>
    </w:p>
    <w:p w14:paraId="218BC779" w14:textId="77777777" w:rsidR="007A1751" w:rsidRPr="003E7826" w:rsidRDefault="007A1751" w:rsidP="007A1751">
      <w:pPr>
        <w:suppressAutoHyphens/>
        <w:autoSpaceDE w:val="0"/>
        <w:autoSpaceDN w:val="0"/>
        <w:spacing w:after="0" w:line="276" w:lineRule="auto"/>
        <w:jc w:val="both"/>
        <w:textAlignment w:val="baseline"/>
        <w:rPr>
          <w:rFonts w:ascii="Arial" w:eastAsia="NSimSun" w:hAnsi="Arial" w:cs="Arial"/>
          <w:bCs/>
          <w:iCs/>
          <w:kern w:val="3"/>
          <w:sz w:val="21"/>
          <w:szCs w:val="21"/>
          <w:lang w:eastAsia="zh-CN" w:bidi="hi-IN"/>
        </w:rPr>
      </w:pPr>
    </w:p>
    <w:p w14:paraId="0A704394" w14:textId="77777777" w:rsidR="007A1751" w:rsidRPr="003E7826" w:rsidRDefault="007A1751" w:rsidP="007A1751">
      <w:pPr>
        <w:suppressAutoHyphens/>
        <w:spacing w:after="0" w:line="276" w:lineRule="auto"/>
        <w:jc w:val="both"/>
        <w:rPr>
          <w:rFonts w:ascii="Arial" w:eastAsia="SimSun" w:hAnsi="Arial" w:cs="Arial"/>
          <w:b/>
          <w:bCs/>
          <w:kern w:val="2"/>
          <w:sz w:val="21"/>
          <w:szCs w:val="21"/>
          <w:lang w:eastAsia="zh-CN" w:bidi="hi-IN"/>
        </w:rPr>
      </w:pPr>
      <w:r w:rsidRPr="003E7826">
        <w:rPr>
          <w:rFonts w:ascii="Arial" w:eastAsia="SimSun" w:hAnsi="Arial" w:cs="Arial"/>
          <w:color w:val="000000"/>
          <w:kern w:val="2"/>
          <w:sz w:val="21"/>
          <w:szCs w:val="21"/>
          <w:lang w:eastAsia="zh-CN" w:bidi="hi-IN"/>
        </w:rPr>
        <w:t xml:space="preserve">Dicha Sentencia del Tribunal Constitucional </w:t>
      </w:r>
      <w:r w:rsidRPr="003E7826">
        <w:rPr>
          <w:rFonts w:ascii="Arial" w:eastAsia="SimSun" w:hAnsi="Arial" w:cs="Arial"/>
          <w:b/>
          <w:bCs/>
          <w:color w:val="000000"/>
          <w:kern w:val="2"/>
          <w:sz w:val="21"/>
          <w:szCs w:val="21"/>
          <w:lang w:eastAsia="zh-CN" w:bidi="hi-IN"/>
        </w:rPr>
        <w:t>desestimó la demanda de amparo solicitada por parlamentarios vascos a los que se denegó su solicitud de información referente al destino de los gastos reservados</w:t>
      </w:r>
      <w:r w:rsidRPr="003E7826">
        <w:rPr>
          <w:rFonts w:ascii="Arial" w:eastAsia="SimSun" w:hAnsi="Arial" w:cs="Arial"/>
          <w:color w:val="000000"/>
          <w:kern w:val="2"/>
          <w:sz w:val="21"/>
          <w:szCs w:val="21"/>
          <w:lang w:eastAsia="zh-CN" w:bidi="hi-IN"/>
        </w:rPr>
        <w:t xml:space="preserve"> de los Departamentos de Interior y de Presidencia de la Comunidad Autónoma vasca, habilitados en los presupuestos generales de 1988 y de 1989, con base en el </w:t>
      </w:r>
      <w:r w:rsidRPr="003E7826">
        <w:rPr>
          <w:rFonts w:ascii="Arial" w:eastAsia="SimSun" w:hAnsi="Arial" w:cs="Arial"/>
          <w:b/>
          <w:bCs/>
          <w:color w:val="000000"/>
          <w:kern w:val="2"/>
          <w:sz w:val="21"/>
          <w:szCs w:val="21"/>
          <w:lang w:eastAsia="zh-CN" w:bidi="hi-IN"/>
        </w:rPr>
        <w:t>carácter secreto</w:t>
      </w:r>
      <w:r w:rsidRPr="003E7826">
        <w:rPr>
          <w:rFonts w:ascii="Arial" w:eastAsia="SimSun" w:hAnsi="Arial" w:cs="Arial"/>
          <w:color w:val="000000"/>
          <w:kern w:val="2"/>
          <w:sz w:val="21"/>
          <w:szCs w:val="21"/>
          <w:lang w:eastAsia="zh-CN" w:bidi="hi-IN"/>
        </w:rPr>
        <w:t xml:space="preserve"> de los mismos </w:t>
      </w:r>
      <w:r w:rsidRPr="003E7826">
        <w:rPr>
          <w:rFonts w:ascii="Arial" w:eastAsia="SimSun" w:hAnsi="Arial" w:cs="Arial"/>
          <w:b/>
          <w:bCs/>
          <w:color w:val="000000"/>
          <w:kern w:val="2"/>
          <w:sz w:val="21"/>
          <w:szCs w:val="21"/>
          <w:lang w:eastAsia="zh-CN" w:bidi="hi-IN"/>
        </w:rPr>
        <w:t xml:space="preserve">según la propia Ley que los aprobaba. </w:t>
      </w:r>
    </w:p>
    <w:p w14:paraId="0FDD3758" w14:textId="77777777" w:rsidR="007A1751" w:rsidRPr="003E7826" w:rsidRDefault="007A1751" w:rsidP="007A1751">
      <w:pPr>
        <w:suppressAutoHyphens/>
        <w:spacing w:after="0" w:line="276" w:lineRule="auto"/>
        <w:jc w:val="both"/>
        <w:rPr>
          <w:rFonts w:ascii="Arial" w:eastAsia="SimSun" w:hAnsi="Arial" w:cs="Arial"/>
          <w:color w:val="000000"/>
          <w:kern w:val="2"/>
          <w:sz w:val="21"/>
          <w:szCs w:val="21"/>
          <w:lang w:eastAsia="zh-CN" w:bidi="hi-IN"/>
        </w:rPr>
      </w:pPr>
    </w:p>
    <w:p w14:paraId="34A0F5C0" w14:textId="77777777" w:rsidR="007A1751" w:rsidRPr="003E7826" w:rsidRDefault="007A1751" w:rsidP="007A1751">
      <w:pPr>
        <w:suppressAutoHyphens/>
        <w:spacing w:after="0" w:line="276" w:lineRule="auto"/>
        <w:jc w:val="both"/>
        <w:rPr>
          <w:rFonts w:ascii="Arial" w:eastAsia="SimSun" w:hAnsi="Arial" w:cs="Arial"/>
          <w:kern w:val="2"/>
          <w:sz w:val="21"/>
          <w:szCs w:val="21"/>
          <w:lang w:eastAsia="zh-CN" w:bidi="hi-IN"/>
        </w:rPr>
      </w:pPr>
      <w:r w:rsidRPr="003E7826">
        <w:rPr>
          <w:rFonts w:ascii="Arial" w:eastAsia="SimSun" w:hAnsi="Arial" w:cs="Arial"/>
          <w:color w:val="000000"/>
          <w:kern w:val="2"/>
          <w:sz w:val="21"/>
          <w:szCs w:val="21"/>
          <w:lang w:eastAsia="zh-CN" w:bidi="hi-IN"/>
        </w:rPr>
        <w:t>Para el Tribunal Constitucional, los demandantes no sufrieron limitación de clase alguna, ni por parte de la Cámara de la eran miembros, ni del Gobierno, en el ejercicio de su derecho a recabar información de este y, en tal sentido, declaró que “realizaron plenamente su derecho, sin constricción ilegítima a su función parlamentaria de control de la acción del Gobierno, aunque la respuesta obtenida de este consistiera en negar la información -por considerar que lo contrario sería incumplir la Ley-, dictada por la propia Cámara a la que pertenecen los demandantes, que calificó de «reservados» los fondos a los que se refirió el requerimiento de información.”</w:t>
      </w:r>
    </w:p>
    <w:p w14:paraId="1E0084DE" w14:textId="77777777" w:rsidR="007A1751" w:rsidRPr="003E7826" w:rsidRDefault="007A1751" w:rsidP="007A1751">
      <w:pPr>
        <w:suppressAutoHyphens/>
        <w:spacing w:after="0" w:line="276" w:lineRule="auto"/>
        <w:jc w:val="both"/>
        <w:rPr>
          <w:rFonts w:ascii="Arial" w:eastAsia="SimSun" w:hAnsi="Arial" w:cs="Arial"/>
          <w:kern w:val="2"/>
          <w:sz w:val="21"/>
          <w:szCs w:val="21"/>
          <w:lang w:eastAsia="zh-CN" w:bidi="hi-IN"/>
        </w:rPr>
      </w:pPr>
    </w:p>
    <w:p w14:paraId="14F60261" w14:textId="77777777" w:rsidR="007A1751" w:rsidRPr="003E7826" w:rsidRDefault="007A1751" w:rsidP="007A1751">
      <w:pPr>
        <w:suppressAutoHyphens/>
        <w:spacing w:after="0" w:line="276" w:lineRule="auto"/>
        <w:jc w:val="both"/>
        <w:rPr>
          <w:rFonts w:ascii="Arial" w:eastAsia="SimSun" w:hAnsi="Arial" w:cs="Arial"/>
          <w:kern w:val="2"/>
          <w:sz w:val="21"/>
          <w:szCs w:val="21"/>
          <w:lang w:eastAsia="zh-CN" w:bidi="hi-IN"/>
        </w:rPr>
      </w:pPr>
      <w:r w:rsidRPr="003E7826">
        <w:rPr>
          <w:rFonts w:ascii="Arial" w:eastAsia="SimSun" w:hAnsi="Arial" w:cs="Arial"/>
          <w:color w:val="000000"/>
          <w:kern w:val="2"/>
          <w:sz w:val="21"/>
          <w:szCs w:val="21"/>
          <w:lang w:eastAsia="zh-CN" w:bidi="hi-IN"/>
        </w:rPr>
        <w:t>En otras palabras, para el máximo intérprete de la Constitución y los derechos fundamentales, la ley vasca de presupuestos (dictada por la propia Cámara a la que pertenecían los parlamentarios solicitantes de dicha información como recalca el propio Tribunal Constitucional), al establecer el carácter reservado de esos gastos sobre los que versaba la solicitud de información, constituyó un límite legal al derecho de acceso a la información de los parlamentarios que solicitaron la misma, no produciendo la vulneración de sus derechos la denegación de aquella.</w:t>
      </w:r>
    </w:p>
    <w:p w14:paraId="3CC612E3" w14:textId="77777777" w:rsidR="007A1751" w:rsidRPr="003E7826" w:rsidRDefault="007A1751" w:rsidP="007A1751">
      <w:pPr>
        <w:suppressAutoHyphens/>
        <w:spacing w:after="0" w:line="276" w:lineRule="auto"/>
        <w:jc w:val="both"/>
        <w:rPr>
          <w:rFonts w:ascii="Arial" w:eastAsia="SimSun" w:hAnsi="Arial" w:cs="Arial"/>
          <w:kern w:val="2"/>
          <w:sz w:val="21"/>
          <w:szCs w:val="21"/>
          <w:lang w:eastAsia="zh-CN" w:bidi="hi-IN"/>
        </w:rPr>
      </w:pPr>
    </w:p>
    <w:p w14:paraId="15CF6B87" w14:textId="77777777" w:rsidR="007A1751" w:rsidRPr="003E7826" w:rsidRDefault="007A1751" w:rsidP="007A1751">
      <w:pPr>
        <w:suppressAutoHyphens/>
        <w:spacing w:after="0" w:line="276" w:lineRule="auto"/>
        <w:jc w:val="both"/>
        <w:rPr>
          <w:rFonts w:ascii="Arial" w:eastAsia="SimSun" w:hAnsi="Arial" w:cs="Arial"/>
          <w:kern w:val="2"/>
          <w:sz w:val="21"/>
          <w:szCs w:val="21"/>
          <w:lang w:eastAsia="zh-CN" w:bidi="hi-IN"/>
        </w:rPr>
      </w:pPr>
      <w:r w:rsidRPr="003E7826">
        <w:rPr>
          <w:rFonts w:ascii="Arial" w:eastAsia="SimSun" w:hAnsi="Arial" w:cs="Arial"/>
          <w:color w:val="000000"/>
          <w:kern w:val="2"/>
          <w:sz w:val="21"/>
          <w:szCs w:val="21"/>
          <w:lang w:eastAsia="zh-CN" w:bidi="hi-IN"/>
        </w:rPr>
        <w:t xml:space="preserve">En el mismo sentido, el </w:t>
      </w:r>
      <w:r w:rsidRPr="003E7826">
        <w:rPr>
          <w:rFonts w:ascii="Arial" w:eastAsia="SimSun" w:hAnsi="Arial" w:cs="Arial"/>
          <w:b/>
          <w:bCs/>
          <w:kern w:val="2"/>
          <w:sz w:val="21"/>
          <w:szCs w:val="21"/>
          <w:lang w:eastAsia="zh-CN" w:bidi="hi-IN"/>
        </w:rPr>
        <w:t xml:space="preserve">Tribunal Superior de Justicia de la Comunitat Valenciana, Sección 5ª de su Sala de lo Contencioso-Administrativo, en su Sentencia </w:t>
      </w:r>
      <w:r w:rsidRPr="003E7826">
        <w:rPr>
          <w:rFonts w:ascii="Arial" w:eastAsia="SimSun" w:hAnsi="Arial" w:cs="Arial"/>
          <w:b/>
          <w:bCs/>
          <w:iCs/>
          <w:kern w:val="2"/>
          <w:sz w:val="21"/>
          <w:szCs w:val="21"/>
          <w:lang w:eastAsia="zh-CN" w:bidi="hi-IN"/>
        </w:rPr>
        <w:t>núm. 838/2017</w:t>
      </w:r>
      <w:r w:rsidRPr="003E7826">
        <w:rPr>
          <w:rFonts w:ascii="Arial" w:eastAsia="SimSun" w:hAnsi="Arial" w:cs="Arial"/>
          <w:b/>
          <w:bCs/>
          <w:iCs/>
          <w:color w:val="4472C4"/>
          <w:kern w:val="2"/>
          <w:sz w:val="21"/>
          <w:szCs w:val="21"/>
          <w:lang w:eastAsia="zh-CN" w:bidi="hi-IN"/>
        </w:rPr>
        <w:t xml:space="preserve"> </w:t>
      </w:r>
      <w:r w:rsidRPr="003E7826">
        <w:rPr>
          <w:rFonts w:ascii="Arial" w:eastAsia="SimSun" w:hAnsi="Arial" w:cs="Arial"/>
          <w:iCs/>
          <w:color w:val="000000"/>
          <w:kern w:val="2"/>
          <w:sz w:val="21"/>
          <w:szCs w:val="21"/>
          <w:lang w:eastAsia="zh-CN" w:bidi="hi-IN"/>
        </w:rPr>
        <w:t>dictada en fecha</w:t>
      </w:r>
      <w:r w:rsidRPr="003E7826">
        <w:rPr>
          <w:rFonts w:ascii="Arial" w:eastAsia="SimSun" w:hAnsi="Arial" w:cs="Arial"/>
          <w:b/>
          <w:bCs/>
          <w:iCs/>
          <w:color w:val="000000"/>
          <w:kern w:val="2"/>
          <w:sz w:val="21"/>
          <w:szCs w:val="21"/>
          <w:lang w:eastAsia="zh-CN" w:bidi="hi-IN"/>
        </w:rPr>
        <w:t xml:space="preserve"> </w:t>
      </w:r>
      <w:r w:rsidRPr="003E7826">
        <w:rPr>
          <w:rFonts w:ascii="Arial" w:eastAsia="SimSun" w:hAnsi="Arial" w:cs="Arial"/>
          <w:iCs/>
          <w:color w:val="000000"/>
          <w:kern w:val="2"/>
          <w:sz w:val="21"/>
          <w:szCs w:val="21"/>
          <w:lang w:eastAsia="zh-CN" w:bidi="hi-IN"/>
        </w:rPr>
        <w:t xml:space="preserve">15 de septiembre de 2017 (sentencia firme), ante la denegación por el conseller de Hacienda de la Generalitat, de la petición formulada por un diputado de las Cortes Valencianas, de entrega de la copia del </w:t>
      </w:r>
      <w:r w:rsidRPr="003E7826">
        <w:rPr>
          <w:rFonts w:ascii="Arial" w:eastAsia="SimSun" w:hAnsi="Arial" w:cs="Arial"/>
          <w:b/>
          <w:bCs/>
          <w:iCs/>
          <w:color w:val="000000"/>
          <w:kern w:val="2"/>
          <w:sz w:val="21"/>
          <w:szCs w:val="21"/>
          <w:lang w:eastAsia="zh-CN" w:bidi="hi-IN"/>
        </w:rPr>
        <w:t>plan de control tributario</w:t>
      </w:r>
      <w:r w:rsidRPr="003E7826">
        <w:rPr>
          <w:rFonts w:ascii="Arial" w:eastAsia="SimSun" w:hAnsi="Arial" w:cs="Arial"/>
          <w:iCs/>
          <w:color w:val="000000"/>
          <w:kern w:val="2"/>
          <w:sz w:val="21"/>
          <w:szCs w:val="21"/>
          <w:lang w:eastAsia="zh-CN" w:bidi="hi-IN"/>
        </w:rPr>
        <w:t xml:space="preserve"> aprobado para 2016, concluyó que </w:t>
      </w:r>
      <w:r w:rsidRPr="003E7826">
        <w:rPr>
          <w:rFonts w:ascii="Arial" w:eastAsia="SimSun" w:hAnsi="Arial" w:cs="Arial"/>
          <w:b/>
          <w:bCs/>
          <w:iCs/>
          <w:color w:val="000000"/>
          <w:kern w:val="2"/>
          <w:sz w:val="21"/>
          <w:szCs w:val="21"/>
          <w:lang w:eastAsia="zh-CN" w:bidi="hi-IN"/>
        </w:rPr>
        <w:t>la denegación de dicha documentación</w:t>
      </w:r>
      <w:r w:rsidRPr="003E7826">
        <w:rPr>
          <w:rFonts w:ascii="Arial" w:eastAsia="SimSun" w:hAnsi="Arial" w:cs="Arial"/>
          <w:iCs/>
          <w:color w:val="000000"/>
          <w:kern w:val="2"/>
          <w:sz w:val="21"/>
          <w:szCs w:val="21"/>
          <w:lang w:eastAsia="zh-CN" w:bidi="hi-IN"/>
        </w:rPr>
        <w:t xml:space="preserve">, fundada en el </w:t>
      </w:r>
      <w:r w:rsidRPr="003E7826">
        <w:rPr>
          <w:rFonts w:ascii="Arial" w:eastAsia="SimSun" w:hAnsi="Arial" w:cs="Arial"/>
          <w:b/>
          <w:bCs/>
          <w:iCs/>
          <w:color w:val="000000"/>
          <w:kern w:val="2"/>
          <w:sz w:val="21"/>
          <w:szCs w:val="21"/>
          <w:lang w:eastAsia="zh-CN" w:bidi="hi-IN"/>
        </w:rPr>
        <w:t xml:space="preserve">carácter reservado </w:t>
      </w:r>
      <w:r w:rsidRPr="003E7826">
        <w:rPr>
          <w:rFonts w:ascii="Arial" w:eastAsia="SimSun" w:hAnsi="Arial" w:cs="Arial"/>
          <w:iCs/>
          <w:color w:val="000000"/>
          <w:kern w:val="2"/>
          <w:sz w:val="21"/>
          <w:szCs w:val="21"/>
          <w:lang w:eastAsia="zh-CN" w:bidi="hi-IN"/>
        </w:rPr>
        <w:t>de los actos con trascendencia tributaria, establecido en el artículo 95 de la</w:t>
      </w:r>
      <w:r w:rsidRPr="003E7826">
        <w:rPr>
          <w:rFonts w:ascii="Arial" w:eastAsia="SimSun" w:hAnsi="Arial" w:cs="Arial"/>
          <w:b/>
          <w:bCs/>
          <w:iCs/>
          <w:color w:val="000000"/>
          <w:kern w:val="2"/>
          <w:sz w:val="21"/>
          <w:szCs w:val="21"/>
          <w:lang w:eastAsia="zh-CN" w:bidi="hi-IN"/>
        </w:rPr>
        <w:t xml:space="preserve"> Ley 58/2003 de 17 de diciembre, General Tributaria, no entrañaba una vulneración </w:t>
      </w:r>
      <w:r w:rsidRPr="003E7826">
        <w:rPr>
          <w:rFonts w:ascii="Arial" w:eastAsia="SimSun" w:hAnsi="Arial" w:cs="Arial"/>
          <w:iCs/>
          <w:color w:val="000000"/>
          <w:kern w:val="2"/>
          <w:sz w:val="21"/>
          <w:szCs w:val="21"/>
          <w:lang w:eastAsia="zh-CN" w:bidi="hi-IN"/>
        </w:rPr>
        <w:t>del derecho del actor a la información como base de la</w:t>
      </w:r>
      <w:r w:rsidRPr="003E7826">
        <w:rPr>
          <w:rFonts w:ascii="Arial" w:eastAsia="SimSun" w:hAnsi="Arial" w:cs="Arial"/>
          <w:b/>
          <w:bCs/>
          <w:iCs/>
          <w:color w:val="000000"/>
          <w:kern w:val="2"/>
          <w:sz w:val="21"/>
          <w:szCs w:val="21"/>
          <w:lang w:eastAsia="zh-CN" w:bidi="hi-IN"/>
        </w:rPr>
        <w:t xml:space="preserve"> </w:t>
      </w:r>
      <w:r w:rsidRPr="003E7826">
        <w:rPr>
          <w:rFonts w:ascii="Arial" w:eastAsia="SimSun" w:hAnsi="Arial" w:cs="Arial"/>
          <w:iCs/>
          <w:color w:val="000000"/>
          <w:kern w:val="2"/>
          <w:sz w:val="21"/>
          <w:szCs w:val="21"/>
          <w:lang w:eastAsia="zh-CN" w:bidi="hi-IN"/>
        </w:rPr>
        <w:t xml:space="preserve">participación política, y por tanto </w:t>
      </w:r>
      <w:r w:rsidRPr="003E7826">
        <w:rPr>
          <w:rFonts w:ascii="Arial" w:eastAsia="SimSun" w:hAnsi="Arial" w:cs="Arial"/>
          <w:b/>
          <w:bCs/>
          <w:iCs/>
          <w:color w:val="000000"/>
          <w:kern w:val="2"/>
          <w:sz w:val="21"/>
          <w:szCs w:val="21"/>
          <w:lang w:eastAsia="zh-CN" w:bidi="hi-IN"/>
        </w:rPr>
        <w:t>declaró la inexistencia de vulneración constitucional</w:t>
      </w:r>
      <w:r w:rsidRPr="003E7826">
        <w:rPr>
          <w:rFonts w:ascii="Arial" w:eastAsia="SimSun" w:hAnsi="Arial" w:cs="Arial"/>
          <w:iCs/>
          <w:color w:val="000000"/>
          <w:kern w:val="2"/>
          <w:sz w:val="21"/>
          <w:szCs w:val="21"/>
          <w:lang w:eastAsia="zh-CN" w:bidi="hi-IN"/>
        </w:rPr>
        <w:t xml:space="preserve"> en la citada negativa a facilitar los datos solicitados. </w:t>
      </w:r>
    </w:p>
    <w:p w14:paraId="515CE472" w14:textId="77777777" w:rsidR="007A1751" w:rsidRPr="003E7826" w:rsidRDefault="007A1751" w:rsidP="007A1751">
      <w:pPr>
        <w:suppressAutoHyphens/>
        <w:spacing w:after="0" w:line="276" w:lineRule="auto"/>
        <w:jc w:val="both"/>
        <w:rPr>
          <w:rFonts w:ascii="Arial" w:eastAsia="SimSun" w:hAnsi="Arial" w:cs="Arial"/>
          <w:kern w:val="2"/>
          <w:sz w:val="21"/>
          <w:szCs w:val="21"/>
          <w:lang w:eastAsia="zh-CN" w:bidi="hi-IN"/>
        </w:rPr>
      </w:pPr>
    </w:p>
    <w:p w14:paraId="73B4D169" w14:textId="77777777" w:rsidR="007A1751" w:rsidRPr="003E7826" w:rsidRDefault="007A1751" w:rsidP="007A1751">
      <w:pPr>
        <w:suppressAutoHyphens/>
        <w:spacing w:after="0" w:line="276" w:lineRule="auto"/>
        <w:jc w:val="both"/>
        <w:rPr>
          <w:rFonts w:ascii="Arial" w:eastAsia="SimSun" w:hAnsi="Arial" w:cs="Arial"/>
          <w:bCs/>
          <w:kern w:val="2"/>
          <w:sz w:val="21"/>
          <w:szCs w:val="21"/>
          <w:lang w:eastAsia="zh-CN" w:bidi="hi-IN"/>
        </w:rPr>
      </w:pPr>
      <w:r w:rsidRPr="003E7826">
        <w:rPr>
          <w:rFonts w:ascii="Arial" w:eastAsia="SimSun" w:hAnsi="Arial" w:cs="Arial"/>
          <w:iCs/>
          <w:color w:val="000000"/>
          <w:kern w:val="2"/>
          <w:sz w:val="21"/>
          <w:szCs w:val="21"/>
          <w:lang w:eastAsia="zh-CN" w:bidi="hi-IN"/>
        </w:rPr>
        <w:t xml:space="preserve">Es decir, la Sala de lo Contencioso-Administrativo del Tribunal Superior de Justicia de la Comunitat Valenciana </w:t>
      </w:r>
      <w:r w:rsidRPr="003E7826">
        <w:rPr>
          <w:rFonts w:ascii="Arial" w:eastAsia="SimSun" w:hAnsi="Arial" w:cs="Arial"/>
          <w:bCs/>
          <w:iCs/>
          <w:color w:val="000000"/>
          <w:kern w:val="2"/>
          <w:sz w:val="21"/>
          <w:szCs w:val="21"/>
          <w:lang w:eastAsia="zh-CN" w:bidi="hi-IN"/>
        </w:rPr>
        <w:t>consideró, como</w:t>
      </w:r>
      <w:r w:rsidRPr="003E7826">
        <w:rPr>
          <w:rFonts w:ascii="Arial" w:eastAsia="SimSun" w:hAnsi="Arial" w:cs="Arial"/>
          <w:b/>
          <w:iCs/>
          <w:color w:val="000000"/>
          <w:kern w:val="2"/>
          <w:sz w:val="21"/>
          <w:szCs w:val="21"/>
          <w:lang w:eastAsia="zh-CN" w:bidi="hi-IN"/>
        </w:rPr>
        <w:t xml:space="preserve"> </w:t>
      </w:r>
      <w:r w:rsidRPr="003E7826">
        <w:rPr>
          <w:rFonts w:ascii="Arial" w:eastAsia="SimSun" w:hAnsi="Arial" w:cs="Arial"/>
          <w:b/>
          <w:bCs/>
          <w:iCs/>
          <w:color w:val="000000"/>
          <w:kern w:val="2"/>
          <w:sz w:val="21"/>
          <w:szCs w:val="21"/>
          <w:lang w:eastAsia="zh-CN" w:bidi="hi-IN"/>
        </w:rPr>
        <w:t xml:space="preserve">límite válido </w:t>
      </w:r>
      <w:r w:rsidRPr="003E7826">
        <w:rPr>
          <w:rFonts w:ascii="Arial" w:eastAsia="SimSun" w:hAnsi="Arial" w:cs="Arial"/>
          <w:bCs/>
          <w:iCs/>
          <w:color w:val="000000"/>
          <w:kern w:val="2"/>
          <w:sz w:val="21"/>
          <w:szCs w:val="21"/>
          <w:lang w:eastAsia="zh-CN" w:bidi="hi-IN"/>
        </w:rPr>
        <w:t>del derecho de los parlamentarios y parlamentarias autonómicas al acceso a la información,</w:t>
      </w:r>
      <w:r w:rsidRPr="003E7826">
        <w:rPr>
          <w:rFonts w:ascii="Arial" w:eastAsia="SimSun" w:hAnsi="Arial" w:cs="Arial"/>
          <w:b/>
          <w:bCs/>
          <w:iCs/>
          <w:color w:val="000000"/>
          <w:kern w:val="2"/>
          <w:sz w:val="21"/>
          <w:szCs w:val="21"/>
          <w:lang w:eastAsia="zh-CN" w:bidi="hi-IN"/>
        </w:rPr>
        <w:t xml:space="preserve"> aquel que venga fijado en una concreta previsión normativa</w:t>
      </w:r>
      <w:r w:rsidRPr="003E7826">
        <w:rPr>
          <w:rFonts w:ascii="Arial" w:eastAsia="SimSun" w:hAnsi="Arial" w:cs="Arial"/>
          <w:b/>
          <w:iCs/>
          <w:color w:val="000000"/>
          <w:kern w:val="2"/>
          <w:sz w:val="21"/>
          <w:szCs w:val="21"/>
          <w:lang w:eastAsia="zh-CN" w:bidi="hi-IN"/>
        </w:rPr>
        <w:t xml:space="preserve"> </w:t>
      </w:r>
      <w:r w:rsidRPr="003E7826">
        <w:rPr>
          <w:rFonts w:ascii="Arial" w:eastAsia="SimSun" w:hAnsi="Arial" w:cs="Arial"/>
          <w:bCs/>
          <w:iCs/>
          <w:color w:val="000000"/>
          <w:kern w:val="2"/>
          <w:sz w:val="21"/>
          <w:szCs w:val="21"/>
          <w:lang w:eastAsia="zh-CN" w:bidi="hi-IN"/>
        </w:rPr>
        <w:t>(en el caso sometido a enjuiciamiento lo fue la Ley General Tributaria) y/o aval jurisprudencial, no suponiendo vulneración del derecho reconocido en el artículo 23.2 de la Constitución la denegación de información requerida por parlamentarios siempre que se funde en estos límites legales o jurisprudenciales.</w:t>
      </w:r>
    </w:p>
    <w:p w14:paraId="7AD2ADD7" w14:textId="77777777" w:rsidR="007A1751" w:rsidRPr="003E7826" w:rsidRDefault="007A1751" w:rsidP="007A1751">
      <w:pPr>
        <w:suppressAutoHyphens/>
        <w:spacing w:after="0" w:line="276" w:lineRule="auto"/>
        <w:ind w:left="708"/>
        <w:jc w:val="both"/>
        <w:rPr>
          <w:rFonts w:ascii="Arial" w:eastAsia="SimSun" w:hAnsi="Arial" w:cs="Arial"/>
          <w:bCs/>
          <w:iCs/>
          <w:color w:val="000000"/>
          <w:kern w:val="2"/>
          <w:sz w:val="21"/>
          <w:szCs w:val="21"/>
          <w:lang w:eastAsia="zh-CN" w:bidi="hi-IN"/>
        </w:rPr>
      </w:pPr>
    </w:p>
    <w:p w14:paraId="53B7AFEC" w14:textId="094C726D" w:rsidR="007A1751" w:rsidRPr="003E7826" w:rsidRDefault="007A1751" w:rsidP="007A1751">
      <w:pPr>
        <w:suppressAutoHyphens/>
        <w:spacing w:after="0" w:line="276" w:lineRule="auto"/>
        <w:jc w:val="both"/>
        <w:rPr>
          <w:rFonts w:ascii="Arial" w:eastAsia="Droid Sans Fallback" w:hAnsi="Arial" w:cs="Arial"/>
          <w:color w:val="000000"/>
          <w:kern w:val="2"/>
          <w:sz w:val="21"/>
          <w:szCs w:val="21"/>
          <w:lang w:eastAsia="zh-CN" w:bidi="hi-IN"/>
        </w:rPr>
      </w:pPr>
      <w:r w:rsidRPr="003E7826">
        <w:rPr>
          <w:rFonts w:ascii="Arial" w:eastAsia="Droid Sans Fallback" w:hAnsi="Arial" w:cs="Arial"/>
          <w:color w:val="000000"/>
          <w:kern w:val="2"/>
          <w:sz w:val="21"/>
          <w:szCs w:val="21"/>
          <w:lang w:eastAsia="zh-CN" w:bidi="hi-IN"/>
        </w:rPr>
        <w:lastRenderedPageBreak/>
        <w:t xml:space="preserve">El </w:t>
      </w:r>
      <w:r w:rsidRPr="003E7826">
        <w:rPr>
          <w:rFonts w:ascii="Arial" w:eastAsia="Droid Sans Fallback" w:hAnsi="Arial" w:cs="Arial"/>
          <w:b/>
          <w:bCs/>
          <w:color w:val="000000"/>
          <w:kern w:val="2"/>
          <w:sz w:val="21"/>
          <w:szCs w:val="21"/>
          <w:lang w:eastAsia="zh-CN" w:bidi="hi-IN"/>
        </w:rPr>
        <w:t>Tribunal Constitucional</w:t>
      </w:r>
      <w:r w:rsidRPr="003E7826">
        <w:rPr>
          <w:rFonts w:ascii="Arial" w:eastAsia="Droid Sans Fallback" w:hAnsi="Arial" w:cs="Arial"/>
          <w:color w:val="000000"/>
          <w:kern w:val="2"/>
          <w:sz w:val="21"/>
          <w:szCs w:val="21"/>
          <w:lang w:eastAsia="zh-CN" w:bidi="hi-IN"/>
        </w:rPr>
        <w:t xml:space="preserve"> ya indicaba en su Sentencia 2/1982, Fundamento Jurídico 5º, que </w:t>
      </w:r>
      <w:r w:rsidRPr="003E7826">
        <w:rPr>
          <w:rFonts w:ascii="Arial" w:eastAsia="Droid Sans Fallback" w:hAnsi="Arial" w:cs="Arial"/>
          <w:b/>
          <w:bCs/>
          <w:color w:val="000000"/>
          <w:kern w:val="2"/>
          <w:sz w:val="21"/>
          <w:szCs w:val="21"/>
          <w:lang w:eastAsia="zh-CN" w:bidi="hi-IN"/>
        </w:rPr>
        <w:t>no existen derechos absolutos</w:t>
      </w:r>
      <w:r w:rsidRPr="003E7826">
        <w:rPr>
          <w:rFonts w:ascii="Arial" w:eastAsia="Droid Sans Fallback" w:hAnsi="Arial" w:cs="Arial"/>
          <w:color w:val="000000"/>
          <w:kern w:val="2"/>
          <w:sz w:val="21"/>
          <w:szCs w:val="21"/>
          <w:lang w:eastAsia="zh-CN" w:bidi="hi-IN"/>
        </w:rPr>
        <w:t>, sino que</w:t>
      </w:r>
      <w:r w:rsidRPr="003E7826">
        <w:rPr>
          <w:rFonts w:ascii="Arial" w:eastAsia="Droid Sans Fallback" w:hAnsi="Arial" w:cs="Arial"/>
          <w:b/>
          <w:bCs/>
          <w:color w:val="000000"/>
          <w:kern w:val="2"/>
          <w:sz w:val="21"/>
          <w:szCs w:val="21"/>
          <w:lang w:eastAsia="zh-CN" w:bidi="hi-IN"/>
        </w:rPr>
        <w:t xml:space="preserve"> </w:t>
      </w:r>
      <w:r w:rsidRPr="003E7826">
        <w:rPr>
          <w:rFonts w:ascii="Arial" w:eastAsia="Droid Sans Fallback" w:hAnsi="Arial" w:cs="Arial"/>
          <w:color w:val="000000"/>
          <w:kern w:val="2"/>
          <w:sz w:val="21"/>
          <w:szCs w:val="21"/>
          <w:lang w:eastAsia="zh-CN" w:bidi="hi-IN"/>
        </w:rPr>
        <w:t>todos entrañan limitaciones concretas o genéricas en el respeto de los derechos fundamentales y en la preservación de los bienes y derechos constitucionalmente reconocidos.</w:t>
      </w:r>
    </w:p>
    <w:p w14:paraId="54CE72EC" w14:textId="77777777" w:rsidR="007A1751" w:rsidRPr="003E7826" w:rsidRDefault="007A1751" w:rsidP="007A1751">
      <w:pPr>
        <w:suppressAutoHyphens/>
        <w:spacing w:after="0" w:line="276" w:lineRule="auto"/>
        <w:jc w:val="both"/>
        <w:rPr>
          <w:rFonts w:ascii="Arial" w:eastAsia="Droid Sans Fallback" w:hAnsi="Arial" w:cs="Arial"/>
          <w:kern w:val="2"/>
          <w:sz w:val="21"/>
          <w:szCs w:val="21"/>
          <w:lang w:eastAsia="zh-CN" w:bidi="hi-IN"/>
        </w:rPr>
      </w:pPr>
    </w:p>
    <w:p w14:paraId="23A3872F" w14:textId="07B0A6C8" w:rsidR="006B510A" w:rsidRPr="003E7826" w:rsidRDefault="007A1751" w:rsidP="007A1751">
      <w:pPr>
        <w:suppressAutoHyphens/>
        <w:spacing w:after="0" w:line="276" w:lineRule="auto"/>
        <w:jc w:val="both"/>
        <w:rPr>
          <w:rFonts w:ascii="Arial" w:hAnsi="Arial" w:cs="Arial"/>
          <w:color w:val="201F1E"/>
          <w:sz w:val="21"/>
          <w:szCs w:val="21"/>
          <w:bdr w:val="none" w:sz="0" w:space="0" w:color="auto" w:frame="1"/>
        </w:rPr>
      </w:pPr>
      <w:r w:rsidRPr="003E7826">
        <w:rPr>
          <w:rFonts w:ascii="Arial" w:eastAsia="SimSun" w:hAnsi="Arial" w:cs="Arial"/>
          <w:kern w:val="2"/>
          <w:sz w:val="21"/>
          <w:szCs w:val="21"/>
          <w:lang w:eastAsia="zh-CN" w:bidi="hi-IN"/>
        </w:rPr>
        <w:t xml:space="preserve">Para finalizar, es necesario reiterar, que la AVAF </w:t>
      </w:r>
      <w:r w:rsidRPr="003E7826">
        <w:rPr>
          <w:rFonts w:ascii="Arial" w:eastAsia="SimSun" w:hAnsi="Arial" w:cs="Arial"/>
          <w:bCs/>
          <w:kern w:val="2"/>
          <w:sz w:val="21"/>
          <w:szCs w:val="21"/>
          <w:lang w:eastAsia="zh-CN" w:bidi="hi-IN"/>
        </w:rPr>
        <w:t>no forma parte del gobierno valenciano.</w:t>
      </w:r>
      <w:r w:rsidRPr="003E7826">
        <w:rPr>
          <w:rFonts w:ascii="Arial" w:eastAsia="SimSun" w:hAnsi="Arial" w:cs="Arial"/>
          <w:kern w:val="2"/>
          <w:sz w:val="21"/>
          <w:szCs w:val="21"/>
          <w:lang w:eastAsia="zh-CN" w:bidi="hi-IN"/>
        </w:rPr>
        <w:t xml:space="preserve">  </w:t>
      </w:r>
      <w:r w:rsidR="006B510A" w:rsidRPr="003E7826">
        <w:rPr>
          <w:rFonts w:ascii="Arial" w:hAnsi="Arial" w:cs="Arial"/>
          <w:sz w:val="21"/>
          <w:szCs w:val="21"/>
        </w:rPr>
        <w:t xml:space="preserve">Los argumentos de la Agencia, relativos a la confidencialidad y reserva, también se encuentran contemplados en una norma con categoría de Ley, la cual estableció, </w:t>
      </w:r>
      <w:r w:rsidR="006B510A" w:rsidRPr="003E7826">
        <w:rPr>
          <w:rFonts w:ascii="Arial" w:hAnsi="Arial" w:cs="Arial"/>
          <w:color w:val="201F1E"/>
          <w:sz w:val="21"/>
          <w:szCs w:val="21"/>
          <w:bdr w:val="none" w:sz="0" w:space="0" w:color="auto" w:frame="1"/>
        </w:rPr>
        <w:t xml:space="preserve">en aras al buen fin de las investigaciones, la confidencialidad y reserva de las actuaciones de investigación en curso que lleve a cabo la AVAF (las resoluciones finales de investigación se publican sistemáticamente en nuestra página web), y también la protección de la identidad de los denunciantes, que no se puede revelar sin su consentimiento expreso lo que viene reforzado hoy por la Directiva (UE) 2019/1937, de protección de los </w:t>
      </w:r>
      <w:r w:rsidR="006B510A" w:rsidRPr="003E7826">
        <w:rPr>
          <w:rFonts w:ascii="Arial" w:hAnsi="Arial" w:cs="Arial"/>
          <w:i/>
          <w:iCs/>
          <w:color w:val="201F1E"/>
          <w:sz w:val="21"/>
          <w:szCs w:val="21"/>
          <w:bdr w:val="none" w:sz="0" w:space="0" w:color="auto" w:frame="1"/>
        </w:rPr>
        <w:t xml:space="preserve">whistleblowers, </w:t>
      </w:r>
      <w:r w:rsidR="006B510A" w:rsidRPr="003E7826">
        <w:rPr>
          <w:rFonts w:ascii="Arial" w:hAnsi="Arial" w:cs="Arial"/>
          <w:color w:val="201F1E"/>
          <w:sz w:val="21"/>
          <w:szCs w:val="21"/>
          <w:bdr w:val="none" w:sz="0" w:space="0" w:color="auto" w:frame="1"/>
        </w:rPr>
        <w:t>ampliamente comentada a lo largo de esta Memoria.</w:t>
      </w:r>
    </w:p>
    <w:p w14:paraId="1EFAFEC8" w14:textId="77777777" w:rsidR="007A1751" w:rsidRPr="003E7826" w:rsidRDefault="007A1751" w:rsidP="007A1751">
      <w:pPr>
        <w:suppressAutoHyphens/>
        <w:spacing w:after="0" w:line="240" w:lineRule="auto"/>
        <w:jc w:val="both"/>
        <w:rPr>
          <w:rFonts w:ascii="Arial" w:eastAsia="SimSun" w:hAnsi="Arial" w:cs="Arial"/>
          <w:kern w:val="2"/>
          <w:sz w:val="21"/>
          <w:szCs w:val="21"/>
          <w:lang w:eastAsia="zh-CN" w:bidi="hi-IN"/>
        </w:rPr>
      </w:pPr>
    </w:p>
    <w:p w14:paraId="67E42602" w14:textId="3A5A8D08" w:rsidR="006B510A" w:rsidRPr="003E7826" w:rsidRDefault="006B510A" w:rsidP="00C1460B">
      <w:pPr>
        <w:spacing w:after="240" w:line="276" w:lineRule="auto"/>
        <w:jc w:val="both"/>
        <w:rPr>
          <w:rFonts w:ascii="Arial" w:eastAsia="Times New Roman" w:hAnsi="Arial" w:cs="Arial"/>
          <w:color w:val="000000"/>
          <w:sz w:val="21"/>
          <w:szCs w:val="21"/>
          <w:lang w:eastAsia="es-ES"/>
        </w:rPr>
      </w:pPr>
      <w:r w:rsidRPr="003E7826">
        <w:rPr>
          <w:rFonts w:ascii="Arial" w:eastAsia="Times New Roman" w:hAnsi="Arial" w:cs="Arial"/>
          <w:color w:val="000000"/>
          <w:sz w:val="21"/>
          <w:szCs w:val="21"/>
          <w:lang w:eastAsia="es-ES"/>
        </w:rPr>
        <w:t>Por último, se indica que los otros dos recursos contencioso-administrativos, interpuestos por la representación del mismo grupo parlamentario (núm. 225/2020 y núm. 275/2020), sobre la misma temática y que derivan de un único expediente de investigación en curso, se encuentran en tramitación ante el Tribunal Superior de Justicia de la Comunitat Valenciana.</w:t>
      </w:r>
    </w:p>
    <w:p w14:paraId="3FD123EF" w14:textId="23A5CB4C" w:rsidR="006B510A" w:rsidRPr="00E973F1" w:rsidRDefault="006B510A" w:rsidP="00E973F1">
      <w:pPr>
        <w:pStyle w:val="Prrafodelista"/>
        <w:keepNext/>
        <w:numPr>
          <w:ilvl w:val="2"/>
          <w:numId w:val="25"/>
        </w:numPr>
        <w:spacing w:before="360" w:after="240" w:line="276" w:lineRule="auto"/>
        <w:ind w:left="1134" w:hanging="1134"/>
        <w:contextualSpacing w:val="0"/>
        <w:jc w:val="both"/>
        <w:outlineLvl w:val="2"/>
        <w:rPr>
          <w:rFonts w:ascii="Arial" w:eastAsia="Times New Roman" w:hAnsi="Arial" w:cs="Arial"/>
          <w:b/>
          <w:color w:val="9D2235" w:themeColor="accent1"/>
          <w:sz w:val="28"/>
          <w:szCs w:val="28"/>
        </w:rPr>
      </w:pPr>
      <w:bookmarkStart w:id="178" w:name="_Toc67646297"/>
      <w:r w:rsidRPr="00E973F1">
        <w:rPr>
          <w:rFonts w:ascii="Arial" w:eastAsia="Times New Roman" w:hAnsi="Arial" w:cs="Arial"/>
          <w:b/>
          <w:color w:val="9D2235" w:themeColor="accent1"/>
          <w:sz w:val="28"/>
          <w:szCs w:val="28"/>
        </w:rPr>
        <w:t>Sobre resoluciones que otorgan o deniegan el estatuto de protección a personas denunciantes</w:t>
      </w:r>
      <w:bookmarkEnd w:id="178"/>
    </w:p>
    <w:p w14:paraId="523E5DE6" w14:textId="7B580218"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En 2018 se interpuso un recurso contencioso-administrativo contra una resolución de esta Agencia por la cual se otorgaba el estatuto de protección a una persona denunciante. Dicho recurso fue planteado, tanto por el propio Ayuntamiento en el que el denunciante protegido presta servicios como por su alcalde. Ambos recursos, formulados sobre el mismo objeto, se acumularon en un solo procedimiento (ordinario núm. 427/2018), que se sigue ante el Tribunal Superior de Justicia de la Comunitat Valenciana, Sección Cuarta de la Sala de lo Contencioso-administrativo. </w:t>
      </w:r>
    </w:p>
    <w:p w14:paraId="00E9F244" w14:textId="2D4B8EE3"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Practicadas el grueso de sus actuaciones durante 2020, se declaró concluso el pleito y pendiente de la emisión de sentencia, lo cual fue comunicado a las partes mediante Diligencia de Ordenación de 28 de septiembre de 2020.</w:t>
      </w:r>
    </w:p>
    <w:p w14:paraId="54D7D4EB" w14:textId="46B5576B" w:rsidR="006B510A" w:rsidRPr="00973028" w:rsidRDefault="006B510A" w:rsidP="00C1460B">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En relación con esta materia, también se interpuso un recurso contencioso-administrativo </w:t>
      </w:r>
      <w:r w:rsidRPr="00973028">
        <w:rPr>
          <w:rFonts w:ascii="Arial" w:eastAsia="Times New Roman" w:hAnsi="Arial" w:cs="Arial"/>
          <w:sz w:val="21"/>
          <w:szCs w:val="21"/>
          <w:lang w:eastAsia="es-ES"/>
        </w:rPr>
        <w:t xml:space="preserve">por un sindicato conformado por policías, bomberos y otros funcionarios contra la </w:t>
      </w:r>
      <w:r w:rsidRPr="00973028">
        <w:rPr>
          <w:rFonts w:ascii="Arial" w:eastAsia="Times New Roman" w:hAnsi="Arial" w:cs="Arial"/>
          <w:color w:val="000000"/>
          <w:sz w:val="21"/>
          <w:szCs w:val="21"/>
          <w:lang w:eastAsia="es-ES"/>
        </w:rPr>
        <w:t>desestimación, por silencio administrativo negativo, de su solicitud de otorgamiento del estatuto de protección. Se trata del procedimiento abreviado núm. 642-2020, que se encuentra en tramitación en el Juzgado de lo Contencioso Administrativo núm. 10 de València.</w:t>
      </w:r>
    </w:p>
    <w:p w14:paraId="6CA28C33" w14:textId="4221D401" w:rsidR="006B510A" w:rsidRPr="00973028" w:rsidRDefault="006B510A" w:rsidP="00C1460B">
      <w:pPr>
        <w:spacing w:after="240" w:line="276" w:lineRule="auto"/>
        <w:jc w:val="both"/>
        <w:rPr>
          <w:rFonts w:ascii="Arial" w:hAnsi="Arial"/>
          <w:color w:val="000000"/>
          <w:sz w:val="21"/>
          <w:szCs w:val="21"/>
        </w:rPr>
      </w:pPr>
      <w:r w:rsidRPr="00973028">
        <w:rPr>
          <w:rFonts w:ascii="Arial" w:eastAsia="Times New Roman" w:hAnsi="Arial" w:cs="Arial"/>
          <w:color w:val="000000"/>
          <w:sz w:val="21"/>
          <w:szCs w:val="21"/>
          <w:lang w:eastAsia="es-ES"/>
        </w:rPr>
        <w:t xml:space="preserve">En fecha 5 de octubre de 2020 se dictó la Resolución núm. 425, del director de la Agencia, en la que se desestimaba expresamente la solicitud de protección presentada por el citado sindicato, la cual fue notificada el 7 de octubre de este mismo año. Dicha resolución detalla la motivación de la desestimación de esta petición, siendo su fundamento base el que los miembros de este sindicato, al poner de manifiesto los hechos denunciados ante la vía </w:t>
      </w:r>
      <w:r w:rsidRPr="00973028">
        <w:rPr>
          <w:rFonts w:ascii="Arial" w:eastAsia="Times New Roman" w:hAnsi="Arial" w:cs="Arial"/>
          <w:color w:val="000000"/>
          <w:sz w:val="21"/>
          <w:szCs w:val="21"/>
          <w:lang w:eastAsia="es-ES"/>
        </w:rPr>
        <w:lastRenderedPageBreak/>
        <w:t xml:space="preserve">judicial, </w:t>
      </w:r>
      <w:r w:rsidRPr="00973028">
        <w:rPr>
          <w:rFonts w:ascii="Arial" w:eastAsia="Arial" w:hAnsi="Arial" w:cs="Open Sans Light"/>
          <w:color w:val="000000"/>
        </w:rPr>
        <w:t xml:space="preserve">habían actuado en el ámbito ordinario de sus funciones sindicales y con la estructura y protección que como miembros del mismo les reconoce y otorga la </w:t>
      </w:r>
      <w:r w:rsidRPr="00973028">
        <w:rPr>
          <w:rFonts w:ascii="Arial" w:eastAsia="Arial" w:hAnsi="Arial" w:cs="Open Sans Light"/>
          <w:color w:val="000000"/>
          <w:sz w:val="21"/>
          <w:szCs w:val="21"/>
        </w:rPr>
        <w:t>legislación en materia laboral y sindical (artículos 7 y 28.1 de la Constitución Española</w:t>
      </w:r>
      <w:r w:rsidRPr="00973028">
        <w:rPr>
          <w:rFonts w:ascii="Arial" w:hAnsi="Arial" w:cs="Times New Roman"/>
          <w:color w:val="000000"/>
          <w:sz w:val="21"/>
          <w:szCs w:val="21"/>
        </w:rPr>
        <w:t xml:space="preserve"> Ley Orgánica 11/1985, de 2 de agosto, de Libertad Sindical y jurisprudencia del Tribunal Supremo y del Tribunal Constitucional), no requiriendo por tanto la protección a la que alude el artículo 14 de la Ley 11/2016, de la Agencia.</w:t>
      </w:r>
    </w:p>
    <w:p w14:paraId="3F841FB8" w14:textId="561BA18A" w:rsidR="006B510A" w:rsidRPr="00E973F1" w:rsidRDefault="006B510A" w:rsidP="00E973F1">
      <w:pPr>
        <w:pStyle w:val="Prrafodelista"/>
        <w:keepNext/>
        <w:numPr>
          <w:ilvl w:val="2"/>
          <w:numId w:val="25"/>
        </w:numPr>
        <w:spacing w:before="360" w:after="240" w:line="276" w:lineRule="auto"/>
        <w:ind w:left="1134" w:hanging="1134"/>
        <w:contextualSpacing w:val="0"/>
        <w:jc w:val="both"/>
        <w:outlineLvl w:val="2"/>
        <w:rPr>
          <w:rFonts w:ascii="Arial" w:eastAsia="Times New Roman" w:hAnsi="Arial" w:cs="Arial"/>
          <w:b/>
          <w:color w:val="9D2235" w:themeColor="accent1"/>
          <w:sz w:val="28"/>
          <w:szCs w:val="28"/>
        </w:rPr>
      </w:pPr>
      <w:bookmarkStart w:id="179" w:name="_Hlk64641766"/>
      <w:bookmarkStart w:id="180" w:name="_Toc67646298"/>
      <w:r w:rsidRPr="00E973F1">
        <w:rPr>
          <w:rFonts w:ascii="Arial" w:eastAsia="Times New Roman" w:hAnsi="Arial" w:cs="Arial"/>
          <w:b/>
          <w:color w:val="9D2235" w:themeColor="accent1"/>
          <w:sz w:val="28"/>
          <w:szCs w:val="28"/>
        </w:rPr>
        <w:t>Sobre cuestiones de personal al servicio de la Agencia</w:t>
      </w:r>
      <w:bookmarkEnd w:id="179"/>
      <w:bookmarkEnd w:id="180"/>
    </w:p>
    <w:p w14:paraId="00DFDC62" w14:textId="1FF50714" w:rsidR="006B510A" w:rsidRPr="00973028" w:rsidRDefault="006B510A" w:rsidP="00C1460B">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En el recurso interpuesto contra la Agencia ante el Juzgado </w:t>
      </w:r>
      <w:r w:rsidRPr="00973028">
        <w:rPr>
          <w:rFonts w:ascii="Arial" w:eastAsia="Times New Roman" w:hAnsi="Arial" w:cs="Arial"/>
          <w:color w:val="000000"/>
          <w:sz w:val="21"/>
          <w:szCs w:val="21"/>
          <w:lang w:eastAsia="es-ES"/>
        </w:rPr>
        <w:t>de lo Contencioso Administrativo núm. 10 de València</w:t>
      </w:r>
      <w:r w:rsidRPr="00973028">
        <w:rPr>
          <w:rFonts w:ascii="Arial" w:eastAsia="Times New Roman" w:hAnsi="Arial" w:cs="Arial"/>
          <w:sz w:val="21"/>
          <w:szCs w:val="21"/>
          <w:lang w:eastAsia="es-ES"/>
        </w:rPr>
        <w:t xml:space="preserve">, procedimiento abreviado </w:t>
      </w:r>
      <w:r w:rsidRPr="00973028">
        <w:rPr>
          <w:rFonts w:ascii="Arial" w:eastAsia="Times New Roman" w:hAnsi="Arial" w:cs="Arial"/>
          <w:color w:val="000000"/>
          <w:sz w:val="21"/>
          <w:szCs w:val="21"/>
          <w:lang w:eastAsia="es-ES"/>
        </w:rPr>
        <w:t>núm. 388-2019, que se impugnaba la adjudicación de un puesto de trabajo de la Relación de Puestos de Trabajo de la Agencia</w:t>
      </w:r>
      <w:r w:rsidRPr="00973028">
        <w:rPr>
          <w:rFonts w:ascii="Arial" w:eastAsia="Times New Roman" w:hAnsi="Arial" w:cs="Arial"/>
          <w:sz w:val="21"/>
          <w:szCs w:val="21"/>
          <w:lang w:eastAsia="es-ES"/>
        </w:rPr>
        <w:t>, recayó sentencia desestimatoria núm. 787/2020, de 9 de diciembre, fallando a favor de la decisión de adjudicación a la persona que nombró la Agencia y confirmando la validez de la resolución recurrida.</w:t>
      </w:r>
    </w:p>
    <w:p w14:paraId="27164FC1" w14:textId="77777777" w:rsidR="006B510A" w:rsidRPr="00973028" w:rsidRDefault="006B510A" w:rsidP="00C1460B">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Por otra parte, a la fecha de redacción de </w:t>
      </w:r>
      <w:r w:rsidRPr="00973028">
        <w:rPr>
          <w:rFonts w:ascii="Arial" w:eastAsia="Times New Roman" w:hAnsi="Arial" w:cs="Arial"/>
          <w:color w:val="000000" w:themeColor="text1"/>
          <w:sz w:val="21"/>
          <w:szCs w:val="21"/>
          <w:lang w:eastAsia="es-ES"/>
        </w:rPr>
        <w:t xml:space="preserve">esta Memoria </w:t>
      </w:r>
      <w:r w:rsidRPr="00973028">
        <w:rPr>
          <w:rFonts w:ascii="Arial" w:eastAsia="Times New Roman" w:hAnsi="Arial" w:cs="Arial"/>
          <w:sz w:val="21"/>
          <w:szCs w:val="21"/>
          <w:lang w:eastAsia="es-ES"/>
        </w:rPr>
        <w:t>se encuentra pendiente de celebración la vista del recurso contencioso-administrativo mediante el que una persona funcionaria que prestó servicios en la Agencia, impugnó su cese. Este procedimiento abreviado núm. 305/2020 se sigue en el Juzgado de lo Contencioso-administrativo núm. 5 de València, tras la inhibición del asunto por falta de competencia dictada por el Tribunal Superior de Justicia; sede esta donde inicialmente la recurrente interpuso su recurso.</w:t>
      </w:r>
    </w:p>
    <w:p w14:paraId="2ABBFA9A" w14:textId="77777777" w:rsidR="006B510A" w:rsidRPr="00973028" w:rsidRDefault="006B510A" w:rsidP="00C1460B">
      <w:pPr>
        <w:spacing w:after="240" w:line="276" w:lineRule="auto"/>
        <w:jc w:val="center"/>
        <w:rPr>
          <w:rFonts w:ascii="Arial" w:eastAsia="Times New Roman" w:hAnsi="Arial" w:cs="Arial"/>
          <w:sz w:val="21"/>
          <w:szCs w:val="21"/>
          <w:lang w:eastAsia="es-ES"/>
        </w:rPr>
      </w:pPr>
    </w:p>
    <w:p w14:paraId="0889BBBE" w14:textId="77777777" w:rsidR="006B510A" w:rsidRPr="00973028" w:rsidRDefault="006B510A" w:rsidP="00C1460B">
      <w:pPr>
        <w:spacing w:after="240" w:line="276" w:lineRule="auto"/>
        <w:rPr>
          <w:rFonts w:ascii="Arial" w:eastAsia="Times New Roman" w:hAnsi="Arial" w:cs="Arial"/>
          <w:sz w:val="21"/>
          <w:szCs w:val="21"/>
          <w:lang w:eastAsia="es-ES"/>
        </w:rPr>
      </w:pPr>
    </w:p>
    <w:p w14:paraId="2FED02FE" w14:textId="77777777" w:rsidR="00417226" w:rsidRPr="00973028" w:rsidRDefault="00CB1947" w:rsidP="00C1460B">
      <w:pPr>
        <w:spacing w:after="240" w:line="276" w:lineRule="auto"/>
        <w:rPr>
          <w:rFonts w:ascii="Arial" w:hAnsi="Arial" w:cs="Arial"/>
          <w:sz w:val="20"/>
          <w:szCs w:val="20"/>
        </w:rPr>
      </w:pPr>
      <w:r w:rsidRPr="00973028">
        <w:rPr>
          <w:rFonts w:ascii="Arial" w:hAnsi="Arial" w:cs="Arial"/>
          <w:color w:val="000000" w:themeColor="text1"/>
          <w:sz w:val="21"/>
          <w:szCs w:val="21"/>
        </w:rPr>
        <w:br w:type="page"/>
      </w:r>
    </w:p>
    <w:p w14:paraId="2D3428B5" w14:textId="2EA2416E" w:rsidR="004522FD" w:rsidRPr="00973028" w:rsidRDefault="002C0DE6" w:rsidP="00672ABA">
      <w:pPr>
        <w:pStyle w:val="Prrafodelista"/>
        <w:numPr>
          <w:ilvl w:val="0"/>
          <w:numId w:val="25"/>
        </w:numPr>
        <w:spacing w:after="0" w:line="240" w:lineRule="auto"/>
        <w:ind w:left="0" w:firstLine="0"/>
        <w:jc w:val="both"/>
        <w:outlineLvl w:val="0"/>
        <w:rPr>
          <w:rFonts w:ascii="Arial" w:eastAsia="Times New Roman" w:hAnsi="Arial" w:cs="Arial"/>
          <w:spacing w:val="-14"/>
          <w:sz w:val="24"/>
          <w:szCs w:val="24"/>
          <w:lang w:eastAsia="es-ES"/>
        </w:rPr>
      </w:pPr>
      <w:r w:rsidRPr="00973028">
        <w:rPr>
          <w:rFonts w:ascii="Arial" w:eastAsia="Times New Roman" w:hAnsi="Arial" w:cs="Arial"/>
          <w:b/>
          <w:bCs/>
          <w:color w:val="94070A"/>
          <w:spacing w:val="-14"/>
          <w:sz w:val="80"/>
          <w:szCs w:val="80"/>
          <w:lang w:eastAsia="es-ES"/>
        </w:rPr>
        <w:lastRenderedPageBreak/>
        <w:br/>
      </w:r>
      <w:bookmarkStart w:id="181" w:name="_Toc67646299"/>
      <w:r w:rsidR="000952B8" w:rsidRPr="00973028">
        <w:rPr>
          <w:rFonts w:ascii="Arial" w:eastAsia="Times New Roman" w:hAnsi="Arial" w:cs="Arial"/>
          <w:b/>
          <w:bCs/>
          <w:color w:val="94070A"/>
          <w:spacing w:val="-14"/>
          <w:sz w:val="80"/>
          <w:szCs w:val="80"/>
          <w:lang w:eastAsia="es-ES"/>
        </w:rPr>
        <w:t>Actividad</w:t>
      </w:r>
      <w:r w:rsidR="004522FD" w:rsidRPr="00973028">
        <w:rPr>
          <w:rFonts w:ascii="Arial" w:eastAsia="Times New Roman" w:hAnsi="Arial" w:cs="Arial"/>
          <w:spacing w:val="-14"/>
          <w:sz w:val="24"/>
          <w:szCs w:val="24"/>
          <w:lang w:eastAsia="es-ES"/>
        </w:rPr>
        <w:t xml:space="preserve"> </w:t>
      </w:r>
      <w:r w:rsidRPr="00973028">
        <w:rPr>
          <w:rFonts w:ascii="Arial" w:eastAsia="Times New Roman" w:hAnsi="Arial" w:cs="Arial"/>
          <w:spacing w:val="-14"/>
          <w:sz w:val="24"/>
          <w:szCs w:val="24"/>
          <w:lang w:eastAsia="es-ES"/>
        </w:rPr>
        <w:br/>
      </w:r>
      <w:r w:rsidR="004522FD" w:rsidRPr="00973028">
        <w:rPr>
          <w:rFonts w:ascii="Arial" w:eastAsia="Times New Roman" w:hAnsi="Arial" w:cs="Arial"/>
          <w:b/>
          <w:bCs/>
          <w:color w:val="94070A"/>
          <w:spacing w:val="-14"/>
          <w:sz w:val="80"/>
          <w:szCs w:val="80"/>
          <w:lang w:eastAsia="es-ES"/>
        </w:rPr>
        <w:t>I</w:t>
      </w:r>
      <w:r w:rsidR="000952B8" w:rsidRPr="00973028">
        <w:rPr>
          <w:rFonts w:ascii="Arial" w:eastAsia="Times New Roman" w:hAnsi="Arial" w:cs="Arial"/>
          <w:b/>
          <w:bCs/>
          <w:color w:val="94070A"/>
          <w:spacing w:val="-14"/>
          <w:sz w:val="80"/>
          <w:szCs w:val="80"/>
          <w:lang w:eastAsia="es-ES"/>
        </w:rPr>
        <w:t>nstituciona</w:t>
      </w:r>
      <w:r w:rsidR="004522FD" w:rsidRPr="00973028">
        <w:rPr>
          <w:rFonts w:ascii="Arial" w:eastAsia="Times New Roman" w:hAnsi="Arial" w:cs="Arial"/>
          <w:b/>
          <w:bCs/>
          <w:color w:val="94070A"/>
          <w:spacing w:val="-14"/>
          <w:sz w:val="80"/>
          <w:szCs w:val="80"/>
          <w:lang w:eastAsia="es-ES"/>
        </w:rPr>
        <w:t>l</w:t>
      </w:r>
      <w:bookmarkEnd w:id="181"/>
    </w:p>
    <w:p w14:paraId="70EEB173" w14:textId="460400B8" w:rsidR="004522FD" w:rsidRPr="00973028" w:rsidRDefault="004522FD" w:rsidP="004522FD">
      <w:pPr>
        <w:pStyle w:val="Prrafodelista"/>
        <w:spacing w:after="0" w:line="240" w:lineRule="auto"/>
        <w:ind w:left="0"/>
        <w:jc w:val="both"/>
        <w:rPr>
          <w:rFonts w:ascii="Arial" w:eastAsia="Times New Roman" w:hAnsi="Arial" w:cs="Arial"/>
          <w:b/>
          <w:bCs/>
          <w:color w:val="94070A"/>
          <w:spacing w:val="-14"/>
          <w:sz w:val="80"/>
          <w:szCs w:val="80"/>
          <w:lang w:eastAsia="es-ES"/>
        </w:rPr>
      </w:pPr>
    </w:p>
    <w:p w14:paraId="229C657E" w14:textId="77777777" w:rsidR="004522FD" w:rsidRPr="00973028" w:rsidRDefault="004522FD" w:rsidP="004522FD">
      <w:pPr>
        <w:pStyle w:val="Prrafodelista"/>
        <w:spacing w:after="0" w:line="240" w:lineRule="auto"/>
        <w:ind w:left="0"/>
        <w:jc w:val="both"/>
        <w:rPr>
          <w:rFonts w:ascii="Arial" w:eastAsia="Times New Roman" w:hAnsi="Arial" w:cs="Arial"/>
          <w:b/>
          <w:bCs/>
          <w:color w:val="94070A"/>
          <w:spacing w:val="-14"/>
          <w:sz w:val="80"/>
          <w:szCs w:val="80"/>
          <w:lang w:eastAsia="es-ES"/>
        </w:rPr>
      </w:pPr>
    </w:p>
    <w:p w14:paraId="2A1B72FD" w14:textId="1704C632" w:rsidR="00B9275E" w:rsidRPr="00973028" w:rsidRDefault="00B9275E" w:rsidP="00672ABA">
      <w:pPr>
        <w:pStyle w:val="Prrafodelista"/>
        <w:numPr>
          <w:ilvl w:val="1"/>
          <w:numId w:val="25"/>
        </w:numPr>
        <w:spacing w:before="360" w:after="240" w:line="276" w:lineRule="auto"/>
        <w:ind w:left="851" w:hanging="851"/>
        <w:jc w:val="both"/>
        <w:outlineLvl w:val="1"/>
        <w:rPr>
          <w:rFonts w:ascii="Arial" w:eastAsia="Times New Roman" w:hAnsi="Arial" w:cs="Arial"/>
          <w:b/>
          <w:color w:val="9D2235" w:themeColor="accent1"/>
          <w:spacing w:val="-14"/>
          <w:sz w:val="32"/>
          <w:szCs w:val="32"/>
          <w:lang w:eastAsia="es-ES"/>
        </w:rPr>
      </w:pPr>
      <w:bookmarkStart w:id="182" w:name="_Toc67646300"/>
      <w:r w:rsidRPr="00973028">
        <w:rPr>
          <w:rFonts w:ascii="Arial" w:eastAsia="Times New Roman" w:hAnsi="Arial" w:cs="Arial"/>
          <w:b/>
          <w:color w:val="9D2235" w:themeColor="accent1"/>
          <w:sz w:val="32"/>
          <w:szCs w:val="32"/>
        </w:rPr>
        <w:t>Introducción</w:t>
      </w:r>
      <w:bookmarkEnd w:id="182"/>
    </w:p>
    <w:p w14:paraId="65209D7B" w14:textId="14312CA2"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Bajo la dependencia directa de la persona titular de la Dirección General de la Agencia, corresponden a la unidad administrativa denominada Gabinete de Relaciones Institucionales, Participación y Comunicación las siguientes funciones:</w:t>
      </w:r>
    </w:p>
    <w:p w14:paraId="2F4671BE" w14:textId="77777777" w:rsidR="00B9275E" w:rsidRPr="00973028" w:rsidRDefault="00B9275E" w:rsidP="00D41D9E">
      <w:pPr>
        <w:pStyle w:val="Prrafodelista"/>
        <w:numPr>
          <w:ilvl w:val="0"/>
          <w:numId w:val="16"/>
        </w:numPr>
        <w:spacing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Mantener, impulsar y gestionar las relaciones institucionales con los órganos e instituciones de la Generalitat, del Estado y de las demás administraciones públicas.</w:t>
      </w:r>
    </w:p>
    <w:p w14:paraId="3C865BBE" w14:textId="77777777" w:rsidR="00B9275E" w:rsidRPr="00973028" w:rsidRDefault="00B9275E" w:rsidP="00D41D9E">
      <w:pPr>
        <w:pStyle w:val="Prrafodelista"/>
        <w:numPr>
          <w:ilvl w:val="0"/>
          <w:numId w:val="16"/>
        </w:numPr>
        <w:spacing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Desarrollar las políticas de comunicación externa e imagen institucional de la Agencia, y las relaciones informativas y con los medios de comunicación.</w:t>
      </w:r>
    </w:p>
    <w:p w14:paraId="097A5A13" w14:textId="77777777" w:rsidR="00B9275E" w:rsidRPr="00973028" w:rsidRDefault="00B9275E" w:rsidP="00D41D9E">
      <w:pPr>
        <w:pStyle w:val="Prrafodelista"/>
        <w:numPr>
          <w:ilvl w:val="0"/>
          <w:numId w:val="16"/>
        </w:numPr>
        <w:spacing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Elaborar, gestionar y analizar cualquier tipo de información y documentación sobre las materias propias de la Agencia.</w:t>
      </w:r>
    </w:p>
    <w:p w14:paraId="35DE3A68" w14:textId="77777777" w:rsidR="00B9275E" w:rsidRPr="00973028" w:rsidRDefault="00B9275E" w:rsidP="00D41D9E">
      <w:pPr>
        <w:pStyle w:val="Prrafodelista"/>
        <w:numPr>
          <w:ilvl w:val="0"/>
          <w:numId w:val="16"/>
        </w:numPr>
        <w:spacing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Proponer, preparar y elaborar los informes, estadísticas, publicaciones, estudios técnicos y memorias necesarios en relación con las funciones atribuidas a la Agencia.</w:t>
      </w:r>
    </w:p>
    <w:p w14:paraId="297387C4" w14:textId="77777777" w:rsidR="00B9275E" w:rsidRPr="00973028" w:rsidRDefault="00B9275E" w:rsidP="00D41D9E">
      <w:pPr>
        <w:pStyle w:val="Prrafodelista"/>
        <w:numPr>
          <w:ilvl w:val="0"/>
          <w:numId w:val="16"/>
        </w:numPr>
        <w:spacing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Proponer y tramitar las actuaciones de la Agencia relacionadas con la actividad parlamentaria.</w:t>
      </w:r>
    </w:p>
    <w:p w14:paraId="502C37D4" w14:textId="77777777" w:rsidR="00B9275E" w:rsidRPr="00973028" w:rsidRDefault="00B9275E" w:rsidP="00D41D9E">
      <w:pPr>
        <w:pStyle w:val="Prrafodelista"/>
        <w:numPr>
          <w:ilvl w:val="0"/>
          <w:numId w:val="16"/>
        </w:numPr>
        <w:spacing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Desarrollar programas específicos de sensibilización a la ciudadanía para fomentar la creación de una cultura social de rechazo de la corrupción.</w:t>
      </w:r>
    </w:p>
    <w:p w14:paraId="4B66A0BF" w14:textId="77777777" w:rsidR="00B9275E" w:rsidRPr="00973028" w:rsidRDefault="00B9275E" w:rsidP="00D41D9E">
      <w:pPr>
        <w:pStyle w:val="Prrafodelista"/>
        <w:numPr>
          <w:ilvl w:val="0"/>
          <w:numId w:val="16"/>
        </w:numPr>
        <w:spacing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Promover espacios de encuentro e intercambio con la sociedad civil y recoger sus aportaciones.</w:t>
      </w:r>
    </w:p>
    <w:p w14:paraId="3B31AC55" w14:textId="77777777" w:rsidR="00B9275E" w:rsidRPr="00973028" w:rsidRDefault="00B9275E" w:rsidP="00D41D9E">
      <w:pPr>
        <w:pStyle w:val="Prrafodelista"/>
        <w:numPr>
          <w:ilvl w:val="0"/>
          <w:numId w:val="16"/>
        </w:numPr>
        <w:spacing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Efectuar el seguimiento, evaluación del desarrollo y grado de cumplimiento de la normativa vigente en materia de igualdad entre mujeres y hombres en el ámbito de las actuaciones de la Agencia, incluida la utilización de un lenguaje no sexista y no </w:t>
      </w:r>
      <w:r w:rsidRPr="00973028">
        <w:rPr>
          <w:rFonts w:ascii="Arial" w:eastAsia="Times New Roman" w:hAnsi="Arial" w:cs="Arial"/>
          <w:sz w:val="21"/>
          <w:szCs w:val="21"/>
          <w:lang w:eastAsia="es-ES"/>
        </w:rPr>
        <w:lastRenderedPageBreak/>
        <w:t>discriminatorio y la transmisión de valores positivos e igualitarios en la publicidad institucional.</w:t>
      </w:r>
    </w:p>
    <w:p w14:paraId="7BAD16C3" w14:textId="77777777" w:rsidR="00B9275E" w:rsidRPr="00973028" w:rsidRDefault="00B9275E" w:rsidP="00D41D9E">
      <w:pPr>
        <w:pStyle w:val="Prrafodelista"/>
        <w:numPr>
          <w:ilvl w:val="0"/>
          <w:numId w:val="16"/>
        </w:numPr>
        <w:spacing w:after="24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Aquellas otras que se le asignen por la persona titular de la dirección.</w:t>
      </w:r>
    </w:p>
    <w:p w14:paraId="09AC6D71" w14:textId="77777777" w:rsidR="00B9275E" w:rsidRPr="00973028" w:rsidRDefault="00B9275E" w:rsidP="004522FD">
      <w:pPr>
        <w:spacing w:after="240" w:line="276" w:lineRule="auto"/>
        <w:jc w:val="both"/>
        <w:rPr>
          <w:rFonts w:ascii="Arial" w:hAnsi="Arial" w:cs="Arial"/>
          <w:sz w:val="21"/>
          <w:szCs w:val="21"/>
        </w:rPr>
      </w:pPr>
      <w:r w:rsidRPr="00973028">
        <w:rPr>
          <w:rFonts w:ascii="Arial" w:eastAsia="Times New Roman" w:hAnsi="Arial" w:cs="Arial"/>
          <w:sz w:val="21"/>
          <w:szCs w:val="21"/>
          <w:lang w:eastAsia="es-ES"/>
        </w:rPr>
        <w:t>Desde el Gabinete de Relaciones Institucionales, Comunicación y Participación se han realizado a lo largo de 2020 distintas actividades institucionales que se detallan en los epígrafes que a continuación se desarrollan.</w:t>
      </w:r>
    </w:p>
    <w:p w14:paraId="14160CD8" w14:textId="7FC68503" w:rsidR="00B9275E" w:rsidRPr="00973028" w:rsidRDefault="00B9275E" w:rsidP="00672ABA">
      <w:pPr>
        <w:pStyle w:val="Prrafodelista"/>
        <w:numPr>
          <w:ilvl w:val="1"/>
          <w:numId w:val="25"/>
        </w:numPr>
        <w:spacing w:before="360" w:after="240" w:line="276" w:lineRule="auto"/>
        <w:ind w:left="851" w:hanging="851"/>
        <w:jc w:val="both"/>
        <w:outlineLvl w:val="1"/>
        <w:rPr>
          <w:rFonts w:ascii="Arial" w:eastAsia="Times New Roman" w:hAnsi="Arial" w:cs="Arial"/>
          <w:b/>
          <w:color w:val="9D2235" w:themeColor="accent1"/>
          <w:sz w:val="32"/>
          <w:szCs w:val="32"/>
        </w:rPr>
      </w:pPr>
      <w:bookmarkStart w:id="183" w:name="_Toc67646301"/>
      <w:r w:rsidRPr="00973028">
        <w:rPr>
          <w:rFonts w:ascii="Arial" w:eastAsia="Times New Roman" w:hAnsi="Arial" w:cs="Arial"/>
          <w:b/>
          <w:color w:val="9D2235" w:themeColor="accent1"/>
          <w:sz w:val="32"/>
          <w:szCs w:val="32"/>
        </w:rPr>
        <w:t>Actos organizados</w:t>
      </w:r>
      <w:bookmarkEnd w:id="183"/>
    </w:p>
    <w:p w14:paraId="2EE7E48E" w14:textId="77777777"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A fin de difundir las actividades de la Agencia en el ámbito de la sociedad civil, se han desarrollado diversos actos, organizados por la propia Agencia, para sensibilizar a la ciudadanía en materia de lucha contra el fraude y la corrupción</w:t>
      </w:r>
    </w:p>
    <w:p w14:paraId="2B3F433A" w14:textId="77777777"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Por otro lado, se han puesto en marcha actividades de formación: unas, internas, dirigidas al personal de la Agencia y otras, externas, al conjunto de los empleados públicos (que se detallan en el apartado 2 de esta Memoria, correspondiente a la Dirección de Prevención, Formación y Documentación).</w:t>
      </w:r>
    </w:p>
    <w:p w14:paraId="51635714" w14:textId="7163F233" w:rsidR="00B9275E" w:rsidRPr="00973028" w:rsidRDefault="00B9275E" w:rsidP="004522FD">
      <w:pPr>
        <w:pStyle w:val="NormalWeb"/>
        <w:spacing w:after="240" w:line="276" w:lineRule="auto"/>
        <w:jc w:val="both"/>
        <w:rPr>
          <w:rFonts w:ascii="Arial" w:hAnsi="Arial" w:cs="Arial"/>
          <w:sz w:val="21"/>
          <w:szCs w:val="21"/>
        </w:rPr>
      </w:pPr>
      <w:r w:rsidRPr="00973028">
        <w:rPr>
          <w:rFonts w:ascii="Arial" w:hAnsi="Arial" w:cs="Arial"/>
          <w:sz w:val="21"/>
          <w:szCs w:val="21"/>
        </w:rPr>
        <w:t xml:space="preserve">En relación con las acciones dirigidas a la sociedad civil, y siguiendo la actividad iniciada en 2019 en torno a la difusión de la versión actualizada por la AVAF del documental </w:t>
      </w:r>
      <w:r w:rsidRPr="00973028">
        <w:rPr>
          <w:rStyle w:val="EnlacedeInternet"/>
          <w:rFonts w:ascii="Arial" w:hAnsi="Arial" w:cs="Arial"/>
          <w:sz w:val="21"/>
          <w:szCs w:val="21"/>
        </w:rPr>
        <w:t>“</w:t>
      </w:r>
      <w:hyperlink r:id="rId157" w:history="1">
        <w:r w:rsidRPr="00973028">
          <w:rPr>
            <w:rStyle w:val="Hipervnculo"/>
            <w:rFonts w:ascii="Arial" w:hAnsi="Arial" w:cs="Arial"/>
            <w:sz w:val="21"/>
            <w:szCs w:val="21"/>
          </w:rPr>
          <w:t>La corrupción: Organismo nocivo</w:t>
        </w:r>
      </w:hyperlink>
      <w:r w:rsidRPr="00973028">
        <w:rPr>
          <w:rStyle w:val="EnlacedeInternet"/>
          <w:rFonts w:ascii="Arial" w:hAnsi="Arial" w:cs="Arial"/>
          <w:sz w:val="21"/>
          <w:szCs w:val="21"/>
        </w:rPr>
        <w:t>”</w:t>
      </w:r>
      <w:r w:rsidRPr="00973028">
        <w:rPr>
          <w:rFonts w:ascii="Arial" w:hAnsi="Arial" w:cs="Arial"/>
          <w:sz w:val="21"/>
          <w:szCs w:val="21"/>
        </w:rPr>
        <w:t>, se continúa su difusión mediante la celebración de los siguientes actos:</w:t>
      </w:r>
    </w:p>
    <w:p w14:paraId="6B106844" w14:textId="77777777" w:rsidR="00B9275E" w:rsidRPr="00973028" w:rsidRDefault="00B9275E" w:rsidP="00D41D9E">
      <w:pPr>
        <w:pStyle w:val="NormalWeb"/>
        <w:numPr>
          <w:ilvl w:val="0"/>
          <w:numId w:val="23"/>
        </w:numPr>
        <w:spacing w:before="0" w:beforeAutospacing="0" w:after="120" w:line="276" w:lineRule="auto"/>
        <w:ind w:left="284" w:hanging="142"/>
        <w:jc w:val="both"/>
        <w:rPr>
          <w:rFonts w:ascii="Arial" w:hAnsi="Arial" w:cs="Arial"/>
          <w:sz w:val="21"/>
          <w:szCs w:val="21"/>
        </w:rPr>
      </w:pPr>
      <w:r w:rsidRPr="00973028">
        <w:rPr>
          <w:rFonts w:ascii="Arial" w:hAnsi="Arial" w:cs="Arial"/>
          <w:sz w:val="21"/>
          <w:szCs w:val="21"/>
        </w:rPr>
        <w:t>En la Universitat de València, Facultad de Derecho</w:t>
      </w:r>
    </w:p>
    <w:p w14:paraId="6F7CD5E9" w14:textId="77777777" w:rsidR="00B9275E" w:rsidRPr="00973028" w:rsidRDefault="00B9275E" w:rsidP="00D41D9E">
      <w:pPr>
        <w:pStyle w:val="NormalWeb"/>
        <w:numPr>
          <w:ilvl w:val="1"/>
          <w:numId w:val="23"/>
        </w:numPr>
        <w:spacing w:before="0" w:beforeAutospacing="0" w:after="120" w:line="276" w:lineRule="auto"/>
        <w:ind w:left="426" w:hanging="142"/>
        <w:jc w:val="both"/>
        <w:rPr>
          <w:rFonts w:ascii="Arial" w:hAnsi="Arial" w:cs="Arial"/>
          <w:sz w:val="21"/>
          <w:szCs w:val="21"/>
        </w:rPr>
      </w:pPr>
      <w:r w:rsidRPr="00973028">
        <w:rPr>
          <w:rFonts w:ascii="Arial" w:hAnsi="Arial" w:cs="Arial"/>
          <w:sz w:val="21"/>
          <w:szCs w:val="21"/>
        </w:rPr>
        <w:t>28 de febrero: Docufòrum “Una mirada al futuro, a la ejemplaridad y la transparencia: herramientas para prevenir la corrupción”, con la participación del director de la Agencia y de la directora de Prevención, Formación y Documentación.</w:t>
      </w:r>
    </w:p>
    <w:p w14:paraId="355C182B" w14:textId="2FA29AFF" w:rsidR="00B9275E" w:rsidRPr="00973028" w:rsidRDefault="00B9275E" w:rsidP="00D41D9E">
      <w:pPr>
        <w:pStyle w:val="NormalWeb"/>
        <w:numPr>
          <w:ilvl w:val="1"/>
          <w:numId w:val="23"/>
        </w:numPr>
        <w:spacing w:before="0" w:beforeAutospacing="0" w:after="120" w:line="276" w:lineRule="auto"/>
        <w:ind w:left="426" w:hanging="142"/>
        <w:jc w:val="both"/>
        <w:rPr>
          <w:rFonts w:ascii="Arial" w:hAnsi="Arial" w:cs="Arial"/>
          <w:sz w:val="21"/>
          <w:szCs w:val="21"/>
        </w:rPr>
      </w:pPr>
      <w:r w:rsidRPr="00973028">
        <w:rPr>
          <w:rFonts w:ascii="Arial" w:hAnsi="Arial" w:cs="Arial"/>
          <w:sz w:val="21"/>
          <w:szCs w:val="21"/>
        </w:rPr>
        <w:t>20 de noviembre: Docufòrum “La lucha antifraude en la Comunitat Valenciana”, con la participación del director de la Agencia y de Joan Romero, catedrático de Geografía Humana de la Universitat de València.</w:t>
      </w:r>
    </w:p>
    <w:p w14:paraId="2917E950" w14:textId="77777777" w:rsidR="00B9275E" w:rsidRPr="00973028" w:rsidRDefault="00B9275E" w:rsidP="00D41D9E">
      <w:pPr>
        <w:pStyle w:val="NormalWeb"/>
        <w:numPr>
          <w:ilvl w:val="0"/>
          <w:numId w:val="23"/>
        </w:numPr>
        <w:spacing w:before="0" w:beforeAutospacing="0" w:after="120" w:line="276" w:lineRule="auto"/>
        <w:ind w:left="284" w:hanging="142"/>
        <w:jc w:val="both"/>
        <w:rPr>
          <w:rFonts w:ascii="Arial" w:hAnsi="Arial" w:cs="Arial"/>
          <w:sz w:val="21"/>
          <w:szCs w:val="21"/>
        </w:rPr>
      </w:pPr>
      <w:r w:rsidRPr="00973028">
        <w:rPr>
          <w:rFonts w:ascii="Arial" w:hAnsi="Arial" w:cs="Arial"/>
          <w:sz w:val="21"/>
          <w:szCs w:val="21"/>
        </w:rPr>
        <w:t>En el marco del Festival Internacional de Cine y Derechos Humanos de Valencia – Humans Fest, iniciativa de Fundación por la Justicia, en colaboración con varias organizaciones del tercer sector de la ciudad de València, cuyo objetivo es sensibilizar y concienciar en materia de Derechos Humanos mediante el arte y la cultura:</w:t>
      </w:r>
    </w:p>
    <w:p w14:paraId="614906AE" w14:textId="66BC410C" w:rsidR="00B9275E" w:rsidRPr="00973028" w:rsidRDefault="00B9275E" w:rsidP="00D41D9E">
      <w:pPr>
        <w:pStyle w:val="NormalWeb"/>
        <w:numPr>
          <w:ilvl w:val="1"/>
          <w:numId w:val="23"/>
        </w:numPr>
        <w:spacing w:before="0" w:beforeAutospacing="0" w:after="240" w:line="276" w:lineRule="auto"/>
        <w:ind w:left="426" w:hanging="142"/>
        <w:jc w:val="both"/>
        <w:rPr>
          <w:rFonts w:ascii="Arial" w:hAnsi="Arial" w:cs="Arial"/>
          <w:sz w:val="21"/>
          <w:szCs w:val="21"/>
        </w:rPr>
      </w:pPr>
      <w:r w:rsidRPr="00973028">
        <w:rPr>
          <w:rFonts w:ascii="Arial" w:hAnsi="Arial" w:cs="Arial"/>
          <w:sz w:val="21"/>
          <w:szCs w:val="21"/>
        </w:rPr>
        <w:t>23 de febrero: Proyección y posterior mesa debate con la participación del director de la Agencia, la directora de Asuntos jurídicos, la Sra. Teresa Soler, guionista del documental y el Sr. Joaquim Bosch, magistrado.</w:t>
      </w:r>
    </w:p>
    <w:p w14:paraId="06CE0042" w14:textId="5F185089"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hAnsi="Arial" w:cs="Arial"/>
          <w:sz w:val="21"/>
          <w:szCs w:val="21"/>
        </w:rPr>
        <w:t xml:space="preserve">Asimismo, la firma del convenio </w:t>
      </w:r>
      <w:r w:rsidRPr="00973028">
        <w:rPr>
          <w:rFonts w:ascii="Arial" w:eastAsia="Times New Roman" w:hAnsi="Arial" w:cs="Arial"/>
          <w:sz w:val="21"/>
          <w:szCs w:val="21"/>
          <w:lang w:eastAsia="es-ES"/>
        </w:rPr>
        <w:t>de colaboración de la AVAF con la Universitat de València (ver epígrafe 5.4.1.) para el desarrollo del proyecto “Actividades formativas para el buen gobierno y la ciudadanía en el territorio valenciano” ha impulsado una serie de conferencias dentro del programa UNISOCIETAT, relacionadas con la lucha contra el fraude y la corrupción, en las que ha participado la Agencia.</w:t>
      </w:r>
    </w:p>
    <w:p w14:paraId="3AFF48DD" w14:textId="64CA1849"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lastRenderedPageBreak/>
        <w:t>El programa UNISOCIETAT, del Vicerrectorado de Proyección Territorial y Sociedad de la Universitat de València, pretende poner en valor entre la sociedad local la formación a lo largo de la vida, promover la solidaridad intergeneracional y estimular el debate y el intercambio de conocimientos mediante las aportaciones del personal docente e investigador de la Universi</w:t>
      </w:r>
      <w:r w:rsidR="00012862">
        <w:rPr>
          <w:rFonts w:ascii="Arial" w:eastAsia="Times New Roman" w:hAnsi="Arial" w:cs="Arial"/>
          <w:sz w:val="21"/>
          <w:szCs w:val="21"/>
          <w:lang w:eastAsia="es-ES"/>
        </w:rPr>
        <w:t>t</w:t>
      </w:r>
      <w:r w:rsidRPr="00973028">
        <w:rPr>
          <w:rFonts w:ascii="Arial" w:eastAsia="Times New Roman" w:hAnsi="Arial" w:cs="Arial"/>
          <w:sz w:val="21"/>
          <w:szCs w:val="21"/>
          <w:lang w:eastAsia="es-ES"/>
        </w:rPr>
        <w:t>a</w:t>
      </w:r>
      <w:r w:rsidR="00012862">
        <w:rPr>
          <w:rFonts w:ascii="Arial" w:eastAsia="Times New Roman" w:hAnsi="Arial" w:cs="Arial"/>
          <w:sz w:val="21"/>
          <w:szCs w:val="21"/>
          <w:lang w:eastAsia="es-ES"/>
        </w:rPr>
        <w:t>t</w:t>
      </w:r>
      <w:r w:rsidRPr="00973028">
        <w:rPr>
          <w:rFonts w:ascii="Arial" w:eastAsia="Times New Roman" w:hAnsi="Arial" w:cs="Arial"/>
          <w:sz w:val="21"/>
          <w:szCs w:val="21"/>
          <w:lang w:eastAsia="es-ES"/>
        </w:rPr>
        <w:t xml:space="preserve"> de València. </w:t>
      </w:r>
    </w:p>
    <w:p w14:paraId="50713A31" w14:textId="4DB7A3B8" w:rsidR="00B9275E" w:rsidRPr="00973028" w:rsidRDefault="00B9275E" w:rsidP="004522FD">
      <w:pPr>
        <w:spacing w:after="240" w:line="276" w:lineRule="auto"/>
        <w:jc w:val="both"/>
        <w:rPr>
          <w:rFonts w:ascii="Arial" w:hAnsi="Arial" w:cs="Arial"/>
          <w:sz w:val="21"/>
          <w:szCs w:val="21"/>
        </w:rPr>
      </w:pPr>
      <w:r w:rsidRPr="00973028">
        <w:rPr>
          <w:rFonts w:ascii="Arial" w:eastAsia="Times New Roman" w:hAnsi="Arial" w:cs="Arial"/>
          <w:sz w:val="21"/>
          <w:szCs w:val="21"/>
          <w:lang w:eastAsia="es-ES"/>
        </w:rPr>
        <w:t>Este programa se nutre de conferencias abiertas al público en general, que abordan temas muy variados y de actualidad relacionados con la economía, sociedad, cultura, salud, medio ambiente, educación, historia, etc. que puedan resultar de especial interés para la ciudadanía.</w:t>
      </w:r>
    </w:p>
    <w:p w14:paraId="79DB20D4" w14:textId="1910A9E8"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Las conferencias patrocinadas por la Agencia se han desarrollado durante los meses de octubre a diciembre de 2020 en las sedes de la universidad en Alzira, Benetússer, Bétera, Cullera, Gandia, l’Eliana, Massamagrell, Ontinyent, Paterna, Quart de Poblet, Requena y Riba-roja de Túria.</w:t>
      </w:r>
    </w:p>
    <w:p w14:paraId="747F18DD" w14:textId="5401A559" w:rsidR="00B9275E" w:rsidRPr="00973028" w:rsidRDefault="00B9275E" w:rsidP="004522FD">
      <w:pPr>
        <w:spacing w:after="240" w:line="276" w:lineRule="auto"/>
        <w:jc w:val="both"/>
        <w:rPr>
          <w:rFonts w:ascii="Arial" w:hAnsi="Arial" w:cs="Arial"/>
          <w:sz w:val="21"/>
          <w:szCs w:val="21"/>
        </w:rPr>
      </w:pPr>
      <w:r w:rsidRPr="000C746A">
        <w:rPr>
          <w:rFonts w:ascii="Arial" w:eastAsia="Times New Roman" w:hAnsi="Arial" w:cs="Arial"/>
          <w:sz w:val="21"/>
          <w:szCs w:val="21"/>
          <w:lang w:eastAsia="es-ES"/>
        </w:rPr>
        <w:t xml:space="preserve">La </w:t>
      </w:r>
      <w:r w:rsidR="00466344" w:rsidRPr="000C746A">
        <w:rPr>
          <w:rFonts w:ascii="Arial" w:eastAsia="Times New Roman" w:hAnsi="Arial" w:cs="Arial"/>
          <w:sz w:val="21"/>
          <w:szCs w:val="21"/>
          <w:lang w:eastAsia="es-ES"/>
        </w:rPr>
        <w:t>D</w:t>
      </w:r>
      <w:r w:rsidRPr="000C746A">
        <w:rPr>
          <w:rFonts w:ascii="Arial" w:eastAsia="Times New Roman" w:hAnsi="Arial" w:cs="Arial"/>
          <w:sz w:val="21"/>
          <w:szCs w:val="21"/>
          <w:lang w:eastAsia="es-ES"/>
        </w:rPr>
        <w:t>irección de Prevención</w:t>
      </w:r>
      <w:r w:rsidRPr="00973028">
        <w:rPr>
          <w:rFonts w:ascii="Arial" w:eastAsia="Times New Roman" w:hAnsi="Arial" w:cs="Arial"/>
          <w:sz w:val="21"/>
          <w:szCs w:val="21"/>
          <w:lang w:eastAsia="es-ES"/>
        </w:rPr>
        <w:t xml:space="preserve">, Formación y Documentación ha sido la encargada de presentar estas conferencias, algunas de las cuales han tenido que realizarse de manera virtual debido a la situación de emergencia sanitaria producida por la Covid-19. </w:t>
      </w:r>
    </w:p>
    <w:p w14:paraId="041ED5E5" w14:textId="18229934" w:rsidR="00B9275E" w:rsidRPr="00973028" w:rsidRDefault="00B9275E" w:rsidP="004522FD">
      <w:pPr>
        <w:spacing w:after="240" w:line="276" w:lineRule="auto"/>
        <w:jc w:val="both"/>
        <w:rPr>
          <w:rFonts w:ascii="Arial" w:hAnsi="Arial" w:cs="Arial"/>
          <w:sz w:val="21"/>
          <w:szCs w:val="21"/>
        </w:rPr>
      </w:pPr>
      <w:r w:rsidRPr="00973028">
        <w:rPr>
          <w:rFonts w:ascii="Arial" w:eastAsia="Times New Roman" w:hAnsi="Arial" w:cs="Arial"/>
          <w:sz w:val="21"/>
          <w:szCs w:val="21"/>
          <w:lang w:eastAsia="es-ES"/>
        </w:rPr>
        <w:t>No fue el caso de la conferencia celebrada el día 24 de noviembre, en la sede de Alzira, titulada “¿Es la justicia igual para tod@s? Prevención y castigo de la corrupción”, que fue presentada por el director de la Agencia y en la que las medidas de seguridad y un aforo reducido permitieron un encuentro presencial. La ponencia estuvo a cargo del profesor José Luis González Cussac, del Departamento de Derecho Penal de la Universitat de València.</w:t>
      </w:r>
    </w:p>
    <w:p w14:paraId="5DAB60ED" w14:textId="6A779A1B" w:rsidR="00B9275E" w:rsidRPr="00973028" w:rsidRDefault="00B9275E" w:rsidP="00672ABA">
      <w:pPr>
        <w:pStyle w:val="Prrafodelista"/>
        <w:numPr>
          <w:ilvl w:val="2"/>
          <w:numId w:val="25"/>
        </w:numPr>
        <w:spacing w:before="360" w:after="240" w:line="276" w:lineRule="auto"/>
        <w:ind w:left="1134" w:hanging="1134"/>
        <w:jc w:val="both"/>
        <w:outlineLvl w:val="2"/>
        <w:rPr>
          <w:rFonts w:ascii="Arial" w:eastAsia="Times New Roman" w:hAnsi="Arial" w:cs="Arial"/>
          <w:b/>
          <w:color w:val="9D2235" w:themeColor="accent1"/>
          <w:sz w:val="28"/>
          <w:szCs w:val="28"/>
        </w:rPr>
      </w:pPr>
      <w:bookmarkStart w:id="184" w:name="_Toc67646302"/>
      <w:r w:rsidRPr="00973028">
        <w:rPr>
          <w:rFonts w:ascii="Arial" w:eastAsia="Times New Roman" w:hAnsi="Arial" w:cs="Arial"/>
          <w:b/>
          <w:color w:val="9D2235" w:themeColor="accent1"/>
          <w:sz w:val="28"/>
          <w:szCs w:val="28"/>
        </w:rPr>
        <w:t>Consejo de Participación</w:t>
      </w:r>
      <w:r w:rsidR="00AE0A6E" w:rsidRPr="00973028">
        <w:rPr>
          <w:rFonts w:ascii="Arial" w:eastAsia="Times New Roman" w:hAnsi="Arial" w:cs="Arial"/>
          <w:b/>
          <w:color w:val="9D2235" w:themeColor="accent1"/>
          <w:sz w:val="28"/>
          <w:szCs w:val="28"/>
        </w:rPr>
        <w:t xml:space="preserve"> </w:t>
      </w:r>
      <w:r w:rsidRPr="00973028">
        <w:rPr>
          <w:rFonts w:ascii="Arial" w:eastAsia="Times New Roman" w:hAnsi="Arial" w:cs="Arial"/>
          <w:b/>
          <w:color w:val="9D2235" w:themeColor="accent1"/>
          <w:sz w:val="28"/>
          <w:szCs w:val="28"/>
        </w:rPr>
        <w:t>de la Agencia Valenciana Antifraude</w:t>
      </w:r>
      <w:bookmarkStart w:id="185" w:name="_Hlk48734859"/>
      <w:bookmarkEnd w:id="184"/>
      <w:bookmarkEnd w:id="185"/>
    </w:p>
    <w:p w14:paraId="5B18D0B2" w14:textId="30F18D1C" w:rsidR="00B9275E" w:rsidRPr="00973028" w:rsidRDefault="00B9275E" w:rsidP="004522FD">
      <w:pPr>
        <w:spacing w:after="240" w:line="276" w:lineRule="auto"/>
        <w:jc w:val="both"/>
        <w:rPr>
          <w:rFonts w:ascii="Arial" w:hAnsi="Arial" w:cs="Arial"/>
          <w:sz w:val="21"/>
          <w:szCs w:val="21"/>
        </w:rPr>
      </w:pPr>
      <w:r w:rsidRPr="00973028">
        <w:rPr>
          <w:rFonts w:ascii="Arial" w:eastAsia="Times New Roman" w:hAnsi="Arial" w:cs="Arial"/>
          <w:color w:val="000000"/>
          <w:sz w:val="21"/>
          <w:szCs w:val="21"/>
          <w:lang w:eastAsia="es-ES"/>
        </w:rPr>
        <w:t xml:space="preserve">Por </w:t>
      </w:r>
      <w:hyperlink r:id="rId158">
        <w:r w:rsidRPr="00973028">
          <w:rPr>
            <w:rStyle w:val="EnlacedeInternet"/>
            <w:rFonts w:ascii="Arial" w:eastAsia="Times New Roman" w:hAnsi="Arial" w:cs="Arial"/>
            <w:sz w:val="21"/>
            <w:szCs w:val="21"/>
            <w:lang w:eastAsia="es-ES"/>
          </w:rPr>
          <w:t>Resolución de 12 de febrero de 2019, del director de la Agencia</w:t>
        </w:r>
      </w:hyperlink>
      <w:r w:rsidRPr="00973028">
        <w:rPr>
          <w:rFonts w:ascii="Arial" w:eastAsia="Times New Roman" w:hAnsi="Arial" w:cs="Arial"/>
          <w:color w:val="000000"/>
          <w:sz w:val="21"/>
          <w:szCs w:val="21"/>
          <w:lang w:eastAsia="es-ES"/>
        </w:rPr>
        <w:t xml:space="preserve">, publicada en el DOGV número 346 de 22 de febrero de 2019,  se crea el </w:t>
      </w:r>
      <w:hyperlink r:id="rId159">
        <w:r w:rsidRPr="00973028">
          <w:rPr>
            <w:rStyle w:val="EnlacedeInternet"/>
            <w:rFonts w:ascii="Arial" w:eastAsia="Times New Roman" w:hAnsi="Arial" w:cs="Arial"/>
            <w:sz w:val="21"/>
            <w:szCs w:val="21"/>
            <w:lang w:eastAsia="es-ES"/>
          </w:rPr>
          <w:t>Consejo de Participación de la Agencia de Prevención y Lucha contra el Fraude y la Corrupción de la Comunitat Valenciana</w:t>
        </w:r>
      </w:hyperlink>
      <w:r w:rsidRPr="00973028">
        <w:rPr>
          <w:rFonts w:ascii="Arial" w:eastAsia="Times New Roman" w:hAnsi="Arial" w:cs="Arial"/>
          <w:color w:val="000000"/>
          <w:sz w:val="21"/>
          <w:szCs w:val="21"/>
          <w:lang w:eastAsia="es-ES"/>
        </w:rPr>
        <w:t>, que se reunió en sesión constitutiva el 4 de octubre de 2019 en Val</w:t>
      </w:r>
      <w:r w:rsidR="00D13AB4">
        <w:rPr>
          <w:rFonts w:ascii="Arial" w:eastAsia="Times New Roman" w:hAnsi="Arial" w:cs="Arial"/>
          <w:color w:val="000000"/>
          <w:sz w:val="21"/>
          <w:szCs w:val="21"/>
          <w:lang w:eastAsia="es-ES"/>
        </w:rPr>
        <w:t>è</w:t>
      </w:r>
      <w:r w:rsidRPr="00973028">
        <w:rPr>
          <w:rFonts w:ascii="Arial" w:eastAsia="Times New Roman" w:hAnsi="Arial" w:cs="Arial"/>
          <w:color w:val="000000"/>
          <w:sz w:val="21"/>
          <w:szCs w:val="21"/>
          <w:lang w:eastAsia="es-ES"/>
        </w:rPr>
        <w:t xml:space="preserve">ncia. </w:t>
      </w:r>
    </w:p>
    <w:p w14:paraId="5E8AC31C" w14:textId="7311B340" w:rsidR="00B9275E" w:rsidRPr="00973028" w:rsidRDefault="00B9275E" w:rsidP="004522FD">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Este Consejo se configura como órgano asesor y de consulta para la participación de la sociedad civil y de personas expertas dentro del ámbito de la prevención y lucha contra el fraude y la corrupción, la transparencia en la actividad pública y la calidad democrática, en aras al mejor cumplimiento de las funciones y finalidades de esta Agencia. Su objetivo es impulsar la vinculación de la Agencia con la sociedad civil y la ciudadanía facilitando su comunicación y relación.</w:t>
      </w:r>
    </w:p>
    <w:p w14:paraId="2693E65A" w14:textId="09169829" w:rsidR="00B9275E" w:rsidRPr="00973028" w:rsidRDefault="00B9275E" w:rsidP="004522FD">
      <w:pPr>
        <w:spacing w:after="240" w:line="276" w:lineRule="auto"/>
        <w:jc w:val="both"/>
        <w:rPr>
          <w:rFonts w:ascii="Arial" w:hAnsi="Arial" w:cs="Arial"/>
          <w:sz w:val="21"/>
          <w:szCs w:val="21"/>
        </w:rPr>
      </w:pPr>
      <w:r w:rsidRPr="00973028">
        <w:rPr>
          <w:rFonts w:ascii="Arial" w:eastAsia="Times New Roman" w:hAnsi="Arial" w:cs="Arial"/>
          <w:color w:val="000000"/>
          <w:sz w:val="21"/>
          <w:szCs w:val="21"/>
          <w:lang w:eastAsia="es-ES"/>
        </w:rPr>
        <w:t xml:space="preserve">El Consejo de Participación, se encuentra regulado en el título IV (artículos 24 a 26),  del </w:t>
      </w:r>
      <w:hyperlink r:id="rId160">
        <w:r w:rsidRPr="00973028">
          <w:rPr>
            <w:rStyle w:val="EnlacedeInternet"/>
            <w:rFonts w:ascii="Arial" w:eastAsia="Times New Roman" w:hAnsi="Arial" w:cs="Arial"/>
            <w:sz w:val="21"/>
            <w:szCs w:val="21"/>
            <w:lang w:eastAsia="es-ES"/>
          </w:rPr>
          <w:t>Reglamento de funcionamiento y régimen interior</w:t>
        </w:r>
      </w:hyperlink>
      <w:r w:rsidRPr="00973028">
        <w:rPr>
          <w:rFonts w:ascii="Arial" w:eastAsia="Times New Roman" w:hAnsi="Arial" w:cs="Arial"/>
          <w:color w:val="000000"/>
          <w:sz w:val="21"/>
          <w:szCs w:val="21"/>
          <w:lang w:eastAsia="es-ES"/>
        </w:rPr>
        <w:t xml:space="preserve"> de la Agencia, de 27 de junio 2019.</w:t>
      </w:r>
    </w:p>
    <w:p w14:paraId="6F396666" w14:textId="42D824C0" w:rsidR="00B9275E" w:rsidRPr="00973028" w:rsidRDefault="00B9275E" w:rsidP="004522FD">
      <w:pPr>
        <w:spacing w:after="240" w:line="276" w:lineRule="auto"/>
        <w:jc w:val="both"/>
        <w:rPr>
          <w:rFonts w:ascii="Arial" w:hAnsi="Arial" w:cs="Arial"/>
          <w:sz w:val="21"/>
          <w:szCs w:val="21"/>
        </w:rPr>
      </w:pPr>
      <w:r w:rsidRPr="00973028">
        <w:rPr>
          <w:rFonts w:ascii="Arial" w:hAnsi="Arial" w:cs="Arial"/>
          <w:sz w:val="21"/>
          <w:szCs w:val="21"/>
        </w:rPr>
        <w:lastRenderedPageBreak/>
        <w:t xml:space="preserve">En cumplimiento del art. 26.2, de funcionamiento, el Consejo se ha reunido dos veces en el año 2020 aunque, dada la situación de crisis sanitaria actual, las reuniones se celebraron de manera virtual. </w:t>
      </w:r>
    </w:p>
    <w:p w14:paraId="73F74324" w14:textId="7906BB01" w:rsidR="00B9275E" w:rsidRPr="00973028" w:rsidRDefault="00B9275E" w:rsidP="004522FD">
      <w:pPr>
        <w:pStyle w:val="NormalWeb"/>
        <w:spacing w:after="240" w:line="276" w:lineRule="auto"/>
        <w:jc w:val="both"/>
        <w:rPr>
          <w:rFonts w:ascii="Arial" w:hAnsi="Arial" w:cs="Arial"/>
          <w:sz w:val="21"/>
          <w:szCs w:val="21"/>
        </w:rPr>
      </w:pPr>
      <w:r w:rsidRPr="00973028">
        <w:rPr>
          <w:rFonts w:ascii="Arial" w:hAnsi="Arial" w:cs="Arial"/>
          <w:sz w:val="21"/>
          <w:szCs w:val="21"/>
        </w:rPr>
        <w:t>La</w:t>
      </w:r>
      <w:r w:rsidRPr="00973028">
        <w:rPr>
          <w:rFonts w:ascii="Arial" w:hAnsi="Arial" w:cs="Arial"/>
          <w:b/>
          <w:sz w:val="21"/>
          <w:szCs w:val="21"/>
        </w:rPr>
        <w:t xml:space="preserve"> II REUNIÓN DEL CONSEJO DE PARTICIPACIÓN</w:t>
      </w:r>
      <w:r w:rsidRPr="00973028">
        <w:rPr>
          <w:rFonts w:ascii="Arial" w:hAnsi="Arial" w:cs="Arial"/>
          <w:sz w:val="21"/>
          <w:szCs w:val="21"/>
        </w:rPr>
        <w:t xml:space="preserve"> tuvo lugar el martes 30 de junio y contó con el siguiente orden del día:</w:t>
      </w:r>
    </w:p>
    <w:p w14:paraId="6FD7A354" w14:textId="77777777" w:rsidR="00B9275E" w:rsidRPr="00973028" w:rsidRDefault="00B9275E" w:rsidP="00672ABA">
      <w:pPr>
        <w:pStyle w:val="NormalWeb"/>
        <w:numPr>
          <w:ilvl w:val="3"/>
          <w:numId w:val="16"/>
        </w:numPr>
        <w:spacing w:before="0" w:beforeAutospacing="0" w:after="240" w:line="276" w:lineRule="auto"/>
        <w:ind w:left="851"/>
        <w:jc w:val="both"/>
        <w:rPr>
          <w:rFonts w:ascii="Arial" w:hAnsi="Arial" w:cs="Arial"/>
          <w:sz w:val="21"/>
          <w:szCs w:val="21"/>
        </w:rPr>
      </w:pPr>
      <w:r w:rsidRPr="00973028">
        <w:rPr>
          <w:rFonts w:ascii="Arial" w:hAnsi="Arial" w:cs="Arial"/>
          <w:sz w:val="21"/>
          <w:szCs w:val="21"/>
        </w:rPr>
        <w:t>Presentación de la Memoria 2019: sugerencias y propuestas.</w:t>
      </w:r>
    </w:p>
    <w:p w14:paraId="3EA1B30B" w14:textId="77777777" w:rsidR="00B9275E" w:rsidRPr="00973028" w:rsidRDefault="00B9275E" w:rsidP="00672ABA">
      <w:pPr>
        <w:pStyle w:val="NormalWeb"/>
        <w:numPr>
          <w:ilvl w:val="3"/>
          <w:numId w:val="16"/>
        </w:numPr>
        <w:spacing w:before="0" w:beforeAutospacing="0" w:after="240" w:line="276" w:lineRule="auto"/>
        <w:ind w:left="851"/>
        <w:jc w:val="both"/>
        <w:rPr>
          <w:rFonts w:ascii="Arial" w:hAnsi="Arial" w:cs="Arial"/>
          <w:sz w:val="21"/>
          <w:szCs w:val="21"/>
        </w:rPr>
      </w:pPr>
      <w:r w:rsidRPr="00973028">
        <w:rPr>
          <w:rFonts w:ascii="Arial" w:hAnsi="Arial" w:cs="Arial"/>
          <w:sz w:val="21"/>
          <w:szCs w:val="21"/>
        </w:rPr>
        <w:t>Informe de las conclusiones de la primera reunión de los grupos de trabajo creados en la sesión constitutiva de 2019: GR1 Prevención y Educación (reunido el 11 de junio) y GR2 Protección del denunciante (reunido el 14 de mayo).</w:t>
      </w:r>
    </w:p>
    <w:p w14:paraId="7EDCE1E5" w14:textId="040AE1C0" w:rsidR="00B9275E" w:rsidRPr="00973028" w:rsidRDefault="00B9275E" w:rsidP="00672ABA">
      <w:pPr>
        <w:pStyle w:val="NormalWeb"/>
        <w:numPr>
          <w:ilvl w:val="3"/>
          <w:numId w:val="16"/>
        </w:numPr>
        <w:spacing w:before="0" w:beforeAutospacing="0" w:after="240" w:line="276" w:lineRule="auto"/>
        <w:ind w:left="851"/>
        <w:jc w:val="both"/>
        <w:rPr>
          <w:rFonts w:ascii="Arial" w:hAnsi="Arial" w:cs="Arial"/>
          <w:sz w:val="21"/>
          <w:szCs w:val="21"/>
        </w:rPr>
      </w:pPr>
      <w:r w:rsidRPr="00973028">
        <w:rPr>
          <w:rFonts w:ascii="Arial" w:hAnsi="Arial" w:cs="Arial"/>
          <w:sz w:val="21"/>
          <w:szCs w:val="21"/>
        </w:rPr>
        <w:t>Reflexiones sobre la Directiva (UE) 2019/1937, relativa a la protección de las personas que informen sobre infracciones del Derecho de la Unión y transposición al ordenamiento jurídico.</w:t>
      </w:r>
    </w:p>
    <w:p w14:paraId="430D3FB3" w14:textId="77777777" w:rsidR="00A52EF7" w:rsidRPr="00973028" w:rsidRDefault="00B9275E" w:rsidP="00D41D9E">
      <w:pPr>
        <w:keepNext/>
        <w:spacing w:after="240" w:line="276" w:lineRule="auto"/>
        <w:jc w:val="center"/>
      </w:pPr>
      <w:r w:rsidRPr="00973028">
        <w:rPr>
          <w:rFonts w:ascii="Arial" w:hAnsi="Arial" w:cs="Arial"/>
          <w:noProof/>
          <w:sz w:val="21"/>
          <w:szCs w:val="21"/>
        </w:rPr>
        <w:drawing>
          <wp:inline distT="0" distB="0" distL="0" distR="0" wp14:anchorId="36D86EB9" wp14:editId="359C0E66">
            <wp:extent cx="5341935" cy="2613804"/>
            <wp:effectExtent l="0" t="0" r="0" b="0"/>
            <wp:docPr id="29" name="Imagen 4" descr="Foto_II_Consell_Participació_red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descr="Foto_II_Consell_Participació_redux"/>
                    <pic:cNvPicPr>
                      <a:picLocks noChangeAspect="1" noChangeArrowheads="1"/>
                    </pic:cNvPicPr>
                  </pic:nvPicPr>
                  <pic:blipFill>
                    <a:blip r:embed="rId161"/>
                    <a:stretch>
                      <a:fillRect/>
                    </a:stretch>
                  </pic:blipFill>
                  <pic:spPr bwMode="auto">
                    <a:xfrm>
                      <a:off x="0" y="0"/>
                      <a:ext cx="5355916" cy="2620645"/>
                    </a:xfrm>
                    <a:prstGeom prst="rect">
                      <a:avLst/>
                    </a:prstGeom>
                  </pic:spPr>
                </pic:pic>
              </a:graphicData>
            </a:graphic>
          </wp:inline>
        </w:drawing>
      </w:r>
    </w:p>
    <w:p w14:paraId="0FB65507" w14:textId="66C2A491" w:rsidR="00B9275E" w:rsidRPr="00973028" w:rsidRDefault="00A52EF7" w:rsidP="00A52EF7">
      <w:pPr>
        <w:pStyle w:val="Descripcin"/>
        <w:jc w:val="center"/>
        <w:rPr>
          <w:rFonts w:ascii="Arial" w:eastAsia="Times New Roman" w:hAnsi="Arial" w:cs="Arial"/>
          <w:smallCaps w:val="0"/>
          <w:sz w:val="16"/>
          <w:szCs w:val="20"/>
          <w:lang w:eastAsia="es-ES"/>
        </w:rPr>
      </w:pPr>
      <w:bookmarkStart w:id="186" w:name="_Toc67659166"/>
      <w:r w:rsidRPr="00973028">
        <w:rPr>
          <w:rFonts w:ascii="Arial" w:hAnsi="Arial" w:cs="Arial"/>
          <w:smallCaps w:val="0"/>
          <w:color w:val="9D2235" w:themeColor="accent1"/>
          <w:sz w:val="16"/>
          <w:szCs w:val="20"/>
        </w:rPr>
        <w:t xml:space="preserve">Imagen </w:t>
      </w:r>
      <w:r w:rsidRPr="00973028">
        <w:rPr>
          <w:rFonts w:ascii="Arial" w:hAnsi="Arial" w:cs="Arial"/>
          <w:smallCaps w:val="0"/>
          <w:color w:val="9D2235" w:themeColor="accent1"/>
          <w:sz w:val="16"/>
          <w:szCs w:val="20"/>
        </w:rPr>
        <w:fldChar w:fldCharType="begin"/>
      </w:r>
      <w:r w:rsidRPr="00973028">
        <w:rPr>
          <w:rFonts w:ascii="Arial" w:hAnsi="Arial" w:cs="Arial"/>
          <w:smallCaps w:val="0"/>
          <w:color w:val="9D2235" w:themeColor="accent1"/>
          <w:sz w:val="16"/>
          <w:szCs w:val="20"/>
        </w:rPr>
        <w:instrText xml:space="preserve"> SEQ Imagen \* ARABIC </w:instrText>
      </w:r>
      <w:r w:rsidRPr="00973028">
        <w:rPr>
          <w:rFonts w:ascii="Arial" w:hAnsi="Arial" w:cs="Arial"/>
          <w:smallCaps w:val="0"/>
          <w:color w:val="9D2235" w:themeColor="accent1"/>
          <w:sz w:val="16"/>
          <w:szCs w:val="20"/>
        </w:rPr>
        <w:fldChar w:fldCharType="separate"/>
      </w:r>
      <w:r w:rsidR="00096F00">
        <w:rPr>
          <w:rFonts w:ascii="Arial" w:hAnsi="Arial" w:cs="Arial"/>
          <w:smallCaps w:val="0"/>
          <w:noProof/>
          <w:color w:val="9D2235" w:themeColor="accent1"/>
          <w:sz w:val="16"/>
          <w:szCs w:val="20"/>
        </w:rPr>
        <w:t>5</w:t>
      </w:r>
      <w:r w:rsidRPr="00973028">
        <w:rPr>
          <w:rFonts w:ascii="Arial" w:hAnsi="Arial" w:cs="Arial"/>
          <w:smallCaps w:val="0"/>
          <w:color w:val="9D2235" w:themeColor="accent1"/>
          <w:sz w:val="16"/>
          <w:szCs w:val="20"/>
        </w:rPr>
        <w:fldChar w:fldCharType="end"/>
      </w:r>
      <w:r w:rsidR="00B00F7A">
        <w:rPr>
          <w:rFonts w:ascii="Arial" w:hAnsi="Arial" w:cs="Arial"/>
          <w:smallCaps w:val="0"/>
          <w:color w:val="9D2235" w:themeColor="accent1"/>
          <w:sz w:val="16"/>
          <w:szCs w:val="20"/>
        </w:rPr>
        <w:t>.</w:t>
      </w:r>
      <w:r w:rsidRPr="00973028">
        <w:rPr>
          <w:rFonts w:ascii="Arial" w:hAnsi="Arial" w:cs="Arial"/>
          <w:smallCaps w:val="0"/>
          <w:color w:val="9D2235" w:themeColor="accent1"/>
          <w:sz w:val="16"/>
          <w:szCs w:val="20"/>
        </w:rPr>
        <w:t xml:space="preserve"> </w:t>
      </w:r>
      <w:r w:rsidRPr="00973028">
        <w:rPr>
          <w:rFonts w:ascii="Arial" w:hAnsi="Arial" w:cs="Arial"/>
          <w:smallCaps w:val="0"/>
          <w:sz w:val="16"/>
          <w:szCs w:val="20"/>
        </w:rPr>
        <w:t xml:space="preserve">II </w:t>
      </w:r>
      <w:r w:rsidR="004B7EE2" w:rsidRPr="00973028">
        <w:rPr>
          <w:rFonts w:ascii="Arial" w:hAnsi="Arial" w:cs="Arial"/>
          <w:smallCaps w:val="0"/>
          <w:sz w:val="16"/>
          <w:szCs w:val="20"/>
        </w:rPr>
        <w:t>Reunión del Consejo de Participación</w:t>
      </w:r>
      <w:r w:rsidRPr="00973028">
        <w:rPr>
          <w:rFonts w:ascii="Arial" w:hAnsi="Arial" w:cs="Arial"/>
          <w:smallCaps w:val="0"/>
          <w:sz w:val="16"/>
          <w:szCs w:val="20"/>
        </w:rPr>
        <w:t>.</w:t>
      </w:r>
      <w:bookmarkEnd w:id="186"/>
    </w:p>
    <w:p w14:paraId="2A6026D7" w14:textId="77777777" w:rsidR="00A52EF7" w:rsidRPr="00973028" w:rsidRDefault="00A52EF7" w:rsidP="004522FD">
      <w:pPr>
        <w:spacing w:after="240" w:line="276" w:lineRule="auto"/>
        <w:jc w:val="both"/>
        <w:rPr>
          <w:rFonts w:ascii="Arial" w:eastAsia="Times New Roman" w:hAnsi="Arial" w:cs="Arial"/>
          <w:smallCaps/>
          <w:sz w:val="21"/>
          <w:szCs w:val="21"/>
          <w:lang w:eastAsia="es-ES"/>
        </w:rPr>
      </w:pPr>
    </w:p>
    <w:p w14:paraId="33932AD9" w14:textId="01D3775D" w:rsidR="00C615F5" w:rsidRDefault="00B9275E" w:rsidP="004522FD">
      <w:pPr>
        <w:spacing w:after="240" w:line="276" w:lineRule="auto"/>
        <w:jc w:val="both"/>
        <w:rPr>
          <w:rFonts w:ascii="Arial" w:eastAsia="Times New Roman" w:hAnsi="Arial" w:cs="Arial"/>
          <w:smallCaps/>
          <w:sz w:val="21"/>
          <w:szCs w:val="21"/>
          <w:lang w:eastAsia="es-ES"/>
        </w:rPr>
      </w:pPr>
      <w:r w:rsidRPr="00973028">
        <w:rPr>
          <w:rFonts w:ascii="Arial" w:eastAsia="Times New Roman" w:hAnsi="Arial" w:cs="Arial"/>
          <w:smallCaps/>
          <w:sz w:val="21"/>
          <w:szCs w:val="21"/>
          <w:lang w:eastAsia="es-ES"/>
        </w:rPr>
        <w:t>Enlace a la nota de prensa</w:t>
      </w:r>
      <w:r w:rsidR="00C615F5">
        <w:rPr>
          <w:rFonts w:ascii="Arial" w:eastAsia="Times New Roman" w:hAnsi="Arial" w:cs="Arial"/>
          <w:smallCaps/>
          <w:sz w:val="21"/>
          <w:szCs w:val="21"/>
          <w:lang w:eastAsia="es-ES"/>
        </w:rPr>
        <w:t xml:space="preserve"> </w:t>
      </w:r>
      <w:hyperlink r:id="rId162" w:history="1">
        <w:r w:rsidR="00C615F5" w:rsidRPr="00C615F5">
          <w:rPr>
            <w:rStyle w:val="Hipervnculo"/>
            <w:rFonts w:ascii="Arial" w:eastAsia="Times New Roman" w:hAnsi="Arial" w:cs="Arial"/>
            <w:smallCaps/>
            <w:sz w:val="21"/>
            <w:szCs w:val="21"/>
            <w:lang w:eastAsia="es-ES"/>
          </w:rPr>
          <w:t>aquí</w:t>
        </w:r>
      </w:hyperlink>
      <w:r w:rsidR="00C615F5">
        <w:rPr>
          <w:rFonts w:ascii="Arial" w:eastAsia="Times New Roman" w:hAnsi="Arial" w:cs="Arial"/>
          <w:smallCaps/>
          <w:sz w:val="21"/>
          <w:szCs w:val="21"/>
          <w:lang w:eastAsia="es-ES"/>
        </w:rPr>
        <w:t>.</w:t>
      </w:r>
    </w:p>
    <w:p w14:paraId="779B30F6" w14:textId="76AA4F7A" w:rsidR="00B9275E" w:rsidRPr="00973028" w:rsidRDefault="00B9275E" w:rsidP="004522FD">
      <w:pPr>
        <w:pStyle w:val="NormalWeb"/>
        <w:spacing w:after="240" w:line="276" w:lineRule="auto"/>
        <w:jc w:val="both"/>
        <w:rPr>
          <w:rFonts w:ascii="Arial" w:hAnsi="Arial" w:cs="Arial"/>
          <w:sz w:val="21"/>
          <w:szCs w:val="21"/>
        </w:rPr>
      </w:pPr>
      <w:r w:rsidRPr="00973028">
        <w:rPr>
          <w:rFonts w:ascii="Arial" w:hAnsi="Arial" w:cs="Arial"/>
          <w:sz w:val="21"/>
          <w:szCs w:val="21"/>
        </w:rPr>
        <w:t>La</w:t>
      </w:r>
      <w:r w:rsidRPr="00973028">
        <w:rPr>
          <w:rFonts w:ascii="Arial" w:hAnsi="Arial" w:cs="Arial"/>
          <w:b/>
          <w:sz w:val="21"/>
          <w:szCs w:val="21"/>
        </w:rPr>
        <w:t xml:space="preserve"> III REUNIÓN DEL CONSEJO DE PARTICIPACIÓN</w:t>
      </w:r>
      <w:r w:rsidRPr="00973028">
        <w:rPr>
          <w:rFonts w:ascii="Arial" w:hAnsi="Arial" w:cs="Arial"/>
          <w:sz w:val="21"/>
          <w:szCs w:val="21"/>
        </w:rPr>
        <w:t xml:space="preserve"> se celebró el 11 de noviembre, también de manera virtual. </w:t>
      </w:r>
    </w:p>
    <w:p w14:paraId="17B23DEA" w14:textId="77777777" w:rsidR="00B9275E" w:rsidRPr="00973028" w:rsidRDefault="00B9275E" w:rsidP="004522FD">
      <w:pPr>
        <w:pStyle w:val="NormalWeb"/>
        <w:spacing w:after="240" w:line="276" w:lineRule="auto"/>
        <w:jc w:val="both"/>
        <w:rPr>
          <w:rFonts w:ascii="Arial" w:hAnsi="Arial" w:cs="Arial"/>
          <w:sz w:val="21"/>
          <w:szCs w:val="21"/>
        </w:rPr>
      </w:pPr>
      <w:r w:rsidRPr="00973028">
        <w:rPr>
          <w:rFonts w:ascii="Arial" w:hAnsi="Arial" w:cs="Arial"/>
          <w:sz w:val="21"/>
          <w:szCs w:val="21"/>
        </w:rPr>
        <w:t>El orden del día fue el siguiente:</w:t>
      </w:r>
    </w:p>
    <w:p w14:paraId="2BFDE6E4" w14:textId="77777777" w:rsidR="00B9275E" w:rsidRPr="00973028" w:rsidRDefault="00B9275E" w:rsidP="00672ABA">
      <w:pPr>
        <w:pStyle w:val="NormalWeb"/>
        <w:numPr>
          <w:ilvl w:val="3"/>
          <w:numId w:val="17"/>
        </w:numPr>
        <w:spacing w:before="0" w:beforeAutospacing="0" w:after="240" w:line="276" w:lineRule="auto"/>
        <w:ind w:left="851"/>
        <w:jc w:val="both"/>
        <w:rPr>
          <w:rFonts w:ascii="Arial" w:hAnsi="Arial" w:cs="Arial"/>
          <w:sz w:val="21"/>
          <w:szCs w:val="21"/>
        </w:rPr>
      </w:pPr>
      <w:r w:rsidRPr="00973028">
        <w:rPr>
          <w:rFonts w:ascii="Arial" w:hAnsi="Arial" w:cs="Arial"/>
          <w:sz w:val="21"/>
          <w:szCs w:val="21"/>
        </w:rPr>
        <w:t xml:space="preserve">Situación de la transposición de la Directiva (UE) 2019/1937, de Protección de denunciantes y canales de denuncia y Declaración de Roma, de 26 de junio de 2020, de NEIWA (Red de Autoridades europeas de Integridad y Alertadores). </w:t>
      </w:r>
    </w:p>
    <w:p w14:paraId="468F8B19" w14:textId="77777777" w:rsidR="00B9275E" w:rsidRPr="00973028" w:rsidRDefault="00B9275E" w:rsidP="00672ABA">
      <w:pPr>
        <w:pStyle w:val="NormalWeb"/>
        <w:numPr>
          <w:ilvl w:val="3"/>
          <w:numId w:val="17"/>
        </w:numPr>
        <w:spacing w:before="0" w:beforeAutospacing="0" w:after="240" w:line="276" w:lineRule="auto"/>
        <w:ind w:left="851"/>
        <w:jc w:val="both"/>
        <w:rPr>
          <w:rFonts w:ascii="Arial" w:hAnsi="Arial" w:cs="Arial"/>
          <w:sz w:val="21"/>
          <w:szCs w:val="21"/>
        </w:rPr>
      </w:pPr>
      <w:r w:rsidRPr="00973028">
        <w:rPr>
          <w:rFonts w:ascii="Arial" w:hAnsi="Arial" w:cs="Arial"/>
          <w:sz w:val="21"/>
          <w:szCs w:val="21"/>
        </w:rPr>
        <w:lastRenderedPageBreak/>
        <w:t xml:space="preserve">El conflicto entre transparencia y confidencialidad en los órganos de control e investigación. </w:t>
      </w:r>
    </w:p>
    <w:p w14:paraId="0BD828DC" w14:textId="77777777" w:rsidR="00B9275E" w:rsidRPr="00973028" w:rsidRDefault="00B9275E" w:rsidP="00672ABA">
      <w:pPr>
        <w:pStyle w:val="NormalWeb"/>
        <w:numPr>
          <w:ilvl w:val="3"/>
          <w:numId w:val="17"/>
        </w:numPr>
        <w:spacing w:before="0" w:beforeAutospacing="0" w:after="240" w:line="276" w:lineRule="auto"/>
        <w:ind w:left="851"/>
        <w:jc w:val="both"/>
        <w:rPr>
          <w:rFonts w:ascii="Arial" w:hAnsi="Arial" w:cs="Arial"/>
          <w:sz w:val="21"/>
          <w:szCs w:val="21"/>
        </w:rPr>
      </w:pPr>
      <w:r w:rsidRPr="00973028">
        <w:rPr>
          <w:rFonts w:ascii="Arial" w:hAnsi="Arial" w:cs="Arial"/>
          <w:sz w:val="21"/>
          <w:szCs w:val="21"/>
        </w:rPr>
        <w:t xml:space="preserve">GR1 Prevención y Educación: Seguimiento de propuestas. </w:t>
      </w:r>
    </w:p>
    <w:p w14:paraId="7EA42D2D" w14:textId="77777777" w:rsidR="00B9275E" w:rsidRPr="00973028" w:rsidRDefault="00B9275E" w:rsidP="00672ABA">
      <w:pPr>
        <w:pStyle w:val="NormalWeb"/>
        <w:numPr>
          <w:ilvl w:val="3"/>
          <w:numId w:val="17"/>
        </w:numPr>
        <w:spacing w:before="0" w:beforeAutospacing="0" w:after="240" w:line="276" w:lineRule="auto"/>
        <w:ind w:left="851"/>
        <w:jc w:val="both"/>
        <w:rPr>
          <w:rFonts w:ascii="Arial" w:hAnsi="Arial" w:cs="Arial"/>
          <w:sz w:val="21"/>
          <w:szCs w:val="21"/>
        </w:rPr>
      </w:pPr>
      <w:r w:rsidRPr="00973028">
        <w:rPr>
          <w:rFonts w:ascii="Arial" w:hAnsi="Arial" w:cs="Arial"/>
          <w:sz w:val="21"/>
          <w:szCs w:val="21"/>
        </w:rPr>
        <w:t xml:space="preserve">GR2 Protección de las personas denunciantes: Difusión del Decálogo ratificado por el Consejo de Participación e informe sobre los resultados de la II Reunión de este Grupo de Trabajo. </w:t>
      </w:r>
    </w:p>
    <w:p w14:paraId="2AE0CBB6" w14:textId="7C575AB6" w:rsidR="00B9275E" w:rsidRPr="00973028" w:rsidRDefault="00B9275E" w:rsidP="00672ABA">
      <w:pPr>
        <w:pStyle w:val="NormalWeb"/>
        <w:numPr>
          <w:ilvl w:val="3"/>
          <w:numId w:val="17"/>
        </w:numPr>
        <w:spacing w:before="0" w:beforeAutospacing="0" w:after="240" w:line="276" w:lineRule="auto"/>
        <w:ind w:left="851"/>
        <w:jc w:val="both"/>
        <w:rPr>
          <w:rFonts w:ascii="Arial" w:hAnsi="Arial" w:cs="Arial"/>
          <w:sz w:val="21"/>
          <w:szCs w:val="21"/>
        </w:rPr>
      </w:pPr>
      <w:r w:rsidRPr="00973028">
        <w:rPr>
          <w:rFonts w:ascii="Arial" w:hAnsi="Arial" w:cs="Arial"/>
          <w:sz w:val="21"/>
          <w:szCs w:val="21"/>
        </w:rPr>
        <w:t xml:space="preserve">Explicación proyecto SceMaps, desarrollado en España por la asociación Civio. </w:t>
      </w:r>
    </w:p>
    <w:p w14:paraId="11CFC7F6" w14:textId="3E3FEE21" w:rsidR="00B9275E" w:rsidRPr="00973028" w:rsidRDefault="00B9275E" w:rsidP="004522FD">
      <w:pPr>
        <w:pStyle w:val="NormalWeb"/>
        <w:spacing w:after="240" w:line="276" w:lineRule="auto"/>
        <w:jc w:val="both"/>
        <w:rPr>
          <w:rFonts w:ascii="Arial" w:hAnsi="Arial" w:cs="Arial"/>
          <w:sz w:val="21"/>
          <w:szCs w:val="21"/>
        </w:rPr>
      </w:pPr>
      <w:r w:rsidRPr="00973028">
        <w:rPr>
          <w:rFonts w:ascii="Arial" w:hAnsi="Arial" w:cs="Arial"/>
          <w:sz w:val="21"/>
          <w:szCs w:val="21"/>
        </w:rPr>
        <w:t>Como invitado en esta sesión participó el Sr. Iván Martínez, vicepresidente de la World Compliance Association.</w:t>
      </w:r>
    </w:p>
    <w:p w14:paraId="1EEE6A72" w14:textId="77777777" w:rsidR="00A52EF7" w:rsidRPr="00973028" w:rsidRDefault="00B9275E" w:rsidP="00D41D9E">
      <w:pPr>
        <w:keepNext/>
        <w:spacing w:after="240" w:line="276" w:lineRule="auto"/>
        <w:jc w:val="center"/>
      </w:pPr>
      <w:r w:rsidRPr="00973028">
        <w:rPr>
          <w:rFonts w:ascii="Arial" w:hAnsi="Arial" w:cs="Arial"/>
          <w:noProof/>
          <w:sz w:val="21"/>
          <w:szCs w:val="21"/>
        </w:rPr>
        <w:drawing>
          <wp:inline distT="0" distB="0" distL="0" distR="0" wp14:anchorId="67BFDA2E" wp14:editId="02BF2734">
            <wp:extent cx="5336673" cy="3363945"/>
            <wp:effectExtent l="0" t="0" r="0" b="8255"/>
            <wp:docPr id="30" name="Imagen 30" descr="https://www.antifraucv.es/wp-content/uploads/2020/11/III-Consell-Participaci%C3%B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https://www.antifraucv.es/wp-content/uploads/2020/11/III-Consell-Participaci%C3%B3-1.jpeg"/>
                    <pic:cNvPicPr>
                      <a:picLocks noChangeAspect="1" noChangeArrowheads="1"/>
                    </pic:cNvPicPr>
                  </pic:nvPicPr>
                  <pic:blipFill>
                    <a:blip r:embed="rId163"/>
                    <a:stretch>
                      <a:fillRect/>
                    </a:stretch>
                  </pic:blipFill>
                  <pic:spPr bwMode="auto">
                    <a:xfrm>
                      <a:off x="0" y="0"/>
                      <a:ext cx="5382775" cy="3393005"/>
                    </a:xfrm>
                    <a:prstGeom prst="rect">
                      <a:avLst/>
                    </a:prstGeom>
                  </pic:spPr>
                </pic:pic>
              </a:graphicData>
            </a:graphic>
          </wp:inline>
        </w:drawing>
      </w:r>
    </w:p>
    <w:p w14:paraId="347FA96A" w14:textId="2C8E9C8F" w:rsidR="00B9275E" w:rsidRPr="00973028" w:rsidRDefault="00A52EF7" w:rsidP="00A52EF7">
      <w:pPr>
        <w:pStyle w:val="Descripcin"/>
        <w:jc w:val="center"/>
        <w:rPr>
          <w:rFonts w:ascii="Arial" w:eastAsia="Times New Roman" w:hAnsi="Arial" w:cs="Arial"/>
          <w:smallCaps w:val="0"/>
          <w:sz w:val="16"/>
          <w:szCs w:val="16"/>
          <w:lang w:eastAsia="es-ES"/>
        </w:rPr>
      </w:pPr>
      <w:bookmarkStart w:id="187" w:name="_Toc67659167"/>
      <w:r w:rsidRPr="00973028">
        <w:rPr>
          <w:rFonts w:ascii="Arial" w:hAnsi="Arial" w:cs="Arial"/>
          <w:smallCaps w:val="0"/>
          <w:color w:val="9D2235" w:themeColor="accent1"/>
          <w:sz w:val="16"/>
          <w:szCs w:val="16"/>
        </w:rPr>
        <w:t xml:space="preserve">Imagen </w:t>
      </w:r>
      <w:r w:rsidRPr="00973028">
        <w:rPr>
          <w:rFonts w:ascii="Arial" w:hAnsi="Arial" w:cs="Arial"/>
          <w:smallCaps w:val="0"/>
          <w:color w:val="9D2235" w:themeColor="accent1"/>
          <w:sz w:val="16"/>
          <w:szCs w:val="16"/>
        </w:rPr>
        <w:fldChar w:fldCharType="begin"/>
      </w:r>
      <w:r w:rsidRPr="00973028">
        <w:rPr>
          <w:rFonts w:ascii="Arial" w:hAnsi="Arial" w:cs="Arial"/>
          <w:smallCaps w:val="0"/>
          <w:color w:val="9D2235" w:themeColor="accent1"/>
          <w:sz w:val="16"/>
          <w:szCs w:val="16"/>
        </w:rPr>
        <w:instrText xml:space="preserve"> SEQ Imagen \* ARABIC </w:instrText>
      </w:r>
      <w:r w:rsidRPr="00973028">
        <w:rPr>
          <w:rFonts w:ascii="Arial" w:hAnsi="Arial" w:cs="Arial"/>
          <w:smallCaps w:val="0"/>
          <w:color w:val="9D2235" w:themeColor="accent1"/>
          <w:sz w:val="16"/>
          <w:szCs w:val="16"/>
        </w:rPr>
        <w:fldChar w:fldCharType="separate"/>
      </w:r>
      <w:r w:rsidR="00096F00">
        <w:rPr>
          <w:rFonts w:ascii="Arial" w:hAnsi="Arial" w:cs="Arial"/>
          <w:smallCaps w:val="0"/>
          <w:noProof/>
          <w:color w:val="9D2235" w:themeColor="accent1"/>
          <w:sz w:val="16"/>
          <w:szCs w:val="16"/>
        </w:rPr>
        <w:t>6</w:t>
      </w:r>
      <w:r w:rsidRPr="00973028">
        <w:rPr>
          <w:rFonts w:ascii="Arial" w:hAnsi="Arial" w:cs="Arial"/>
          <w:smallCaps w:val="0"/>
          <w:color w:val="9D2235" w:themeColor="accent1"/>
          <w:sz w:val="16"/>
          <w:szCs w:val="16"/>
        </w:rPr>
        <w:fldChar w:fldCharType="end"/>
      </w:r>
      <w:r w:rsidR="00B00F7A">
        <w:rPr>
          <w:rFonts w:ascii="Arial" w:hAnsi="Arial" w:cs="Arial"/>
          <w:smallCaps w:val="0"/>
          <w:color w:val="9D2235" w:themeColor="accent1"/>
          <w:sz w:val="16"/>
          <w:szCs w:val="16"/>
        </w:rPr>
        <w:t>.</w:t>
      </w:r>
      <w:r w:rsidRPr="00973028">
        <w:rPr>
          <w:rFonts w:ascii="Arial" w:hAnsi="Arial" w:cs="Arial"/>
          <w:smallCaps w:val="0"/>
          <w:color w:val="9D2235" w:themeColor="accent1"/>
          <w:sz w:val="16"/>
          <w:szCs w:val="16"/>
        </w:rPr>
        <w:t xml:space="preserve"> </w:t>
      </w:r>
      <w:r w:rsidRPr="00973028">
        <w:rPr>
          <w:rFonts w:ascii="Arial" w:hAnsi="Arial" w:cs="Arial"/>
          <w:smallCaps w:val="0"/>
          <w:sz w:val="16"/>
          <w:szCs w:val="16"/>
        </w:rPr>
        <w:t>III Reunión del Consejo de Participación</w:t>
      </w:r>
      <w:bookmarkEnd w:id="187"/>
    </w:p>
    <w:p w14:paraId="6DEB5EF3" w14:textId="77777777" w:rsidR="00A52EF7" w:rsidRPr="00973028" w:rsidRDefault="00A52EF7" w:rsidP="00F4121D">
      <w:pPr>
        <w:spacing w:after="240" w:line="276" w:lineRule="auto"/>
        <w:jc w:val="both"/>
        <w:rPr>
          <w:rFonts w:ascii="Arial" w:eastAsia="Times New Roman" w:hAnsi="Arial" w:cs="Arial"/>
          <w:smallCaps/>
          <w:sz w:val="21"/>
          <w:szCs w:val="21"/>
          <w:lang w:eastAsia="es-ES"/>
        </w:rPr>
      </w:pPr>
    </w:p>
    <w:p w14:paraId="6CCFE906" w14:textId="620B5346" w:rsidR="00C615F5" w:rsidRDefault="00B9275E" w:rsidP="00F4121D">
      <w:pPr>
        <w:spacing w:after="240" w:line="276" w:lineRule="auto"/>
        <w:jc w:val="both"/>
        <w:rPr>
          <w:rFonts w:ascii="Arial" w:eastAsia="Times New Roman" w:hAnsi="Arial" w:cs="Arial"/>
          <w:smallCaps/>
          <w:sz w:val="21"/>
          <w:szCs w:val="21"/>
          <w:lang w:eastAsia="es-ES"/>
        </w:rPr>
      </w:pPr>
      <w:r w:rsidRPr="00973028">
        <w:rPr>
          <w:rFonts w:ascii="Arial" w:eastAsia="Times New Roman" w:hAnsi="Arial" w:cs="Arial"/>
          <w:smallCaps/>
          <w:sz w:val="21"/>
          <w:szCs w:val="21"/>
          <w:lang w:eastAsia="es-ES"/>
        </w:rPr>
        <w:t>Enlace a la nota de prensa</w:t>
      </w:r>
      <w:r w:rsidR="00C615F5">
        <w:rPr>
          <w:rFonts w:ascii="Arial" w:eastAsia="Times New Roman" w:hAnsi="Arial" w:cs="Arial"/>
          <w:smallCaps/>
          <w:sz w:val="21"/>
          <w:szCs w:val="21"/>
          <w:lang w:eastAsia="es-ES"/>
        </w:rPr>
        <w:t xml:space="preserve"> </w:t>
      </w:r>
      <w:hyperlink r:id="rId164" w:history="1">
        <w:r w:rsidR="00C615F5" w:rsidRPr="00C615F5">
          <w:rPr>
            <w:rStyle w:val="Hipervnculo"/>
            <w:rFonts w:ascii="Arial" w:eastAsia="Times New Roman" w:hAnsi="Arial" w:cs="Arial"/>
            <w:smallCaps/>
            <w:sz w:val="21"/>
            <w:szCs w:val="21"/>
            <w:lang w:eastAsia="es-ES"/>
          </w:rPr>
          <w:t>aquí.</w:t>
        </w:r>
      </w:hyperlink>
    </w:p>
    <w:p w14:paraId="371CA4A9" w14:textId="0B93B9FE" w:rsidR="00B9275E" w:rsidRPr="00973028" w:rsidRDefault="00B9275E" w:rsidP="00672ABA">
      <w:pPr>
        <w:pStyle w:val="Prrafodelista"/>
        <w:numPr>
          <w:ilvl w:val="2"/>
          <w:numId w:val="25"/>
        </w:numPr>
        <w:spacing w:before="360" w:after="240" w:line="276" w:lineRule="auto"/>
        <w:ind w:left="1134" w:hanging="1134"/>
        <w:jc w:val="both"/>
        <w:outlineLvl w:val="2"/>
        <w:rPr>
          <w:rFonts w:ascii="Arial" w:eastAsia="Times New Roman" w:hAnsi="Arial" w:cs="Arial"/>
          <w:b/>
          <w:color w:val="9D2235" w:themeColor="accent1"/>
          <w:sz w:val="28"/>
          <w:szCs w:val="28"/>
        </w:rPr>
      </w:pPr>
      <w:bookmarkStart w:id="188" w:name="_Toc67646303"/>
      <w:r w:rsidRPr="00973028">
        <w:rPr>
          <w:rFonts w:ascii="Arial" w:eastAsia="Times New Roman" w:hAnsi="Arial" w:cs="Arial"/>
          <w:b/>
          <w:color w:val="9D2235" w:themeColor="accent1"/>
          <w:sz w:val="28"/>
          <w:szCs w:val="28"/>
        </w:rPr>
        <w:t>Dia Internacional contra la Corrupción</w:t>
      </w:r>
      <w:bookmarkStart w:id="189" w:name="_Hlk48734891"/>
      <w:bookmarkEnd w:id="189"/>
      <w:r w:rsidR="00E74AA5" w:rsidRPr="00973028">
        <w:rPr>
          <w:rFonts w:ascii="Arial" w:eastAsia="Times New Roman" w:hAnsi="Arial" w:cs="Arial"/>
          <w:b/>
          <w:color w:val="9D2235" w:themeColor="accent1"/>
          <w:sz w:val="28"/>
          <w:szCs w:val="28"/>
        </w:rPr>
        <w:t>, 9 de diciembre</w:t>
      </w:r>
      <w:bookmarkEnd w:id="188"/>
    </w:p>
    <w:p w14:paraId="60E5C906" w14:textId="1C9F33A0" w:rsidR="00B9275E" w:rsidRPr="00973028" w:rsidRDefault="00B9275E" w:rsidP="004522FD">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El 9 de diciembre se celebró</w:t>
      </w:r>
      <w:r w:rsidR="00E74AA5" w:rsidRPr="00973028">
        <w:rPr>
          <w:rFonts w:ascii="Arial" w:eastAsia="Times New Roman" w:hAnsi="Arial" w:cs="Arial"/>
          <w:color w:val="000000"/>
          <w:sz w:val="21"/>
          <w:szCs w:val="21"/>
          <w:lang w:eastAsia="es-ES"/>
        </w:rPr>
        <w:t>, impulsado por Naciones Unidas,</w:t>
      </w:r>
      <w:r w:rsidRPr="00973028">
        <w:rPr>
          <w:rFonts w:ascii="Arial" w:eastAsia="Times New Roman" w:hAnsi="Arial" w:cs="Arial"/>
          <w:color w:val="000000"/>
          <w:sz w:val="21"/>
          <w:szCs w:val="21"/>
          <w:lang w:eastAsia="es-ES"/>
        </w:rPr>
        <w:t xml:space="preserve"> el Día Internacional contra la Corrupción </w:t>
      </w:r>
      <w:r w:rsidRPr="00973028">
        <w:rPr>
          <w:rFonts w:ascii="Arial" w:eastAsia="Times New Roman" w:hAnsi="Arial" w:cs="Arial"/>
          <w:sz w:val="21"/>
          <w:szCs w:val="21"/>
          <w:lang w:eastAsia="es-ES"/>
        </w:rPr>
        <w:t>bajo el lema “Conflicto de interés: antesala de la corrupción”</w:t>
      </w:r>
      <w:r w:rsidRPr="00973028">
        <w:rPr>
          <w:rFonts w:ascii="Arial" w:eastAsia="Times New Roman" w:hAnsi="Arial" w:cs="Arial"/>
          <w:color w:val="000000"/>
          <w:sz w:val="21"/>
          <w:szCs w:val="21"/>
          <w:lang w:eastAsia="es-ES"/>
        </w:rPr>
        <w:t xml:space="preserve">. El conflicto de interés es uno de los principales riesgos de corrupción identificados en el desarrollo de la actividad de la gestión pública. </w:t>
      </w:r>
    </w:p>
    <w:p w14:paraId="4B81ECF1" w14:textId="77777777" w:rsidR="002C0DE6" w:rsidRPr="00973028" w:rsidRDefault="00B9275E" w:rsidP="002C0DE6">
      <w:pPr>
        <w:keepNext/>
        <w:spacing w:after="240" w:line="276" w:lineRule="auto"/>
        <w:jc w:val="center"/>
      </w:pPr>
      <w:r w:rsidRPr="00973028">
        <w:rPr>
          <w:rFonts w:ascii="Arial" w:hAnsi="Arial" w:cs="Arial"/>
          <w:noProof/>
          <w:sz w:val="21"/>
          <w:szCs w:val="21"/>
        </w:rPr>
        <w:lastRenderedPageBreak/>
        <w:drawing>
          <wp:inline distT="0" distB="0" distL="0" distR="0" wp14:anchorId="2055348B" wp14:editId="5D5CA862">
            <wp:extent cx="3295650" cy="32956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65"/>
                    <a:stretch>
                      <a:fillRect/>
                    </a:stretch>
                  </pic:blipFill>
                  <pic:spPr bwMode="auto">
                    <a:xfrm>
                      <a:off x="0" y="0"/>
                      <a:ext cx="3295650" cy="3295650"/>
                    </a:xfrm>
                    <a:prstGeom prst="rect">
                      <a:avLst/>
                    </a:prstGeom>
                  </pic:spPr>
                </pic:pic>
              </a:graphicData>
            </a:graphic>
          </wp:inline>
        </w:drawing>
      </w:r>
    </w:p>
    <w:p w14:paraId="251576DD" w14:textId="5DE18E4B" w:rsidR="00B9275E" w:rsidRPr="00973028" w:rsidRDefault="002C0DE6" w:rsidP="002C0DE6">
      <w:pPr>
        <w:pStyle w:val="Descripcin"/>
        <w:jc w:val="center"/>
        <w:rPr>
          <w:rFonts w:ascii="Arial" w:eastAsia="Times New Roman" w:hAnsi="Arial" w:cs="Arial"/>
          <w:smallCaps w:val="0"/>
          <w:sz w:val="16"/>
          <w:szCs w:val="16"/>
          <w:lang w:eastAsia="es-ES"/>
        </w:rPr>
      </w:pPr>
      <w:bookmarkStart w:id="190" w:name="_Toc67646435"/>
      <w:r w:rsidRPr="00973028">
        <w:rPr>
          <w:rFonts w:ascii="Arial" w:hAnsi="Arial" w:cs="Arial"/>
          <w:smallCaps w:val="0"/>
          <w:color w:val="9D2235" w:themeColor="accent1"/>
          <w:sz w:val="16"/>
          <w:szCs w:val="16"/>
        </w:rPr>
        <w:t xml:space="preserve">Ilustración </w:t>
      </w:r>
      <w:r w:rsidRPr="00973028">
        <w:rPr>
          <w:rFonts w:ascii="Arial" w:hAnsi="Arial" w:cs="Arial"/>
          <w:smallCaps w:val="0"/>
          <w:color w:val="9D2235" w:themeColor="accent1"/>
          <w:sz w:val="16"/>
          <w:szCs w:val="16"/>
        </w:rPr>
        <w:fldChar w:fldCharType="begin"/>
      </w:r>
      <w:r w:rsidRPr="00973028">
        <w:rPr>
          <w:rFonts w:ascii="Arial" w:hAnsi="Arial" w:cs="Arial"/>
          <w:smallCaps w:val="0"/>
          <w:color w:val="9D2235" w:themeColor="accent1"/>
          <w:sz w:val="16"/>
          <w:szCs w:val="16"/>
        </w:rPr>
        <w:instrText xml:space="preserve"> SEQ Ilustración \* ARABIC </w:instrText>
      </w:r>
      <w:r w:rsidRPr="00973028">
        <w:rPr>
          <w:rFonts w:ascii="Arial" w:hAnsi="Arial" w:cs="Arial"/>
          <w:smallCaps w:val="0"/>
          <w:color w:val="9D2235" w:themeColor="accent1"/>
          <w:sz w:val="16"/>
          <w:szCs w:val="16"/>
        </w:rPr>
        <w:fldChar w:fldCharType="separate"/>
      </w:r>
      <w:r w:rsidR="003C7F9D" w:rsidRPr="00973028">
        <w:rPr>
          <w:rFonts w:ascii="Arial" w:hAnsi="Arial" w:cs="Arial"/>
          <w:smallCaps w:val="0"/>
          <w:noProof/>
          <w:color w:val="9D2235" w:themeColor="accent1"/>
          <w:sz w:val="16"/>
          <w:szCs w:val="16"/>
        </w:rPr>
        <w:t>1</w:t>
      </w:r>
      <w:r w:rsidRPr="00973028">
        <w:rPr>
          <w:rFonts w:ascii="Arial" w:hAnsi="Arial" w:cs="Arial"/>
          <w:smallCaps w:val="0"/>
          <w:color w:val="9D2235" w:themeColor="accent1"/>
          <w:sz w:val="16"/>
          <w:szCs w:val="16"/>
        </w:rPr>
        <w:fldChar w:fldCharType="end"/>
      </w:r>
      <w:r w:rsidR="00B00F7A">
        <w:rPr>
          <w:rFonts w:ascii="Arial" w:hAnsi="Arial" w:cs="Arial"/>
          <w:smallCaps w:val="0"/>
          <w:color w:val="9D2235" w:themeColor="accent1"/>
          <w:sz w:val="16"/>
          <w:szCs w:val="16"/>
        </w:rPr>
        <w:t>.</w:t>
      </w:r>
      <w:r w:rsidRPr="00973028">
        <w:rPr>
          <w:rFonts w:ascii="Arial" w:hAnsi="Arial" w:cs="Arial"/>
          <w:smallCaps w:val="0"/>
          <w:color w:val="9D2235" w:themeColor="accent1"/>
          <w:sz w:val="16"/>
          <w:szCs w:val="16"/>
        </w:rPr>
        <w:t xml:space="preserve"> </w:t>
      </w:r>
      <w:r w:rsidRPr="00973028">
        <w:rPr>
          <w:rFonts w:ascii="Arial" w:hAnsi="Arial" w:cs="Arial"/>
          <w:smallCaps w:val="0"/>
          <w:sz w:val="16"/>
          <w:szCs w:val="16"/>
        </w:rPr>
        <w:t xml:space="preserve">Jornada del Día Internacional contra la </w:t>
      </w:r>
      <w:r w:rsidR="005C39F5" w:rsidRPr="00973028">
        <w:rPr>
          <w:rFonts w:ascii="Arial" w:hAnsi="Arial" w:cs="Arial"/>
          <w:smallCaps w:val="0"/>
          <w:sz w:val="16"/>
          <w:szCs w:val="16"/>
        </w:rPr>
        <w:t>C</w:t>
      </w:r>
      <w:r w:rsidRPr="00973028">
        <w:rPr>
          <w:rFonts w:ascii="Arial" w:hAnsi="Arial" w:cs="Arial"/>
          <w:smallCaps w:val="0"/>
          <w:sz w:val="16"/>
          <w:szCs w:val="16"/>
        </w:rPr>
        <w:t>orrupción</w:t>
      </w:r>
      <w:r w:rsidR="005C39F5" w:rsidRPr="00973028">
        <w:rPr>
          <w:rFonts w:ascii="Arial" w:hAnsi="Arial" w:cs="Arial"/>
          <w:smallCaps w:val="0"/>
          <w:sz w:val="16"/>
          <w:szCs w:val="16"/>
        </w:rPr>
        <w:t>, 9 de diciembre</w:t>
      </w:r>
      <w:bookmarkEnd w:id="190"/>
    </w:p>
    <w:p w14:paraId="6E8239C0" w14:textId="77777777" w:rsidR="002C0DE6" w:rsidRPr="00973028" w:rsidRDefault="002C0DE6" w:rsidP="004522FD">
      <w:pPr>
        <w:spacing w:after="240" w:line="276" w:lineRule="auto"/>
        <w:jc w:val="both"/>
        <w:rPr>
          <w:rFonts w:ascii="Arial" w:eastAsia="Times New Roman" w:hAnsi="Arial" w:cs="Arial"/>
          <w:sz w:val="21"/>
          <w:szCs w:val="21"/>
          <w:lang w:eastAsia="es-ES"/>
        </w:rPr>
      </w:pPr>
    </w:p>
    <w:p w14:paraId="484B17D2" w14:textId="4FB1AE8D"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La jornada se celebró bajo la modalidad </w:t>
      </w:r>
      <w:r w:rsidRPr="00973028">
        <w:rPr>
          <w:rFonts w:ascii="Arial" w:eastAsia="Times New Roman" w:hAnsi="Arial" w:cs="Arial"/>
          <w:i/>
          <w:iCs/>
          <w:sz w:val="21"/>
          <w:szCs w:val="21"/>
          <w:lang w:eastAsia="es-ES"/>
        </w:rPr>
        <w:t xml:space="preserve">online </w:t>
      </w:r>
      <w:r w:rsidRPr="00973028">
        <w:rPr>
          <w:rFonts w:ascii="Arial" w:eastAsia="Times New Roman" w:hAnsi="Arial" w:cs="Arial"/>
          <w:sz w:val="21"/>
          <w:szCs w:val="21"/>
          <w:lang w:eastAsia="es-ES"/>
        </w:rPr>
        <w:t>debido a las restricciones impuestas por la actual situación de crisis sanitaria y en ella participaron más de 150 personas. En la primera parte de la jornada, la directora de Prevención, Formación y Documentación, Silvia Vèrnia, presentó un nuevo documento de reflexiones sobre el conflicto de interés como antesala de la corrupción elaborado desde la propia Agencia Valenciana Antifraude.</w:t>
      </w:r>
    </w:p>
    <w:p w14:paraId="6BC8CB54" w14:textId="22FA5D04"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A continuación, el catedrático de Ciencia Política, Manuel Villoria, ofreció una ponencia en la que se centró en los riesgos de corrupción y las consecuencias derivadas del conflicto de interés. Así mismo analizó cómo se aborda el conflicto de interés en diferentes países de la Unión Europea en aspectos como las restricciones de empleo después del cese, nombramientos concurrentes fuera del sector público o cuáles son los sistemas de detección de casos que se utilizan.</w:t>
      </w:r>
    </w:p>
    <w:p w14:paraId="10E8607E" w14:textId="79CF1627"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Una vez finalizada la conferencia del profesor Villoria fue el turno del director de la AVAF, Joan Llinares, que destacó la importancia de la celebración de un día como este para que la sociedad tome conciencia de la importancia que tiene la lucha contra el fraude y la corrupción no solo con el objetivo de poner fin a este tipo de prácticas delictivas, sino para conseguir implantar una ética e integridad pública que permitan el progreso de nuestra sociedad.</w:t>
      </w:r>
    </w:p>
    <w:p w14:paraId="1DF4E7E9" w14:textId="1891BCBF"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Para finalizar la jornada se abordaron algunas de las preguntas planteadas por los participantes a través del chat para lo que se incorporaron la directora de Servicios Jurídicos, Teresa Clemente y el director de Análisis e Investigación, Gustavo Segura, ya que alguna de las cuestiones hacía referencia a aspectos concretos de su ámbito de actuación.</w:t>
      </w:r>
    </w:p>
    <w:p w14:paraId="666B13A0" w14:textId="518E445E" w:rsidR="003621D6"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lastRenderedPageBreak/>
        <w:t>La Jornada, que se emitió en directo por el canal de YouTube de la Agencia y</w:t>
      </w:r>
      <w:r w:rsidRPr="00973028">
        <w:rPr>
          <w:rFonts w:ascii="Arial" w:eastAsia="Times New Roman" w:hAnsi="Arial" w:cs="Arial"/>
          <w:sz w:val="21"/>
          <w:szCs w:val="21"/>
          <w:lang w:eastAsia="es-ES"/>
        </w:rPr>
        <w:br/>
        <w:t xml:space="preserve">está disponible para su visualización </w:t>
      </w:r>
      <w:hyperlink r:id="rId166" w:history="1">
        <w:r w:rsidR="003621D6" w:rsidRPr="003621D6">
          <w:rPr>
            <w:rStyle w:val="Hipervnculo"/>
            <w:rFonts w:ascii="Arial" w:eastAsia="Times New Roman" w:hAnsi="Arial" w:cs="Arial"/>
            <w:sz w:val="21"/>
            <w:szCs w:val="21"/>
            <w:lang w:eastAsia="es-ES"/>
          </w:rPr>
          <w:t>aquí</w:t>
        </w:r>
      </w:hyperlink>
      <w:r w:rsidR="003621D6">
        <w:rPr>
          <w:rFonts w:ascii="Arial" w:eastAsia="Times New Roman" w:hAnsi="Arial" w:cs="Arial"/>
          <w:sz w:val="21"/>
          <w:szCs w:val="21"/>
          <w:lang w:eastAsia="es-ES"/>
        </w:rPr>
        <w:t>.</w:t>
      </w:r>
    </w:p>
    <w:p w14:paraId="12743DA7" w14:textId="20449FBE" w:rsidR="00B9275E" w:rsidRPr="00973028" w:rsidRDefault="00B9275E" w:rsidP="004522FD">
      <w:pPr>
        <w:spacing w:after="240" w:line="276" w:lineRule="auto"/>
        <w:jc w:val="both"/>
        <w:rPr>
          <w:rFonts w:ascii="Arial" w:eastAsia="Times New Roman" w:hAnsi="Arial" w:cs="Arial"/>
          <w:smallCaps/>
          <w:sz w:val="21"/>
          <w:szCs w:val="21"/>
          <w:lang w:eastAsia="es-ES"/>
        </w:rPr>
      </w:pPr>
      <w:r w:rsidRPr="00973028">
        <w:rPr>
          <w:rFonts w:ascii="Arial" w:eastAsia="Times New Roman" w:hAnsi="Arial" w:cs="Arial"/>
          <w:smallCaps/>
          <w:sz w:val="21"/>
          <w:szCs w:val="21"/>
          <w:lang w:eastAsia="es-ES"/>
        </w:rPr>
        <w:t>Enlace a la nota de prensa</w:t>
      </w:r>
      <w:r w:rsidR="003621D6">
        <w:rPr>
          <w:rFonts w:ascii="Arial" w:eastAsia="Times New Roman" w:hAnsi="Arial" w:cs="Arial"/>
          <w:smallCaps/>
          <w:sz w:val="21"/>
          <w:szCs w:val="21"/>
          <w:lang w:eastAsia="es-ES"/>
        </w:rPr>
        <w:t xml:space="preserve"> </w:t>
      </w:r>
      <w:hyperlink r:id="rId167" w:history="1">
        <w:r w:rsidR="003621D6" w:rsidRPr="003621D6">
          <w:rPr>
            <w:rStyle w:val="Hipervnculo"/>
            <w:rFonts w:ascii="Arial" w:eastAsia="Times New Roman" w:hAnsi="Arial" w:cs="Arial"/>
            <w:smallCaps/>
            <w:sz w:val="21"/>
            <w:szCs w:val="21"/>
            <w:lang w:eastAsia="es-ES"/>
          </w:rPr>
          <w:t>aquí</w:t>
        </w:r>
      </w:hyperlink>
      <w:r w:rsidR="003621D6">
        <w:rPr>
          <w:rFonts w:ascii="Arial" w:eastAsia="Times New Roman" w:hAnsi="Arial" w:cs="Arial"/>
          <w:smallCaps/>
          <w:sz w:val="21"/>
          <w:szCs w:val="21"/>
          <w:lang w:eastAsia="es-ES"/>
        </w:rPr>
        <w:t>.</w:t>
      </w:r>
    </w:p>
    <w:p w14:paraId="62D5326E" w14:textId="16F45885" w:rsidR="00B9275E" w:rsidRPr="00973028" w:rsidRDefault="00B9275E" w:rsidP="00672ABA">
      <w:pPr>
        <w:pStyle w:val="Prrafodelista"/>
        <w:numPr>
          <w:ilvl w:val="1"/>
          <w:numId w:val="25"/>
        </w:numPr>
        <w:spacing w:before="360" w:after="240" w:line="276" w:lineRule="auto"/>
        <w:ind w:left="851" w:hanging="851"/>
        <w:jc w:val="both"/>
        <w:outlineLvl w:val="1"/>
        <w:rPr>
          <w:rFonts w:ascii="Arial" w:eastAsia="Times New Roman" w:hAnsi="Arial" w:cs="Arial"/>
          <w:b/>
          <w:color w:val="9D2235" w:themeColor="accent1"/>
          <w:sz w:val="32"/>
          <w:szCs w:val="32"/>
        </w:rPr>
      </w:pPr>
      <w:bookmarkStart w:id="191" w:name="_Toc62561778"/>
      <w:bookmarkStart w:id="192" w:name="_Toc67646304"/>
      <w:r w:rsidRPr="00973028">
        <w:rPr>
          <w:rFonts w:ascii="Arial" w:eastAsia="Times New Roman" w:hAnsi="Arial" w:cs="Arial"/>
          <w:b/>
          <w:color w:val="9D2235" w:themeColor="accent1"/>
          <w:sz w:val="32"/>
          <w:szCs w:val="32"/>
        </w:rPr>
        <w:t xml:space="preserve">Red </w:t>
      </w:r>
      <w:bookmarkEnd w:id="191"/>
      <w:r w:rsidR="00E74AA5" w:rsidRPr="00973028">
        <w:rPr>
          <w:rFonts w:ascii="Arial" w:eastAsia="Times New Roman" w:hAnsi="Arial" w:cs="Arial"/>
          <w:b/>
          <w:color w:val="9D2235" w:themeColor="accent1"/>
          <w:sz w:val="32"/>
          <w:szCs w:val="32"/>
        </w:rPr>
        <w:t>de Oficinas y Agencias Anticorrupción del Estado Español</w:t>
      </w:r>
      <w:bookmarkEnd w:id="192"/>
    </w:p>
    <w:p w14:paraId="2026A5F6" w14:textId="195ED059" w:rsidR="00B9275E" w:rsidRPr="00973028" w:rsidRDefault="00B9275E" w:rsidP="004522FD">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En 2018 se creó un sistema de coordinación entre las oficinas y agencias del Estado denominado Red de Oficinas y Agencias </w:t>
      </w:r>
      <w:r w:rsidR="00E74AA5" w:rsidRPr="00973028">
        <w:rPr>
          <w:rFonts w:ascii="Arial" w:eastAsia="Times New Roman" w:hAnsi="Arial" w:cs="Arial"/>
          <w:color w:val="000000"/>
          <w:sz w:val="21"/>
          <w:szCs w:val="21"/>
          <w:lang w:eastAsia="es-ES"/>
        </w:rPr>
        <w:t>Anticorrupción</w:t>
      </w:r>
      <w:r w:rsidRPr="00973028">
        <w:rPr>
          <w:rFonts w:ascii="Arial" w:eastAsia="Times New Roman" w:hAnsi="Arial" w:cs="Arial"/>
          <w:color w:val="000000"/>
          <w:sz w:val="21"/>
          <w:szCs w:val="21"/>
          <w:lang w:eastAsia="es-ES"/>
        </w:rPr>
        <w:t xml:space="preserve"> del Estado Español. Los miembros adheridos son: Oficina Antifraude de Cataluña; Oficina de Prevención y Lucha contra la Corrupción de las Islas Baleares;</w:t>
      </w:r>
      <w:r w:rsidRPr="00973028">
        <w:rPr>
          <w:rFonts w:ascii="Arial" w:eastAsia="Times New Roman" w:hAnsi="Arial" w:cs="Arial"/>
          <w:i/>
          <w:color w:val="000000"/>
          <w:sz w:val="21"/>
          <w:szCs w:val="21"/>
          <w:lang w:eastAsia="es-ES"/>
        </w:rPr>
        <w:t xml:space="preserve"> Consello de Contas</w:t>
      </w:r>
      <w:r w:rsidRPr="00973028">
        <w:rPr>
          <w:rFonts w:ascii="Arial" w:eastAsia="Times New Roman" w:hAnsi="Arial" w:cs="Arial"/>
          <w:color w:val="000000"/>
          <w:sz w:val="21"/>
          <w:szCs w:val="21"/>
          <w:lang w:eastAsia="es-ES"/>
        </w:rPr>
        <w:t xml:space="preserve"> de Galicia; Oficina Municipal contra el Fraude y la Corrupción del Ayuntamiento de Madrid; </w:t>
      </w:r>
      <w:bookmarkStart w:id="193" w:name="_Hlk49243106"/>
      <w:r w:rsidRPr="00973028">
        <w:rPr>
          <w:rFonts w:ascii="Arial" w:eastAsia="Times New Roman" w:hAnsi="Arial" w:cs="Arial"/>
          <w:color w:val="000000"/>
          <w:sz w:val="21"/>
          <w:szCs w:val="21"/>
          <w:lang w:eastAsia="es-ES"/>
        </w:rPr>
        <w:t>Oficina para la Transparencia y las Buenas Prácticas del Ayuntamiento de Barcelona; Agencia de Transparencia del Área Metropolitana de Barcelona;</w:t>
      </w:r>
      <w:bookmarkEnd w:id="193"/>
      <w:r w:rsidRPr="00973028">
        <w:rPr>
          <w:rFonts w:ascii="Arial" w:eastAsia="Times New Roman" w:hAnsi="Arial" w:cs="Arial"/>
          <w:color w:val="000000"/>
          <w:sz w:val="21"/>
          <w:szCs w:val="21"/>
          <w:lang w:eastAsia="es-ES"/>
        </w:rPr>
        <w:t xml:space="preserve"> y Agencia de Prevención y Lucha contra el Fraude y la Corrupción de la Comunitat Valenciana.</w:t>
      </w:r>
    </w:p>
    <w:p w14:paraId="3B3DD00B" w14:textId="5762A478" w:rsidR="00B9275E" w:rsidRPr="00973028" w:rsidRDefault="00B9275E" w:rsidP="004522FD">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Los objetivos de la Red giran en relación a las cuestiones relativas a la formación del personal y la capacitación de este, la colaboración en actividades formativas en materia de integridad y ética pública, la puesta en común de conocimientos y experiencias prácticas en materia de prevención y lucha contra el fraude y la corrupción, el fomento de la integridad institucional y la transparencia, y también las que tienen como finalidad que la ciudadanía pueda comunicarse de manera confidencial y segura conductas de las administraciones públicas contrarias a los principios o a las reglas éticas y de buen gobierno y administración determinados en el ordenamiento jurídico vigente.</w:t>
      </w:r>
    </w:p>
    <w:p w14:paraId="6B580270" w14:textId="7E4C7558" w:rsidR="00B9275E" w:rsidRPr="00973028" w:rsidRDefault="00B9275E" w:rsidP="004522FD">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También hay que destacar la colaboración para llevar a cabo estudios en materia de prevención de la corrupción, el fomento de la integridad institucional, la transparencia y el análisis de riesgos.</w:t>
      </w:r>
    </w:p>
    <w:p w14:paraId="202497ED" w14:textId="563EA46F" w:rsidR="00B9275E" w:rsidRPr="00973028" w:rsidRDefault="00B9275E" w:rsidP="004522FD">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Las reuniones semestrales de 2020 han sido:</w:t>
      </w:r>
    </w:p>
    <w:p w14:paraId="55EACDBF" w14:textId="2BE40602" w:rsidR="003621D6" w:rsidRPr="00CC3445" w:rsidRDefault="00B9275E" w:rsidP="003B38E5">
      <w:pPr>
        <w:spacing w:before="360" w:after="240" w:line="276" w:lineRule="auto"/>
        <w:contextualSpacing/>
        <w:rPr>
          <w:rFonts w:ascii="Arial" w:hAnsi="Arial" w:cs="Arial"/>
          <w:b/>
          <w:bCs/>
          <w:color w:val="9D2235" w:themeColor="accent1"/>
          <w:sz w:val="24"/>
          <w:szCs w:val="24"/>
        </w:rPr>
      </w:pPr>
      <w:r w:rsidRPr="00CC3445">
        <w:rPr>
          <w:rFonts w:ascii="Arial" w:hAnsi="Arial" w:cs="Arial"/>
          <w:b/>
          <w:bCs/>
          <w:color w:val="9D2235" w:themeColor="accent1"/>
          <w:sz w:val="24"/>
          <w:szCs w:val="24"/>
        </w:rPr>
        <w:t xml:space="preserve">V Encuentro de la Red de Oficinas y Agencias </w:t>
      </w:r>
      <w:r w:rsidR="00E74AA5" w:rsidRPr="00CC3445">
        <w:rPr>
          <w:rFonts w:ascii="Arial" w:hAnsi="Arial" w:cs="Arial"/>
          <w:b/>
          <w:bCs/>
          <w:color w:val="9D2235" w:themeColor="accent1"/>
          <w:sz w:val="24"/>
          <w:szCs w:val="24"/>
        </w:rPr>
        <w:t>Anticorrupción</w:t>
      </w:r>
      <w:r w:rsidRPr="00CC3445">
        <w:rPr>
          <w:rFonts w:ascii="Arial" w:hAnsi="Arial" w:cs="Arial"/>
          <w:b/>
          <w:bCs/>
          <w:color w:val="9D2235" w:themeColor="accent1"/>
          <w:sz w:val="24"/>
          <w:szCs w:val="24"/>
        </w:rPr>
        <w:t xml:space="preserve"> de</w:t>
      </w:r>
      <w:r w:rsidR="00E74AA5" w:rsidRPr="00CC3445">
        <w:rPr>
          <w:rFonts w:ascii="Arial" w:hAnsi="Arial" w:cs="Arial"/>
          <w:b/>
          <w:bCs/>
          <w:color w:val="9D2235" w:themeColor="accent1"/>
          <w:sz w:val="24"/>
          <w:szCs w:val="24"/>
        </w:rPr>
        <w:t>l</w:t>
      </w:r>
      <w:r w:rsidRPr="00CC3445">
        <w:rPr>
          <w:rFonts w:ascii="Arial" w:hAnsi="Arial" w:cs="Arial"/>
          <w:b/>
          <w:bCs/>
          <w:color w:val="9D2235" w:themeColor="accent1"/>
          <w:sz w:val="24"/>
          <w:szCs w:val="24"/>
        </w:rPr>
        <w:t xml:space="preserve"> </w:t>
      </w:r>
      <w:r w:rsidR="00E74AA5" w:rsidRPr="00CC3445">
        <w:rPr>
          <w:rFonts w:ascii="Arial" w:hAnsi="Arial" w:cs="Arial"/>
          <w:b/>
          <w:bCs/>
          <w:color w:val="9D2235" w:themeColor="accent1"/>
          <w:sz w:val="24"/>
          <w:szCs w:val="24"/>
        </w:rPr>
        <w:t xml:space="preserve">Estado </w:t>
      </w:r>
      <w:r w:rsidRPr="00CC3445">
        <w:rPr>
          <w:rFonts w:ascii="Arial" w:hAnsi="Arial" w:cs="Arial"/>
          <w:b/>
          <w:bCs/>
          <w:color w:val="9D2235" w:themeColor="accent1"/>
          <w:sz w:val="24"/>
          <w:szCs w:val="24"/>
        </w:rPr>
        <w:t>Españ</w:t>
      </w:r>
      <w:r w:rsidR="00E74AA5" w:rsidRPr="00CC3445">
        <w:rPr>
          <w:rFonts w:ascii="Arial" w:hAnsi="Arial" w:cs="Arial"/>
          <w:b/>
          <w:bCs/>
          <w:color w:val="9D2235" w:themeColor="accent1"/>
          <w:sz w:val="24"/>
          <w:szCs w:val="24"/>
        </w:rPr>
        <w:t>ol</w:t>
      </w:r>
    </w:p>
    <w:p w14:paraId="1422B718" w14:textId="0CB4A685" w:rsidR="00CC3445" w:rsidRPr="003B38E5" w:rsidRDefault="003B38E5" w:rsidP="003B38E5">
      <w:pPr>
        <w:spacing w:before="360" w:after="240" w:line="276" w:lineRule="auto"/>
        <w:rPr>
          <w:rFonts w:ascii="Arial" w:hAnsi="Arial" w:cs="Arial"/>
          <w:b/>
          <w:bCs/>
          <w:caps/>
          <w:color w:val="9D2235" w:themeColor="accent1"/>
        </w:rPr>
      </w:pPr>
      <w:r w:rsidRPr="003B38E5">
        <w:rPr>
          <w:rFonts w:ascii="Arial" w:hAnsi="Arial" w:cs="Arial"/>
          <w:b/>
          <w:bCs/>
          <w:color w:val="9D2235" w:themeColor="accent1"/>
        </w:rPr>
        <w:t>Reunión virtual, jueves 18 de junio de 2020</w:t>
      </w:r>
    </w:p>
    <w:p w14:paraId="3141B21D" w14:textId="77777777" w:rsidR="00B9275E" w:rsidRPr="00973028" w:rsidRDefault="00B9275E" w:rsidP="004522FD">
      <w:pPr>
        <w:spacing w:after="240" w:line="276" w:lineRule="auto"/>
        <w:jc w:val="both"/>
        <w:rPr>
          <w:rFonts w:ascii="Arial" w:hAnsi="Arial" w:cs="Arial"/>
          <w:sz w:val="21"/>
          <w:szCs w:val="21"/>
        </w:rPr>
      </w:pPr>
      <w:r w:rsidRPr="00973028">
        <w:rPr>
          <w:rFonts w:ascii="Arial" w:eastAsia="Times New Roman" w:hAnsi="Arial" w:cs="Arial"/>
          <w:color w:val="000000"/>
          <w:sz w:val="21"/>
          <w:szCs w:val="21"/>
          <w:lang w:eastAsia="es-ES"/>
        </w:rPr>
        <w:t>Organizada a través de videoconferencia por la</w:t>
      </w:r>
      <w:r w:rsidRPr="00973028">
        <w:rPr>
          <w:rFonts w:ascii="Arial" w:hAnsi="Arial" w:cs="Arial"/>
          <w:sz w:val="21"/>
          <w:szCs w:val="21"/>
        </w:rPr>
        <w:t xml:space="preserve"> </w:t>
      </w:r>
      <w:r w:rsidRPr="00973028">
        <w:rPr>
          <w:rFonts w:ascii="Arial" w:eastAsia="Times New Roman" w:hAnsi="Arial" w:cs="Arial"/>
          <w:color w:val="000000"/>
          <w:sz w:val="21"/>
          <w:szCs w:val="21"/>
          <w:lang w:eastAsia="es-ES"/>
        </w:rPr>
        <w:t>Oficina para la Transparencia y las Buenas Prácticas del Ayuntamiento de Barcelona y la Agencia de Transparencia del Área Metropolitana de Barcelona, a este 5º encuentro asistieron por primera vez las siguientes instituciones que se integraron en la Red y que estuvieron representadas por:</w:t>
      </w:r>
    </w:p>
    <w:p w14:paraId="405ACED0" w14:textId="77777777" w:rsidR="00B9275E" w:rsidRPr="00973028" w:rsidRDefault="00B9275E" w:rsidP="00D41D9E">
      <w:pPr>
        <w:pStyle w:val="Prrafodelista"/>
        <w:numPr>
          <w:ilvl w:val="0"/>
          <w:numId w:val="18"/>
        </w:numPr>
        <w:spacing w:after="120" w:line="276" w:lineRule="auto"/>
        <w:ind w:left="714" w:hanging="357"/>
        <w:contextualSpacing w:val="0"/>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Sr. Pedro Pacheco González, presidente de la Audiencia de Cuentas de Canarias.</w:t>
      </w:r>
    </w:p>
    <w:p w14:paraId="76BCD7F4" w14:textId="77777777" w:rsidR="00B9275E" w:rsidRPr="00973028" w:rsidRDefault="00B9275E" w:rsidP="00D41D9E">
      <w:pPr>
        <w:pStyle w:val="Prrafodelista"/>
        <w:numPr>
          <w:ilvl w:val="0"/>
          <w:numId w:val="18"/>
        </w:numPr>
        <w:spacing w:after="120" w:line="276" w:lineRule="auto"/>
        <w:ind w:left="714" w:hanging="357"/>
        <w:contextualSpacing w:val="0"/>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lastRenderedPageBreak/>
        <w:t>Sra. Mercedes Rodríguez Tarrida, subdirectora general del Servicio Nacional de Coordinación Antifraude de la Intervención General de la Administración del Estado.</w:t>
      </w:r>
    </w:p>
    <w:p w14:paraId="45B5960A" w14:textId="77777777" w:rsidR="00B9275E" w:rsidRPr="00973028" w:rsidRDefault="00B9275E" w:rsidP="00D41D9E">
      <w:pPr>
        <w:pStyle w:val="Prrafodelista"/>
        <w:numPr>
          <w:ilvl w:val="0"/>
          <w:numId w:val="18"/>
        </w:numPr>
        <w:spacing w:after="120" w:line="276" w:lineRule="auto"/>
        <w:ind w:left="714" w:hanging="357"/>
        <w:contextualSpacing w:val="0"/>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Sra. María del Mar Rodríguez Polack, auditora jefa de equipo en el Servicio Nacional de Coordinación Antifraude de la Intervención General de la Administración del Estado.</w:t>
      </w:r>
    </w:p>
    <w:p w14:paraId="45749349" w14:textId="0A6D353F" w:rsidR="00B9275E" w:rsidRPr="00973028" w:rsidRDefault="00B9275E" w:rsidP="00D41D9E">
      <w:pPr>
        <w:pStyle w:val="Prrafodelista"/>
        <w:numPr>
          <w:ilvl w:val="0"/>
          <w:numId w:val="18"/>
        </w:numPr>
        <w:spacing w:after="240" w:line="276" w:lineRule="auto"/>
        <w:ind w:left="714" w:hanging="357"/>
        <w:contextualSpacing w:val="0"/>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Sra. Amada de Juan Quirós, vocal de la División de Supervisión de la Contratación y Relaciones Institucionales de la Oficina Independiente de Regulación y Supervisión de la Contratación.</w:t>
      </w:r>
    </w:p>
    <w:p w14:paraId="24432BD1" w14:textId="77777777"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El encuentro se estructuró en dos sesiones de trabajo. La primera sesión, para los miembros de la red, constó de los siguientes puntos:</w:t>
      </w:r>
    </w:p>
    <w:p w14:paraId="3FF4B1AA" w14:textId="77777777" w:rsidR="00B9275E" w:rsidRPr="00973028" w:rsidRDefault="00B9275E" w:rsidP="00D41D9E">
      <w:pPr>
        <w:pStyle w:val="Prrafodelista"/>
        <w:numPr>
          <w:ilvl w:val="0"/>
          <w:numId w:val="19"/>
        </w:numPr>
        <w:spacing w:after="120" w:line="276" w:lineRule="auto"/>
        <w:ind w:left="714" w:hanging="357"/>
        <w:contextualSpacing w:val="0"/>
        <w:jc w:val="both"/>
        <w:rPr>
          <w:rFonts w:ascii="Arial" w:hAnsi="Arial" w:cs="Arial"/>
          <w:sz w:val="21"/>
          <w:szCs w:val="21"/>
        </w:rPr>
      </w:pPr>
      <w:r w:rsidRPr="00973028">
        <w:rPr>
          <w:rFonts w:ascii="Arial" w:eastAsia="Times New Roman" w:hAnsi="Arial" w:cs="Arial"/>
          <w:sz w:val="21"/>
          <w:szCs w:val="21"/>
          <w:lang w:eastAsia="es-ES"/>
        </w:rPr>
        <w:t>Análisis de la situación de la Covid-19, en el rol de nuestros organismos en el marco de contratación y en el buen gobierno. Valoraciones, iniciativas e incidencias.</w:t>
      </w:r>
    </w:p>
    <w:p w14:paraId="29509E33" w14:textId="77777777" w:rsidR="00B9275E" w:rsidRPr="00973028" w:rsidRDefault="00B9275E" w:rsidP="00D41D9E">
      <w:pPr>
        <w:pStyle w:val="Prrafodelista"/>
        <w:numPr>
          <w:ilvl w:val="0"/>
          <w:numId w:val="19"/>
        </w:numPr>
        <w:spacing w:after="120" w:line="276" w:lineRule="auto"/>
        <w:ind w:left="714" w:hanging="357"/>
        <w:contextualSpacing w:val="0"/>
        <w:jc w:val="both"/>
        <w:rPr>
          <w:rFonts w:ascii="Arial" w:hAnsi="Arial" w:cs="Arial"/>
          <w:sz w:val="21"/>
          <w:szCs w:val="21"/>
        </w:rPr>
      </w:pPr>
      <w:r w:rsidRPr="00973028">
        <w:rPr>
          <w:rFonts w:ascii="Arial" w:eastAsia="Times New Roman" w:hAnsi="Arial" w:cs="Arial"/>
          <w:sz w:val="21"/>
          <w:szCs w:val="21"/>
          <w:lang w:eastAsia="es-ES"/>
        </w:rPr>
        <w:t>Estado e intercambio de información sobre la transposición de la Directiva Europea de protección de alertadores e iniciativas en marcha.</w:t>
      </w:r>
    </w:p>
    <w:p w14:paraId="42C8E01A" w14:textId="32D13E34" w:rsidR="00B9275E" w:rsidRPr="00973028" w:rsidRDefault="00B9275E" w:rsidP="00D41D9E">
      <w:pPr>
        <w:pStyle w:val="Prrafodelista"/>
        <w:numPr>
          <w:ilvl w:val="0"/>
          <w:numId w:val="19"/>
        </w:numPr>
        <w:spacing w:after="240" w:line="276" w:lineRule="auto"/>
        <w:ind w:left="714" w:hanging="357"/>
        <w:contextualSpacing w:val="0"/>
        <w:jc w:val="both"/>
        <w:rPr>
          <w:rFonts w:ascii="Arial" w:hAnsi="Arial" w:cs="Arial"/>
          <w:sz w:val="21"/>
          <w:szCs w:val="21"/>
        </w:rPr>
      </w:pPr>
      <w:r w:rsidRPr="00973028">
        <w:rPr>
          <w:rFonts w:ascii="Arial" w:eastAsia="Times New Roman" w:hAnsi="Arial" w:cs="Arial"/>
          <w:sz w:val="21"/>
          <w:szCs w:val="21"/>
          <w:lang w:eastAsia="es-ES"/>
        </w:rPr>
        <w:t>Posibilidad de una declaración conjunta en defensa de las políticas de integridad y del rol de los órganos de garantías de distinta escala, en defensa de las políticas de transparencia e integridad, como servicio público primordial, en especial respecto de la contratación de emergencia.</w:t>
      </w:r>
    </w:p>
    <w:p w14:paraId="204C159A" w14:textId="77777777" w:rsidR="00B668DB" w:rsidRPr="00973028" w:rsidRDefault="00B668DB" w:rsidP="004E5BF6">
      <w:pPr>
        <w:pStyle w:val="Prrafodelista"/>
        <w:spacing w:after="240" w:line="276" w:lineRule="auto"/>
        <w:ind w:left="0"/>
        <w:jc w:val="both"/>
        <w:rPr>
          <w:rFonts w:ascii="Arial" w:hAnsi="Arial" w:cs="Arial"/>
          <w:sz w:val="21"/>
          <w:szCs w:val="21"/>
        </w:rPr>
      </w:pPr>
    </w:p>
    <w:p w14:paraId="40C143AB" w14:textId="77777777" w:rsidR="00BE12B9" w:rsidRPr="00973028" w:rsidRDefault="00B9275E" w:rsidP="00D41D9E">
      <w:pPr>
        <w:keepNext/>
        <w:spacing w:after="240" w:line="276" w:lineRule="auto"/>
        <w:jc w:val="center"/>
      </w:pPr>
      <w:r w:rsidRPr="00973028">
        <w:rPr>
          <w:rFonts w:ascii="Arial" w:hAnsi="Arial" w:cs="Arial"/>
          <w:noProof/>
          <w:sz w:val="21"/>
          <w:szCs w:val="21"/>
        </w:rPr>
        <w:drawing>
          <wp:inline distT="0" distB="0" distL="0" distR="0" wp14:anchorId="0712DCDD" wp14:editId="46B4B029">
            <wp:extent cx="5343066" cy="2638425"/>
            <wp:effectExtent l="0" t="0" r="0" b="0"/>
            <wp:docPr id="2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
                    <pic:cNvPicPr>
                      <a:picLocks noChangeAspect="1" noChangeArrowheads="1"/>
                    </pic:cNvPicPr>
                  </pic:nvPicPr>
                  <pic:blipFill>
                    <a:blip r:embed="rId168"/>
                    <a:stretch>
                      <a:fillRect/>
                    </a:stretch>
                  </pic:blipFill>
                  <pic:spPr bwMode="auto">
                    <a:xfrm>
                      <a:off x="0" y="0"/>
                      <a:ext cx="5363659" cy="2648594"/>
                    </a:xfrm>
                    <a:prstGeom prst="rect">
                      <a:avLst/>
                    </a:prstGeom>
                  </pic:spPr>
                </pic:pic>
              </a:graphicData>
            </a:graphic>
          </wp:inline>
        </w:drawing>
      </w:r>
    </w:p>
    <w:p w14:paraId="1E541BE1" w14:textId="6C79FD79" w:rsidR="00BE12B9" w:rsidRPr="004E5BF6" w:rsidRDefault="00BE12B9" w:rsidP="004E5BF6">
      <w:pPr>
        <w:pStyle w:val="Descripcin"/>
        <w:spacing w:after="240" w:line="276" w:lineRule="auto"/>
        <w:jc w:val="center"/>
        <w:rPr>
          <w:rFonts w:ascii="Arial" w:hAnsi="Arial" w:cs="Arial"/>
          <w:smallCaps w:val="0"/>
          <w:sz w:val="16"/>
          <w:szCs w:val="20"/>
        </w:rPr>
      </w:pPr>
      <w:bookmarkStart w:id="194" w:name="_Toc67659168"/>
      <w:r w:rsidRPr="00973028">
        <w:rPr>
          <w:rFonts w:ascii="Arial" w:hAnsi="Arial" w:cs="Arial"/>
          <w:smallCaps w:val="0"/>
          <w:color w:val="9D2235" w:themeColor="accent1"/>
          <w:sz w:val="16"/>
          <w:szCs w:val="20"/>
        </w:rPr>
        <w:t xml:space="preserve">Imagen </w:t>
      </w:r>
      <w:r w:rsidRPr="00973028">
        <w:rPr>
          <w:rFonts w:ascii="Arial" w:hAnsi="Arial" w:cs="Arial"/>
          <w:smallCaps w:val="0"/>
          <w:color w:val="9D2235" w:themeColor="accent1"/>
          <w:sz w:val="16"/>
          <w:szCs w:val="20"/>
        </w:rPr>
        <w:fldChar w:fldCharType="begin"/>
      </w:r>
      <w:r w:rsidRPr="00973028">
        <w:rPr>
          <w:rFonts w:ascii="Arial" w:hAnsi="Arial" w:cs="Arial"/>
          <w:smallCaps w:val="0"/>
          <w:color w:val="9D2235" w:themeColor="accent1"/>
          <w:sz w:val="16"/>
          <w:szCs w:val="20"/>
        </w:rPr>
        <w:instrText xml:space="preserve"> SEQ Imagen \* ARABIC </w:instrText>
      </w:r>
      <w:r w:rsidRPr="00973028">
        <w:rPr>
          <w:rFonts w:ascii="Arial" w:hAnsi="Arial" w:cs="Arial"/>
          <w:smallCaps w:val="0"/>
          <w:color w:val="9D2235" w:themeColor="accent1"/>
          <w:sz w:val="16"/>
          <w:szCs w:val="20"/>
        </w:rPr>
        <w:fldChar w:fldCharType="separate"/>
      </w:r>
      <w:r w:rsidR="00096F00">
        <w:rPr>
          <w:rFonts w:ascii="Arial" w:hAnsi="Arial" w:cs="Arial"/>
          <w:smallCaps w:val="0"/>
          <w:noProof/>
          <w:color w:val="9D2235" w:themeColor="accent1"/>
          <w:sz w:val="16"/>
          <w:szCs w:val="20"/>
        </w:rPr>
        <w:t>7</w:t>
      </w:r>
      <w:r w:rsidRPr="00973028">
        <w:rPr>
          <w:rFonts w:ascii="Arial" w:hAnsi="Arial" w:cs="Arial"/>
          <w:smallCaps w:val="0"/>
          <w:color w:val="9D2235" w:themeColor="accent1"/>
          <w:sz w:val="16"/>
          <w:szCs w:val="20"/>
        </w:rPr>
        <w:fldChar w:fldCharType="end"/>
      </w:r>
      <w:r w:rsidR="00B00F7A">
        <w:rPr>
          <w:rFonts w:ascii="Arial" w:hAnsi="Arial" w:cs="Arial"/>
          <w:smallCaps w:val="0"/>
          <w:color w:val="9D2235" w:themeColor="accent1"/>
          <w:sz w:val="16"/>
          <w:szCs w:val="20"/>
        </w:rPr>
        <w:t>.</w:t>
      </w:r>
      <w:r w:rsidRPr="00973028">
        <w:rPr>
          <w:rFonts w:ascii="Arial" w:hAnsi="Arial" w:cs="Arial"/>
          <w:smallCaps w:val="0"/>
          <w:color w:val="9D2235" w:themeColor="accent1"/>
          <w:sz w:val="16"/>
          <w:szCs w:val="20"/>
        </w:rPr>
        <w:t xml:space="preserve"> </w:t>
      </w:r>
      <w:r w:rsidRPr="00973028">
        <w:rPr>
          <w:rFonts w:ascii="Arial" w:hAnsi="Arial" w:cs="Arial"/>
          <w:smallCaps w:val="0"/>
          <w:sz w:val="16"/>
          <w:szCs w:val="20"/>
        </w:rPr>
        <w:t xml:space="preserve">V Encuentro de la Red de Oficinas y Agencias </w:t>
      </w:r>
      <w:r w:rsidR="00E74AA5" w:rsidRPr="00973028">
        <w:rPr>
          <w:rFonts w:ascii="Arial" w:hAnsi="Arial" w:cs="Arial"/>
          <w:smallCaps w:val="0"/>
          <w:sz w:val="16"/>
          <w:szCs w:val="20"/>
        </w:rPr>
        <w:t>Anticorrupción</w:t>
      </w:r>
      <w:r w:rsidRPr="00973028">
        <w:rPr>
          <w:rFonts w:ascii="Arial" w:hAnsi="Arial" w:cs="Arial"/>
          <w:smallCaps w:val="0"/>
          <w:sz w:val="16"/>
          <w:szCs w:val="20"/>
        </w:rPr>
        <w:t xml:space="preserve"> de España</w:t>
      </w:r>
      <w:bookmarkEnd w:id="194"/>
    </w:p>
    <w:p w14:paraId="0AA6F36C" w14:textId="36816D8A"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La segunda sesión fue un debate con representantes del ámbito de la educación y de la sociedad civil:</w:t>
      </w:r>
    </w:p>
    <w:p w14:paraId="41D5231E" w14:textId="77777777" w:rsidR="00B9275E" w:rsidRPr="00973028" w:rsidRDefault="00B9275E" w:rsidP="00B67257">
      <w:pPr>
        <w:pStyle w:val="Prrafodelista"/>
        <w:numPr>
          <w:ilvl w:val="0"/>
          <w:numId w:val="18"/>
        </w:numPr>
        <w:spacing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Sr. Adán Nieto Martín, catedrático de Derecho Penal de la Universidad de Castilla la Mancha</w:t>
      </w:r>
      <w:r w:rsidRPr="00973028">
        <w:rPr>
          <w:rFonts w:ascii="Arial" w:eastAsia="Times New Roman" w:hAnsi="Arial" w:cs="Arial"/>
          <w:color w:val="000000"/>
          <w:sz w:val="21"/>
          <w:szCs w:val="21"/>
          <w:lang w:eastAsia="es-ES"/>
        </w:rPr>
        <w:t>.</w:t>
      </w:r>
    </w:p>
    <w:p w14:paraId="28B1082C" w14:textId="77777777" w:rsidR="00B9275E" w:rsidRPr="00973028" w:rsidRDefault="00B9275E" w:rsidP="00B67257">
      <w:pPr>
        <w:pStyle w:val="Prrafodelista"/>
        <w:numPr>
          <w:ilvl w:val="0"/>
          <w:numId w:val="18"/>
        </w:numPr>
        <w:spacing w:after="12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lastRenderedPageBreak/>
        <w:t>Sra. Eva Belmonte, codirectora de Civio.</w:t>
      </w:r>
    </w:p>
    <w:p w14:paraId="2A934465" w14:textId="77777777" w:rsidR="00B9275E" w:rsidRPr="00973028" w:rsidRDefault="00B9275E" w:rsidP="00B67257">
      <w:pPr>
        <w:pStyle w:val="Prrafodelista"/>
        <w:numPr>
          <w:ilvl w:val="0"/>
          <w:numId w:val="18"/>
        </w:numPr>
        <w:spacing w:after="120" w:line="276" w:lineRule="auto"/>
        <w:ind w:left="714" w:hanging="357"/>
        <w:contextualSpacing w:val="0"/>
        <w:jc w:val="both"/>
        <w:rPr>
          <w:rFonts w:ascii="Arial" w:hAnsi="Arial" w:cs="Arial"/>
          <w:sz w:val="21"/>
          <w:szCs w:val="21"/>
        </w:rPr>
      </w:pPr>
      <w:r w:rsidRPr="00973028">
        <w:rPr>
          <w:rFonts w:ascii="Arial" w:eastAsia="Times New Roman" w:hAnsi="Arial" w:cs="Arial"/>
          <w:sz w:val="21"/>
          <w:szCs w:val="21"/>
          <w:lang w:eastAsia="es-ES"/>
        </w:rPr>
        <w:t>Sr. Pedro Abellán, responsable de comunicación de la Fundación Hay Derecho.</w:t>
      </w:r>
    </w:p>
    <w:p w14:paraId="7D998DCF" w14:textId="5F5F83CC" w:rsidR="00B9275E" w:rsidRPr="00973028" w:rsidRDefault="00B9275E" w:rsidP="00B67257">
      <w:pPr>
        <w:pStyle w:val="Prrafodelista"/>
        <w:numPr>
          <w:ilvl w:val="0"/>
          <w:numId w:val="18"/>
        </w:numPr>
        <w:spacing w:after="240" w:line="276" w:lineRule="auto"/>
        <w:ind w:left="714" w:hanging="357"/>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Sra. Simona Levi, fundadora de Xnet.</w:t>
      </w:r>
    </w:p>
    <w:p w14:paraId="3EE2C9C6" w14:textId="49FB69C6" w:rsidR="003621D6" w:rsidRDefault="00B9275E" w:rsidP="004522FD">
      <w:pPr>
        <w:spacing w:after="240" w:line="276" w:lineRule="auto"/>
        <w:jc w:val="both"/>
        <w:rPr>
          <w:rFonts w:ascii="Arial" w:eastAsia="Times New Roman" w:hAnsi="Arial" w:cs="Arial"/>
          <w:smallCaps/>
          <w:sz w:val="21"/>
          <w:szCs w:val="21"/>
          <w:lang w:eastAsia="es-ES"/>
        </w:rPr>
      </w:pPr>
      <w:r w:rsidRPr="00973028">
        <w:rPr>
          <w:rFonts w:ascii="Arial" w:eastAsia="Times New Roman" w:hAnsi="Arial" w:cs="Arial"/>
          <w:smallCaps/>
          <w:sz w:val="21"/>
          <w:szCs w:val="21"/>
          <w:lang w:eastAsia="es-ES"/>
        </w:rPr>
        <w:t>Enlace a la nota de prensa</w:t>
      </w:r>
      <w:r w:rsidR="003621D6">
        <w:rPr>
          <w:rFonts w:ascii="Arial" w:eastAsia="Times New Roman" w:hAnsi="Arial" w:cs="Arial"/>
          <w:smallCaps/>
          <w:sz w:val="21"/>
          <w:szCs w:val="21"/>
          <w:lang w:eastAsia="es-ES"/>
        </w:rPr>
        <w:t xml:space="preserve"> </w:t>
      </w:r>
      <w:hyperlink r:id="rId169" w:history="1">
        <w:r w:rsidR="003621D6" w:rsidRPr="003621D6">
          <w:rPr>
            <w:rStyle w:val="Hipervnculo"/>
            <w:rFonts w:ascii="Arial" w:eastAsia="Times New Roman" w:hAnsi="Arial" w:cs="Arial"/>
            <w:smallCaps/>
            <w:sz w:val="21"/>
            <w:szCs w:val="21"/>
            <w:lang w:eastAsia="es-ES"/>
          </w:rPr>
          <w:t>aquí</w:t>
        </w:r>
      </w:hyperlink>
      <w:r w:rsidR="003621D6">
        <w:rPr>
          <w:rFonts w:ascii="Arial" w:eastAsia="Times New Roman" w:hAnsi="Arial" w:cs="Arial"/>
          <w:smallCaps/>
          <w:sz w:val="21"/>
          <w:szCs w:val="21"/>
          <w:lang w:eastAsia="es-ES"/>
        </w:rPr>
        <w:t>.</w:t>
      </w:r>
    </w:p>
    <w:p w14:paraId="3A46C89E" w14:textId="77777777" w:rsidR="00E74AA5" w:rsidRPr="0078230B" w:rsidRDefault="00B9275E" w:rsidP="003B38E5">
      <w:pPr>
        <w:spacing w:before="360" w:after="240" w:line="276" w:lineRule="auto"/>
        <w:contextualSpacing/>
        <w:rPr>
          <w:rFonts w:ascii="Arial" w:hAnsi="Arial" w:cstheme="majorBidi"/>
          <w:b/>
          <w:bCs/>
          <w:color w:val="9D2235" w:themeColor="accent1"/>
          <w:sz w:val="24"/>
          <w:szCs w:val="24"/>
        </w:rPr>
      </w:pPr>
      <w:r w:rsidRPr="0078230B">
        <w:rPr>
          <w:rFonts w:ascii="Arial" w:hAnsi="Arial" w:cstheme="majorBidi"/>
          <w:b/>
          <w:bCs/>
          <w:color w:val="9D2235" w:themeColor="accent1"/>
          <w:sz w:val="24"/>
          <w:szCs w:val="24"/>
        </w:rPr>
        <w:t xml:space="preserve">VI Encuentro de la </w:t>
      </w:r>
      <w:r w:rsidR="00E74AA5" w:rsidRPr="0078230B">
        <w:rPr>
          <w:rFonts w:ascii="Arial" w:hAnsi="Arial" w:cstheme="majorBidi"/>
          <w:b/>
          <w:bCs/>
          <w:color w:val="9D2235" w:themeColor="accent1"/>
          <w:sz w:val="24"/>
          <w:szCs w:val="24"/>
        </w:rPr>
        <w:t xml:space="preserve">Red de Oficinas y Agencias Anticorrupción del Estado Español </w:t>
      </w:r>
    </w:p>
    <w:p w14:paraId="6719AA38" w14:textId="73B560DB" w:rsidR="00B9275E" w:rsidRPr="0078230B" w:rsidRDefault="003B38E5" w:rsidP="003B38E5">
      <w:pPr>
        <w:spacing w:before="360" w:after="240" w:line="276" w:lineRule="auto"/>
        <w:rPr>
          <w:rFonts w:ascii="Arial" w:hAnsi="Arial" w:cstheme="majorBidi"/>
          <w:b/>
          <w:bCs/>
          <w:color w:val="9D2235" w:themeColor="accent1"/>
        </w:rPr>
      </w:pPr>
      <w:r w:rsidRPr="0078230B">
        <w:rPr>
          <w:rFonts w:ascii="Arial" w:hAnsi="Arial"/>
          <w:b/>
          <w:bCs/>
          <w:color w:val="9D2235" w:themeColor="accent1"/>
        </w:rPr>
        <w:t>Reunión virtual, viernes 27 de noviembre de 2020</w:t>
      </w:r>
    </w:p>
    <w:p w14:paraId="566568B3" w14:textId="5D308CC4" w:rsidR="00B9275E" w:rsidRPr="00973028" w:rsidRDefault="00B9275E" w:rsidP="004522FD">
      <w:pPr>
        <w:spacing w:after="240" w:line="276" w:lineRule="auto"/>
        <w:jc w:val="both"/>
        <w:rPr>
          <w:rFonts w:ascii="Arial" w:hAnsi="Arial" w:cs="Arial"/>
          <w:sz w:val="21"/>
          <w:szCs w:val="21"/>
        </w:rPr>
      </w:pPr>
      <w:r w:rsidRPr="00973028">
        <w:rPr>
          <w:rFonts w:ascii="Arial" w:eastAsia="Times New Roman" w:hAnsi="Arial" w:cs="Arial"/>
          <w:sz w:val="21"/>
          <w:szCs w:val="21"/>
          <w:lang w:eastAsia="es-ES"/>
        </w:rPr>
        <w:t xml:space="preserve">Organizada por la AVAF, esta segunda reunión de 2020 tuvo que realizarse también de manera virtual y contó con participación de </w:t>
      </w:r>
      <w:r w:rsidRPr="00973028">
        <w:rPr>
          <w:rFonts w:ascii="Arial" w:eastAsia="Times New Roman" w:hAnsi="Arial" w:cs="Arial"/>
          <w:color w:val="000000"/>
          <w:sz w:val="21"/>
          <w:szCs w:val="21"/>
          <w:lang w:eastAsia="es-ES"/>
        </w:rPr>
        <w:t>la Comisión Nacional de los Mercados y de la Competencia como organización invitada.</w:t>
      </w:r>
    </w:p>
    <w:p w14:paraId="297783F3" w14:textId="2A952740"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El orden del día de la reunión fue el siguiente:</w:t>
      </w:r>
    </w:p>
    <w:p w14:paraId="690DC443" w14:textId="74B0F546" w:rsidR="00B9275E" w:rsidRPr="004E5BF6" w:rsidRDefault="00B9275E" w:rsidP="00D62D25">
      <w:pPr>
        <w:pStyle w:val="Prrafodelista"/>
        <w:numPr>
          <w:ilvl w:val="0"/>
          <w:numId w:val="56"/>
        </w:numPr>
        <w:spacing w:after="120" w:line="276" w:lineRule="auto"/>
        <w:jc w:val="both"/>
        <w:rPr>
          <w:rFonts w:ascii="Arial" w:eastAsia="Times New Roman" w:hAnsi="Arial" w:cs="Arial"/>
          <w:sz w:val="21"/>
          <w:szCs w:val="21"/>
          <w:lang w:eastAsia="es-ES"/>
        </w:rPr>
      </w:pPr>
      <w:r w:rsidRPr="004E5BF6">
        <w:rPr>
          <w:rFonts w:ascii="Arial" w:eastAsia="Times New Roman" w:hAnsi="Arial" w:cs="Arial"/>
          <w:sz w:val="21"/>
          <w:szCs w:val="21"/>
          <w:lang w:eastAsia="es-ES"/>
        </w:rPr>
        <w:t>Situación de la transposición de la Directiva UE 2019/1937. Protección de denunciantes y canales de denuncia.</w:t>
      </w:r>
    </w:p>
    <w:p w14:paraId="502F2704" w14:textId="6293520A" w:rsidR="00B9275E" w:rsidRPr="004E5BF6" w:rsidRDefault="00B9275E" w:rsidP="00D62D25">
      <w:pPr>
        <w:pStyle w:val="Prrafodelista"/>
        <w:numPr>
          <w:ilvl w:val="0"/>
          <w:numId w:val="56"/>
        </w:numPr>
        <w:spacing w:after="120" w:line="276" w:lineRule="auto"/>
        <w:jc w:val="both"/>
        <w:rPr>
          <w:rFonts w:ascii="Arial" w:eastAsia="Times New Roman" w:hAnsi="Arial" w:cs="Arial"/>
          <w:sz w:val="21"/>
          <w:szCs w:val="21"/>
          <w:lang w:eastAsia="es-ES"/>
        </w:rPr>
      </w:pPr>
      <w:r w:rsidRPr="004E5BF6">
        <w:rPr>
          <w:rFonts w:ascii="Arial" w:eastAsia="Times New Roman" w:hAnsi="Arial" w:cs="Arial"/>
          <w:sz w:val="21"/>
          <w:szCs w:val="21"/>
          <w:lang w:eastAsia="es-ES"/>
        </w:rPr>
        <w:t>El conflicto entre transparencia y confidencialidad en los órganos de control e investigación.</w:t>
      </w:r>
    </w:p>
    <w:p w14:paraId="3BF894C7" w14:textId="71886089" w:rsidR="00B9275E" w:rsidRPr="004E5BF6" w:rsidRDefault="00B9275E" w:rsidP="00D62D25">
      <w:pPr>
        <w:pStyle w:val="Prrafodelista"/>
        <w:numPr>
          <w:ilvl w:val="0"/>
          <w:numId w:val="56"/>
        </w:numPr>
        <w:spacing w:after="120" w:line="276" w:lineRule="auto"/>
        <w:jc w:val="both"/>
        <w:rPr>
          <w:rFonts w:ascii="Arial" w:hAnsi="Arial" w:cs="Arial"/>
          <w:sz w:val="21"/>
          <w:szCs w:val="21"/>
        </w:rPr>
      </w:pPr>
      <w:r w:rsidRPr="004E5BF6">
        <w:rPr>
          <w:rFonts w:ascii="Arial" w:eastAsia="Times New Roman" w:hAnsi="Arial" w:cs="Arial"/>
          <w:sz w:val="21"/>
          <w:szCs w:val="21"/>
          <w:lang w:eastAsia="es-ES"/>
        </w:rPr>
        <w:t>Información y conclusiones de los informes especiales de Supervisión de la tramitación de emergencia Covid-19 de la OIRESCON.</w:t>
      </w:r>
    </w:p>
    <w:p w14:paraId="54ECACA5" w14:textId="2F613512" w:rsidR="00B9275E" w:rsidRPr="004E5BF6" w:rsidRDefault="00B9275E" w:rsidP="00D62D25">
      <w:pPr>
        <w:pStyle w:val="Prrafodelista"/>
        <w:numPr>
          <w:ilvl w:val="0"/>
          <w:numId w:val="56"/>
        </w:numPr>
        <w:spacing w:after="240" w:line="276" w:lineRule="auto"/>
        <w:jc w:val="both"/>
        <w:rPr>
          <w:rFonts w:ascii="Arial" w:eastAsia="Times New Roman" w:hAnsi="Arial" w:cs="Arial"/>
          <w:sz w:val="21"/>
          <w:szCs w:val="21"/>
          <w:lang w:eastAsia="es-ES"/>
        </w:rPr>
      </w:pPr>
      <w:r w:rsidRPr="004E5BF6">
        <w:rPr>
          <w:rFonts w:ascii="Arial" w:eastAsia="Times New Roman" w:hAnsi="Arial" w:cs="Arial"/>
          <w:sz w:val="21"/>
          <w:szCs w:val="21"/>
          <w:lang w:eastAsia="es-ES"/>
        </w:rPr>
        <w:t xml:space="preserve">Riesgos de corrupción y fraude en el sector sanitario por el Servicio Nacional de Coordinación Antifraude. </w:t>
      </w:r>
    </w:p>
    <w:p w14:paraId="2E046352" w14:textId="4562EA96"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La reunión fue seguida de una ponencia impartida por el Sr. Andrea Bordoni, de la Unidad de Estrategia y análisis anticorrupción y antifraude de la Oficina Europea de Lucha contra el Fraude titulada “Posibles repercusiones de la crisis de la Covid-19 y del gasto de emergencia en los Fondos Estructurales y de Inversión Europeos”.</w:t>
      </w:r>
    </w:p>
    <w:p w14:paraId="7ECE5966" w14:textId="77777777" w:rsidR="00621044" w:rsidRPr="00973028" w:rsidRDefault="00621044" w:rsidP="004522FD">
      <w:pPr>
        <w:spacing w:after="240" w:line="276" w:lineRule="auto"/>
        <w:jc w:val="both"/>
        <w:rPr>
          <w:rFonts w:ascii="Arial" w:hAnsi="Arial" w:cs="Arial"/>
          <w:sz w:val="21"/>
          <w:szCs w:val="21"/>
        </w:rPr>
      </w:pPr>
    </w:p>
    <w:p w14:paraId="202C0A34" w14:textId="77777777" w:rsidR="002A4453" w:rsidRPr="00973028" w:rsidRDefault="00B9275E" w:rsidP="00D41D9E">
      <w:pPr>
        <w:keepNext/>
        <w:spacing w:after="240" w:line="276" w:lineRule="auto"/>
        <w:jc w:val="center"/>
      </w:pPr>
      <w:r w:rsidRPr="00973028">
        <w:rPr>
          <w:rFonts w:ascii="Arial" w:hAnsi="Arial" w:cs="Arial"/>
          <w:noProof/>
          <w:sz w:val="21"/>
          <w:szCs w:val="21"/>
        </w:rPr>
        <w:lastRenderedPageBreak/>
        <w:drawing>
          <wp:inline distT="0" distB="0" distL="0" distR="0" wp14:anchorId="689F1606" wp14:editId="1CD6F8B4">
            <wp:extent cx="5400040" cy="2205990"/>
            <wp:effectExtent l="0" t="0" r="0" b="0"/>
            <wp:docPr id="259" name="Imagen 259" descr="https://www.antifraucv.es/wp-content/uploads/2020/12/201127_Reunion_Ag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https://www.antifraucv.es/wp-content/uploads/2020/12/201127_Reunion_Agencias.jpg"/>
                    <pic:cNvPicPr>
                      <a:picLocks noChangeAspect="1" noChangeArrowheads="1"/>
                    </pic:cNvPicPr>
                  </pic:nvPicPr>
                  <pic:blipFill>
                    <a:blip r:embed="rId170"/>
                    <a:stretch>
                      <a:fillRect/>
                    </a:stretch>
                  </pic:blipFill>
                  <pic:spPr bwMode="auto">
                    <a:xfrm>
                      <a:off x="0" y="0"/>
                      <a:ext cx="5400040" cy="2205990"/>
                    </a:xfrm>
                    <a:prstGeom prst="rect">
                      <a:avLst/>
                    </a:prstGeom>
                  </pic:spPr>
                </pic:pic>
              </a:graphicData>
            </a:graphic>
          </wp:inline>
        </w:drawing>
      </w:r>
    </w:p>
    <w:p w14:paraId="71F29957" w14:textId="75AC7579" w:rsidR="00B9275E" w:rsidRPr="00973028" w:rsidRDefault="002A4453" w:rsidP="00B67257">
      <w:pPr>
        <w:pStyle w:val="Descripcin"/>
        <w:spacing w:after="240"/>
        <w:jc w:val="center"/>
        <w:rPr>
          <w:rFonts w:ascii="Arial" w:eastAsia="Times New Roman" w:hAnsi="Arial" w:cs="Arial"/>
          <w:smallCaps w:val="0"/>
          <w:sz w:val="16"/>
          <w:szCs w:val="16"/>
          <w:lang w:eastAsia="es-ES"/>
        </w:rPr>
      </w:pPr>
      <w:bookmarkStart w:id="195" w:name="_Toc67659169"/>
      <w:r w:rsidRPr="00973028">
        <w:rPr>
          <w:rFonts w:ascii="Arial" w:hAnsi="Arial" w:cs="Arial"/>
          <w:smallCaps w:val="0"/>
          <w:color w:val="9D2235" w:themeColor="accent1"/>
          <w:sz w:val="16"/>
          <w:szCs w:val="16"/>
        </w:rPr>
        <w:t xml:space="preserve">Imagen </w:t>
      </w:r>
      <w:r w:rsidR="00A52EF7" w:rsidRPr="00973028">
        <w:rPr>
          <w:rFonts w:ascii="Arial" w:hAnsi="Arial" w:cs="Arial"/>
          <w:smallCaps w:val="0"/>
          <w:color w:val="9D2235" w:themeColor="accent1"/>
          <w:sz w:val="16"/>
          <w:szCs w:val="16"/>
        </w:rPr>
        <w:fldChar w:fldCharType="begin"/>
      </w:r>
      <w:r w:rsidR="00A52EF7" w:rsidRPr="00973028">
        <w:rPr>
          <w:rFonts w:ascii="Arial" w:hAnsi="Arial" w:cs="Arial"/>
          <w:smallCaps w:val="0"/>
          <w:color w:val="9D2235" w:themeColor="accent1"/>
          <w:sz w:val="16"/>
          <w:szCs w:val="16"/>
        </w:rPr>
        <w:instrText xml:space="preserve"> SEQ Imagen \* ARABIC </w:instrText>
      </w:r>
      <w:r w:rsidR="00A52EF7" w:rsidRPr="00973028">
        <w:rPr>
          <w:rFonts w:ascii="Arial" w:hAnsi="Arial" w:cs="Arial"/>
          <w:smallCaps w:val="0"/>
          <w:color w:val="9D2235" w:themeColor="accent1"/>
          <w:sz w:val="16"/>
          <w:szCs w:val="16"/>
        </w:rPr>
        <w:fldChar w:fldCharType="separate"/>
      </w:r>
      <w:r w:rsidR="00096F00">
        <w:rPr>
          <w:rFonts w:ascii="Arial" w:hAnsi="Arial" w:cs="Arial"/>
          <w:smallCaps w:val="0"/>
          <w:noProof/>
          <w:color w:val="9D2235" w:themeColor="accent1"/>
          <w:sz w:val="16"/>
          <w:szCs w:val="16"/>
        </w:rPr>
        <w:t>8</w:t>
      </w:r>
      <w:r w:rsidR="00A52EF7" w:rsidRPr="00973028">
        <w:rPr>
          <w:rFonts w:ascii="Arial" w:hAnsi="Arial" w:cs="Arial"/>
          <w:smallCaps w:val="0"/>
          <w:color w:val="9D2235" w:themeColor="accent1"/>
          <w:sz w:val="16"/>
          <w:szCs w:val="16"/>
        </w:rPr>
        <w:fldChar w:fldCharType="end"/>
      </w:r>
      <w:r w:rsidR="00FA4531">
        <w:rPr>
          <w:rFonts w:ascii="Arial" w:hAnsi="Arial" w:cs="Arial"/>
          <w:smallCaps w:val="0"/>
          <w:color w:val="9D2235" w:themeColor="accent1"/>
          <w:sz w:val="16"/>
          <w:szCs w:val="16"/>
        </w:rPr>
        <w:t>.</w:t>
      </w:r>
      <w:r w:rsidRPr="00973028">
        <w:rPr>
          <w:rFonts w:ascii="Arial" w:hAnsi="Arial" w:cs="Arial"/>
          <w:smallCaps w:val="0"/>
          <w:color w:val="9D2235" w:themeColor="accent1"/>
          <w:sz w:val="16"/>
          <w:szCs w:val="16"/>
        </w:rPr>
        <w:t xml:space="preserve"> </w:t>
      </w:r>
      <w:r w:rsidRPr="00973028">
        <w:rPr>
          <w:rFonts w:ascii="Arial" w:hAnsi="Arial" w:cs="Arial"/>
          <w:smallCaps w:val="0"/>
          <w:sz w:val="16"/>
          <w:szCs w:val="16"/>
        </w:rPr>
        <w:t xml:space="preserve">VI Encuentro de la Red de Oficinas y Agencias </w:t>
      </w:r>
      <w:r w:rsidR="00E74AA5" w:rsidRPr="00973028">
        <w:rPr>
          <w:rFonts w:ascii="Arial" w:hAnsi="Arial" w:cs="Arial"/>
          <w:smallCaps w:val="0"/>
          <w:sz w:val="16"/>
          <w:szCs w:val="16"/>
        </w:rPr>
        <w:t>Anticorrupción</w:t>
      </w:r>
      <w:r w:rsidRPr="00973028">
        <w:rPr>
          <w:rFonts w:ascii="Arial" w:hAnsi="Arial" w:cs="Arial"/>
          <w:smallCaps w:val="0"/>
          <w:sz w:val="16"/>
          <w:szCs w:val="16"/>
        </w:rPr>
        <w:t xml:space="preserve"> de España</w:t>
      </w:r>
      <w:bookmarkEnd w:id="195"/>
    </w:p>
    <w:p w14:paraId="2974B1B6" w14:textId="77777777" w:rsidR="005D6A9A" w:rsidRPr="00973028" w:rsidRDefault="005D6A9A" w:rsidP="004522FD">
      <w:pPr>
        <w:spacing w:after="240" w:line="276" w:lineRule="auto"/>
        <w:jc w:val="both"/>
        <w:rPr>
          <w:rFonts w:ascii="Arial" w:eastAsia="Times New Roman" w:hAnsi="Arial" w:cs="Arial"/>
          <w:smallCaps/>
          <w:sz w:val="21"/>
          <w:szCs w:val="21"/>
          <w:lang w:eastAsia="es-ES"/>
        </w:rPr>
      </w:pPr>
    </w:p>
    <w:p w14:paraId="5B655B0F" w14:textId="62686FDC" w:rsidR="003621D6" w:rsidRDefault="00B9275E" w:rsidP="004522FD">
      <w:pPr>
        <w:spacing w:after="240" w:line="276" w:lineRule="auto"/>
        <w:jc w:val="both"/>
        <w:rPr>
          <w:rFonts w:ascii="Arial" w:eastAsia="Times New Roman" w:hAnsi="Arial" w:cs="Arial"/>
          <w:smallCaps/>
          <w:sz w:val="21"/>
          <w:szCs w:val="21"/>
          <w:lang w:eastAsia="es-ES"/>
        </w:rPr>
      </w:pPr>
      <w:r w:rsidRPr="00973028">
        <w:rPr>
          <w:rFonts w:ascii="Arial" w:eastAsia="Times New Roman" w:hAnsi="Arial" w:cs="Arial"/>
          <w:smallCaps/>
          <w:sz w:val="21"/>
          <w:szCs w:val="21"/>
          <w:lang w:eastAsia="es-ES"/>
        </w:rPr>
        <w:t>Enlace a la nota de prensa</w:t>
      </w:r>
      <w:r w:rsidR="003621D6">
        <w:rPr>
          <w:rFonts w:ascii="Arial" w:eastAsia="Times New Roman" w:hAnsi="Arial" w:cs="Arial"/>
          <w:smallCaps/>
          <w:sz w:val="21"/>
          <w:szCs w:val="21"/>
          <w:lang w:eastAsia="es-ES"/>
        </w:rPr>
        <w:t xml:space="preserve"> </w:t>
      </w:r>
      <w:hyperlink r:id="rId171" w:history="1">
        <w:r w:rsidR="003621D6" w:rsidRPr="003621D6">
          <w:rPr>
            <w:rStyle w:val="Hipervnculo"/>
            <w:rFonts w:ascii="Arial" w:eastAsia="Times New Roman" w:hAnsi="Arial" w:cs="Arial"/>
            <w:smallCaps/>
            <w:sz w:val="21"/>
            <w:szCs w:val="21"/>
            <w:lang w:eastAsia="es-ES"/>
          </w:rPr>
          <w:t>aquí</w:t>
        </w:r>
      </w:hyperlink>
      <w:r w:rsidR="003621D6">
        <w:rPr>
          <w:rFonts w:ascii="Arial" w:eastAsia="Times New Roman" w:hAnsi="Arial" w:cs="Arial"/>
          <w:smallCaps/>
          <w:sz w:val="21"/>
          <w:szCs w:val="21"/>
          <w:lang w:eastAsia="es-ES"/>
        </w:rPr>
        <w:t>.</w:t>
      </w:r>
    </w:p>
    <w:p w14:paraId="261456A6" w14:textId="09527F9E" w:rsidR="00B9275E" w:rsidRPr="00973028" w:rsidRDefault="00B9275E" w:rsidP="00672ABA">
      <w:pPr>
        <w:pStyle w:val="Prrafodelista"/>
        <w:numPr>
          <w:ilvl w:val="1"/>
          <w:numId w:val="25"/>
        </w:numPr>
        <w:spacing w:before="360" w:after="240" w:line="276" w:lineRule="auto"/>
        <w:ind w:left="851" w:hanging="851"/>
        <w:contextualSpacing w:val="0"/>
        <w:jc w:val="both"/>
        <w:outlineLvl w:val="1"/>
        <w:rPr>
          <w:rFonts w:ascii="Arial" w:eastAsia="Times New Roman" w:hAnsi="Arial" w:cs="Arial"/>
          <w:b/>
          <w:color w:val="9D2235" w:themeColor="accent1"/>
          <w:sz w:val="32"/>
          <w:szCs w:val="32"/>
        </w:rPr>
      </w:pPr>
      <w:bookmarkStart w:id="196" w:name="_Toc67646305"/>
      <w:r w:rsidRPr="00973028">
        <w:rPr>
          <w:rFonts w:ascii="Arial" w:eastAsia="Times New Roman" w:hAnsi="Arial" w:cs="Arial"/>
          <w:b/>
          <w:color w:val="9D2235" w:themeColor="accent1"/>
          <w:sz w:val="32"/>
          <w:szCs w:val="32"/>
        </w:rPr>
        <w:t>Actividad nacional e internacional</w:t>
      </w:r>
      <w:bookmarkEnd w:id="196"/>
    </w:p>
    <w:p w14:paraId="219F7A3B" w14:textId="36BE31B0" w:rsidR="00B9275E" w:rsidRPr="00973028" w:rsidRDefault="00B9275E" w:rsidP="00672ABA">
      <w:pPr>
        <w:pStyle w:val="Prrafodelista"/>
        <w:numPr>
          <w:ilvl w:val="2"/>
          <w:numId w:val="25"/>
        </w:numPr>
        <w:spacing w:before="360" w:after="240" w:line="276" w:lineRule="auto"/>
        <w:ind w:left="851" w:hanging="851"/>
        <w:contextualSpacing w:val="0"/>
        <w:jc w:val="both"/>
        <w:outlineLvl w:val="2"/>
        <w:rPr>
          <w:rFonts w:ascii="Arial" w:eastAsia="Times New Roman" w:hAnsi="Arial" w:cs="Arial"/>
          <w:b/>
          <w:color w:val="9D2235" w:themeColor="accent1"/>
          <w:sz w:val="28"/>
          <w:szCs w:val="28"/>
        </w:rPr>
      </w:pPr>
      <w:bookmarkStart w:id="197" w:name="_Toc67646306"/>
      <w:r w:rsidRPr="00973028">
        <w:rPr>
          <w:rFonts w:ascii="Arial" w:eastAsia="Times New Roman" w:hAnsi="Arial" w:cs="Arial"/>
          <w:b/>
          <w:color w:val="9D2235" w:themeColor="accent1"/>
          <w:sz w:val="28"/>
          <w:szCs w:val="28"/>
        </w:rPr>
        <w:t>Firma de convenios y protocolos de colaboración</w:t>
      </w:r>
      <w:bookmarkEnd w:id="197"/>
    </w:p>
    <w:p w14:paraId="527EF200" w14:textId="4C304095" w:rsidR="00B9275E" w:rsidRPr="00973028" w:rsidRDefault="00B9275E" w:rsidP="004522FD">
      <w:pPr>
        <w:pStyle w:val="Texto"/>
        <w:spacing w:after="240"/>
        <w:rPr>
          <w:rFonts w:ascii="Arial" w:hAnsi="Arial" w:cs="Arial"/>
        </w:rPr>
      </w:pPr>
      <w:r w:rsidRPr="00973028">
        <w:rPr>
          <w:rFonts w:ascii="Arial" w:hAnsi="Arial" w:cs="Arial"/>
        </w:rPr>
        <w:t>Los convenios y protocolos de colaboración firmados por la Agencia a lo largo del año 2020 han sido los siguientes:</w:t>
      </w:r>
    </w:p>
    <w:p w14:paraId="6B16BF0B" w14:textId="77777777" w:rsidR="00B9275E" w:rsidRPr="003B38E5" w:rsidRDefault="00B9275E" w:rsidP="0078230B">
      <w:pPr>
        <w:pStyle w:val="Texto"/>
        <w:rPr>
          <w:rFonts w:ascii="Arial" w:hAnsi="Arial" w:cs="Arial"/>
          <w:b/>
          <w:bCs/>
          <w:color w:val="9D2235" w:themeColor="accent1"/>
        </w:rPr>
      </w:pPr>
      <w:r w:rsidRPr="003B38E5">
        <w:rPr>
          <w:rFonts w:ascii="Arial" w:hAnsi="Arial" w:cs="Arial"/>
          <w:b/>
          <w:bCs/>
          <w:color w:val="9D2235" w:themeColor="accent1"/>
        </w:rPr>
        <w:t>11 de marzo</w:t>
      </w:r>
    </w:p>
    <w:p w14:paraId="62ABE90D" w14:textId="7B5C0902" w:rsidR="00B9275E" w:rsidRPr="0078230B" w:rsidRDefault="003B38E5" w:rsidP="0078230B">
      <w:pPr>
        <w:pStyle w:val="Texto"/>
        <w:spacing w:after="120"/>
        <w:rPr>
          <w:rFonts w:ascii="Arial" w:hAnsi="Arial" w:cs="Arial"/>
          <w:b/>
          <w:bCs/>
          <w:color w:val="9D2235" w:themeColor="accent1"/>
        </w:rPr>
      </w:pPr>
      <w:r w:rsidRPr="0078230B">
        <w:rPr>
          <w:rFonts w:ascii="Arial" w:hAnsi="Arial" w:cs="Arial"/>
          <w:b/>
          <w:bCs/>
          <w:color w:val="9D2235" w:themeColor="accent1"/>
        </w:rPr>
        <w:t>Convenio con</w:t>
      </w:r>
      <w:r w:rsidR="00B9275E" w:rsidRPr="0078230B">
        <w:rPr>
          <w:rFonts w:ascii="Arial" w:hAnsi="Arial" w:cs="Arial"/>
          <w:b/>
          <w:bCs/>
          <w:color w:val="9D2235" w:themeColor="accent1"/>
        </w:rPr>
        <w:t xml:space="preserve"> </w:t>
      </w:r>
      <w:r>
        <w:rPr>
          <w:rFonts w:ascii="Arial" w:hAnsi="Arial" w:cs="Arial"/>
          <w:b/>
          <w:bCs/>
          <w:color w:val="9D2235" w:themeColor="accent1"/>
        </w:rPr>
        <w:t xml:space="preserve">la </w:t>
      </w:r>
      <w:r w:rsidR="00B9275E" w:rsidRPr="0078230B">
        <w:rPr>
          <w:rFonts w:ascii="Arial" w:hAnsi="Arial" w:cs="Arial"/>
          <w:b/>
          <w:bCs/>
          <w:color w:val="9D2235" w:themeColor="accent1"/>
        </w:rPr>
        <w:t>UNIVERSITAT CEU CARDENAL HERRERA</w:t>
      </w:r>
    </w:p>
    <w:p w14:paraId="781892D4" w14:textId="6AEA09D2" w:rsidR="00B9275E" w:rsidRPr="00973028" w:rsidRDefault="001400EF" w:rsidP="00B67257">
      <w:pPr>
        <w:tabs>
          <w:tab w:val="left" w:pos="567"/>
        </w:tabs>
        <w:spacing w:after="0" w:line="276" w:lineRule="auto"/>
        <w:ind w:left="567" w:hanging="567"/>
        <w:jc w:val="both"/>
        <w:rPr>
          <w:rFonts w:ascii="Arial" w:eastAsia="Times New Roman" w:hAnsi="Arial" w:cs="Arial"/>
          <w:sz w:val="21"/>
          <w:szCs w:val="21"/>
          <w:lang w:eastAsia="es-ES"/>
        </w:rPr>
      </w:pPr>
      <w:hyperlink r:id="rId172" w:anchor="boc/iniciativa/clau/190130338384072" w:history="1">
        <w:r w:rsidR="00B9275E" w:rsidRPr="003621D6">
          <w:rPr>
            <w:rStyle w:val="Hipervnculo"/>
            <w:rFonts w:ascii="Arial" w:eastAsia="Times New Roman" w:hAnsi="Arial" w:cs="Arial"/>
            <w:sz w:val="21"/>
            <w:szCs w:val="21"/>
            <w:lang w:eastAsia="es-ES"/>
          </w:rPr>
          <w:t>Convenio marco de colaboración</w:t>
        </w:r>
      </w:hyperlink>
      <w:r w:rsidR="00495113">
        <w:rPr>
          <w:rStyle w:val="Hipervnculo"/>
          <w:rFonts w:ascii="Arial" w:eastAsia="Times New Roman" w:hAnsi="Arial" w:cs="Arial"/>
          <w:sz w:val="21"/>
          <w:szCs w:val="21"/>
          <w:lang w:eastAsia="es-ES"/>
        </w:rPr>
        <w:t>.</w:t>
      </w:r>
      <w:r w:rsidR="00B9275E" w:rsidRPr="00973028">
        <w:rPr>
          <w:rFonts w:ascii="Arial" w:eastAsia="Times New Roman" w:hAnsi="Arial" w:cs="Arial"/>
          <w:sz w:val="21"/>
          <w:szCs w:val="21"/>
          <w:lang w:eastAsia="es-ES"/>
        </w:rPr>
        <w:t xml:space="preserve"> </w:t>
      </w:r>
    </w:p>
    <w:p w14:paraId="796CAE8A" w14:textId="77777777" w:rsidR="00B9275E" w:rsidRPr="00973028" w:rsidRDefault="00B9275E" w:rsidP="004522FD">
      <w:pPr>
        <w:spacing w:after="240" w:line="276" w:lineRule="auto"/>
        <w:jc w:val="both"/>
        <w:rPr>
          <w:rStyle w:val="EnlacedeInternet"/>
          <w:rFonts w:ascii="Arial" w:hAnsi="Arial" w:cs="Arial"/>
          <w:sz w:val="21"/>
          <w:szCs w:val="21"/>
        </w:rPr>
      </w:pPr>
    </w:p>
    <w:p w14:paraId="780DB1AD" w14:textId="77777777" w:rsidR="00621044" w:rsidRPr="00973028" w:rsidRDefault="00B9275E" w:rsidP="00621044">
      <w:pPr>
        <w:keepNext/>
        <w:spacing w:after="240" w:line="276" w:lineRule="auto"/>
        <w:jc w:val="center"/>
      </w:pPr>
      <w:r w:rsidRPr="00973028">
        <w:rPr>
          <w:rFonts w:ascii="Arial" w:hAnsi="Arial" w:cs="Arial"/>
          <w:noProof/>
          <w:sz w:val="21"/>
          <w:szCs w:val="21"/>
        </w:rPr>
        <w:lastRenderedPageBreak/>
        <w:drawing>
          <wp:inline distT="0" distB="0" distL="0" distR="0" wp14:anchorId="7E927661" wp14:editId="352C2F7A">
            <wp:extent cx="5323648" cy="3452884"/>
            <wp:effectExtent l="0" t="0" r="0" b="0"/>
            <wp:docPr id="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1"/>
                    <pic:cNvPicPr>
                      <a:picLocks noChangeAspect="1" noChangeArrowheads="1"/>
                    </pic:cNvPicPr>
                  </pic:nvPicPr>
                  <pic:blipFill>
                    <a:blip r:embed="rId173"/>
                    <a:stretch>
                      <a:fillRect/>
                    </a:stretch>
                  </pic:blipFill>
                  <pic:spPr bwMode="auto">
                    <a:xfrm>
                      <a:off x="0" y="0"/>
                      <a:ext cx="5617813" cy="3643677"/>
                    </a:xfrm>
                    <a:prstGeom prst="rect">
                      <a:avLst/>
                    </a:prstGeom>
                  </pic:spPr>
                </pic:pic>
              </a:graphicData>
            </a:graphic>
          </wp:inline>
        </w:drawing>
      </w:r>
    </w:p>
    <w:p w14:paraId="5970CD2E" w14:textId="68968292" w:rsidR="00B9275E" w:rsidRPr="00973028" w:rsidRDefault="00621044" w:rsidP="004E5BF6">
      <w:pPr>
        <w:pStyle w:val="Descripcin"/>
        <w:spacing w:after="240" w:line="276" w:lineRule="auto"/>
        <w:jc w:val="center"/>
        <w:rPr>
          <w:rStyle w:val="EnlacedeInternet"/>
          <w:rFonts w:ascii="Arial" w:hAnsi="Arial" w:cs="Arial"/>
          <w:smallCaps w:val="0"/>
          <w:sz w:val="16"/>
          <w:szCs w:val="16"/>
        </w:rPr>
      </w:pPr>
      <w:bookmarkStart w:id="198" w:name="_Toc67659170"/>
      <w:r w:rsidRPr="00973028">
        <w:rPr>
          <w:rFonts w:ascii="Arial" w:hAnsi="Arial" w:cs="Arial"/>
          <w:smallCaps w:val="0"/>
          <w:color w:val="9D2235" w:themeColor="accent1"/>
          <w:sz w:val="16"/>
          <w:szCs w:val="16"/>
        </w:rPr>
        <w:t xml:space="preserve">Imagen </w:t>
      </w:r>
      <w:r w:rsidR="00A52EF7" w:rsidRPr="00973028">
        <w:rPr>
          <w:rFonts w:ascii="Arial" w:hAnsi="Arial" w:cs="Arial"/>
          <w:smallCaps w:val="0"/>
          <w:color w:val="9D2235" w:themeColor="accent1"/>
          <w:sz w:val="16"/>
          <w:szCs w:val="16"/>
        </w:rPr>
        <w:fldChar w:fldCharType="begin"/>
      </w:r>
      <w:r w:rsidR="00A52EF7" w:rsidRPr="00973028">
        <w:rPr>
          <w:rFonts w:ascii="Arial" w:hAnsi="Arial" w:cs="Arial"/>
          <w:smallCaps w:val="0"/>
          <w:color w:val="9D2235" w:themeColor="accent1"/>
          <w:sz w:val="16"/>
          <w:szCs w:val="16"/>
        </w:rPr>
        <w:instrText xml:space="preserve"> SEQ Imagen \* ARABIC </w:instrText>
      </w:r>
      <w:r w:rsidR="00A52EF7" w:rsidRPr="00973028">
        <w:rPr>
          <w:rFonts w:ascii="Arial" w:hAnsi="Arial" w:cs="Arial"/>
          <w:smallCaps w:val="0"/>
          <w:color w:val="9D2235" w:themeColor="accent1"/>
          <w:sz w:val="16"/>
          <w:szCs w:val="16"/>
        </w:rPr>
        <w:fldChar w:fldCharType="separate"/>
      </w:r>
      <w:r w:rsidR="00096F00">
        <w:rPr>
          <w:rFonts w:ascii="Arial" w:hAnsi="Arial" w:cs="Arial"/>
          <w:smallCaps w:val="0"/>
          <w:noProof/>
          <w:color w:val="9D2235" w:themeColor="accent1"/>
          <w:sz w:val="16"/>
          <w:szCs w:val="16"/>
        </w:rPr>
        <w:t>9</w:t>
      </w:r>
      <w:r w:rsidR="00A52EF7" w:rsidRPr="00973028">
        <w:rPr>
          <w:rFonts w:ascii="Arial" w:hAnsi="Arial" w:cs="Arial"/>
          <w:smallCaps w:val="0"/>
          <w:color w:val="9D2235" w:themeColor="accent1"/>
          <w:sz w:val="16"/>
          <w:szCs w:val="16"/>
        </w:rPr>
        <w:fldChar w:fldCharType="end"/>
      </w:r>
      <w:r w:rsidR="00FA4531">
        <w:rPr>
          <w:rFonts w:ascii="Arial" w:hAnsi="Arial" w:cs="Arial"/>
          <w:smallCaps w:val="0"/>
          <w:color w:val="9D2235" w:themeColor="accent1"/>
          <w:sz w:val="16"/>
          <w:szCs w:val="16"/>
        </w:rPr>
        <w:t>.</w:t>
      </w:r>
      <w:r w:rsidRPr="00973028">
        <w:rPr>
          <w:rFonts w:ascii="Arial" w:hAnsi="Arial" w:cs="Arial"/>
          <w:smallCaps w:val="0"/>
          <w:color w:val="9D2235" w:themeColor="accent1"/>
          <w:sz w:val="16"/>
          <w:szCs w:val="16"/>
        </w:rPr>
        <w:t xml:space="preserve"> </w:t>
      </w:r>
      <w:r w:rsidRPr="00973028">
        <w:rPr>
          <w:rFonts w:ascii="Arial" w:hAnsi="Arial" w:cs="Arial"/>
          <w:smallCaps w:val="0"/>
          <w:sz w:val="16"/>
          <w:szCs w:val="16"/>
        </w:rPr>
        <w:t xml:space="preserve">El director de la AVAF junto al </w:t>
      </w:r>
      <w:r w:rsidR="002A4453" w:rsidRPr="00973028">
        <w:rPr>
          <w:rFonts w:ascii="Arial" w:hAnsi="Arial" w:cs="Arial"/>
          <w:smallCaps w:val="0"/>
          <w:sz w:val="16"/>
          <w:szCs w:val="16"/>
        </w:rPr>
        <w:t>R</w:t>
      </w:r>
      <w:r w:rsidRPr="00973028">
        <w:rPr>
          <w:rFonts w:ascii="Arial" w:hAnsi="Arial" w:cs="Arial"/>
          <w:smallCaps w:val="0"/>
          <w:sz w:val="16"/>
          <w:szCs w:val="16"/>
        </w:rPr>
        <w:t xml:space="preserve">ector de la Universitat CEU Cardenal Herrera, </w:t>
      </w:r>
      <w:r w:rsidR="00D41D9E" w:rsidRPr="00973028">
        <w:rPr>
          <w:rFonts w:ascii="Arial" w:hAnsi="Arial" w:cs="Arial"/>
          <w:smallCaps w:val="0"/>
          <w:sz w:val="16"/>
          <w:szCs w:val="16"/>
        </w:rPr>
        <w:br/>
      </w:r>
      <w:r w:rsidRPr="00973028">
        <w:rPr>
          <w:rFonts w:ascii="Arial" w:hAnsi="Arial" w:cs="Arial"/>
          <w:smallCaps w:val="0"/>
          <w:sz w:val="16"/>
          <w:szCs w:val="16"/>
        </w:rPr>
        <w:t>Excmo. Sr. Vicente Navarro Luján</w:t>
      </w:r>
      <w:bookmarkEnd w:id="198"/>
    </w:p>
    <w:p w14:paraId="44D56D45" w14:textId="77777777" w:rsidR="00B9275E" w:rsidRPr="003B38E5" w:rsidRDefault="00B9275E" w:rsidP="00065886">
      <w:pPr>
        <w:pStyle w:val="Texto"/>
        <w:rPr>
          <w:rFonts w:ascii="Arial" w:hAnsi="Arial" w:cs="Arial"/>
          <w:b/>
          <w:bCs/>
          <w:color w:val="9D2235" w:themeColor="accent1"/>
        </w:rPr>
      </w:pPr>
      <w:r w:rsidRPr="003B38E5">
        <w:rPr>
          <w:rFonts w:ascii="Arial" w:hAnsi="Arial" w:cs="Arial"/>
          <w:b/>
          <w:bCs/>
          <w:color w:val="9D2235" w:themeColor="accent1"/>
        </w:rPr>
        <w:t>24 de abril</w:t>
      </w:r>
    </w:p>
    <w:p w14:paraId="4ACDCABB" w14:textId="1CE90DB0" w:rsidR="00B9275E" w:rsidRPr="00065886" w:rsidRDefault="003B38E5" w:rsidP="00065886">
      <w:pPr>
        <w:spacing w:after="120" w:line="276" w:lineRule="auto"/>
        <w:rPr>
          <w:rFonts w:ascii="Arial" w:hAnsi="Arial" w:cs="Arial"/>
          <w:b/>
          <w:bCs/>
          <w:color w:val="9D2235" w:themeColor="accent1"/>
          <w:sz w:val="21"/>
          <w:szCs w:val="21"/>
        </w:rPr>
      </w:pPr>
      <w:r w:rsidRPr="00065886">
        <w:rPr>
          <w:rFonts w:ascii="Arial" w:hAnsi="Arial" w:cs="Arial"/>
          <w:b/>
          <w:bCs/>
          <w:color w:val="9D2235" w:themeColor="accent1"/>
          <w:sz w:val="21"/>
          <w:szCs w:val="21"/>
        </w:rPr>
        <w:t xml:space="preserve">Protocolo con </w:t>
      </w:r>
      <w:r>
        <w:rPr>
          <w:rFonts w:ascii="Arial" w:hAnsi="Arial" w:cs="Arial"/>
          <w:b/>
          <w:bCs/>
          <w:color w:val="9D2235" w:themeColor="accent1"/>
          <w:sz w:val="21"/>
          <w:szCs w:val="21"/>
        </w:rPr>
        <w:t>la S</w:t>
      </w:r>
      <w:r w:rsidRPr="00065886">
        <w:rPr>
          <w:rFonts w:ascii="Arial" w:hAnsi="Arial" w:cs="Arial"/>
          <w:b/>
          <w:bCs/>
          <w:color w:val="9D2235" w:themeColor="accent1"/>
          <w:sz w:val="21"/>
          <w:szCs w:val="21"/>
        </w:rPr>
        <w:t xml:space="preserve">indicatura de </w:t>
      </w:r>
      <w:r>
        <w:rPr>
          <w:rFonts w:ascii="Arial" w:hAnsi="Arial" w:cs="Arial"/>
          <w:b/>
          <w:bCs/>
          <w:color w:val="9D2235" w:themeColor="accent1"/>
          <w:sz w:val="21"/>
          <w:szCs w:val="21"/>
        </w:rPr>
        <w:t>C</w:t>
      </w:r>
      <w:r w:rsidRPr="00065886">
        <w:rPr>
          <w:rFonts w:ascii="Arial" w:hAnsi="Arial" w:cs="Arial"/>
          <w:b/>
          <w:bCs/>
          <w:color w:val="9D2235" w:themeColor="accent1"/>
          <w:sz w:val="21"/>
          <w:szCs w:val="21"/>
        </w:rPr>
        <w:t xml:space="preserve">omptes de la </w:t>
      </w:r>
      <w:r>
        <w:rPr>
          <w:rFonts w:ascii="Arial" w:hAnsi="Arial" w:cs="Arial"/>
          <w:b/>
          <w:bCs/>
          <w:color w:val="9D2235" w:themeColor="accent1"/>
          <w:sz w:val="21"/>
          <w:szCs w:val="21"/>
        </w:rPr>
        <w:t>C</w:t>
      </w:r>
      <w:r w:rsidRPr="00065886">
        <w:rPr>
          <w:rFonts w:ascii="Arial" w:hAnsi="Arial" w:cs="Arial"/>
          <w:b/>
          <w:bCs/>
          <w:color w:val="9D2235" w:themeColor="accent1"/>
          <w:sz w:val="21"/>
          <w:szCs w:val="21"/>
        </w:rPr>
        <w:t xml:space="preserve">omunitat </w:t>
      </w:r>
      <w:r>
        <w:rPr>
          <w:rFonts w:ascii="Arial" w:hAnsi="Arial" w:cs="Arial"/>
          <w:b/>
          <w:bCs/>
          <w:color w:val="9D2235" w:themeColor="accent1"/>
          <w:sz w:val="21"/>
          <w:szCs w:val="21"/>
        </w:rPr>
        <w:t>V</w:t>
      </w:r>
      <w:r w:rsidRPr="00065886">
        <w:rPr>
          <w:rFonts w:ascii="Arial" w:hAnsi="Arial" w:cs="Arial"/>
          <w:b/>
          <w:bCs/>
          <w:color w:val="9D2235" w:themeColor="accent1"/>
          <w:sz w:val="21"/>
          <w:szCs w:val="21"/>
        </w:rPr>
        <w:t>alenciana</w:t>
      </w:r>
    </w:p>
    <w:p w14:paraId="53E73988" w14:textId="1A8D45F1" w:rsidR="00B9275E" w:rsidRPr="00973028" w:rsidRDefault="001400EF" w:rsidP="00065886">
      <w:pPr>
        <w:tabs>
          <w:tab w:val="left" w:pos="567"/>
        </w:tabs>
        <w:spacing w:after="0" w:line="276" w:lineRule="auto"/>
        <w:ind w:left="567" w:hanging="567"/>
        <w:jc w:val="both"/>
        <w:rPr>
          <w:rFonts w:ascii="Arial" w:eastAsia="Times New Roman" w:hAnsi="Arial" w:cs="Arial"/>
          <w:sz w:val="21"/>
          <w:szCs w:val="21"/>
          <w:lang w:eastAsia="es-ES"/>
        </w:rPr>
      </w:pPr>
      <w:hyperlink r:id="rId174" w:anchor="boc/iniciativa/clau/190074343819112" w:history="1">
        <w:r w:rsidR="00B9275E" w:rsidRPr="003621D6">
          <w:rPr>
            <w:rStyle w:val="Hipervnculo"/>
            <w:rFonts w:ascii="Arial" w:eastAsia="Times New Roman" w:hAnsi="Arial" w:cs="Arial"/>
            <w:sz w:val="21"/>
            <w:szCs w:val="21"/>
            <w:lang w:eastAsia="es-ES"/>
          </w:rPr>
          <w:t>Protocolo de colaboración</w:t>
        </w:r>
      </w:hyperlink>
      <w:r w:rsidR="003621D6">
        <w:rPr>
          <w:rFonts w:ascii="Arial" w:eastAsia="Times New Roman" w:hAnsi="Arial" w:cs="Arial"/>
          <w:sz w:val="21"/>
          <w:szCs w:val="21"/>
          <w:lang w:eastAsia="es-ES"/>
        </w:rPr>
        <w:t>.</w:t>
      </w:r>
    </w:p>
    <w:p w14:paraId="56007F77" w14:textId="77777777" w:rsidR="003621D6" w:rsidRDefault="003621D6" w:rsidP="00621044">
      <w:pPr>
        <w:pStyle w:val="Texto"/>
        <w:rPr>
          <w:rFonts w:ascii="Arial" w:hAnsi="Arial" w:cs="Arial"/>
        </w:rPr>
      </w:pPr>
    </w:p>
    <w:p w14:paraId="387BBE2A" w14:textId="0B5EFC44" w:rsidR="00B9275E" w:rsidRPr="003B38E5" w:rsidRDefault="00B9275E" w:rsidP="00621044">
      <w:pPr>
        <w:pStyle w:val="Texto"/>
        <w:rPr>
          <w:rFonts w:ascii="Arial" w:hAnsi="Arial" w:cs="Arial"/>
          <w:b/>
          <w:bCs/>
          <w:color w:val="9D2235" w:themeColor="accent1"/>
        </w:rPr>
      </w:pPr>
      <w:r w:rsidRPr="003B38E5">
        <w:rPr>
          <w:rFonts w:ascii="Arial" w:hAnsi="Arial" w:cs="Arial"/>
          <w:b/>
          <w:bCs/>
          <w:color w:val="9D2235" w:themeColor="accent1"/>
        </w:rPr>
        <w:t>29 de junio</w:t>
      </w:r>
    </w:p>
    <w:p w14:paraId="7E3B20C1" w14:textId="1057C7E4" w:rsidR="00B9275E" w:rsidRPr="00065886" w:rsidRDefault="002B3393" w:rsidP="003C28C4">
      <w:pPr>
        <w:rPr>
          <w:rFonts w:ascii="Arial" w:hAnsi="Arial" w:cs="Arial"/>
          <w:b/>
          <w:bCs/>
          <w:color w:val="9D2235" w:themeColor="accent1"/>
          <w:sz w:val="21"/>
          <w:szCs w:val="21"/>
        </w:rPr>
      </w:pPr>
      <w:r w:rsidRPr="00065886">
        <w:rPr>
          <w:rFonts w:ascii="Arial" w:hAnsi="Arial" w:cs="Arial"/>
          <w:b/>
          <w:bCs/>
          <w:color w:val="9D2235" w:themeColor="accent1"/>
          <w:sz w:val="21"/>
          <w:szCs w:val="21"/>
        </w:rPr>
        <w:t xml:space="preserve">Convenio con </w:t>
      </w:r>
      <w:r>
        <w:rPr>
          <w:rFonts w:ascii="Arial" w:hAnsi="Arial" w:cs="Arial"/>
          <w:b/>
          <w:bCs/>
          <w:color w:val="9D2235" w:themeColor="accent1"/>
          <w:sz w:val="21"/>
          <w:szCs w:val="21"/>
        </w:rPr>
        <w:t>la U</w:t>
      </w:r>
      <w:r w:rsidRPr="00065886">
        <w:rPr>
          <w:rFonts w:ascii="Arial" w:hAnsi="Arial" w:cs="Arial"/>
          <w:b/>
          <w:bCs/>
          <w:color w:val="9D2235" w:themeColor="accent1"/>
          <w:sz w:val="21"/>
          <w:szCs w:val="21"/>
        </w:rPr>
        <w:t xml:space="preserve">niversitat de </w:t>
      </w:r>
      <w:r>
        <w:rPr>
          <w:rFonts w:ascii="Arial" w:hAnsi="Arial" w:cs="Arial"/>
          <w:b/>
          <w:bCs/>
          <w:color w:val="9D2235" w:themeColor="accent1"/>
          <w:sz w:val="21"/>
          <w:szCs w:val="21"/>
        </w:rPr>
        <w:t>V</w:t>
      </w:r>
      <w:r w:rsidRPr="00065886">
        <w:rPr>
          <w:rFonts w:ascii="Arial" w:hAnsi="Arial" w:cs="Arial"/>
          <w:b/>
          <w:bCs/>
          <w:color w:val="9D2235" w:themeColor="accent1"/>
          <w:sz w:val="21"/>
          <w:szCs w:val="21"/>
        </w:rPr>
        <w:t>alència</w:t>
      </w:r>
    </w:p>
    <w:p w14:paraId="3D648D11" w14:textId="20BD1C06" w:rsidR="00B9275E" w:rsidRPr="00973028" w:rsidRDefault="001400EF" w:rsidP="00621044">
      <w:pPr>
        <w:spacing w:after="0" w:line="276" w:lineRule="auto"/>
        <w:jc w:val="both"/>
        <w:rPr>
          <w:rFonts w:ascii="Arial" w:eastAsia="Times New Roman" w:hAnsi="Arial" w:cs="Arial"/>
          <w:sz w:val="21"/>
          <w:szCs w:val="21"/>
          <w:lang w:eastAsia="es-ES"/>
        </w:rPr>
      </w:pPr>
      <w:hyperlink r:id="rId175" w:anchor="boc/iniciativa/clau/190130338417502" w:history="1">
        <w:r w:rsidR="00B9275E" w:rsidRPr="003621D6">
          <w:rPr>
            <w:rStyle w:val="Hipervnculo"/>
            <w:rFonts w:ascii="Arial" w:eastAsia="Times New Roman" w:hAnsi="Arial" w:cs="Arial"/>
            <w:sz w:val="21"/>
            <w:szCs w:val="21"/>
            <w:lang w:eastAsia="es-ES"/>
          </w:rPr>
          <w:t>Convenio de colaboración para desarrollar el proyecto “Actividades formativas para el buen gobierno y la ciudadanía en el territorio valenciano”</w:t>
        </w:r>
      </w:hyperlink>
      <w:r w:rsidR="003621D6">
        <w:rPr>
          <w:rFonts w:ascii="Arial" w:eastAsia="Times New Roman" w:hAnsi="Arial" w:cs="Arial"/>
          <w:sz w:val="21"/>
          <w:szCs w:val="21"/>
          <w:lang w:eastAsia="es-ES"/>
        </w:rPr>
        <w:t>.</w:t>
      </w:r>
    </w:p>
    <w:p w14:paraId="494BE3CC" w14:textId="77777777" w:rsidR="00621044" w:rsidRPr="00973028" w:rsidRDefault="00B9275E" w:rsidP="00621044">
      <w:pPr>
        <w:keepNext/>
        <w:spacing w:after="240" w:line="276" w:lineRule="auto"/>
        <w:jc w:val="center"/>
      </w:pPr>
      <w:r w:rsidRPr="00C45D7F">
        <w:rPr>
          <w:rFonts w:ascii="Arial" w:hAnsi="Arial" w:cs="Arial"/>
          <w:noProof/>
          <w:sz w:val="21"/>
          <w:szCs w:val="21"/>
          <w:highlight w:val="cyan"/>
        </w:rPr>
        <w:lastRenderedPageBreak/>
        <w:drawing>
          <wp:inline distT="0" distB="0" distL="0" distR="0" wp14:anchorId="13A00DAF" wp14:editId="3BD5AC5D">
            <wp:extent cx="5197674" cy="3630305"/>
            <wp:effectExtent l="0" t="0" r="3175" b="8255"/>
            <wp:docPr id="7" name="Imagen 1" descr="https://www.antifraucv.es/wp-content/uploads/2020/11/Firma_Conveni_AVAF_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https://www.antifraucv.es/wp-content/uploads/2020/11/Firma_Conveni_AVAF_UV.jpg"/>
                    <pic:cNvPicPr>
                      <a:picLocks noChangeAspect="1" noChangeArrowheads="1"/>
                    </pic:cNvPicPr>
                  </pic:nvPicPr>
                  <pic:blipFill>
                    <a:blip r:embed="rId176"/>
                    <a:stretch>
                      <a:fillRect/>
                    </a:stretch>
                  </pic:blipFill>
                  <pic:spPr bwMode="auto">
                    <a:xfrm>
                      <a:off x="0" y="0"/>
                      <a:ext cx="5349564" cy="3736392"/>
                    </a:xfrm>
                    <a:prstGeom prst="rect">
                      <a:avLst/>
                    </a:prstGeom>
                  </pic:spPr>
                </pic:pic>
              </a:graphicData>
            </a:graphic>
          </wp:inline>
        </w:drawing>
      </w:r>
    </w:p>
    <w:p w14:paraId="65FF5EE7" w14:textId="2716C0C1" w:rsidR="00621044" w:rsidRPr="00065886" w:rsidRDefault="00621044" w:rsidP="002B3393">
      <w:pPr>
        <w:pStyle w:val="Descripcin"/>
        <w:spacing w:after="240" w:line="276" w:lineRule="auto"/>
        <w:jc w:val="center"/>
        <w:rPr>
          <w:rFonts w:ascii="Arial" w:eastAsia="Times New Roman" w:hAnsi="Arial" w:cs="Arial"/>
          <w:smallCaps w:val="0"/>
          <w:sz w:val="16"/>
          <w:szCs w:val="16"/>
          <w:lang w:eastAsia="es-ES"/>
        </w:rPr>
      </w:pPr>
      <w:bookmarkStart w:id="199" w:name="_Toc67659171"/>
      <w:r w:rsidRPr="00973028">
        <w:rPr>
          <w:rFonts w:ascii="Arial" w:hAnsi="Arial" w:cs="Arial"/>
          <w:smallCaps w:val="0"/>
          <w:color w:val="9D2235" w:themeColor="accent1"/>
          <w:sz w:val="16"/>
          <w:szCs w:val="16"/>
        </w:rPr>
        <w:t xml:space="preserve">Imagen </w:t>
      </w:r>
      <w:r w:rsidR="00A52EF7" w:rsidRPr="00973028">
        <w:rPr>
          <w:rFonts w:ascii="Arial" w:hAnsi="Arial" w:cs="Arial"/>
          <w:smallCaps w:val="0"/>
          <w:color w:val="9D2235" w:themeColor="accent1"/>
          <w:sz w:val="16"/>
          <w:szCs w:val="16"/>
        </w:rPr>
        <w:fldChar w:fldCharType="begin"/>
      </w:r>
      <w:r w:rsidR="00A52EF7" w:rsidRPr="00973028">
        <w:rPr>
          <w:rFonts w:ascii="Arial" w:hAnsi="Arial" w:cs="Arial"/>
          <w:smallCaps w:val="0"/>
          <w:color w:val="9D2235" w:themeColor="accent1"/>
          <w:sz w:val="16"/>
          <w:szCs w:val="16"/>
        </w:rPr>
        <w:instrText xml:space="preserve"> SEQ Imagen \* ARABIC </w:instrText>
      </w:r>
      <w:r w:rsidR="00A52EF7" w:rsidRPr="00973028">
        <w:rPr>
          <w:rFonts w:ascii="Arial" w:hAnsi="Arial" w:cs="Arial"/>
          <w:smallCaps w:val="0"/>
          <w:color w:val="9D2235" w:themeColor="accent1"/>
          <w:sz w:val="16"/>
          <w:szCs w:val="16"/>
        </w:rPr>
        <w:fldChar w:fldCharType="separate"/>
      </w:r>
      <w:r w:rsidR="00096F00">
        <w:rPr>
          <w:rFonts w:ascii="Arial" w:hAnsi="Arial" w:cs="Arial"/>
          <w:smallCaps w:val="0"/>
          <w:noProof/>
          <w:color w:val="9D2235" w:themeColor="accent1"/>
          <w:sz w:val="16"/>
          <w:szCs w:val="16"/>
        </w:rPr>
        <w:t>10</w:t>
      </w:r>
      <w:r w:rsidR="00A52EF7" w:rsidRPr="00973028">
        <w:rPr>
          <w:rFonts w:ascii="Arial" w:hAnsi="Arial" w:cs="Arial"/>
          <w:smallCaps w:val="0"/>
          <w:color w:val="9D2235" w:themeColor="accent1"/>
          <w:sz w:val="16"/>
          <w:szCs w:val="16"/>
        </w:rPr>
        <w:fldChar w:fldCharType="end"/>
      </w:r>
      <w:r w:rsidR="00FA4531">
        <w:rPr>
          <w:rFonts w:ascii="Arial" w:hAnsi="Arial" w:cs="Arial"/>
          <w:smallCaps w:val="0"/>
          <w:color w:val="9D2235" w:themeColor="accent1"/>
          <w:sz w:val="16"/>
          <w:szCs w:val="16"/>
        </w:rPr>
        <w:t>.</w:t>
      </w:r>
      <w:r w:rsidRPr="00973028">
        <w:rPr>
          <w:rFonts w:ascii="Arial" w:hAnsi="Arial" w:cs="Arial"/>
          <w:smallCaps w:val="0"/>
          <w:color w:val="9D2235" w:themeColor="accent1"/>
          <w:sz w:val="16"/>
          <w:szCs w:val="16"/>
        </w:rPr>
        <w:t xml:space="preserve"> </w:t>
      </w:r>
      <w:r w:rsidRPr="00973028">
        <w:rPr>
          <w:rFonts w:ascii="Arial" w:hAnsi="Arial" w:cs="Arial"/>
          <w:smallCaps w:val="0"/>
          <w:sz w:val="16"/>
          <w:szCs w:val="16"/>
        </w:rPr>
        <w:t>El director de la AVAF y la rectora de la Universitat de València, Excma. Sra. Mª Vicenta Mestre Escrivà</w:t>
      </w:r>
      <w:bookmarkEnd w:id="199"/>
    </w:p>
    <w:p w14:paraId="65F1509B" w14:textId="491FDA1D" w:rsidR="00B9275E" w:rsidRPr="002B3393" w:rsidRDefault="00B9275E" w:rsidP="00621044">
      <w:pPr>
        <w:pStyle w:val="Texto"/>
        <w:rPr>
          <w:rFonts w:ascii="Arial" w:hAnsi="Arial" w:cs="Arial"/>
          <w:b/>
          <w:bCs/>
          <w:color w:val="9D2235" w:themeColor="accent1"/>
        </w:rPr>
      </w:pPr>
      <w:r w:rsidRPr="002B3393">
        <w:rPr>
          <w:rFonts w:ascii="Arial" w:hAnsi="Arial" w:cs="Arial"/>
          <w:b/>
          <w:bCs/>
          <w:color w:val="9D2235" w:themeColor="accent1"/>
        </w:rPr>
        <w:t>7 de octubre</w:t>
      </w:r>
    </w:p>
    <w:p w14:paraId="75AE306F" w14:textId="5689D2F2" w:rsidR="00B9275E" w:rsidRPr="002B3393" w:rsidRDefault="002B3393" w:rsidP="003C28C4">
      <w:pPr>
        <w:rPr>
          <w:rFonts w:ascii="Arial" w:hAnsi="Arial" w:cs="Arial"/>
          <w:b/>
          <w:bCs/>
          <w:color w:val="9D2235" w:themeColor="accent1"/>
          <w:sz w:val="24"/>
          <w:szCs w:val="24"/>
        </w:rPr>
      </w:pPr>
      <w:r w:rsidRPr="002B3393">
        <w:rPr>
          <w:rFonts w:ascii="Arial" w:hAnsi="Arial" w:cs="Arial"/>
          <w:b/>
          <w:bCs/>
          <w:color w:val="9D2235" w:themeColor="accent1"/>
          <w:sz w:val="24"/>
          <w:szCs w:val="24"/>
        </w:rPr>
        <w:t>Convenio con</w:t>
      </w:r>
      <w:r>
        <w:rPr>
          <w:rFonts w:ascii="Arial" w:hAnsi="Arial" w:cs="Arial"/>
          <w:b/>
          <w:bCs/>
          <w:color w:val="9D2235" w:themeColor="accent1"/>
          <w:sz w:val="24"/>
          <w:szCs w:val="24"/>
        </w:rPr>
        <w:t xml:space="preserve"> el</w:t>
      </w:r>
      <w:r w:rsidRPr="002B3393">
        <w:rPr>
          <w:rFonts w:ascii="Arial" w:hAnsi="Arial" w:cs="Arial"/>
          <w:b/>
          <w:bCs/>
          <w:color w:val="9D2235" w:themeColor="accent1"/>
          <w:sz w:val="24"/>
          <w:szCs w:val="24"/>
        </w:rPr>
        <w:t xml:space="preserve"> </w:t>
      </w:r>
      <w:r>
        <w:rPr>
          <w:rFonts w:ascii="Arial" w:hAnsi="Arial" w:cs="Arial"/>
          <w:b/>
          <w:bCs/>
          <w:color w:val="9D2235" w:themeColor="accent1"/>
          <w:sz w:val="24"/>
          <w:szCs w:val="24"/>
        </w:rPr>
        <w:t>C</w:t>
      </w:r>
      <w:r w:rsidRPr="002B3393">
        <w:rPr>
          <w:rFonts w:ascii="Arial" w:hAnsi="Arial" w:cs="Arial"/>
          <w:b/>
          <w:bCs/>
          <w:color w:val="9D2235" w:themeColor="accent1"/>
          <w:sz w:val="24"/>
          <w:szCs w:val="24"/>
        </w:rPr>
        <w:t xml:space="preserve">onsejo </w:t>
      </w:r>
      <w:r>
        <w:rPr>
          <w:rFonts w:ascii="Arial" w:hAnsi="Arial" w:cs="Arial"/>
          <w:b/>
          <w:bCs/>
          <w:color w:val="9D2235" w:themeColor="accent1"/>
          <w:sz w:val="24"/>
          <w:szCs w:val="24"/>
        </w:rPr>
        <w:t>G</w:t>
      </w:r>
      <w:r w:rsidRPr="002B3393">
        <w:rPr>
          <w:rFonts w:ascii="Arial" w:hAnsi="Arial" w:cs="Arial"/>
          <w:b/>
          <w:bCs/>
          <w:color w:val="9D2235" w:themeColor="accent1"/>
          <w:sz w:val="24"/>
          <w:szCs w:val="24"/>
        </w:rPr>
        <w:t xml:space="preserve">eneral del </w:t>
      </w:r>
      <w:r>
        <w:rPr>
          <w:rFonts w:ascii="Arial" w:hAnsi="Arial" w:cs="Arial"/>
          <w:b/>
          <w:bCs/>
          <w:color w:val="9D2235" w:themeColor="accent1"/>
          <w:sz w:val="24"/>
          <w:szCs w:val="24"/>
        </w:rPr>
        <w:t>N</w:t>
      </w:r>
      <w:r w:rsidRPr="002B3393">
        <w:rPr>
          <w:rFonts w:ascii="Arial" w:hAnsi="Arial" w:cs="Arial"/>
          <w:b/>
          <w:bCs/>
          <w:color w:val="9D2235" w:themeColor="accent1"/>
          <w:sz w:val="24"/>
          <w:szCs w:val="24"/>
        </w:rPr>
        <w:t>otariado</w:t>
      </w:r>
    </w:p>
    <w:p w14:paraId="36850245" w14:textId="232BAEFA" w:rsidR="00B9275E" w:rsidRPr="00973028" w:rsidRDefault="001400EF" w:rsidP="00621044">
      <w:pPr>
        <w:spacing w:after="0" w:line="276" w:lineRule="auto"/>
        <w:jc w:val="both"/>
        <w:rPr>
          <w:rFonts w:ascii="Arial" w:eastAsia="Times New Roman" w:hAnsi="Arial" w:cs="Arial"/>
          <w:sz w:val="21"/>
          <w:szCs w:val="21"/>
          <w:lang w:eastAsia="es-ES"/>
        </w:rPr>
      </w:pPr>
      <w:hyperlink r:id="rId177" w:anchor="boc/iniciativa/clau/190228374227212" w:history="1">
        <w:r w:rsidR="00B9275E" w:rsidRPr="003621D6">
          <w:rPr>
            <w:rStyle w:val="Hipervnculo"/>
            <w:rFonts w:ascii="Arial" w:eastAsia="Times New Roman" w:hAnsi="Arial" w:cs="Arial"/>
            <w:sz w:val="21"/>
            <w:szCs w:val="21"/>
            <w:lang w:eastAsia="es-ES"/>
          </w:rPr>
          <w:t>Convenio marco sobre la utilización de bases de datos de titularidad real y personas con responsabilidad pública a los efectos de reforzar la lucha contra el fraude y la corrupción</w:t>
        </w:r>
      </w:hyperlink>
      <w:r w:rsidR="003621D6">
        <w:rPr>
          <w:rFonts w:ascii="Arial" w:eastAsia="Times New Roman" w:hAnsi="Arial" w:cs="Arial"/>
          <w:sz w:val="21"/>
          <w:szCs w:val="21"/>
          <w:lang w:eastAsia="es-ES"/>
        </w:rPr>
        <w:t>.</w:t>
      </w:r>
    </w:p>
    <w:p w14:paraId="5F0CC156" w14:textId="2985C18D" w:rsidR="00B9275E" w:rsidRPr="00973028" w:rsidRDefault="00B9275E" w:rsidP="00621044">
      <w:pPr>
        <w:spacing w:after="0" w:line="276" w:lineRule="auto"/>
        <w:jc w:val="both"/>
        <w:rPr>
          <w:rFonts w:ascii="Arial" w:eastAsia="Times New Roman" w:hAnsi="Arial" w:cs="Arial"/>
          <w:sz w:val="21"/>
          <w:szCs w:val="21"/>
          <w:lang w:eastAsia="es-ES"/>
        </w:rPr>
      </w:pPr>
    </w:p>
    <w:p w14:paraId="520ED13F" w14:textId="6A0A088A" w:rsidR="00B9275E" w:rsidRPr="00973028" w:rsidRDefault="00B9275E" w:rsidP="00672ABA">
      <w:pPr>
        <w:pStyle w:val="Prrafodelista"/>
        <w:numPr>
          <w:ilvl w:val="2"/>
          <w:numId w:val="25"/>
        </w:numPr>
        <w:spacing w:before="360" w:after="240" w:line="276" w:lineRule="auto"/>
        <w:ind w:left="851" w:hanging="851"/>
        <w:jc w:val="both"/>
        <w:outlineLvl w:val="2"/>
        <w:rPr>
          <w:rFonts w:ascii="Arial" w:eastAsia="Times New Roman" w:hAnsi="Arial" w:cs="Arial"/>
          <w:b/>
          <w:color w:val="9D2235" w:themeColor="accent1"/>
          <w:sz w:val="28"/>
          <w:szCs w:val="28"/>
        </w:rPr>
      </w:pPr>
      <w:bookmarkStart w:id="200" w:name="_Toc67646307"/>
      <w:r w:rsidRPr="00973028">
        <w:rPr>
          <w:rFonts w:ascii="Arial" w:eastAsia="Times New Roman" w:hAnsi="Arial" w:cs="Arial"/>
          <w:b/>
          <w:color w:val="9D2235" w:themeColor="accent1"/>
          <w:sz w:val="28"/>
          <w:szCs w:val="28"/>
        </w:rPr>
        <w:t>Organización Internacional EPAC / EACN</w:t>
      </w:r>
      <w:bookmarkEnd w:id="200"/>
    </w:p>
    <w:p w14:paraId="0E382BBA" w14:textId="19917CCF" w:rsidR="00B9275E" w:rsidRPr="00973028" w:rsidRDefault="00B9275E" w:rsidP="004522FD">
      <w:pPr>
        <w:spacing w:after="240" w:line="276" w:lineRule="auto"/>
        <w:jc w:val="both"/>
        <w:rPr>
          <w:rFonts w:ascii="Arial" w:hAnsi="Arial" w:cs="Arial"/>
          <w:sz w:val="21"/>
          <w:szCs w:val="21"/>
        </w:rPr>
      </w:pPr>
      <w:r w:rsidRPr="00973028">
        <w:rPr>
          <w:rFonts w:ascii="Arial" w:eastAsia="Times New Roman" w:hAnsi="Arial" w:cs="Arial"/>
          <w:color w:val="000000"/>
          <w:sz w:val="21"/>
          <w:szCs w:val="21"/>
          <w:lang w:eastAsia="es-ES"/>
        </w:rPr>
        <w:t xml:space="preserve">En 2018, la Agencia pasó a formar parte de la </w:t>
      </w:r>
      <w:hyperlink r:id="rId178">
        <w:r w:rsidRPr="00973028">
          <w:rPr>
            <w:rStyle w:val="EnlacedeInternet"/>
            <w:rFonts w:ascii="Arial" w:eastAsia="Times New Roman" w:hAnsi="Arial" w:cs="Arial"/>
            <w:sz w:val="21"/>
            <w:szCs w:val="21"/>
            <w:lang w:eastAsia="es-ES"/>
          </w:rPr>
          <w:t>EPAC / EACN</w:t>
        </w:r>
      </w:hyperlink>
      <w:r w:rsidRPr="00973028">
        <w:rPr>
          <w:rStyle w:val="EnlacedeInternet"/>
          <w:rFonts w:ascii="Arial" w:eastAsia="Times New Roman" w:hAnsi="Arial" w:cs="Arial"/>
          <w:sz w:val="21"/>
          <w:szCs w:val="21"/>
          <w:lang w:eastAsia="es-ES"/>
        </w:rPr>
        <w:t>,</w:t>
      </w:r>
      <w:r w:rsidRPr="00973028">
        <w:rPr>
          <w:rFonts w:ascii="Arial" w:eastAsia="Times New Roman" w:hAnsi="Arial" w:cs="Arial"/>
          <w:color w:val="000000"/>
          <w:sz w:val="21"/>
          <w:szCs w:val="21"/>
          <w:lang w:eastAsia="es-ES"/>
        </w:rPr>
        <w:t xml:space="preserve"> Red europea de agencias de lucha contra el fraude y la corrupción (EPAC </w:t>
      </w:r>
      <w:r w:rsidRPr="00973028">
        <w:rPr>
          <w:rFonts w:ascii="Arial" w:eastAsia="Times New Roman" w:hAnsi="Arial" w:cs="Arial"/>
          <w:i/>
          <w:iCs/>
          <w:color w:val="000000"/>
          <w:sz w:val="21"/>
          <w:szCs w:val="21"/>
          <w:lang w:eastAsia="es-ES"/>
        </w:rPr>
        <w:t>The European Partners against Corruption</w:t>
      </w:r>
      <w:r w:rsidRPr="00973028">
        <w:rPr>
          <w:rFonts w:ascii="Arial" w:eastAsia="Times New Roman" w:hAnsi="Arial" w:cs="Arial"/>
          <w:color w:val="000000"/>
          <w:sz w:val="21"/>
          <w:szCs w:val="21"/>
          <w:lang w:eastAsia="es-ES"/>
        </w:rPr>
        <w:t xml:space="preserve">, Socios europeos contra la corrupción - EACN </w:t>
      </w:r>
      <w:r w:rsidRPr="00973028">
        <w:rPr>
          <w:rFonts w:ascii="Arial" w:eastAsia="Times New Roman" w:hAnsi="Arial" w:cs="Arial"/>
          <w:i/>
          <w:iCs/>
          <w:color w:val="000000"/>
          <w:sz w:val="21"/>
          <w:szCs w:val="21"/>
          <w:lang w:eastAsia="es-ES"/>
        </w:rPr>
        <w:t>European contact-point network against corruption</w:t>
      </w:r>
      <w:r w:rsidRPr="00973028">
        <w:rPr>
          <w:rFonts w:ascii="Arial" w:eastAsia="Times New Roman" w:hAnsi="Arial" w:cs="Arial"/>
          <w:color w:val="000000"/>
          <w:sz w:val="21"/>
          <w:szCs w:val="21"/>
          <w:lang w:eastAsia="es-ES"/>
        </w:rPr>
        <w:t>, Red europea de puntos de contacto contra la corrupción).</w:t>
      </w:r>
    </w:p>
    <w:p w14:paraId="38ACE30B" w14:textId="7D6DD0CF" w:rsidR="00B9275E" w:rsidRPr="00973028" w:rsidRDefault="00B9275E" w:rsidP="004522FD">
      <w:pPr>
        <w:spacing w:after="240" w:line="276" w:lineRule="auto"/>
        <w:jc w:val="both"/>
        <w:rPr>
          <w:rFonts w:ascii="Arial" w:hAnsi="Arial" w:cs="Arial"/>
          <w:sz w:val="21"/>
          <w:szCs w:val="21"/>
        </w:rPr>
      </w:pPr>
      <w:r w:rsidRPr="00973028">
        <w:rPr>
          <w:rFonts w:ascii="Arial" w:eastAsia="Times New Roman" w:hAnsi="Arial" w:cs="Arial"/>
          <w:color w:val="000000"/>
          <w:sz w:val="21"/>
          <w:szCs w:val="21"/>
          <w:lang w:eastAsia="es-ES"/>
        </w:rPr>
        <w:t xml:space="preserve">En 2019, la Agencia colaboró con el Grupo de Trabajo “EU-Integridad” creado en la </w:t>
      </w:r>
      <w:hyperlink r:id="rId179">
        <w:r w:rsidRPr="00973028">
          <w:rPr>
            <w:rStyle w:val="EnlacedeInternet"/>
            <w:rFonts w:ascii="Arial" w:eastAsia="Times New Roman" w:hAnsi="Arial" w:cs="Arial"/>
            <w:sz w:val="21"/>
            <w:szCs w:val="21"/>
            <w:lang w:eastAsia="es-ES"/>
          </w:rPr>
          <w:t>18ª Asamblea General EPAC / ENAC</w:t>
        </w:r>
      </w:hyperlink>
      <w:r w:rsidRPr="00973028">
        <w:rPr>
          <w:rFonts w:ascii="Arial" w:eastAsia="Times New Roman" w:hAnsi="Arial" w:cs="Arial"/>
          <w:color w:val="000000"/>
          <w:sz w:val="21"/>
          <w:szCs w:val="21"/>
          <w:lang w:eastAsia="es-ES"/>
        </w:rPr>
        <w:t xml:space="preserve"> (celebrada  el 24 de octubre de 2018 en Rust, Austria) con el objetivo general de garantizar un valor añadido que genere la creación de una postura positiva en la promoción de la integridad en todos los sectores de la Unión Europea y el específico de compartir puntos de vista y experiencias, desarrollar y acordar estándares y estrategias comunes, así como promover las mejores prácticas, crear sinergias y adoptar enfoques diversificados para promover la integridad respecto a los siguientes temas en los que los divide:</w:t>
      </w:r>
    </w:p>
    <w:p w14:paraId="5B8F0106" w14:textId="77777777" w:rsidR="00B9275E" w:rsidRPr="00973028" w:rsidRDefault="00B9275E" w:rsidP="00D41D9E">
      <w:pPr>
        <w:pStyle w:val="Prrafodelista"/>
        <w:numPr>
          <w:ilvl w:val="0"/>
          <w:numId w:val="20"/>
        </w:numPr>
        <w:spacing w:after="120" w:line="276" w:lineRule="auto"/>
        <w:ind w:left="714" w:hanging="357"/>
        <w:contextualSpacing w:val="0"/>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lastRenderedPageBreak/>
        <w:t>Subgrupo 1: Apoyo y protección a los alertadores</w:t>
      </w:r>
    </w:p>
    <w:p w14:paraId="18272FD4" w14:textId="77777777" w:rsidR="00B9275E" w:rsidRPr="00973028" w:rsidRDefault="00B9275E" w:rsidP="00D41D9E">
      <w:pPr>
        <w:pStyle w:val="Prrafodelista"/>
        <w:numPr>
          <w:ilvl w:val="0"/>
          <w:numId w:val="20"/>
        </w:numPr>
        <w:spacing w:after="120" w:line="276" w:lineRule="auto"/>
        <w:ind w:left="714" w:hanging="357"/>
        <w:contextualSpacing w:val="0"/>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 xml:space="preserve">Subgrupo 2: </w:t>
      </w:r>
      <w:bookmarkStart w:id="201" w:name="_Hlk31303148"/>
      <w:r w:rsidRPr="00973028">
        <w:rPr>
          <w:rFonts w:ascii="Arial" w:eastAsia="Times New Roman" w:hAnsi="Arial" w:cs="Arial"/>
          <w:color w:val="000000"/>
          <w:sz w:val="21"/>
          <w:szCs w:val="21"/>
          <w:lang w:eastAsia="es-ES"/>
        </w:rPr>
        <w:t>Cooperación interinstitucional y estándares comunes para su mejora</w:t>
      </w:r>
      <w:bookmarkEnd w:id="201"/>
    </w:p>
    <w:p w14:paraId="32629A07" w14:textId="77777777" w:rsidR="00B9275E" w:rsidRPr="00973028" w:rsidRDefault="00B9275E" w:rsidP="00D41D9E">
      <w:pPr>
        <w:pStyle w:val="Prrafodelista"/>
        <w:numPr>
          <w:ilvl w:val="0"/>
          <w:numId w:val="20"/>
        </w:numPr>
        <w:spacing w:after="120" w:line="276" w:lineRule="auto"/>
        <w:ind w:left="714" w:hanging="357"/>
        <w:contextualSpacing w:val="0"/>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Subgrupo 3: Medidas para la gestión educativas y de valores</w:t>
      </w:r>
    </w:p>
    <w:p w14:paraId="408E5798" w14:textId="0BA6B65E" w:rsidR="00B9275E" w:rsidRPr="00973028" w:rsidRDefault="00B9275E" w:rsidP="00D41D9E">
      <w:pPr>
        <w:pStyle w:val="Prrafodelista"/>
        <w:numPr>
          <w:ilvl w:val="0"/>
          <w:numId w:val="20"/>
        </w:numPr>
        <w:spacing w:after="240" w:line="276" w:lineRule="auto"/>
        <w:ind w:left="714" w:hanging="357"/>
        <w:contextualSpacing w:val="0"/>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Subgrupo 4: Estándares de integridad y anticorrupción</w:t>
      </w:r>
    </w:p>
    <w:p w14:paraId="6D8B1826" w14:textId="7486026B" w:rsidR="00B9275E" w:rsidRPr="00973028" w:rsidRDefault="00B9275E" w:rsidP="004522FD">
      <w:pPr>
        <w:spacing w:after="240" w:line="276" w:lineRule="auto"/>
        <w:jc w:val="both"/>
        <w:rPr>
          <w:rFonts w:ascii="Arial" w:hAnsi="Arial" w:cs="Arial"/>
          <w:sz w:val="21"/>
          <w:szCs w:val="21"/>
        </w:rPr>
      </w:pPr>
      <w:r w:rsidRPr="00973028">
        <w:rPr>
          <w:rFonts w:ascii="Arial" w:eastAsia="Times New Roman" w:hAnsi="Arial" w:cs="Arial"/>
          <w:color w:val="000000"/>
          <w:sz w:val="21"/>
          <w:szCs w:val="21"/>
          <w:lang w:eastAsia="es-ES"/>
        </w:rPr>
        <w:t>Desafortunadamente, en 2020 las reuniones de los subgrupos se han visto pospuestas debido a la situación de emergencia sanitaria.</w:t>
      </w:r>
    </w:p>
    <w:p w14:paraId="0C2A5482" w14:textId="77777777" w:rsidR="00B9275E" w:rsidRPr="002B3393" w:rsidRDefault="00B9275E" w:rsidP="003C28C4">
      <w:pPr>
        <w:rPr>
          <w:rFonts w:ascii="Arial" w:hAnsi="Arial" w:cs="Arial"/>
          <w:b/>
          <w:bCs/>
          <w:color w:val="9D2235" w:themeColor="accent1"/>
          <w:sz w:val="24"/>
          <w:szCs w:val="24"/>
        </w:rPr>
      </w:pPr>
      <w:r w:rsidRPr="002B3393">
        <w:rPr>
          <w:rFonts w:ascii="Arial" w:hAnsi="Arial" w:cs="Arial"/>
          <w:b/>
          <w:bCs/>
          <w:color w:val="9D2235" w:themeColor="accent1"/>
          <w:sz w:val="24"/>
          <w:szCs w:val="24"/>
        </w:rPr>
        <w:t>20ª EPAC/EACN Conferencia Profesional anual y Asamblea General</w:t>
      </w:r>
      <w:r w:rsidRPr="002B3393">
        <w:rPr>
          <w:rFonts w:ascii="Arial" w:hAnsi="Arial" w:cs="Arial"/>
          <w:b/>
          <w:bCs/>
          <w:color w:val="9D2235" w:themeColor="accent1"/>
          <w:sz w:val="24"/>
          <w:szCs w:val="24"/>
        </w:rPr>
        <w:tab/>
      </w:r>
    </w:p>
    <w:p w14:paraId="33F28BD3" w14:textId="5417B62F" w:rsidR="00B9275E" w:rsidRPr="00973028" w:rsidRDefault="00B9275E" w:rsidP="004522FD">
      <w:pPr>
        <w:spacing w:after="240" w:line="276" w:lineRule="auto"/>
        <w:jc w:val="both"/>
        <w:rPr>
          <w:rFonts w:ascii="Arial" w:eastAsia="Times New Roman" w:hAnsi="Arial" w:cs="Arial"/>
          <w:b/>
          <w:bCs/>
          <w:sz w:val="21"/>
          <w:szCs w:val="21"/>
          <w:lang w:eastAsia="es-ES"/>
        </w:rPr>
      </w:pPr>
      <w:r w:rsidRPr="00973028">
        <w:rPr>
          <w:rFonts w:ascii="Arial" w:eastAsia="Times New Roman" w:hAnsi="Arial" w:cs="Arial"/>
          <w:b/>
          <w:bCs/>
          <w:sz w:val="21"/>
          <w:szCs w:val="21"/>
          <w:lang w:eastAsia="es-ES"/>
        </w:rPr>
        <w:t>Pospuesta a 2021</w:t>
      </w:r>
    </w:p>
    <w:p w14:paraId="228A356E" w14:textId="2CB517E5" w:rsidR="00B9275E" w:rsidRPr="00973028" w:rsidRDefault="00B9275E" w:rsidP="004522FD">
      <w:pPr>
        <w:spacing w:after="240" w:line="276" w:lineRule="auto"/>
        <w:jc w:val="both"/>
        <w:rPr>
          <w:rFonts w:ascii="Arial" w:hAnsi="Arial" w:cs="Arial"/>
          <w:sz w:val="21"/>
          <w:szCs w:val="21"/>
        </w:rPr>
      </w:pPr>
      <w:r w:rsidRPr="00973028">
        <w:rPr>
          <w:rFonts w:ascii="Arial" w:eastAsia="Times New Roman" w:hAnsi="Arial" w:cs="Arial"/>
          <w:color w:val="000000"/>
          <w:sz w:val="21"/>
          <w:szCs w:val="21"/>
          <w:lang w:eastAsia="es-ES"/>
        </w:rPr>
        <w:t>También se pospuso la 20ª EPAC/EACN Conferencia Profesional anual y Asamblea General que, organizada por el Servicio de Investigación Especial de Lituania (STT), tenía que haberse celebrado en Vilnius del 1 al 3 de diciembre.</w:t>
      </w:r>
    </w:p>
    <w:p w14:paraId="00DF961E" w14:textId="6EB469FC" w:rsidR="00B9275E" w:rsidRPr="00973028" w:rsidRDefault="00B9275E" w:rsidP="004522FD">
      <w:pPr>
        <w:spacing w:after="240" w:line="276" w:lineRule="auto"/>
        <w:jc w:val="both"/>
        <w:rPr>
          <w:rFonts w:ascii="Arial" w:hAnsi="Arial" w:cs="Arial"/>
          <w:sz w:val="21"/>
          <w:szCs w:val="21"/>
        </w:rPr>
      </w:pPr>
      <w:r w:rsidRPr="00973028">
        <w:rPr>
          <w:rFonts w:ascii="Arial" w:eastAsia="Times New Roman" w:hAnsi="Arial" w:cs="Arial"/>
          <w:color w:val="000000"/>
          <w:sz w:val="21"/>
          <w:szCs w:val="21"/>
          <w:lang w:eastAsia="es-ES"/>
        </w:rPr>
        <w:t>La situación de emergencia debido a la Covid-19, junto con las medidas de seguridad impuestas por los países y las restricciones de viaje llevaron al STT a tomar esta decisión y aplazar la reunión a una fecha de 2021.</w:t>
      </w:r>
    </w:p>
    <w:p w14:paraId="26B57FB5" w14:textId="5214A7F7" w:rsidR="00B9275E" w:rsidRPr="00973028" w:rsidRDefault="00B9275E" w:rsidP="00672ABA">
      <w:pPr>
        <w:pStyle w:val="Prrafodelista"/>
        <w:numPr>
          <w:ilvl w:val="2"/>
          <w:numId w:val="25"/>
        </w:numPr>
        <w:spacing w:before="360" w:after="240" w:line="276" w:lineRule="auto"/>
        <w:ind w:left="851" w:hanging="851"/>
        <w:jc w:val="both"/>
        <w:outlineLvl w:val="2"/>
        <w:rPr>
          <w:rFonts w:ascii="Arial" w:eastAsia="Times New Roman" w:hAnsi="Arial" w:cs="Arial"/>
          <w:b/>
          <w:color w:val="9D2235" w:themeColor="accent1"/>
          <w:sz w:val="28"/>
          <w:szCs w:val="28"/>
        </w:rPr>
      </w:pPr>
      <w:bookmarkStart w:id="202" w:name="_Toc67646308"/>
      <w:r w:rsidRPr="00973028">
        <w:rPr>
          <w:rFonts w:ascii="Arial" w:eastAsia="Times New Roman" w:hAnsi="Arial" w:cs="Arial"/>
          <w:b/>
          <w:color w:val="9D2235" w:themeColor="accent1"/>
          <w:sz w:val="28"/>
          <w:szCs w:val="28"/>
        </w:rPr>
        <w:t>Organización Internacional NEIWA</w:t>
      </w:r>
      <w:bookmarkEnd w:id="202"/>
    </w:p>
    <w:p w14:paraId="0B011F0C" w14:textId="7673650D" w:rsidR="00B9275E" w:rsidRPr="00973028" w:rsidRDefault="00B9275E" w:rsidP="004522FD">
      <w:pPr>
        <w:spacing w:after="240" w:line="276" w:lineRule="auto"/>
        <w:jc w:val="both"/>
        <w:rPr>
          <w:rFonts w:ascii="Arial" w:hAnsi="Arial" w:cs="Arial"/>
          <w:sz w:val="21"/>
          <w:szCs w:val="21"/>
        </w:rPr>
      </w:pPr>
      <w:r w:rsidRPr="00973028">
        <w:rPr>
          <w:rFonts w:ascii="Arial" w:eastAsia="Times New Roman" w:hAnsi="Arial" w:cs="Arial"/>
          <w:color w:val="000000"/>
          <w:sz w:val="21"/>
          <w:szCs w:val="21"/>
          <w:lang w:eastAsia="es-ES"/>
        </w:rPr>
        <w:t xml:space="preserve">El 2019, la Unión Europea adoptó la Directiva sobre protección de las personas alertadoras de las infracciones del derecho de la Unión </w:t>
      </w:r>
      <w:r w:rsidRPr="00973028">
        <w:rPr>
          <w:rFonts w:ascii="Arial" w:eastAsia="Times New Roman" w:hAnsi="Arial" w:cs="Arial"/>
          <w:i/>
          <w:iCs/>
          <w:color w:val="000000"/>
          <w:sz w:val="21"/>
          <w:szCs w:val="21"/>
          <w:lang w:eastAsia="es-ES"/>
        </w:rPr>
        <w:t>(DIRECTIVA (UE) 2019/1937 DEL PARLAMENTO EUROPEO Y DEL CONSEJO de 23 de octubre de 2019 relativa a la protección de las personas que informen sobre infracciones del Derecho de la Unión).</w:t>
      </w:r>
      <w:r w:rsidRPr="00973028">
        <w:rPr>
          <w:rFonts w:ascii="Arial" w:eastAsia="Times New Roman" w:hAnsi="Arial" w:cs="Arial"/>
          <w:color w:val="000000"/>
          <w:sz w:val="21"/>
          <w:szCs w:val="21"/>
          <w:lang w:eastAsia="es-ES"/>
        </w:rPr>
        <w:t xml:space="preserve"> </w:t>
      </w:r>
    </w:p>
    <w:p w14:paraId="2E9AF2A7" w14:textId="43F8AD71" w:rsidR="00B9275E" w:rsidRPr="00973028" w:rsidRDefault="00B9275E" w:rsidP="004522FD">
      <w:pPr>
        <w:spacing w:after="240" w:line="276" w:lineRule="auto"/>
        <w:jc w:val="both"/>
        <w:rPr>
          <w:rFonts w:ascii="Arial" w:hAnsi="Arial" w:cs="Arial"/>
          <w:sz w:val="21"/>
          <w:szCs w:val="21"/>
        </w:rPr>
      </w:pPr>
      <w:r w:rsidRPr="00973028">
        <w:rPr>
          <w:rFonts w:ascii="Arial" w:eastAsia="Times New Roman" w:hAnsi="Arial" w:cs="Arial"/>
          <w:color w:val="000000"/>
          <w:sz w:val="21"/>
          <w:szCs w:val="21"/>
          <w:lang w:eastAsia="es-ES"/>
        </w:rPr>
        <w:t>La Red de Autoridades Europeas de Integridad y Alertadores (</w:t>
      </w:r>
      <w:hyperlink r:id="rId180">
        <w:r w:rsidRPr="00973028">
          <w:rPr>
            <w:rStyle w:val="EnlacedeInternet"/>
            <w:rFonts w:ascii="Arial" w:eastAsia="Times New Roman" w:hAnsi="Arial" w:cs="Arial"/>
            <w:sz w:val="21"/>
            <w:szCs w:val="21"/>
            <w:lang w:eastAsia="es-ES"/>
          </w:rPr>
          <w:t>NEIWA</w:t>
        </w:r>
      </w:hyperlink>
      <w:r w:rsidRPr="00973028">
        <w:rPr>
          <w:rFonts w:ascii="Arial" w:eastAsia="Times New Roman" w:hAnsi="Arial" w:cs="Arial"/>
          <w:color w:val="000000"/>
          <w:sz w:val="21"/>
          <w:szCs w:val="21"/>
          <w:lang w:eastAsia="es-ES"/>
        </w:rPr>
        <w:t>), que actualmente representa a 21 estados miembros se constituyó en mayo de ese mismo año para ofrecer una plataforma de cooperación e intercambio de conocimientos y experiencias en el campo de la integridad y la denuncia de irregularidades.</w:t>
      </w:r>
    </w:p>
    <w:p w14:paraId="208619A2" w14:textId="36229C7F" w:rsidR="00B9275E" w:rsidRPr="00973028" w:rsidRDefault="00B9275E" w:rsidP="004522FD">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NEIWA tiene como objetivo proveer a las autoridades competentes herramientas para:</w:t>
      </w:r>
    </w:p>
    <w:p w14:paraId="53923205" w14:textId="77777777" w:rsidR="00B9275E" w:rsidRPr="00973028" w:rsidRDefault="00B9275E" w:rsidP="00D41D9E">
      <w:pPr>
        <w:pStyle w:val="Prrafodelista"/>
        <w:numPr>
          <w:ilvl w:val="0"/>
          <w:numId w:val="21"/>
        </w:numPr>
        <w:spacing w:after="120" w:line="276" w:lineRule="auto"/>
        <w:ind w:left="568" w:hanging="284"/>
        <w:contextualSpacing w:val="0"/>
        <w:jc w:val="both"/>
        <w:rPr>
          <w:rFonts w:ascii="Arial" w:hAnsi="Arial" w:cs="Arial"/>
          <w:sz w:val="21"/>
          <w:szCs w:val="21"/>
        </w:rPr>
      </w:pPr>
      <w:r w:rsidRPr="00973028">
        <w:rPr>
          <w:rFonts w:ascii="Arial" w:eastAsia="Times New Roman" w:hAnsi="Arial" w:cs="Arial"/>
          <w:sz w:val="21"/>
          <w:szCs w:val="21"/>
          <w:lang w:eastAsia="es-ES"/>
        </w:rPr>
        <w:t>tener acceso a una red de autoridades similares de la Unión Europea</w:t>
      </w:r>
    </w:p>
    <w:p w14:paraId="2A95BF50" w14:textId="77777777" w:rsidR="00B9275E" w:rsidRPr="00973028" w:rsidRDefault="00B9275E" w:rsidP="00D41D9E">
      <w:pPr>
        <w:pStyle w:val="Prrafodelista"/>
        <w:numPr>
          <w:ilvl w:val="0"/>
          <w:numId w:val="21"/>
        </w:numPr>
        <w:spacing w:after="120" w:line="276" w:lineRule="auto"/>
        <w:ind w:left="568" w:hanging="284"/>
        <w:contextualSpacing w:val="0"/>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intercambiar conocimientos y experiencias prácticas sobre integridad y manejo de informes externos</w:t>
      </w:r>
    </w:p>
    <w:p w14:paraId="4DD91D34" w14:textId="77777777" w:rsidR="00B9275E" w:rsidRPr="00973028" w:rsidRDefault="00B9275E" w:rsidP="00D41D9E">
      <w:pPr>
        <w:pStyle w:val="Prrafodelista"/>
        <w:numPr>
          <w:ilvl w:val="0"/>
          <w:numId w:val="21"/>
        </w:numPr>
        <w:spacing w:after="120" w:line="276" w:lineRule="auto"/>
        <w:ind w:left="568" w:hanging="284"/>
        <w:contextualSpacing w:val="0"/>
        <w:jc w:val="both"/>
        <w:rPr>
          <w:rFonts w:ascii="Arial" w:eastAsia="Times New Roman" w:hAnsi="Arial" w:cs="Arial"/>
          <w:color w:val="000000"/>
          <w:sz w:val="21"/>
          <w:szCs w:val="21"/>
          <w:lang w:eastAsia="es-ES"/>
        </w:rPr>
      </w:pPr>
      <w:r w:rsidRPr="00973028">
        <w:rPr>
          <w:rFonts w:ascii="Arial" w:eastAsia="Times New Roman" w:hAnsi="Arial" w:cs="Arial"/>
          <w:sz w:val="21"/>
          <w:szCs w:val="21"/>
          <w:lang w:eastAsia="es-ES"/>
        </w:rPr>
        <w:t>desarrollar conjuntamente instrumentos, programas u opiniones compartidas</w:t>
      </w:r>
    </w:p>
    <w:p w14:paraId="10232220" w14:textId="465C0C8A" w:rsidR="00B9275E" w:rsidRPr="00973028" w:rsidRDefault="00B9275E" w:rsidP="00D41D9E">
      <w:pPr>
        <w:pStyle w:val="Prrafodelista"/>
        <w:numPr>
          <w:ilvl w:val="0"/>
          <w:numId w:val="21"/>
        </w:numPr>
        <w:spacing w:after="240" w:line="276" w:lineRule="auto"/>
        <w:ind w:left="568" w:hanging="284"/>
        <w:contextualSpacing w:val="0"/>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encontrar socios que participen en las revisiones trienales de los otros miembros</w:t>
      </w:r>
    </w:p>
    <w:p w14:paraId="02B64EF7" w14:textId="5459EE76" w:rsidR="00B9275E" w:rsidRPr="00973028" w:rsidRDefault="00B9275E" w:rsidP="004522FD">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Los participantes de NEIWA son "</w:t>
      </w:r>
      <w:r w:rsidRPr="00973028">
        <w:rPr>
          <w:rFonts w:ascii="Arial" w:eastAsia="Times New Roman" w:hAnsi="Arial" w:cs="Arial"/>
          <w:iCs/>
          <w:color w:val="000000"/>
          <w:sz w:val="21"/>
          <w:szCs w:val="21"/>
          <w:lang w:eastAsia="es-ES"/>
        </w:rPr>
        <w:t>autoridades competentes</w:t>
      </w:r>
      <w:r w:rsidRPr="00973028">
        <w:rPr>
          <w:rFonts w:ascii="Arial" w:eastAsia="Times New Roman" w:hAnsi="Arial" w:cs="Arial"/>
          <w:color w:val="000000"/>
          <w:sz w:val="21"/>
          <w:szCs w:val="21"/>
          <w:lang w:eastAsia="es-ES"/>
        </w:rPr>
        <w:t xml:space="preserve">", tal como indica la Directiva de la UE: “autoridades estatales que promueven y/o protegen la integridad en su estado, al menos (pero no excluido) mediante el manejo y la investigación a través de informes </w:t>
      </w:r>
      <w:r w:rsidRPr="00973028">
        <w:rPr>
          <w:rFonts w:ascii="Arial" w:eastAsia="Times New Roman" w:hAnsi="Arial" w:cs="Arial"/>
          <w:color w:val="000000"/>
          <w:sz w:val="21"/>
          <w:szCs w:val="21"/>
          <w:lang w:eastAsia="es-ES"/>
        </w:rPr>
        <w:lastRenderedPageBreak/>
        <w:t>realizados externamente y/o asesorando y protegiendo a los periodistas. NEIWA se esfuerza por involucrar todas las (futuras) autoridades competentes de la UE a participar en la red.</w:t>
      </w:r>
    </w:p>
    <w:p w14:paraId="4A0CE4A6" w14:textId="191E0707" w:rsidR="00B9275E" w:rsidRPr="00973028" w:rsidRDefault="00B9275E" w:rsidP="004522FD">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La Agencia Valenciana Antifraude forma parte de esta organización desde 2019 y participó en el año 2020 en las dos reuniones plenarias organizadas de manera virtual, así como en un grupo de trabajo (ver apartado 4 de esta Memoria, de Asuntos Jurídicos).</w:t>
      </w:r>
    </w:p>
    <w:p w14:paraId="6E62D2CA" w14:textId="2AD95F20" w:rsidR="004F7A0A" w:rsidRPr="00973028" w:rsidRDefault="00B9275E" w:rsidP="004522FD">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De dichas reuniones, se suscribieron sendas declaraciones que pueden consultarse en los siguientes enlaces:</w:t>
      </w:r>
    </w:p>
    <w:p w14:paraId="1D57D4E6" w14:textId="1C0663A5" w:rsidR="00B9275E" w:rsidRPr="002B3393" w:rsidRDefault="00B9275E" w:rsidP="004F7A0A">
      <w:pPr>
        <w:rPr>
          <w:rFonts w:ascii="Arial" w:eastAsiaTheme="majorEastAsia" w:hAnsi="Arial" w:cstheme="majorBidi"/>
          <w:b/>
          <w:bCs/>
          <w:color w:val="9D2235" w:themeColor="accent1"/>
          <w:sz w:val="24"/>
          <w:szCs w:val="24"/>
        </w:rPr>
      </w:pPr>
      <w:r w:rsidRPr="002B3393">
        <w:rPr>
          <w:rFonts w:ascii="Arial" w:hAnsi="Arial" w:cstheme="majorBidi"/>
          <w:b/>
          <w:bCs/>
          <w:color w:val="9D2235" w:themeColor="accent1"/>
          <w:sz w:val="24"/>
          <w:szCs w:val="24"/>
        </w:rPr>
        <w:t xml:space="preserve">III </w:t>
      </w:r>
      <w:r w:rsidR="00874585" w:rsidRPr="002B3393">
        <w:rPr>
          <w:rFonts w:ascii="Arial" w:hAnsi="Arial" w:cstheme="majorBidi"/>
          <w:b/>
          <w:bCs/>
          <w:color w:val="9D2235" w:themeColor="accent1"/>
          <w:sz w:val="24"/>
          <w:szCs w:val="24"/>
        </w:rPr>
        <w:t>R</w:t>
      </w:r>
      <w:r w:rsidRPr="002B3393">
        <w:rPr>
          <w:rFonts w:ascii="Arial" w:hAnsi="Arial" w:cstheme="majorBidi"/>
          <w:b/>
          <w:bCs/>
          <w:color w:val="9D2235" w:themeColor="accent1"/>
          <w:sz w:val="24"/>
          <w:szCs w:val="24"/>
        </w:rPr>
        <w:t>eunión del grupo NEIWA 26 de junio</w:t>
      </w:r>
    </w:p>
    <w:p w14:paraId="4D8F345A" w14:textId="54265578" w:rsidR="00B9275E" w:rsidRPr="002B3393" w:rsidRDefault="001400EF" w:rsidP="004B7EE2">
      <w:pPr>
        <w:spacing w:after="0" w:line="276" w:lineRule="auto"/>
        <w:jc w:val="both"/>
        <w:rPr>
          <w:rFonts w:ascii="Arial" w:eastAsia="Times New Roman" w:hAnsi="Arial" w:cs="Arial"/>
          <w:b/>
          <w:color w:val="000000"/>
          <w:sz w:val="21"/>
          <w:szCs w:val="21"/>
          <w:lang w:eastAsia="es-ES"/>
        </w:rPr>
      </w:pPr>
      <w:hyperlink r:id="rId181" w:history="1">
        <w:r w:rsidR="00B9275E" w:rsidRPr="002B3393">
          <w:rPr>
            <w:rStyle w:val="Hipervnculo"/>
            <w:rFonts w:ascii="Arial" w:eastAsia="Times New Roman" w:hAnsi="Arial" w:cs="Arial"/>
            <w:b/>
            <w:sz w:val="21"/>
            <w:szCs w:val="21"/>
            <w:lang w:eastAsia="es-ES"/>
          </w:rPr>
          <w:t>Declaración de Roma</w:t>
        </w:r>
      </w:hyperlink>
    </w:p>
    <w:p w14:paraId="5DA9D05C" w14:textId="77777777" w:rsidR="000F3C76" w:rsidRPr="002B3393" w:rsidRDefault="000F3C76" w:rsidP="004B7EE2">
      <w:pPr>
        <w:spacing w:after="0" w:line="276" w:lineRule="auto"/>
        <w:jc w:val="both"/>
        <w:rPr>
          <w:rFonts w:ascii="Arial" w:hAnsi="Arial" w:cs="Arial"/>
          <w:b/>
          <w:sz w:val="21"/>
          <w:szCs w:val="21"/>
        </w:rPr>
      </w:pPr>
    </w:p>
    <w:p w14:paraId="580A9A36" w14:textId="21AF5E6C" w:rsidR="000F3C76" w:rsidRPr="002B3393" w:rsidRDefault="00B9275E" w:rsidP="004B7EE2">
      <w:pPr>
        <w:spacing w:after="0" w:line="276" w:lineRule="auto"/>
        <w:jc w:val="both"/>
        <w:rPr>
          <w:rFonts w:ascii="Arial" w:eastAsia="Times New Roman" w:hAnsi="Arial" w:cs="Arial"/>
          <w:smallCaps/>
          <w:sz w:val="21"/>
          <w:szCs w:val="21"/>
          <w:lang w:eastAsia="es-ES"/>
        </w:rPr>
      </w:pPr>
      <w:r w:rsidRPr="002B3393">
        <w:rPr>
          <w:rFonts w:ascii="Arial" w:eastAsia="Times New Roman" w:hAnsi="Arial" w:cs="Arial"/>
          <w:smallCaps/>
          <w:sz w:val="21"/>
          <w:szCs w:val="21"/>
          <w:lang w:eastAsia="es-ES"/>
        </w:rPr>
        <w:t>Enlace a la nota de prensa</w:t>
      </w:r>
      <w:r w:rsidR="000F3C76" w:rsidRPr="002B3393">
        <w:rPr>
          <w:rFonts w:ascii="Arial" w:eastAsia="Times New Roman" w:hAnsi="Arial" w:cs="Arial"/>
          <w:smallCaps/>
          <w:sz w:val="21"/>
          <w:szCs w:val="21"/>
          <w:lang w:eastAsia="es-ES"/>
        </w:rPr>
        <w:t xml:space="preserve"> </w:t>
      </w:r>
      <w:hyperlink r:id="rId182" w:history="1">
        <w:r w:rsidR="000F3C76" w:rsidRPr="002B3393">
          <w:rPr>
            <w:rStyle w:val="Hipervnculo"/>
            <w:rFonts w:ascii="Arial" w:eastAsia="Times New Roman" w:hAnsi="Arial" w:cs="Arial"/>
            <w:smallCaps/>
            <w:sz w:val="21"/>
            <w:szCs w:val="21"/>
            <w:lang w:eastAsia="es-ES"/>
          </w:rPr>
          <w:t>aquí</w:t>
        </w:r>
      </w:hyperlink>
      <w:r w:rsidR="000F3C76" w:rsidRPr="002B3393">
        <w:rPr>
          <w:rFonts w:ascii="Arial" w:eastAsia="Times New Roman" w:hAnsi="Arial" w:cs="Arial"/>
          <w:smallCaps/>
          <w:sz w:val="21"/>
          <w:szCs w:val="21"/>
          <w:lang w:eastAsia="es-ES"/>
        </w:rPr>
        <w:t>.</w:t>
      </w:r>
    </w:p>
    <w:p w14:paraId="22D22712" w14:textId="77777777" w:rsidR="00BB3EDF" w:rsidRPr="002B3393" w:rsidRDefault="00BB3EDF" w:rsidP="004B7EE2">
      <w:pPr>
        <w:jc w:val="both"/>
        <w:rPr>
          <w:rFonts w:ascii="Arial" w:hAnsi="Arial" w:cs="Arial"/>
          <w:sz w:val="21"/>
          <w:szCs w:val="21"/>
          <w:lang w:eastAsia="es-ES"/>
        </w:rPr>
      </w:pPr>
    </w:p>
    <w:p w14:paraId="6540EDC4" w14:textId="502D7145" w:rsidR="00B9275E" w:rsidRPr="002B3393" w:rsidRDefault="00B9275E" w:rsidP="004F7A0A">
      <w:pPr>
        <w:rPr>
          <w:rFonts w:ascii="Arial" w:eastAsiaTheme="majorEastAsia" w:hAnsi="Arial" w:cstheme="majorBidi"/>
          <w:b/>
          <w:bCs/>
          <w:color w:val="9D2235" w:themeColor="accent1"/>
          <w:sz w:val="24"/>
          <w:szCs w:val="24"/>
        </w:rPr>
      </w:pPr>
      <w:r w:rsidRPr="002B3393">
        <w:rPr>
          <w:rFonts w:ascii="Arial" w:hAnsi="Arial" w:cstheme="majorBidi"/>
          <w:b/>
          <w:bCs/>
          <w:color w:val="9D2235" w:themeColor="accent1"/>
          <w:sz w:val="24"/>
          <w:szCs w:val="24"/>
        </w:rPr>
        <w:t xml:space="preserve">IV </w:t>
      </w:r>
      <w:r w:rsidR="00BB3EDF" w:rsidRPr="002B3393">
        <w:rPr>
          <w:rFonts w:ascii="Arial" w:hAnsi="Arial" w:cstheme="majorBidi"/>
          <w:b/>
          <w:bCs/>
          <w:color w:val="9D2235" w:themeColor="accent1"/>
          <w:sz w:val="24"/>
          <w:szCs w:val="24"/>
        </w:rPr>
        <w:t>R</w:t>
      </w:r>
      <w:r w:rsidRPr="002B3393">
        <w:rPr>
          <w:rFonts w:ascii="Arial" w:hAnsi="Arial" w:cstheme="majorBidi"/>
          <w:b/>
          <w:bCs/>
          <w:color w:val="9D2235" w:themeColor="accent1"/>
          <w:sz w:val="24"/>
          <w:szCs w:val="24"/>
        </w:rPr>
        <w:t>eunión del grupo NEIWA 4 de diciembre</w:t>
      </w:r>
    </w:p>
    <w:p w14:paraId="06EE6AFF" w14:textId="002986D5" w:rsidR="00B9275E" w:rsidRPr="002B3393" w:rsidRDefault="001400EF" w:rsidP="004B7EE2">
      <w:pPr>
        <w:spacing w:after="0" w:line="276" w:lineRule="auto"/>
        <w:jc w:val="both"/>
        <w:rPr>
          <w:rFonts w:ascii="Arial" w:hAnsi="Arial" w:cs="Arial"/>
          <w:b/>
          <w:sz w:val="21"/>
          <w:szCs w:val="21"/>
        </w:rPr>
      </w:pPr>
      <w:hyperlink r:id="rId183" w:history="1">
        <w:r w:rsidR="00B9275E" w:rsidRPr="002B3393">
          <w:rPr>
            <w:rStyle w:val="Hipervnculo"/>
            <w:rFonts w:ascii="Arial" w:eastAsia="Times New Roman" w:hAnsi="Arial" w:cs="Arial"/>
            <w:b/>
            <w:sz w:val="21"/>
            <w:szCs w:val="21"/>
            <w:lang w:eastAsia="es-ES"/>
          </w:rPr>
          <w:t>Declaración de Bruselas</w:t>
        </w:r>
      </w:hyperlink>
    </w:p>
    <w:p w14:paraId="180BC2AB" w14:textId="77777777" w:rsidR="00EA4CB9" w:rsidRPr="002B3393" w:rsidRDefault="00EA4CB9" w:rsidP="004B7EE2">
      <w:pPr>
        <w:spacing w:after="0" w:line="276" w:lineRule="auto"/>
        <w:jc w:val="both"/>
        <w:rPr>
          <w:rFonts w:ascii="Arial" w:eastAsia="Times New Roman" w:hAnsi="Arial" w:cs="Arial"/>
          <w:smallCaps/>
          <w:sz w:val="21"/>
          <w:szCs w:val="21"/>
          <w:lang w:eastAsia="es-ES"/>
        </w:rPr>
      </w:pPr>
    </w:p>
    <w:p w14:paraId="19FFDC8E" w14:textId="22869F65" w:rsidR="00B9275E" w:rsidRPr="002B3393" w:rsidRDefault="00B9275E" w:rsidP="004B7EE2">
      <w:pPr>
        <w:spacing w:after="0" w:line="276" w:lineRule="auto"/>
        <w:jc w:val="both"/>
        <w:rPr>
          <w:rFonts w:ascii="Arial" w:eastAsia="Times New Roman" w:hAnsi="Arial" w:cs="Arial"/>
          <w:color w:val="000000"/>
          <w:sz w:val="21"/>
          <w:szCs w:val="21"/>
          <w:lang w:eastAsia="es-ES"/>
        </w:rPr>
      </w:pPr>
      <w:r w:rsidRPr="002B3393">
        <w:rPr>
          <w:rFonts w:ascii="Arial" w:eastAsia="Times New Roman" w:hAnsi="Arial" w:cs="Arial"/>
          <w:smallCaps/>
          <w:sz w:val="21"/>
          <w:szCs w:val="21"/>
          <w:lang w:eastAsia="es-ES"/>
        </w:rPr>
        <w:t>Enlace a la nota de prensa</w:t>
      </w:r>
      <w:r w:rsidR="000F3C76" w:rsidRPr="002B3393">
        <w:rPr>
          <w:rFonts w:ascii="Arial" w:eastAsia="Times New Roman" w:hAnsi="Arial" w:cs="Arial"/>
          <w:smallCaps/>
          <w:sz w:val="21"/>
          <w:szCs w:val="21"/>
          <w:lang w:eastAsia="es-ES"/>
        </w:rPr>
        <w:t xml:space="preserve"> </w:t>
      </w:r>
      <w:hyperlink r:id="rId184" w:history="1">
        <w:r w:rsidR="000F3C76" w:rsidRPr="002B3393">
          <w:rPr>
            <w:rStyle w:val="Hipervnculo"/>
            <w:rFonts w:ascii="Arial" w:eastAsia="Times New Roman" w:hAnsi="Arial" w:cs="Arial"/>
            <w:smallCaps/>
            <w:sz w:val="21"/>
            <w:szCs w:val="21"/>
            <w:lang w:eastAsia="es-ES"/>
          </w:rPr>
          <w:t>aquí</w:t>
        </w:r>
      </w:hyperlink>
      <w:r w:rsidR="000F3C76" w:rsidRPr="002B3393">
        <w:rPr>
          <w:rFonts w:ascii="Arial" w:eastAsia="Times New Roman" w:hAnsi="Arial" w:cs="Arial"/>
          <w:smallCaps/>
          <w:sz w:val="21"/>
          <w:szCs w:val="21"/>
          <w:lang w:eastAsia="es-ES"/>
        </w:rPr>
        <w:t>.</w:t>
      </w:r>
    </w:p>
    <w:p w14:paraId="7976EEC0" w14:textId="7BCBFD44" w:rsidR="00B9275E" w:rsidRPr="002B3393" w:rsidRDefault="00B9275E" w:rsidP="00672ABA">
      <w:pPr>
        <w:pStyle w:val="Prrafodelista"/>
        <w:numPr>
          <w:ilvl w:val="2"/>
          <w:numId w:val="25"/>
        </w:numPr>
        <w:spacing w:before="360" w:after="240" w:line="276" w:lineRule="auto"/>
        <w:ind w:left="851" w:hanging="851"/>
        <w:jc w:val="both"/>
        <w:outlineLvl w:val="2"/>
        <w:rPr>
          <w:rFonts w:ascii="Arial" w:eastAsia="Times New Roman" w:hAnsi="Arial" w:cs="Arial"/>
          <w:b/>
          <w:color w:val="9D2235" w:themeColor="accent1"/>
          <w:sz w:val="28"/>
          <w:szCs w:val="28"/>
        </w:rPr>
      </w:pPr>
      <w:bookmarkStart w:id="203" w:name="_Toc62561783"/>
      <w:bookmarkStart w:id="204" w:name="_Toc67646309"/>
      <w:r w:rsidRPr="002B3393">
        <w:rPr>
          <w:rFonts w:ascii="Arial" w:eastAsia="Times New Roman" w:hAnsi="Arial" w:cs="Arial"/>
          <w:b/>
          <w:color w:val="9D2235" w:themeColor="accent1"/>
          <w:sz w:val="28"/>
          <w:szCs w:val="28"/>
        </w:rPr>
        <w:t>RECORD Project Consortium</w:t>
      </w:r>
      <w:bookmarkEnd w:id="203"/>
      <w:bookmarkEnd w:id="204"/>
      <w:r w:rsidRPr="002B3393">
        <w:rPr>
          <w:rFonts w:ascii="Arial" w:eastAsia="Times New Roman" w:hAnsi="Arial" w:cs="Arial"/>
          <w:b/>
          <w:color w:val="9D2235" w:themeColor="accent1"/>
          <w:sz w:val="28"/>
          <w:szCs w:val="28"/>
        </w:rPr>
        <w:t xml:space="preserve"> </w:t>
      </w:r>
    </w:p>
    <w:p w14:paraId="6ACF9018" w14:textId="0E4BE7B9" w:rsidR="00B9275E" w:rsidRPr="00973028" w:rsidRDefault="00B9275E" w:rsidP="004522FD">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El proyecto RECORD (</w:t>
      </w:r>
      <w:hyperlink r:id="rId185">
        <w:r w:rsidRPr="00973028">
          <w:rPr>
            <w:rStyle w:val="EnlacedeInternet"/>
            <w:rFonts w:ascii="Arial" w:eastAsia="Times New Roman" w:hAnsi="Arial" w:cs="Arial"/>
            <w:sz w:val="21"/>
            <w:szCs w:val="21"/>
            <w:lang w:eastAsia="es-ES"/>
          </w:rPr>
          <w:t>https://tenders.guru/</w:t>
        </w:r>
      </w:hyperlink>
      <w:r w:rsidRPr="00973028">
        <w:rPr>
          <w:rFonts w:ascii="Arial" w:eastAsia="Times New Roman" w:hAnsi="Arial" w:cs="Arial"/>
          <w:color w:val="000000"/>
          <w:sz w:val="21"/>
          <w:szCs w:val="21"/>
          <w:lang w:eastAsia="es-ES"/>
        </w:rPr>
        <w:t>), financiado por la Unión Europea y coordinado por el Consorcio de cinco ONG con sede en cuatro países europeos [K-Monitor (Hungría), Fundación ePaństwo (Polonia), Funky Citizens (Rumanía), Access Info Europe (España) y Civio (España)] celebró una reunión de expertos el 29 de junio a la que invitaron a participar a la AVAF con el objetivo de recabar la opinión y comentarios de la Agencia a su proyecto, reconociendo la experiencia de la misma en el campo que analizan.</w:t>
      </w:r>
    </w:p>
    <w:p w14:paraId="6BDC9348" w14:textId="11054FE5" w:rsidR="00B9275E" w:rsidRPr="00973028" w:rsidRDefault="00B9275E" w:rsidP="004522FD">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El proyecto RECORD tiene como objetivo reducir los riesgos de corrupción mediante el diseño de una herramienta informática para el análisis de datos de la contratación pública, analizando los procesos a nivel local, redactando una serie de recomendaciones para los responsables políticos y legisladores de los gobiernos locales y nacionales y para la Unión Europea, en el marco legal para la contratación pública, el control de los beneficiarios, el acceso a la información, el seguimiento de los fondos de la UE y la protección de denunciantes.</w:t>
      </w:r>
    </w:p>
    <w:p w14:paraId="2EDC1A7B" w14:textId="13D6B3B3" w:rsidR="00B9275E" w:rsidRPr="00973028" w:rsidRDefault="00B9275E" w:rsidP="004522FD">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lastRenderedPageBreak/>
        <w:t>En la reunión, se presentó su trabajo y los procesos de análisis de datos en contratación pública en cuatro capitales. Los resultados mostraron cómo funciona la herramienta y cómo puede apoyar el aumento de la transparencia en el gasto de los fondos públicos.</w:t>
      </w:r>
    </w:p>
    <w:p w14:paraId="474DB997" w14:textId="7B262D10" w:rsidR="00B9275E" w:rsidRDefault="00B9275E" w:rsidP="004522FD">
      <w:pPr>
        <w:spacing w:after="240" w:line="276" w:lineRule="auto"/>
        <w:jc w:val="both"/>
        <w:rPr>
          <w:rFonts w:ascii="Arial" w:eastAsia="Times New Roman" w:hAnsi="Arial" w:cs="Arial"/>
          <w:color w:val="000000"/>
          <w:sz w:val="21"/>
          <w:szCs w:val="21"/>
          <w:lang w:eastAsia="es-ES"/>
        </w:rPr>
      </w:pPr>
      <w:r w:rsidRPr="00973028">
        <w:rPr>
          <w:rFonts w:ascii="Arial" w:eastAsia="Times New Roman" w:hAnsi="Arial" w:cs="Arial"/>
          <w:color w:val="000000"/>
          <w:sz w:val="21"/>
          <w:szCs w:val="21"/>
          <w:lang w:eastAsia="es-ES"/>
        </w:rPr>
        <w:t>La AVAF, que estuvo representada por su director, la directora de Prevención, Formación y Documentación y el Sr. Hervé Falciani (ingeniero de sistemas y presidente de la asociación Tactical Whistleblowers), presentó el proyecto ALETHEIA, un sistema de ayuda a la trazabilidad del gasto público, en el que participa junto a un grupo de investigadores de la Universitat Politécnica de València.</w:t>
      </w:r>
    </w:p>
    <w:p w14:paraId="029BC58A" w14:textId="77777777" w:rsidR="00FD7950" w:rsidRPr="00973028" w:rsidRDefault="00FD7950" w:rsidP="004522FD">
      <w:pPr>
        <w:spacing w:after="240" w:line="276" w:lineRule="auto"/>
        <w:jc w:val="both"/>
        <w:rPr>
          <w:rFonts w:ascii="Arial" w:hAnsi="Arial" w:cs="Arial"/>
          <w:sz w:val="21"/>
          <w:szCs w:val="21"/>
        </w:rPr>
      </w:pPr>
    </w:p>
    <w:p w14:paraId="1D6F0C1C" w14:textId="66E0AB6C" w:rsidR="00B9275E" w:rsidRPr="00973028" w:rsidRDefault="00B9275E" w:rsidP="00672ABA">
      <w:pPr>
        <w:pStyle w:val="Prrafodelista"/>
        <w:numPr>
          <w:ilvl w:val="1"/>
          <w:numId w:val="25"/>
        </w:numPr>
        <w:spacing w:before="360" w:after="240" w:line="276" w:lineRule="auto"/>
        <w:ind w:left="851" w:hanging="851"/>
        <w:jc w:val="both"/>
        <w:outlineLvl w:val="1"/>
        <w:rPr>
          <w:rFonts w:ascii="Arial" w:eastAsia="Times New Roman" w:hAnsi="Arial" w:cs="Arial"/>
          <w:b/>
          <w:color w:val="9D2235" w:themeColor="accent1"/>
          <w:sz w:val="32"/>
          <w:szCs w:val="32"/>
        </w:rPr>
      </w:pPr>
      <w:bookmarkStart w:id="205" w:name="_Toc67646310"/>
      <w:r w:rsidRPr="00973028">
        <w:rPr>
          <w:rFonts w:ascii="Arial" w:eastAsia="Times New Roman" w:hAnsi="Arial" w:cs="Arial"/>
          <w:b/>
          <w:color w:val="9D2235" w:themeColor="accent1"/>
          <w:sz w:val="32"/>
          <w:szCs w:val="32"/>
        </w:rPr>
        <w:t>Asistencia a actos</w:t>
      </w:r>
      <w:bookmarkEnd w:id="205"/>
    </w:p>
    <w:p w14:paraId="7F9DE01A" w14:textId="3000CF32" w:rsidR="00B9275E" w:rsidRPr="00973028" w:rsidRDefault="00B9275E" w:rsidP="004522FD">
      <w:pPr>
        <w:spacing w:after="240" w:line="276" w:lineRule="auto"/>
        <w:jc w:val="both"/>
        <w:rPr>
          <w:rFonts w:ascii="Arial" w:hAnsi="Arial" w:cs="Arial"/>
          <w:sz w:val="21"/>
          <w:szCs w:val="21"/>
        </w:rPr>
      </w:pPr>
      <w:r w:rsidRPr="00973028">
        <w:rPr>
          <w:rFonts w:ascii="Arial" w:eastAsia="Times New Roman" w:hAnsi="Arial" w:cs="Arial"/>
          <w:sz w:val="21"/>
          <w:szCs w:val="21"/>
          <w:lang w:eastAsia="es-ES"/>
        </w:rPr>
        <w:t>Durante el año 2020 debido a la situación de pandemia provocada por la Covid-19, la organización de actos se ha visto limitada y algunos de ellos se han realizado de manera virtual. El director, como representante de la Agencia ha estado presente, de una manera u otra, a lo largo del año en los siguientes actos:</w:t>
      </w:r>
    </w:p>
    <w:p w14:paraId="66AB37A2" w14:textId="566FBAB1" w:rsidR="00B9275E" w:rsidRPr="00973028" w:rsidRDefault="00B9275E" w:rsidP="004522FD">
      <w:pPr>
        <w:pStyle w:val="Descripcin"/>
        <w:spacing w:after="240" w:line="276" w:lineRule="auto"/>
        <w:jc w:val="both"/>
        <w:rPr>
          <w:rFonts w:ascii="Arial" w:eastAsia="Times New Roman" w:hAnsi="Arial" w:cs="Arial"/>
          <w:caps/>
          <w:smallCaps w:val="0"/>
          <w:color w:val="993333"/>
          <w:sz w:val="18"/>
          <w:szCs w:val="18"/>
          <w:lang w:eastAsia="es-ES"/>
        </w:rPr>
      </w:pPr>
      <w:bookmarkStart w:id="206" w:name="_Toc62731948"/>
      <w:bookmarkStart w:id="207" w:name="_Toc64465901"/>
      <w:bookmarkStart w:id="208" w:name="_Toc67646354"/>
      <w:r w:rsidRPr="00FA4531">
        <w:rPr>
          <w:rFonts w:ascii="Arial" w:hAnsi="Arial" w:cs="Arial"/>
          <w:smallCaps w:val="0"/>
          <w:color w:val="9D2235" w:themeColor="accent1"/>
          <w:sz w:val="18"/>
          <w:szCs w:val="18"/>
        </w:rPr>
        <w:t xml:space="preserve">Tabla </w:t>
      </w:r>
      <w:r w:rsidR="002A4453" w:rsidRPr="00FA4531">
        <w:rPr>
          <w:rFonts w:ascii="Arial" w:hAnsi="Arial" w:cs="Arial"/>
          <w:smallCaps w:val="0"/>
          <w:color w:val="9D2235" w:themeColor="accent1"/>
          <w:sz w:val="18"/>
          <w:szCs w:val="18"/>
        </w:rPr>
        <w:fldChar w:fldCharType="begin"/>
      </w:r>
      <w:r w:rsidR="002A4453" w:rsidRPr="00FA4531">
        <w:rPr>
          <w:rFonts w:ascii="Arial" w:hAnsi="Arial" w:cs="Arial"/>
          <w:smallCaps w:val="0"/>
          <w:color w:val="9D2235" w:themeColor="accent1"/>
          <w:sz w:val="18"/>
          <w:szCs w:val="18"/>
        </w:rPr>
        <w:instrText xml:space="preserve"> SEQ Tabla \* ARABIC </w:instrText>
      </w:r>
      <w:r w:rsidR="002A4453" w:rsidRPr="00FA4531">
        <w:rPr>
          <w:rFonts w:ascii="Arial" w:hAnsi="Arial" w:cs="Arial"/>
          <w:smallCaps w:val="0"/>
          <w:color w:val="9D2235" w:themeColor="accent1"/>
          <w:sz w:val="18"/>
          <w:szCs w:val="18"/>
        </w:rPr>
        <w:fldChar w:fldCharType="separate"/>
      </w:r>
      <w:r w:rsidR="00ED7F0D">
        <w:rPr>
          <w:rFonts w:ascii="Arial" w:hAnsi="Arial" w:cs="Arial"/>
          <w:smallCaps w:val="0"/>
          <w:noProof/>
          <w:color w:val="9D2235" w:themeColor="accent1"/>
          <w:sz w:val="18"/>
          <w:szCs w:val="18"/>
        </w:rPr>
        <w:t>17</w:t>
      </w:r>
      <w:r w:rsidR="002A4453" w:rsidRPr="00FA4531">
        <w:rPr>
          <w:rFonts w:ascii="Arial" w:hAnsi="Arial" w:cs="Arial"/>
          <w:smallCaps w:val="0"/>
          <w:color w:val="9D2235" w:themeColor="accent1"/>
          <w:sz w:val="18"/>
          <w:szCs w:val="18"/>
        </w:rPr>
        <w:fldChar w:fldCharType="end"/>
      </w:r>
      <w:r w:rsidR="00FA4531">
        <w:rPr>
          <w:rFonts w:ascii="Arial" w:hAnsi="Arial" w:cs="Arial"/>
          <w:smallCaps w:val="0"/>
          <w:color w:val="9D2235" w:themeColor="accent1"/>
          <w:sz w:val="18"/>
          <w:szCs w:val="18"/>
        </w:rPr>
        <w:t>.</w:t>
      </w:r>
      <w:r w:rsidRPr="00FA4531">
        <w:rPr>
          <w:rFonts w:ascii="Arial" w:eastAsia="Times New Roman" w:hAnsi="Arial" w:cs="Arial"/>
          <w:smallCaps w:val="0"/>
          <w:color w:val="9D2235" w:themeColor="accent1"/>
          <w:sz w:val="18"/>
          <w:szCs w:val="18"/>
          <w:lang w:eastAsia="es-ES"/>
        </w:rPr>
        <w:t xml:space="preserve"> </w:t>
      </w:r>
      <w:r w:rsidRPr="00973028">
        <w:rPr>
          <w:rFonts w:ascii="Arial" w:eastAsia="Times New Roman" w:hAnsi="Arial" w:cs="Arial"/>
          <w:bCs w:val="0"/>
          <w:smallCaps w:val="0"/>
          <w:sz w:val="18"/>
          <w:szCs w:val="18"/>
          <w:lang w:eastAsia="es-ES"/>
        </w:rPr>
        <w:t>Actos con participación de la Agencia</w:t>
      </w:r>
      <w:bookmarkEnd w:id="206"/>
      <w:bookmarkEnd w:id="207"/>
      <w:bookmarkEnd w:id="208"/>
    </w:p>
    <w:tbl>
      <w:tblPr>
        <w:tblW w:w="8565" w:type="dxa"/>
        <w:tblCellMar>
          <w:top w:w="28" w:type="dxa"/>
          <w:left w:w="0" w:type="dxa"/>
          <w:bottom w:w="28" w:type="dxa"/>
          <w:right w:w="0" w:type="dxa"/>
        </w:tblCellMar>
        <w:tblLook w:val="04A0" w:firstRow="1" w:lastRow="0" w:firstColumn="1" w:lastColumn="0" w:noHBand="0" w:noVBand="1"/>
      </w:tblPr>
      <w:tblGrid>
        <w:gridCol w:w="1844"/>
        <w:gridCol w:w="6612"/>
        <w:gridCol w:w="109"/>
      </w:tblGrid>
      <w:tr w:rsidR="00874585" w:rsidRPr="00973028" w14:paraId="1B70A339" w14:textId="77777777" w:rsidTr="004B7EE2">
        <w:trPr>
          <w:tblHeader/>
        </w:trPr>
        <w:tc>
          <w:tcPr>
            <w:tcW w:w="1844" w:type="dxa"/>
            <w:tcBorders>
              <w:left w:val="single" w:sz="6" w:space="0" w:color="993333"/>
            </w:tcBorders>
            <w:shd w:val="clear" w:color="auto" w:fill="9D2235" w:themeFill="accent1"/>
            <w:vAlign w:val="center"/>
          </w:tcPr>
          <w:p w14:paraId="51823B29" w14:textId="77777777" w:rsidR="00B9275E" w:rsidRPr="00973028" w:rsidRDefault="00B9275E" w:rsidP="00BB3EDF">
            <w:pPr>
              <w:spacing w:after="0" w:line="276" w:lineRule="auto"/>
              <w:jc w:val="both"/>
              <w:rPr>
                <w:rFonts w:ascii="Arial" w:eastAsia="Times New Roman" w:hAnsi="Arial" w:cs="Arial"/>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Fecha</w:t>
            </w:r>
          </w:p>
        </w:tc>
        <w:tc>
          <w:tcPr>
            <w:tcW w:w="6721" w:type="dxa"/>
            <w:gridSpan w:val="2"/>
            <w:tcBorders>
              <w:left w:val="single" w:sz="8" w:space="0" w:color="993333"/>
              <w:right w:val="single" w:sz="6" w:space="0" w:color="993333"/>
            </w:tcBorders>
            <w:shd w:val="clear" w:color="auto" w:fill="9D2235" w:themeFill="accent1"/>
            <w:tcMar>
              <w:left w:w="28" w:type="dxa"/>
            </w:tcMar>
          </w:tcPr>
          <w:p w14:paraId="0C2470A9" w14:textId="77777777" w:rsidR="00B9275E" w:rsidRPr="00973028" w:rsidRDefault="00B9275E" w:rsidP="00BB3EDF">
            <w:pPr>
              <w:spacing w:after="0" w:line="276" w:lineRule="auto"/>
              <w:jc w:val="both"/>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 xml:space="preserve">Entidad </w:t>
            </w:r>
            <w:r w:rsidRPr="00973028">
              <w:rPr>
                <w:rFonts w:ascii="Arial" w:eastAsia="Times New Roman" w:hAnsi="Arial" w:cs="Arial"/>
                <w:b/>
                <w:bCs/>
                <w:i/>
                <w:color w:val="FFFFFF" w:themeColor="background1"/>
                <w:sz w:val="18"/>
                <w:szCs w:val="18"/>
                <w:lang w:eastAsia="es-ES"/>
              </w:rPr>
              <w:t>Lugar</w:t>
            </w:r>
          </w:p>
          <w:p w14:paraId="6D02B1EC" w14:textId="4201C2A5" w:rsidR="00B9275E" w:rsidRPr="00973028" w:rsidRDefault="00B9275E" w:rsidP="00BB3EDF">
            <w:pPr>
              <w:spacing w:after="0" w:line="276" w:lineRule="auto"/>
              <w:jc w:val="both"/>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A</w:t>
            </w:r>
            <w:r w:rsidR="007F1407">
              <w:rPr>
                <w:rFonts w:ascii="Arial" w:eastAsia="Times New Roman" w:hAnsi="Arial" w:cs="Arial"/>
                <w:b/>
                <w:bCs/>
                <w:color w:val="FFFFFF" w:themeColor="background1"/>
                <w:sz w:val="18"/>
                <w:szCs w:val="18"/>
                <w:lang w:eastAsia="es-ES"/>
              </w:rPr>
              <w:t>ctividad</w:t>
            </w:r>
          </w:p>
        </w:tc>
      </w:tr>
      <w:tr w:rsidR="00B9275E" w:rsidRPr="00973028" w14:paraId="002D89D5" w14:textId="77777777" w:rsidTr="004B7EE2">
        <w:tc>
          <w:tcPr>
            <w:tcW w:w="1844" w:type="dxa"/>
            <w:tcBorders>
              <w:bottom w:val="single" w:sz="6" w:space="0" w:color="993333"/>
            </w:tcBorders>
            <w:shd w:val="clear" w:color="auto" w:fill="auto"/>
            <w:vAlign w:val="center"/>
          </w:tcPr>
          <w:p w14:paraId="4B32782E"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000000"/>
                <w:sz w:val="18"/>
                <w:szCs w:val="18"/>
                <w:lang w:eastAsia="es-ES"/>
              </w:rPr>
              <w:t>28 de enero</w:t>
            </w:r>
          </w:p>
        </w:tc>
        <w:tc>
          <w:tcPr>
            <w:tcW w:w="6612" w:type="dxa"/>
            <w:tcBorders>
              <w:bottom w:val="single" w:sz="6" w:space="0" w:color="993333"/>
            </w:tcBorders>
            <w:shd w:val="clear" w:color="auto" w:fill="auto"/>
          </w:tcPr>
          <w:p w14:paraId="6A395892" w14:textId="77777777" w:rsidR="00B9275E" w:rsidRPr="00973028" w:rsidRDefault="00B9275E" w:rsidP="00BB3EDF">
            <w:pPr>
              <w:spacing w:before="40"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Nueva Economía Fórum - Mediterráneo.</w:t>
            </w:r>
            <w:r w:rsidRPr="00973028">
              <w:rPr>
                <w:rFonts w:ascii="Arial" w:eastAsia="Times New Roman" w:hAnsi="Arial" w:cs="Arial"/>
                <w:i/>
                <w:sz w:val="18"/>
                <w:szCs w:val="18"/>
                <w:lang w:eastAsia="es-ES"/>
              </w:rPr>
              <w:t xml:space="preserve"> València</w:t>
            </w:r>
          </w:p>
          <w:p w14:paraId="3507CD67" w14:textId="77777777" w:rsidR="00B9275E" w:rsidRPr="00973028" w:rsidRDefault="00B9275E" w:rsidP="00BB3EDF">
            <w:pPr>
              <w:spacing w:before="40"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Conferencia-desayuno con la intervención de D.ª Gabriela Bravo, Consellera de Justicia, Interior y Administración Pública de la GVA, y D.ª Teresa Gisbert, Fiscal Superior de la Comunitat Valenciana.</w:t>
            </w:r>
          </w:p>
        </w:tc>
        <w:tc>
          <w:tcPr>
            <w:tcW w:w="109" w:type="dxa"/>
            <w:shd w:val="clear" w:color="auto" w:fill="auto"/>
          </w:tcPr>
          <w:p w14:paraId="075FC5A2" w14:textId="77777777" w:rsidR="00B9275E" w:rsidRPr="00973028" w:rsidRDefault="00B9275E" w:rsidP="00BB3EDF">
            <w:pPr>
              <w:spacing w:before="40" w:after="0" w:line="276" w:lineRule="auto"/>
              <w:jc w:val="both"/>
              <w:rPr>
                <w:rFonts w:ascii="Arial" w:hAnsi="Arial" w:cs="Arial"/>
                <w:sz w:val="18"/>
                <w:szCs w:val="18"/>
              </w:rPr>
            </w:pPr>
          </w:p>
        </w:tc>
      </w:tr>
      <w:tr w:rsidR="00B9275E" w:rsidRPr="00973028" w14:paraId="0AABCDF1" w14:textId="77777777" w:rsidTr="00B9275E">
        <w:tc>
          <w:tcPr>
            <w:tcW w:w="1844" w:type="dxa"/>
            <w:tcBorders>
              <w:bottom w:val="single" w:sz="6" w:space="0" w:color="993333"/>
            </w:tcBorders>
            <w:shd w:val="clear" w:color="auto" w:fill="auto"/>
            <w:tcMar>
              <w:top w:w="0" w:type="dxa"/>
            </w:tcMar>
            <w:vAlign w:val="center"/>
          </w:tcPr>
          <w:p w14:paraId="6E0D69C6"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000000"/>
                <w:sz w:val="18"/>
                <w:szCs w:val="18"/>
                <w:lang w:eastAsia="es-ES"/>
              </w:rPr>
              <w:t xml:space="preserve">4 de febrero </w:t>
            </w:r>
          </w:p>
        </w:tc>
        <w:tc>
          <w:tcPr>
            <w:tcW w:w="6721" w:type="dxa"/>
            <w:gridSpan w:val="2"/>
            <w:tcBorders>
              <w:bottom w:val="single" w:sz="6" w:space="0" w:color="993333"/>
            </w:tcBorders>
            <w:shd w:val="clear" w:color="auto" w:fill="auto"/>
            <w:tcMar>
              <w:top w:w="0" w:type="dxa"/>
            </w:tcMar>
          </w:tcPr>
          <w:p w14:paraId="139FB005" w14:textId="77777777" w:rsidR="00B9275E" w:rsidRPr="00973028" w:rsidRDefault="00B9275E" w:rsidP="00BB3EDF">
            <w:pPr>
              <w:spacing w:before="40"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 xml:space="preserve">Presidencia GVA. </w:t>
            </w:r>
            <w:r w:rsidRPr="00973028">
              <w:rPr>
                <w:rFonts w:ascii="Arial" w:eastAsia="Times New Roman" w:hAnsi="Arial" w:cs="Arial"/>
                <w:i/>
                <w:sz w:val="18"/>
                <w:szCs w:val="18"/>
                <w:lang w:eastAsia="es-ES"/>
              </w:rPr>
              <w:t>València</w:t>
            </w:r>
          </w:p>
          <w:p w14:paraId="70305EA5" w14:textId="77777777" w:rsidR="00B9275E" w:rsidRPr="00973028" w:rsidRDefault="00B9275E" w:rsidP="00BB3EDF">
            <w:pPr>
              <w:spacing w:before="40"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Diálogo con el presidente de Uruguay (2010-2015) D. José “Pepe” Mújica.</w:t>
            </w:r>
          </w:p>
        </w:tc>
      </w:tr>
      <w:tr w:rsidR="00B9275E" w:rsidRPr="00973028" w14:paraId="424E80FB" w14:textId="77777777" w:rsidTr="00B9275E">
        <w:tc>
          <w:tcPr>
            <w:tcW w:w="1844" w:type="dxa"/>
            <w:tcBorders>
              <w:bottom w:val="single" w:sz="6" w:space="0" w:color="993333"/>
            </w:tcBorders>
            <w:shd w:val="clear" w:color="auto" w:fill="auto"/>
            <w:tcMar>
              <w:top w:w="0" w:type="dxa"/>
            </w:tcMar>
            <w:vAlign w:val="center"/>
          </w:tcPr>
          <w:p w14:paraId="7C083C89"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000000"/>
                <w:sz w:val="18"/>
                <w:szCs w:val="18"/>
                <w:lang w:eastAsia="es-ES"/>
              </w:rPr>
              <w:t>5 de febrero</w:t>
            </w:r>
          </w:p>
        </w:tc>
        <w:tc>
          <w:tcPr>
            <w:tcW w:w="6721" w:type="dxa"/>
            <w:gridSpan w:val="2"/>
            <w:tcBorders>
              <w:bottom w:val="single" w:sz="6" w:space="0" w:color="993333"/>
            </w:tcBorders>
            <w:shd w:val="clear" w:color="auto" w:fill="auto"/>
            <w:tcMar>
              <w:top w:w="0" w:type="dxa"/>
            </w:tcMar>
          </w:tcPr>
          <w:p w14:paraId="6307577E" w14:textId="77777777" w:rsidR="00B9275E" w:rsidRPr="00973028" w:rsidRDefault="00B9275E" w:rsidP="00BB3EDF">
            <w:pPr>
              <w:spacing w:before="40"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Fundación por la Justicia.</w:t>
            </w:r>
            <w:r w:rsidRPr="00973028">
              <w:rPr>
                <w:rFonts w:ascii="Arial" w:eastAsia="Times New Roman" w:hAnsi="Arial" w:cs="Arial"/>
                <w:i/>
                <w:sz w:val="18"/>
                <w:szCs w:val="18"/>
                <w:lang w:eastAsia="es-ES"/>
              </w:rPr>
              <w:t xml:space="preserve"> València</w:t>
            </w:r>
          </w:p>
          <w:p w14:paraId="2BB46334" w14:textId="77777777" w:rsidR="00B9275E" w:rsidRPr="00973028" w:rsidRDefault="00B9275E" w:rsidP="00BB3EDF">
            <w:pPr>
              <w:spacing w:before="40" w:after="0" w:line="276" w:lineRule="auto"/>
              <w:jc w:val="both"/>
              <w:rPr>
                <w:rFonts w:ascii="Arial" w:hAnsi="Arial" w:cs="Arial"/>
                <w:sz w:val="18"/>
                <w:szCs w:val="18"/>
              </w:rPr>
            </w:pPr>
            <w:r w:rsidRPr="00973028">
              <w:rPr>
                <w:rFonts w:ascii="Arial" w:eastAsia="Times New Roman" w:hAnsi="Arial" w:cs="Arial"/>
                <w:color w:val="000000"/>
                <w:sz w:val="18"/>
                <w:szCs w:val="18"/>
                <w:lang w:eastAsia="es-ES"/>
              </w:rPr>
              <w:t>Acto de entrega del Premio Derechos Humanos 2019 al Sr. D. José “Pepe” Mújica, actual senador y expresidente de la República de Uruguay.</w:t>
            </w:r>
          </w:p>
        </w:tc>
      </w:tr>
      <w:tr w:rsidR="00B9275E" w:rsidRPr="00973028" w14:paraId="01BD58B7" w14:textId="77777777" w:rsidTr="004B7EE2">
        <w:tc>
          <w:tcPr>
            <w:tcW w:w="1844" w:type="dxa"/>
            <w:tcBorders>
              <w:bottom w:val="single" w:sz="6" w:space="0" w:color="993333"/>
            </w:tcBorders>
            <w:shd w:val="clear" w:color="auto" w:fill="auto"/>
            <w:tcMar>
              <w:top w:w="0" w:type="dxa"/>
            </w:tcMar>
            <w:vAlign w:val="center"/>
          </w:tcPr>
          <w:p w14:paraId="58B6F4C6"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000000"/>
                <w:sz w:val="18"/>
                <w:szCs w:val="18"/>
                <w:lang w:eastAsia="es-ES"/>
              </w:rPr>
              <w:t>7 de febrero</w:t>
            </w:r>
          </w:p>
        </w:tc>
        <w:tc>
          <w:tcPr>
            <w:tcW w:w="6721" w:type="dxa"/>
            <w:gridSpan w:val="2"/>
            <w:tcBorders>
              <w:bottom w:val="single" w:sz="6" w:space="0" w:color="993333"/>
            </w:tcBorders>
            <w:shd w:val="clear" w:color="auto" w:fill="auto"/>
            <w:tcMar>
              <w:top w:w="0" w:type="dxa"/>
            </w:tcMar>
          </w:tcPr>
          <w:p w14:paraId="7DD936BA" w14:textId="573EEC21" w:rsidR="00B9275E" w:rsidRPr="00973028" w:rsidRDefault="00B9275E" w:rsidP="00BB3EDF">
            <w:pPr>
              <w:spacing w:before="40"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Ayuntamiento de Val</w:t>
            </w:r>
            <w:r w:rsidR="00FC1996">
              <w:rPr>
                <w:rFonts w:ascii="Arial" w:eastAsia="Times New Roman" w:hAnsi="Arial" w:cs="Arial"/>
                <w:color w:val="000000"/>
                <w:sz w:val="18"/>
                <w:szCs w:val="18"/>
                <w:lang w:eastAsia="es-ES"/>
              </w:rPr>
              <w:t>è</w:t>
            </w:r>
            <w:r w:rsidRPr="00973028">
              <w:rPr>
                <w:rFonts w:ascii="Arial" w:eastAsia="Times New Roman" w:hAnsi="Arial" w:cs="Arial"/>
                <w:color w:val="000000"/>
                <w:sz w:val="18"/>
                <w:szCs w:val="18"/>
                <w:lang w:eastAsia="es-ES"/>
              </w:rPr>
              <w:t xml:space="preserve">ncia, Policía Local. </w:t>
            </w:r>
            <w:r w:rsidRPr="00973028">
              <w:rPr>
                <w:rFonts w:ascii="Arial" w:eastAsia="Times New Roman" w:hAnsi="Arial" w:cs="Arial"/>
                <w:i/>
                <w:sz w:val="18"/>
                <w:szCs w:val="18"/>
                <w:lang w:eastAsia="es-ES"/>
              </w:rPr>
              <w:t>València</w:t>
            </w:r>
          </w:p>
          <w:p w14:paraId="111585DE" w14:textId="77777777" w:rsidR="00B9275E" w:rsidRPr="00973028" w:rsidRDefault="00B9275E" w:rsidP="00BB3EDF">
            <w:pPr>
              <w:spacing w:before="40"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Acto 150º aniversario de la fundación de la Policía Local de València (1870-2020).</w:t>
            </w:r>
          </w:p>
        </w:tc>
      </w:tr>
      <w:tr w:rsidR="00B9275E" w:rsidRPr="00973028" w14:paraId="4E6A56DF" w14:textId="77777777" w:rsidTr="004B7EE2">
        <w:tc>
          <w:tcPr>
            <w:tcW w:w="1844" w:type="dxa"/>
            <w:tcBorders>
              <w:top w:val="single" w:sz="6" w:space="0" w:color="993333"/>
              <w:bottom w:val="single" w:sz="6" w:space="0" w:color="993333"/>
            </w:tcBorders>
            <w:shd w:val="clear" w:color="auto" w:fill="FFFFFF"/>
            <w:tcMar>
              <w:top w:w="0" w:type="dxa"/>
            </w:tcMar>
            <w:vAlign w:val="center"/>
          </w:tcPr>
          <w:p w14:paraId="58010765"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000000"/>
                <w:sz w:val="18"/>
                <w:szCs w:val="18"/>
                <w:lang w:eastAsia="es-ES"/>
              </w:rPr>
              <w:t>13 de febrero</w:t>
            </w:r>
          </w:p>
        </w:tc>
        <w:tc>
          <w:tcPr>
            <w:tcW w:w="6721" w:type="dxa"/>
            <w:gridSpan w:val="2"/>
            <w:tcBorders>
              <w:top w:val="single" w:sz="6" w:space="0" w:color="993333"/>
              <w:bottom w:val="single" w:sz="6" w:space="0" w:color="993333"/>
            </w:tcBorders>
            <w:shd w:val="clear" w:color="auto" w:fill="auto"/>
            <w:tcMar>
              <w:top w:w="0" w:type="dxa"/>
            </w:tcMar>
          </w:tcPr>
          <w:p w14:paraId="3A85A042" w14:textId="77777777" w:rsidR="00B9275E" w:rsidRPr="00973028" w:rsidRDefault="00B9275E" w:rsidP="00BB3EDF">
            <w:pPr>
              <w:spacing w:before="40"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 xml:space="preserve">World Compliance Association. </w:t>
            </w:r>
            <w:r w:rsidRPr="00973028">
              <w:rPr>
                <w:rFonts w:ascii="Arial" w:eastAsia="Times New Roman" w:hAnsi="Arial" w:cs="Arial"/>
                <w:i/>
                <w:sz w:val="18"/>
                <w:szCs w:val="18"/>
                <w:lang w:eastAsia="es-ES"/>
              </w:rPr>
              <w:t>Madrid</w:t>
            </w:r>
          </w:p>
          <w:p w14:paraId="3361EA68" w14:textId="77777777" w:rsidR="00B9275E" w:rsidRPr="00973028" w:rsidRDefault="001400EF" w:rsidP="00BB3EDF">
            <w:pPr>
              <w:spacing w:before="40" w:after="0" w:line="276" w:lineRule="auto"/>
              <w:jc w:val="both"/>
              <w:rPr>
                <w:rFonts w:ascii="Arial" w:hAnsi="Arial" w:cs="Arial"/>
                <w:sz w:val="18"/>
                <w:szCs w:val="18"/>
              </w:rPr>
            </w:pPr>
            <w:hyperlink r:id="rId186" w:anchor="about" w:history="1">
              <w:r w:rsidR="00B9275E" w:rsidRPr="00973028">
                <w:rPr>
                  <w:rStyle w:val="EnlacedeInternet"/>
                  <w:rFonts w:ascii="Arial" w:eastAsia="Times New Roman" w:hAnsi="Arial" w:cs="Arial"/>
                  <w:sz w:val="18"/>
                  <w:szCs w:val="18"/>
                  <w:lang w:eastAsia="es-ES"/>
                </w:rPr>
                <w:t>III Congreso Nacional Antifraude.</w:t>
              </w:r>
            </w:hyperlink>
          </w:p>
        </w:tc>
      </w:tr>
      <w:tr w:rsidR="00B9275E" w:rsidRPr="00973028" w14:paraId="2605B3C7" w14:textId="77777777" w:rsidTr="004B7EE2">
        <w:tc>
          <w:tcPr>
            <w:tcW w:w="1844" w:type="dxa"/>
            <w:tcBorders>
              <w:top w:val="single" w:sz="6" w:space="0" w:color="993333"/>
              <w:bottom w:val="single" w:sz="6" w:space="0" w:color="993333"/>
            </w:tcBorders>
            <w:shd w:val="clear" w:color="auto" w:fill="auto"/>
            <w:tcMar>
              <w:top w:w="0" w:type="dxa"/>
            </w:tcMar>
            <w:vAlign w:val="center"/>
          </w:tcPr>
          <w:p w14:paraId="6093809A"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25 de junio</w:t>
            </w:r>
          </w:p>
        </w:tc>
        <w:tc>
          <w:tcPr>
            <w:tcW w:w="6721" w:type="dxa"/>
            <w:gridSpan w:val="2"/>
            <w:tcBorders>
              <w:top w:val="single" w:sz="6" w:space="0" w:color="993333"/>
              <w:bottom w:val="single" w:sz="6" w:space="0" w:color="993333"/>
            </w:tcBorders>
            <w:shd w:val="clear" w:color="auto" w:fill="auto"/>
            <w:tcMar>
              <w:top w:w="0" w:type="dxa"/>
            </w:tcMar>
          </w:tcPr>
          <w:p w14:paraId="15B97AC0" w14:textId="77777777" w:rsidR="00B9275E" w:rsidRPr="00973028" w:rsidRDefault="00B9275E" w:rsidP="00BB3EDF">
            <w:pPr>
              <w:spacing w:before="40"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 xml:space="preserve">Fundación por la Justicia. </w:t>
            </w:r>
            <w:r w:rsidRPr="00973028">
              <w:rPr>
                <w:rFonts w:ascii="Arial" w:eastAsia="Times New Roman" w:hAnsi="Arial" w:cs="Arial"/>
                <w:i/>
                <w:color w:val="000000"/>
                <w:sz w:val="18"/>
                <w:szCs w:val="18"/>
                <w:lang w:eastAsia="es-ES"/>
              </w:rPr>
              <w:t>Virtual</w:t>
            </w:r>
          </w:p>
          <w:p w14:paraId="07A6D352" w14:textId="77777777" w:rsidR="00B9275E" w:rsidRPr="00973028" w:rsidRDefault="00B9275E" w:rsidP="00BB3EDF">
            <w:pPr>
              <w:spacing w:before="40"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 xml:space="preserve">Acto presentación del documento </w:t>
            </w:r>
            <w:hyperlink r:id="rId187">
              <w:r w:rsidRPr="00973028">
                <w:rPr>
                  <w:rStyle w:val="EnlacedeInternet"/>
                  <w:rFonts w:ascii="Arial" w:eastAsia="Times New Roman" w:hAnsi="Arial" w:cs="Arial"/>
                  <w:sz w:val="18"/>
                  <w:szCs w:val="18"/>
                  <w:lang w:eastAsia="es-ES"/>
                </w:rPr>
                <w:t>“Reflexiones y propuestas para una sociedad mejor”</w:t>
              </w:r>
            </w:hyperlink>
          </w:p>
        </w:tc>
      </w:tr>
      <w:tr w:rsidR="00B9275E" w:rsidRPr="00973028" w14:paraId="5694EB98" w14:textId="77777777" w:rsidTr="00B9275E">
        <w:tc>
          <w:tcPr>
            <w:tcW w:w="1844" w:type="dxa"/>
            <w:tcBorders>
              <w:bottom w:val="single" w:sz="6" w:space="0" w:color="993333"/>
            </w:tcBorders>
            <w:shd w:val="clear" w:color="auto" w:fill="auto"/>
            <w:tcMar>
              <w:top w:w="0" w:type="dxa"/>
            </w:tcMar>
            <w:vAlign w:val="center"/>
          </w:tcPr>
          <w:p w14:paraId="43CE9B9B"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10 de noviembre</w:t>
            </w:r>
          </w:p>
        </w:tc>
        <w:tc>
          <w:tcPr>
            <w:tcW w:w="6721" w:type="dxa"/>
            <w:gridSpan w:val="2"/>
            <w:tcBorders>
              <w:bottom w:val="single" w:sz="6" w:space="0" w:color="993333"/>
            </w:tcBorders>
            <w:shd w:val="clear" w:color="auto" w:fill="auto"/>
            <w:tcMar>
              <w:top w:w="0" w:type="dxa"/>
            </w:tcMar>
          </w:tcPr>
          <w:p w14:paraId="683459A1" w14:textId="77777777" w:rsidR="00B9275E" w:rsidRPr="00973028" w:rsidRDefault="00B9275E" w:rsidP="00BB3EDF">
            <w:pPr>
              <w:spacing w:before="40"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 xml:space="preserve">Universidad CEU – Cardenal Herrera. </w:t>
            </w:r>
            <w:r w:rsidRPr="00973028">
              <w:rPr>
                <w:rFonts w:ascii="Arial" w:eastAsia="Times New Roman" w:hAnsi="Arial" w:cs="Arial"/>
                <w:i/>
                <w:color w:val="000000"/>
                <w:sz w:val="18"/>
                <w:szCs w:val="18"/>
                <w:lang w:eastAsia="es-ES"/>
              </w:rPr>
              <w:t>Alfara del Patriarca</w:t>
            </w:r>
          </w:p>
          <w:p w14:paraId="3B5F6AE7" w14:textId="77777777" w:rsidR="00B9275E" w:rsidRPr="00973028" w:rsidRDefault="00B9275E" w:rsidP="00BB3EDF">
            <w:pPr>
              <w:spacing w:before="40"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 xml:space="preserve">Acto entrega de los </w:t>
            </w:r>
            <w:hyperlink r:id="rId188">
              <w:r w:rsidRPr="00973028">
                <w:rPr>
                  <w:rStyle w:val="EnlacedeInternet"/>
                  <w:rFonts w:ascii="Arial" w:eastAsia="Times New Roman" w:hAnsi="Arial" w:cs="Arial"/>
                  <w:sz w:val="18"/>
                  <w:szCs w:val="18"/>
                  <w:lang w:eastAsia="es-ES"/>
                </w:rPr>
                <w:t>Sellos Infoparticipa 2019</w:t>
              </w:r>
            </w:hyperlink>
            <w:r w:rsidRPr="00973028">
              <w:rPr>
                <w:rFonts w:ascii="Arial" w:eastAsia="Times New Roman" w:hAnsi="Arial" w:cs="Arial"/>
                <w:color w:val="000000"/>
                <w:sz w:val="18"/>
                <w:szCs w:val="18"/>
                <w:lang w:eastAsia="es-ES"/>
              </w:rPr>
              <w:t>.</w:t>
            </w:r>
          </w:p>
        </w:tc>
      </w:tr>
      <w:tr w:rsidR="00B9275E" w:rsidRPr="00973028" w14:paraId="24F24358" w14:textId="77777777" w:rsidTr="00B9275E">
        <w:tc>
          <w:tcPr>
            <w:tcW w:w="1844" w:type="dxa"/>
            <w:tcBorders>
              <w:bottom w:val="single" w:sz="6" w:space="0" w:color="993333"/>
            </w:tcBorders>
            <w:shd w:val="clear" w:color="auto" w:fill="auto"/>
            <w:tcMar>
              <w:top w:w="0" w:type="dxa"/>
            </w:tcMar>
            <w:vAlign w:val="center"/>
          </w:tcPr>
          <w:p w14:paraId="2A1F1198"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17 de noviembre</w:t>
            </w:r>
          </w:p>
        </w:tc>
        <w:tc>
          <w:tcPr>
            <w:tcW w:w="6721" w:type="dxa"/>
            <w:gridSpan w:val="2"/>
            <w:tcBorders>
              <w:bottom w:val="single" w:sz="6" w:space="0" w:color="993333"/>
            </w:tcBorders>
            <w:shd w:val="clear" w:color="auto" w:fill="auto"/>
            <w:tcMar>
              <w:top w:w="0" w:type="dxa"/>
            </w:tcMar>
          </w:tcPr>
          <w:p w14:paraId="04F2B2DD" w14:textId="77777777" w:rsidR="00B9275E" w:rsidRPr="00973028" w:rsidRDefault="00B9275E" w:rsidP="00BB3EDF">
            <w:pPr>
              <w:spacing w:before="40"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 xml:space="preserve">IVAP - AVAF. </w:t>
            </w:r>
            <w:r w:rsidRPr="00973028">
              <w:rPr>
                <w:rFonts w:ascii="Arial" w:eastAsia="Times New Roman" w:hAnsi="Arial" w:cs="Arial"/>
                <w:i/>
                <w:color w:val="000000"/>
                <w:sz w:val="18"/>
                <w:szCs w:val="18"/>
                <w:lang w:eastAsia="es-ES"/>
              </w:rPr>
              <w:t>Virtual</w:t>
            </w:r>
          </w:p>
          <w:p w14:paraId="6DC47610" w14:textId="77777777" w:rsidR="00B9275E" w:rsidRPr="00973028" w:rsidRDefault="00B9275E" w:rsidP="00BB3EDF">
            <w:pPr>
              <w:spacing w:before="40"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lastRenderedPageBreak/>
              <w:t xml:space="preserve">Presentación del curso </w:t>
            </w:r>
            <w:hyperlink r:id="rId189">
              <w:r w:rsidRPr="00973028">
                <w:rPr>
                  <w:rStyle w:val="EnlacedeInternet"/>
                  <w:rFonts w:ascii="Arial" w:eastAsia="Times New Roman" w:hAnsi="Arial" w:cs="Arial"/>
                  <w:sz w:val="18"/>
                  <w:szCs w:val="18"/>
                  <w:lang w:eastAsia="es-ES"/>
                </w:rPr>
                <w:t>“Integridad y prevención en la contratación pública en la Comunitat Valenciana”</w:t>
              </w:r>
            </w:hyperlink>
            <w:r w:rsidRPr="00973028">
              <w:rPr>
                <w:rFonts w:ascii="Arial" w:eastAsia="Times New Roman" w:hAnsi="Arial" w:cs="Arial"/>
                <w:color w:val="000000"/>
                <w:sz w:val="18"/>
                <w:szCs w:val="18"/>
                <w:lang w:eastAsia="es-ES"/>
              </w:rPr>
              <w:t>.</w:t>
            </w:r>
          </w:p>
        </w:tc>
      </w:tr>
    </w:tbl>
    <w:p w14:paraId="725DD6C6" w14:textId="77777777" w:rsidR="005D6A9A" w:rsidRPr="00973028" w:rsidRDefault="005D6A9A" w:rsidP="004522FD">
      <w:pPr>
        <w:spacing w:after="240" w:line="276" w:lineRule="auto"/>
        <w:jc w:val="both"/>
        <w:rPr>
          <w:rFonts w:ascii="Arial" w:eastAsia="Times New Roman" w:hAnsi="Arial" w:cs="Arial"/>
          <w:smallCaps/>
          <w:sz w:val="21"/>
          <w:szCs w:val="21"/>
          <w:lang w:eastAsia="es-ES"/>
        </w:rPr>
      </w:pPr>
    </w:p>
    <w:p w14:paraId="70F23FC9" w14:textId="2BD11806" w:rsidR="00B9275E" w:rsidRPr="00973028" w:rsidRDefault="00B9275E" w:rsidP="00672ABA">
      <w:pPr>
        <w:pStyle w:val="Prrafodelista"/>
        <w:numPr>
          <w:ilvl w:val="1"/>
          <w:numId w:val="25"/>
        </w:numPr>
        <w:spacing w:before="360" w:after="240" w:line="276" w:lineRule="auto"/>
        <w:ind w:left="851" w:hanging="851"/>
        <w:jc w:val="both"/>
        <w:outlineLvl w:val="1"/>
        <w:rPr>
          <w:rFonts w:ascii="Arial" w:eastAsia="Times New Roman" w:hAnsi="Arial" w:cs="Arial"/>
          <w:b/>
          <w:color w:val="9D2235" w:themeColor="accent1"/>
          <w:sz w:val="32"/>
          <w:szCs w:val="32"/>
        </w:rPr>
      </w:pPr>
      <w:bookmarkStart w:id="209" w:name="_Toc67646311"/>
      <w:r w:rsidRPr="00973028">
        <w:rPr>
          <w:rFonts w:ascii="Arial" w:eastAsia="Times New Roman" w:hAnsi="Arial" w:cs="Arial"/>
          <w:b/>
          <w:color w:val="9D2235" w:themeColor="accent1"/>
          <w:sz w:val="32"/>
          <w:szCs w:val="32"/>
        </w:rPr>
        <w:t>Conferencias impartidas</w:t>
      </w:r>
      <w:bookmarkEnd w:id="209"/>
    </w:p>
    <w:p w14:paraId="687D518A" w14:textId="2E169825"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Asimismo, el director de la Agencia ha pronunciado las siguientes conferencias a lo largo de 2020. Las conferencias han tenido lugar tanto en la Comunitat Valenciana como en el resto de España, y todas se refieren a la prevención y la erradicación del fraude y la corrupción, el impulso de la integridad y la ética pública, el fomento de una cultura de buenas prácticas en el diseño, la ejecución y la evaluación de políticas públicas, así como en la gestión de recursos públicos, que son los ejes fundamentales de la actuación de esta Agencia.</w:t>
      </w:r>
    </w:p>
    <w:p w14:paraId="4B6D5675" w14:textId="6EC886B5"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Todas estas actividades las ha llevado a cabo el director de la Agencia con respecto a su cargo y, por tanto, sin recibir ningún tipo de contraprestación económica.</w:t>
      </w:r>
    </w:p>
    <w:p w14:paraId="30519019" w14:textId="38FA83D3" w:rsidR="005D6A9A" w:rsidRPr="00973028" w:rsidRDefault="005D6A9A" w:rsidP="005D6A9A">
      <w:pPr>
        <w:pStyle w:val="Descripcin"/>
        <w:keepNext/>
        <w:rPr>
          <w:rFonts w:ascii="Arial" w:hAnsi="Arial" w:cs="Arial"/>
          <w:smallCaps w:val="0"/>
          <w:sz w:val="18"/>
          <w:szCs w:val="18"/>
        </w:rPr>
      </w:pPr>
      <w:bookmarkStart w:id="210" w:name="_Toc67646355"/>
      <w:r w:rsidRPr="00973028">
        <w:rPr>
          <w:rFonts w:ascii="Arial" w:hAnsi="Arial" w:cs="Arial"/>
          <w:smallCaps w:val="0"/>
          <w:color w:val="9D2235" w:themeColor="accent1"/>
          <w:sz w:val="18"/>
          <w:szCs w:val="18"/>
        </w:rPr>
        <w:t xml:space="preserve">Tabla </w:t>
      </w:r>
      <w:r w:rsidRPr="00973028">
        <w:rPr>
          <w:rFonts w:ascii="Arial" w:hAnsi="Arial" w:cs="Arial"/>
          <w:smallCaps w:val="0"/>
          <w:color w:val="9D2235" w:themeColor="accent1"/>
          <w:sz w:val="18"/>
          <w:szCs w:val="18"/>
        </w:rPr>
        <w:fldChar w:fldCharType="begin"/>
      </w:r>
      <w:r w:rsidRPr="00973028">
        <w:rPr>
          <w:rFonts w:ascii="Arial" w:hAnsi="Arial" w:cs="Arial"/>
          <w:smallCaps w:val="0"/>
          <w:color w:val="9D2235" w:themeColor="accent1"/>
          <w:sz w:val="18"/>
          <w:szCs w:val="18"/>
        </w:rPr>
        <w:instrText xml:space="preserve"> SEQ Tabla \* ARABIC </w:instrText>
      </w:r>
      <w:r w:rsidRPr="00973028">
        <w:rPr>
          <w:rFonts w:ascii="Arial" w:hAnsi="Arial" w:cs="Arial"/>
          <w:smallCaps w:val="0"/>
          <w:color w:val="9D2235" w:themeColor="accent1"/>
          <w:sz w:val="18"/>
          <w:szCs w:val="18"/>
        </w:rPr>
        <w:fldChar w:fldCharType="separate"/>
      </w:r>
      <w:r w:rsidR="00ED7F0D">
        <w:rPr>
          <w:rFonts w:ascii="Arial" w:hAnsi="Arial" w:cs="Arial"/>
          <w:smallCaps w:val="0"/>
          <w:noProof/>
          <w:color w:val="9D2235" w:themeColor="accent1"/>
          <w:sz w:val="18"/>
          <w:szCs w:val="18"/>
        </w:rPr>
        <w:t>18</w:t>
      </w:r>
      <w:r w:rsidRPr="00973028">
        <w:rPr>
          <w:rFonts w:ascii="Arial" w:hAnsi="Arial" w:cs="Arial"/>
          <w:smallCaps w:val="0"/>
          <w:color w:val="9D2235" w:themeColor="accent1"/>
          <w:sz w:val="18"/>
          <w:szCs w:val="18"/>
        </w:rPr>
        <w:fldChar w:fldCharType="end"/>
      </w:r>
      <w:r w:rsidR="00FA4531">
        <w:rPr>
          <w:rFonts w:ascii="Arial" w:hAnsi="Arial" w:cs="Arial"/>
          <w:smallCaps w:val="0"/>
          <w:color w:val="9D2235" w:themeColor="accent1"/>
          <w:sz w:val="18"/>
          <w:szCs w:val="18"/>
        </w:rPr>
        <w:t>.</w:t>
      </w:r>
      <w:r w:rsidRPr="00973028">
        <w:rPr>
          <w:rFonts w:ascii="Arial" w:hAnsi="Arial" w:cs="Arial"/>
          <w:smallCaps w:val="0"/>
          <w:color w:val="9D2235" w:themeColor="accent1"/>
          <w:sz w:val="18"/>
          <w:szCs w:val="18"/>
        </w:rPr>
        <w:t xml:space="preserve"> </w:t>
      </w:r>
      <w:r w:rsidRPr="00973028">
        <w:rPr>
          <w:rFonts w:ascii="Arial" w:hAnsi="Arial" w:cs="Arial"/>
          <w:smallCaps w:val="0"/>
          <w:sz w:val="18"/>
          <w:szCs w:val="18"/>
        </w:rPr>
        <w:t>Conferencias impartidas por la Agencia.</w:t>
      </w:r>
      <w:bookmarkEnd w:id="210"/>
    </w:p>
    <w:tbl>
      <w:tblPr>
        <w:tblW w:w="8460" w:type="dxa"/>
        <w:tblCellMar>
          <w:left w:w="0" w:type="dxa"/>
          <w:bottom w:w="28" w:type="dxa"/>
          <w:right w:w="0" w:type="dxa"/>
        </w:tblCellMar>
        <w:tblLook w:val="04A0" w:firstRow="1" w:lastRow="0" w:firstColumn="1" w:lastColumn="0" w:noHBand="0" w:noVBand="1"/>
      </w:tblPr>
      <w:tblGrid>
        <w:gridCol w:w="2234"/>
        <w:gridCol w:w="6226"/>
      </w:tblGrid>
      <w:tr w:rsidR="004D2F80" w:rsidRPr="00973028" w14:paraId="2551311C" w14:textId="77777777" w:rsidTr="007F1407">
        <w:trPr>
          <w:tblHeader/>
        </w:trPr>
        <w:tc>
          <w:tcPr>
            <w:tcW w:w="2234" w:type="dxa"/>
            <w:tcBorders>
              <w:bottom w:val="single" w:sz="6" w:space="0" w:color="993333"/>
            </w:tcBorders>
            <w:shd w:val="clear" w:color="auto" w:fill="9D2235" w:themeFill="accent1"/>
            <w:vAlign w:val="center"/>
          </w:tcPr>
          <w:p w14:paraId="13D51855" w14:textId="77777777" w:rsidR="00B9275E" w:rsidRPr="00973028" w:rsidRDefault="00B9275E" w:rsidP="00BB3EDF">
            <w:pPr>
              <w:spacing w:after="0" w:line="276" w:lineRule="auto"/>
              <w:jc w:val="both"/>
              <w:rPr>
                <w:rFonts w:ascii="Arial" w:eastAsia="Times New Roman" w:hAnsi="Arial" w:cs="Arial"/>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Fecha</w:t>
            </w:r>
          </w:p>
        </w:tc>
        <w:tc>
          <w:tcPr>
            <w:tcW w:w="6226" w:type="dxa"/>
            <w:tcBorders>
              <w:bottom w:val="single" w:sz="6" w:space="0" w:color="993333"/>
            </w:tcBorders>
            <w:shd w:val="clear" w:color="auto" w:fill="9D2235" w:themeFill="accent1"/>
            <w:vAlign w:val="center"/>
          </w:tcPr>
          <w:p w14:paraId="71133218" w14:textId="77777777" w:rsidR="00B9275E" w:rsidRPr="00973028" w:rsidRDefault="00B9275E" w:rsidP="00BB3EDF">
            <w:pPr>
              <w:spacing w:after="0" w:line="276" w:lineRule="auto"/>
              <w:jc w:val="both"/>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 xml:space="preserve">Entidad </w:t>
            </w:r>
            <w:r w:rsidRPr="00973028">
              <w:rPr>
                <w:rFonts w:ascii="Arial" w:eastAsia="Times New Roman" w:hAnsi="Arial" w:cs="Arial"/>
                <w:b/>
                <w:bCs/>
                <w:i/>
                <w:color w:val="FFFFFF" w:themeColor="background1"/>
                <w:sz w:val="18"/>
                <w:szCs w:val="18"/>
                <w:lang w:eastAsia="es-ES"/>
              </w:rPr>
              <w:t>Lugar</w:t>
            </w:r>
          </w:p>
          <w:p w14:paraId="0875ABEC" w14:textId="47ECD5F2" w:rsidR="00B9275E" w:rsidRPr="00973028" w:rsidRDefault="00B9275E" w:rsidP="00BB3EDF">
            <w:pPr>
              <w:spacing w:after="0" w:line="276" w:lineRule="auto"/>
              <w:jc w:val="both"/>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A</w:t>
            </w:r>
            <w:r w:rsidR="007F1407">
              <w:rPr>
                <w:rFonts w:ascii="Arial" w:eastAsia="Times New Roman" w:hAnsi="Arial" w:cs="Arial"/>
                <w:b/>
                <w:bCs/>
                <w:color w:val="FFFFFF" w:themeColor="background1"/>
                <w:sz w:val="18"/>
                <w:szCs w:val="18"/>
                <w:lang w:eastAsia="es-ES"/>
              </w:rPr>
              <w:t>ctividad</w:t>
            </w:r>
          </w:p>
        </w:tc>
      </w:tr>
      <w:tr w:rsidR="00B9275E" w:rsidRPr="00973028" w14:paraId="686C61DF" w14:textId="77777777" w:rsidTr="005D6A9A">
        <w:tc>
          <w:tcPr>
            <w:tcW w:w="2234" w:type="dxa"/>
            <w:tcBorders>
              <w:bottom w:val="single" w:sz="6" w:space="0" w:color="993333"/>
            </w:tcBorders>
            <w:shd w:val="clear" w:color="auto" w:fill="auto"/>
            <w:vAlign w:val="center"/>
          </w:tcPr>
          <w:p w14:paraId="36D5D7BD"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000000"/>
                <w:sz w:val="18"/>
                <w:szCs w:val="18"/>
                <w:lang w:eastAsia="es-ES"/>
              </w:rPr>
              <w:t>21 de enero</w:t>
            </w:r>
          </w:p>
        </w:tc>
        <w:tc>
          <w:tcPr>
            <w:tcW w:w="6226" w:type="dxa"/>
            <w:tcBorders>
              <w:bottom w:val="single" w:sz="6" w:space="0" w:color="993333"/>
            </w:tcBorders>
            <w:shd w:val="clear" w:color="auto" w:fill="auto"/>
          </w:tcPr>
          <w:p w14:paraId="44C23BF6" w14:textId="77777777" w:rsidR="00B9275E" w:rsidRPr="00973028" w:rsidRDefault="00B9275E" w:rsidP="00BB3EDF">
            <w:pPr>
              <w:spacing w:after="0" w:line="276" w:lineRule="auto"/>
              <w:jc w:val="both"/>
              <w:rPr>
                <w:rFonts w:ascii="Arial" w:eastAsia="Times New Roman" w:hAnsi="Arial" w:cs="Arial"/>
                <w:color w:val="666666"/>
                <w:sz w:val="18"/>
                <w:szCs w:val="18"/>
                <w:lang w:eastAsia="es-ES"/>
              </w:rPr>
            </w:pPr>
            <w:r w:rsidRPr="00973028">
              <w:rPr>
                <w:rFonts w:ascii="Arial" w:eastAsia="Times New Roman" w:hAnsi="Arial" w:cs="Arial"/>
                <w:color w:val="666666"/>
                <w:sz w:val="18"/>
                <w:szCs w:val="18"/>
                <w:lang w:eastAsia="es-ES"/>
              </w:rPr>
              <w:t xml:space="preserve">Amnistía Internacional. </w:t>
            </w:r>
            <w:r w:rsidRPr="00973028">
              <w:rPr>
                <w:rFonts w:ascii="Arial" w:eastAsia="Times New Roman" w:hAnsi="Arial" w:cs="Arial"/>
                <w:i/>
                <w:sz w:val="18"/>
                <w:szCs w:val="18"/>
                <w:lang w:eastAsia="es-ES"/>
              </w:rPr>
              <w:t>València</w:t>
            </w:r>
          </w:p>
          <w:p w14:paraId="6A831F16"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b/>
                <w:bCs/>
                <w:color w:val="000000"/>
                <w:sz w:val="18"/>
                <w:szCs w:val="18"/>
                <w:lang w:eastAsia="es-ES"/>
              </w:rPr>
              <w:t>“Castellio contra Calvino” de Stefan Zweig</w:t>
            </w:r>
          </w:p>
          <w:p w14:paraId="434C7D36" w14:textId="77777777" w:rsidR="00B9275E" w:rsidRPr="00973028" w:rsidRDefault="00B9275E" w:rsidP="00BB3EDF">
            <w:pPr>
              <w:spacing w:after="0" w:line="276" w:lineRule="auto"/>
              <w:jc w:val="both"/>
              <w:rPr>
                <w:rFonts w:ascii="Arial" w:hAnsi="Arial" w:cs="Arial"/>
                <w:sz w:val="18"/>
                <w:szCs w:val="18"/>
              </w:rPr>
            </w:pPr>
            <w:r w:rsidRPr="00973028">
              <w:rPr>
                <w:rFonts w:ascii="Arial" w:eastAsia="Times New Roman" w:hAnsi="Arial" w:cs="Arial"/>
                <w:color w:val="000000"/>
                <w:sz w:val="18"/>
                <w:szCs w:val="18"/>
                <w:lang w:eastAsia="es-ES"/>
              </w:rPr>
              <w:t xml:space="preserve">En el marco de una actividad de Amnistía Internacional, el director participa en esta charla donde se analizó el libro de </w:t>
            </w:r>
            <w:bookmarkStart w:id="211" w:name="__DdeLink__6011_1995472305"/>
            <w:r w:rsidRPr="00973028">
              <w:rPr>
                <w:rFonts w:ascii="Arial" w:eastAsia="Times New Roman" w:hAnsi="Arial" w:cs="Arial"/>
                <w:color w:val="000000"/>
                <w:sz w:val="18"/>
                <w:szCs w:val="18"/>
                <w:lang w:eastAsia="es-ES"/>
              </w:rPr>
              <w:t>Stefan Zweig “Castellio contra Calvino</w:t>
            </w:r>
            <w:bookmarkEnd w:id="211"/>
            <w:r w:rsidRPr="00973028">
              <w:rPr>
                <w:rFonts w:ascii="Arial" w:eastAsia="Times New Roman" w:hAnsi="Arial" w:cs="Arial"/>
                <w:color w:val="000000"/>
                <w:sz w:val="18"/>
                <w:szCs w:val="18"/>
                <w:lang w:eastAsia="es-ES"/>
              </w:rPr>
              <w:t>”.</w:t>
            </w:r>
          </w:p>
        </w:tc>
      </w:tr>
      <w:tr w:rsidR="00B9275E" w:rsidRPr="00973028" w14:paraId="4C2B7F0F" w14:textId="77777777" w:rsidTr="005D6A9A">
        <w:tc>
          <w:tcPr>
            <w:tcW w:w="2234" w:type="dxa"/>
            <w:tcBorders>
              <w:bottom w:val="single" w:sz="8" w:space="0" w:color="993333"/>
            </w:tcBorders>
            <w:shd w:val="clear" w:color="auto" w:fill="auto"/>
            <w:vAlign w:val="center"/>
          </w:tcPr>
          <w:p w14:paraId="20F39F60"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13 de febrero</w:t>
            </w:r>
          </w:p>
        </w:tc>
        <w:tc>
          <w:tcPr>
            <w:tcW w:w="6226" w:type="dxa"/>
            <w:tcBorders>
              <w:bottom w:val="single" w:sz="8" w:space="0" w:color="993333"/>
            </w:tcBorders>
            <w:shd w:val="clear" w:color="auto" w:fill="auto"/>
          </w:tcPr>
          <w:p w14:paraId="3D35E6EA"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666666"/>
                <w:sz w:val="18"/>
                <w:szCs w:val="18"/>
                <w:lang w:eastAsia="es-ES"/>
              </w:rPr>
              <w:t xml:space="preserve">Comisión Nacional de los Mercados y de la Competencia. </w:t>
            </w:r>
            <w:r w:rsidRPr="00973028">
              <w:rPr>
                <w:rFonts w:ascii="Arial" w:eastAsia="Times New Roman" w:hAnsi="Arial" w:cs="Arial"/>
                <w:i/>
                <w:sz w:val="18"/>
                <w:szCs w:val="18"/>
                <w:lang w:eastAsia="es-ES"/>
              </w:rPr>
              <w:t>Madrid</w:t>
            </w:r>
          </w:p>
          <w:p w14:paraId="57E86BF5" w14:textId="77777777" w:rsidR="00B9275E" w:rsidRPr="00973028" w:rsidRDefault="00B9275E" w:rsidP="00BB3EDF">
            <w:pPr>
              <w:spacing w:after="0" w:line="276" w:lineRule="auto"/>
              <w:jc w:val="both"/>
              <w:rPr>
                <w:rFonts w:ascii="Arial" w:eastAsia="Times New Roman" w:hAnsi="Arial" w:cs="Arial"/>
                <w:b/>
                <w:bCs/>
                <w:sz w:val="18"/>
                <w:szCs w:val="18"/>
                <w:lang w:eastAsia="es-ES"/>
              </w:rPr>
            </w:pPr>
            <w:r w:rsidRPr="00973028">
              <w:rPr>
                <w:rFonts w:ascii="Arial" w:eastAsia="Times New Roman" w:hAnsi="Arial" w:cs="Arial"/>
                <w:b/>
                <w:bCs/>
                <w:sz w:val="18"/>
                <w:szCs w:val="18"/>
                <w:lang w:eastAsia="es-ES"/>
              </w:rPr>
              <w:t>Canales de información y comunicación: internos-externos, privados-públicos</w:t>
            </w:r>
          </w:p>
          <w:p w14:paraId="0A8284C0"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bCs/>
                <w:sz w:val="18"/>
                <w:szCs w:val="18"/>
                <w:lang w:eastAsia="es-ES"/>
              </w:rPr>
              <w:t>El evento titulado</w:t>
            </w:r>
            <w:r w:rsidRPr="00973028">
              <w:rPr>
                <w:rFonts w:ascii="Arial" w:eastAsia="Times New Roman" w:hAnsi="Arial" w:cs="Arial"/>
                <w:b/>
                <w:bCs/>
                <w:sz w:val="18"/>
                <w:szCs w:val="18"/>
                <w:lang w:eastAsia="es-ES"/>
              </w:rPr>
              <w:t xml:space="preserve"> </w:t>
            </w:r>
            <w:hyperlink r:id="rId190">
              <w:r w:rsidRPr="00973028">
                <w:rPr>
                  <w:rStyle w:val="EnlacedeInternet"/>
                  <w:rFonts w:ascii="Arial" w:eastAsia="Times New Roman" w:hAnsi="Arial" w:cs="Arial"/>
                  <w:bCs/>
                  <w:sz w:val="18"/>
                  <w:szCs w:val="18"/>
                  <w:lang w:eastAsia="es-ES"/>
                </w:rPr>
                <w:t>”La protección de informantes, alertadores o denunciantes no admite demora”</w:t>
              </w:r>
            </w:hyperlink>
            <w:r w:rsidRPr="00973028">
              <w:rPr>
                <w:rFonts w:ascii="Arial" w:eastAsia="Times New Roman" w:hAnsi="Arial" w:cs="Arial"/>
                <w:bCs/>
                <w:sz w:val="18"/>
                <w:szCs w:val="18"/>
                <w:lang w:eastAsia="es-ES"/>
              </w:rPr>
              <w:t xml:space="preserve">, </w:t>
            </w:r>
            <w:r w:rsidRPr="00973028">
              <w:rPr>
                <w:rFonts w:ascii="Arial" w:eastAsia="Times New Roman" w:hAnsi="Arial" w:cs="Arial"/>
                <w:sz w:val="18"/>
                <w:szCs w:val="18"/>
                <w:lang w:eastAsia="es-ES"/>
              </w:rPr>
              <w:t>organizado por la CNMC, en el que además de renovar los votos de apoyo a los denunciantes de corrupción se estudia la transposición en España de la Directiva UE relativa a la protección de las personas que informen sobre infracciones del Derecho de la Unión. El director interviene con una ponencia.</w:t>
            </w:r>
          </w:p>
        </w:tc>
      </w:tr>
      <w:tr w:rsidR="00B9275E" w:rsidRPr="00973028" w14:paraId="0C44DF70" w14:textId="77777777" w:rsidTr="005D6A9A">
        <w:tc>
          <w:tcPr>
            <w:tcW w:w="2234" w:type="dxa"/>
            <w:tcBorders>
              <w:bottom w:val="single" w:sz="8" w:space="0" w:color="993333"/>
            </w:tcBorders>
            <w:shd w:val="clear" w:color="auto" w:fill="auto"/>
            <w:vAlign w:val="center"/>
          </w:tcPr>
          <w:p w14:paraId="3BB63CF7"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000000"/>
                <w:sz w:val="18"/>
                <w:szCs w:val="18"/>
                <w:lang w:eastAsia="es-ES"/>
              </w:rPr>
              <w:t>18 de febrero</w:t>
            </w:r>
          </w:p>
        </w:tc>
        <w:tc>
          <w:tcPr>
            <w:tcW w:w="6226" w:type="dxa"/>
            <w:tcBorders>
              <w:bottom w:val="single" w:sz="8" w:space="0" w:color="993333"/>
            </w:tcBorders>
            <w:shd w:val="clear" w:color="auto" w:fill="auto"/>
          </w:tcPr>
          <w:p w14:paraId="594D9364" w14:textId="77777777" w:rsidR="00B9275E" w:rsidRPr="00973028" w:rsidRDefault="00B9275E" w:rsidP="00BB3EDF">
            <w:pPr>
              <w:spacing w:after="0" w:line="276" w:lineRule="auto"/>
              <w:jc w:val="both"/>
              <w:rPr>
                <w:rFonts w:ascii="Arial" w:eastAsia="Times New Roman" w:hAnsi="Arial" w:cs="Arial"/>
                <w:color w:val="666666"/>
                <w:sz w:val="18"/>
                <w:szCs w:val="18"/>
                <w:lang w:eastAsia="es-ES"/>
              </w:rPr>
            </w:pPr>
            <w:r w:rsidRPr="00973028">
              <w:rPr>
                <w:rFonts w:ascii="Arial" w:eastAsia="Times New Roman" w:hAnsi="Arial" w:cs="Arial"/>
                <w:color w:val="666666"/>
                <w:sz w:val="18"/>
                <w:szCs w:val="18"/>
                <w:lang w:eastAsia="es-ES"/>
              </w:rPr>
              <w:t xml:space="preserve">Ayuntamiento de Alzira. </w:t>
            </w:r>
            <w:r w:rsidRPr="00973028">
              <w:rPr>
                <w:rFonts w:ascii="Arial" w:eastAsia="Times New Roman" w:hAnsi="Arial" w:cs="Arial"/>
                <w:i/>
                <w:sz w:val="18"/>
                <w:szCs w:val="18"/>
                <w:lang w:eastAsia="es-ES"/>
              </w:rPr>
              <w:t>Alzira</w:t>
            </w:r>
          </w:p>
          <w:p w14:paraId="101C3DFF" w14:textId="77777777" w:rsidR="00B9275E" w:rsidRPr="00973028" w:rsidRDefault="00B9275E" w:rsidP="00BB3EDF">
            <w:pPr>
              <w:spacing w:after="0" w:line="276" w:lineRule="auto"/>
              <w:jc w:val="both"/>
              <w:rPr>
                <w:rFonts w:ascii="Arial" w:eastAsia="Times New Roman" w:hAnsi="Arial" w:cs="Arial"/>
                <w:b/>
                <w:bCs/>
                <w:sz w:val="18"/>
                <w:szCs w:val="18"/>
                <w:lang w:eastAsia="es-ES"/>
              </w:rPr>
            </w:pPr>
            <w:r w:rsidRPr="00973028">
              <w:rPr>
                <w:rFonts w:ascii="Arial" w:eastAsia="Times New Roman" w:hAnsi="Arial" w:cs="Arial"/>
                <w:b/>
                <w:bCs/>
                <w:sz w:val="18"/>
                <w:szCs w:val="18"/>
                <w:lang w:eastAsia="es-ES"/>
              </w:rPr>
              <w:t>El potencial del ámbito comunicativo en la economía</w:t>
            </w:r>
          </w:p>
          <w:p w14:paraId="26830ADF" w14:textId="77777777" w:rsidR="00B9275E" w:rsidRPr="00973028" w:rsidRDefault="00B9275E" w:rsidP="00BB3EDF">
            <w:pPr>
              <w:spacing w:after="0" w:line="276" w:lineRule="auto"/>
              <w:jc w:val="both"/>
              <w:rPr>
                <w:rFonts w:ascii="Arial" w:hAnsi="Arial" w:cs="Arial"/>
                <w:sz w:val="18"/>
                <w:szCs w:val="18"/>
              </w:rPr>
            </w:pPr>
            <w:r w:rsidRPr="00973028">
              <w:rPr>
                <w:rFonts w:ascii="Arial" w:eastAsia="Times New Roman" w:hAnsi="Arial" w:cs="Arial"/>
                <w:sz w:val="18"/>
                <w:szCs w:val="18"/>
                <w:lang w:eastAsia="es-ES"/>
              </w:rPr>
              <w:t xml:space="preserve">Dentro de la 12ª edición de la </w:t>
            </w:r>
            <w:hyperlink r:id="rId191">
              <w:r w:rsidRPr="00973028">
                <w:rPr>
                  <w:rStyle w:val="EnlacedeInternet"/>
                  <w:rFonts w:ascii="Arial" w:eastAsia="Times New Roman" w:hAnsi="Arial" w:cs="Arial"/>
                  <w:sz w:val="18"/>
                  <w:szCs w:val="18"/>
                  <w:lang w:eastAsia="es-ES"/>
                </w:rPr>
                <w:t>Semana de la Economía y el Empleo</w:t>
              </w:r>
            </w:hyperlink>
            <w:r w:rsidRPr="00973028">
              <w:rPr>
                <w:rFonts w:ascii="Arial" w:eastAsia="Times New Roman" w:hAnsi="Arial" w:cs="Arial"/>
                <w:sz w:val="18"/>
                <w:szCs w:val="18"/>
                <w:lang w:eastAsia="es-ES"/>
              </w:rPr>
              <w:t xml:space="preserve">, celebrada en Alzira del 17 al 21 de febrero, el director de la Agencia participó en la mesa redonda titulada </w:t>
            </w:r>
            <w:r w:rsidRPr="003D107F">
              <w:rPr>
                <w:rFonts w:ascii="Arial" w:eastAsia="Times New Roman" w:hAnsi="Arial" w:cs="Arial"/>
                <w:sz w:val="18"/>
                <w:szCs w:val="18"/>
                <w:lang w:eastAsia="es-ES"/>
              </w:rPr>
              <w:t>“El potencial del ámbito comunicativo en la economía”.</w:t>
            </w:r>
          </w:p>
        </w:tc>
      </w:tr>
      <w:tr w:rsidR="00B9275E" w:rsidRPr="00973028" w14:paraId="154DE517" w14:textId="77777777" w:rsidTr="005D6A9A">
        <w:tc>
          <w:tcPr>
            <w:tcW w:w="2234" w:type="dxa"/>
            <w:tcBorders>
              <w:bottom w:val="single" w:sz="8" w:space="0" w:color="993333"/>
            </w:tcBorders>
            <w:shd w:val="clear" w:color="auto" w:fill="auto"/>
            <w:vAlign w:val="center"/>
          </w:tcPr>
          <w:p w14:paraId="493C77AC"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000000"/>
                <w:sz w:val="18"/>
                <w:szCs w:val="18"/>
                <w:lang w:eastAsia="es-ES"/>
              </w:rPr>
              <w:t>19 de febrero</w:t>
            </w:r>
          </w:p>
        </w:tc>
        <w:tc>
          <w:tcPr>
            <w:tcW w:w="6226" w:type="dxa"/>
            <w:tcBorders>
              <w:bottom w:val="single" w:sz="8" w:space="0" w:color="993333"/>
            </w:tcBorders>
            <w:shd w:val="clear" w:color="auto" w:fill="auto"/>
          </w:tcPr>
          <w:p w14:paraId="2FC7CCDD" w14:textId="77777777" w:rsidR="00B9275E" w:rsidRPr="00973028" w:rsidRDefault="00B9275E" w:rsidP="00BB3EDF">
            <w:pPr>
              <w:spacing w:after="0" w:line="276" w:lineRule="auto"/>
              <w:jc w:val="both"/>
              <w:rPr>
                <w:rFonts w:ascii="Arial" w:eastAsia="Times New Roman" w:hAnsi="Arial" w:cs="Arial"/>
                <w:color w:val="666666"/>
                <w:sz w:val="18"/>
                <w:szCs w:val="18"/>
                <w:lang w:eastAsia="es-ES"/>
              </w:rPr>
            </w:pPr>
            <w:r w:rsidRPr="00973028">
              <w:rPr>
                <w:rFonts w:ascii="Arial" w:eastAsia="Times New Roman" w:hAnsi="Arial" w:cs="Arial"/>
                <w:color w:val="666666"/>
                <w:sz w:val="18"/>
                <w:szCs w:val="18"/>
                <w:lang w:eastAsia="es-ES"/>
              </w:rPr>
              <w:t xml:space="preserve">Área Metropolitana de Barcelona. </w:t>
            </w:r>
            <w:r w:rsidRPr="00973028">
              <w:rPr>
                <w:rFonts w:ascii="Arial" w:eastAsia="Times New Roman" w:hAnsi="Arial" w:cs="Arial"/>
                <w:i/>
                <w:sz w:val="18"/>
                <w:szCs w:val="18"/>
                <w:lang w:eastAsia="es-ES"/>
              </w:rPr>
              <w:t>Barcelona</w:t>
            </w:r>
          </w:p>
          <w:p w14:paraId="1F0B09C9" w14:textId="77777777" w:rsidR="00B9275E" w:rsidRPr="00973028" w:rsidRDefault="00B9275E" w:rsidP="00BB3EDF">
            <w:pPr>
              <w:spacing w:after="0" w:line="276" w:lineRule="auto"/>
              <w:jc w:val="both"/>
              <w:rPr>
                <w:rFonts w:ascii="Arial" w:eastAsia="Times New Roman" w:hAnsi="Arial" w:cs="Arial"/>
                <w:b/>
                <w:bCs/>
                <w:sz w:val="18"/>
                <w:szCs w:val="18"/>
                <w:lang w:eastAsia="es-ES"/>
              </w:rPr>
            </w:pPr>
            <w:r w:rsidRPr="00973028">
              <w:rPr>
                <w:rFonts w:ascii="Arial" w:eastAsia="Times New Roman" w:hAnsi="Arial" w:cs="Arial"/>
                <w:b/>
                <w:bCs/>
                <w:sz w:val="18"/>
                <w:szCs w:val="18"/>
                <w:lang w:eastAsia="es-ES"/>
              </w:rPr>
              <w:t>Buzones éticos: herramientas de refuerzo de la integridad público-privada</w:t>
            </w:r>
          </w:p>
          <w:p w14:paraId="05833326" w14:textId="64B5F93D" w:rsidR="00B9275E" w:rsidRPr="00973028" w:rsidRDefault="00B9275E" w:rsidP="00BB3EDF">
            <w:pPr>
              <w:spacing w:after="0" w:line="276" w:lineRule="auto"/>
              <w:jc w:val="both"/>
              <w:rPr>
                <w:rFonts w:ascii="Arial" w:hAnsi="Arial" w:cs="Arial"/>
                <w:sz w:val="18"/>
                <w:szCs w:val="18"/>
              </w:rPr>
            </w:pPr>
            <w:r w:rsidRPr="00973028">
              <w:rPr>
                <w:rFonts w:ascii="Arial" w:eastAsia="Times New Roman" w:hAnsi="Arial" w:cs="Arial"/>
                <w:sz w:val="18"/>
                <w:szCs w:val="18"/>
                <w:lang w:eastAsia="es-ES"/>
              </w:rPr>
              <w:t xml:space="preserve">El 11ª Jornada del Aula de Transparencia del Área Metropolitana de Barcelona, con el título </w:t>
            </w:r>
            <w:hyperlink r:id="rId192" w:anchor="boc/iniciativa/clau/190130338417502" w:history="1">
              <w:r w:rsidRPr="00967150">
                <w:rPr>
                  <w:rStyle w:val="Hipervnculo"/>
                  <w:rFonts w:ascii="Arial" w:eastAsia="Times New Roman" w:hAnsi="Arial" w:cs="Arial"/>
                  <w:sz w:val="18"/>
                  <w:szCs w:val="18"/>
                  <w:lang w:eastAsia="es-ES"/>
                </w:rPr>
                <w:t>”Buzones éticos: herramientas de refuerzo de la integridad público-privada”</w:t>
              </w:r>
            </w:hyperlink>
            <w:r w:rsidRPr="00967150">
              <w:rPr>
                <w:rStyle w:val="EnlacedeInternet"/>
                <w:rFonts w:ascii="Arial" w:eastAsia="Times New Roman" w:hAnsi="Arial" w:cs="Arial"/>
                <w:sz w:val="18"/>
                <w:szCs w:val="18"/>
                <w:u w:val="none"/>
                <w:lang w:eastAsia="es-ES"/>
              </w:rPr>
              <w:t xml:space="preserve">, </w:t>
            </w:r>
            <w:r w:rsidRPr="00973028">
              <w:rPr>
                <w:rFonts w:ascii="Arial" w:eastAsia="Times New Roman" w:hAnsi="Arial" w:cs="Arial"/>
                <w:sz w:val="18"/>
                <w:szCs w:val="18"/>
                <w:lang w:eastAsia="es-ES"/>
              </w:rPr>
              <w:t xml:space="preserve">contó con la participación del director de la Agencia en la mesa redonda titulada </w:t>
            </w:r>
            <w:r w:rsidRPr="003D107F">
              <w:rPr>
                <w:rFonts w:ascii="Arial" w:eastAsia="Times New Roman" w:hAnsi="Arial" w:cs="Arial"/>
                <w:sz w:val="18"/>
                <w:szCs w:val="18"/>
                <w:lang w:eastAsia="es-ES"/>
              </w:rPr>
              <w:t>“El buzón ético en el marco de los sistemas de integridad”.</w:t>
            </w:r>
          </w:p>
        </w:tc>
      </w:tr>
      <w:tr w:rsidR="00B9275E" w:rsidRPr="00973028" w14:paraId="0A9B7CA5" w14:textId="77777777" w:rsidTr="005D6A9A">
        <w:tc>
          <w:tcPr>
            <w:tcW w:w="2234" w:type="dxa"/>
            <w:tcBorders>
              <w:bottom w:val="single" w:sz="8" w:space="0" w:color="993333"/>
            </w:tcBorders>
            <w:shd w:val="clear" w:color="auto" w:fill="auto"/>
            <w:vAlign w:val="center"/>
          </w:tcPr>
          <w:p w14:paraId="685A643E"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000000"/>
                <w:sz w:val="18"/>
                <w:szCs w:val="18"/>
                <w:lang w:eastAsia="es-ES"/>
              </w:rPr>
              <w:lastRenderedPageBreak/>
              <w:t>4 de marzo</w:t>
            </w:r>
          </w:p>
        </w:tc>
        <w:tc>
          <w:tcPr>
            <w:tcW w:w="6226" w:type="dxa"/>
            <w:tcBorders>
              <w:bottom w:val="single" w:sz="8" w:space="0" w:color="993333"/>
            </w:tcBorders>
            <w:shd w:val="clear" w:color="auto" w:fill="auto"/>
          </w:tcPr>
          <w:p w14:paraId="6EC483E6"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666666"/>
                <w:sz w:val="18"/>
                <w:szCs w:val="18"/>
                <w:lang w:eastAsia="es-ES"/>
              </w:rPr>
              <w:t xml:space="preserve">Feria FORINVEST. </w:t>
            </w:r>
            <w:r w:rsidRPr="00973028">
              <w:rPr>
                <w:rFonts w:ascii="Arial" w:eastAsia="Times New Roman" w:hAnsi="Arial" w:cs="Arial"/>
                <w:i/>
                <w:sz w:val="18"/>
                <w:szCs w:val="18"/>
                <w:lang w:eastAsia="es-ES"/>
              </w:rPr>
              <w:t>València</w:t>
            </w:r>
          </w:p>
          <w:p w14:paraId="0405058B" w14:textId="77777777" w:rsidR="00B9275E" w:rsidRPr="00973028" w:rsidRDefault="00B9275E" w:rsidP="00BB3EDF">
            <w:pPr>
              <w:spacing w:after="0" w:line="276" w:lineRule="auto"/>
              <w:jc w:val="both"/>
              <w:rPr>
                <w:rFonts w:ascii="Arial" w:eastAsia="Times New Roman" w:hAnsi="Arial" w:cs="Arial"/>
                <w:b/>
                <w:bCs/>
                <w:sz w:val="18"/>
                <w:szCs w:val="18"/>
                <w:lang w:eastAsia="es-ES"/>
              </w:rPr>
            </w:pPr>
            <w:r w:rsidRPr="00973028">
              <w:rPr>
                <w:rFonts w:ascii="Arial" w:eastAsia="Times New Roman" w:hAnsi="Arial" w:cs="Arial"/>
                <w:b/>
                <w:bCs/>
                <w:sz w:val="18"/>
                <w:szCs w:val="18"/>
                <w:lang w:eastAsia="es-ES"/>
              </w:rPr>
              <w:t>Prevención y lucha contra el fraude y la corrupción. Nueva directiva de cumplimiento a la protección de las personas por parte de las empresas</w:t>
            </w:r>
          </w:p>
          <w:p w14:paraId="4FB26A0E" w14:textId="77777777" w:rsidR="00B9275E" w:rsidRPr="00973028" w:rsidRDefault="00B9275E" w:rsidP="00BB3EDF">
            <w:pPr>
              <w:spacing w:after="0" w:line="276" w:lineRule="auto"/>
              <w:jc w:val="both"/>
              <w:rPr>
                <w:rFonts w:ascii="Arial" w:hAnsi="Arial" w:cs="Arial"/>
                <w:sz w:val="18"/>
                <w:szCs w:val="18"/>
              </w:rPr>
            </w:pPr>
            <w:r w:rsidRPr="00973028">
              <w:rPr>
                <w:rFonts w:ascii="Arial" w:eastAsia="Times New Roman" w:hAnsi="Arial" w:cs="Arial"/>
                <w:sz w:val="18"/>
                <w:szCs w:val="18"/>
                <w:lang w:eastAsia="es-ES"/>
              </w:rPr>
              <w:t xml:space="preserve">Dentro del Foro del Asesor 2020, celebrado con ocasión de la feria </w:t>
            </w:r>
            <w:hyperlink r:id="rId193">
              <w:r w:rsidRPr="00973028">
                <w:rPr>
                  <w:rStyle w:val="EnlacedeInternet"/>
                  <w:rFonts w:ascii="Arial" w:eastAsia="Times New Roman" w:hAnsi="Arial" w:cs="Arial"/>
                  <w:sz w:val="18"/>
                  <w:szCs w:val="18"/>
                  <w:lang w:eastAsia="es-ES"/>
                </w:rPr>
                <w:t>FORINVEST</w:t>
              </w:r>
            </w:hyperlink>
            <w:r w:rsidRPr="00973028">
              <w:rPr>
                <w:rFonts w:ascii="Arial" w:eastAsia="Times New Roman" w:hAnsi="Arial" w:cs="Arial"/>
                <w:sz w:val="18"/>
                <w:szCs w:val="18"/>
                <w:lang w:eastAsia="es-ES"/>
              </w:rPr>
              <w:t>, celebrada en la Feria Valencia los días 3 y 4 de marzo, el director pronuncia una conferencia sobre la Directiva UE de protección de las personas denunciantes.</w:t>
            </w:r>
          </w:p>
        </w:tc>
      </w:tr>
      <w:tr w:rsidR="00B9275E" w:rsidRPr="00973028" w14:paraId="20602BC8" w14:textId="77777777" w:rsidTr="005D6A9A">
        <w:tc>
          <w:tcPr>
            <w:tcW w:w="2234" w:type="dxa"/>
            <w:tcBorders>
              <w:bottom w:val="single" w:sz="8" w:space="0" w:color="993333"/>
            </w:tcBorders>
            <w:shd w:val="clear" w:color="auto" w:fill="auto"/>
            <w:vAlign w:val="center"/>
          </w:tcPr>
          <w:p w14:paraId="0A098C74"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000000"/>
                <w:sz w:val="18"/>
                <w:szCs w:val="18"/>
                <w:lang w:eastAsia="es-ES"/>
              </w:rPr>
              <w:t>4 de marzo</w:t>
            </w:r>
          </w:p>
        </w:tc>
        <w:tc>
          <w:tcPr>
            <w:tcW w:w="6226" w:type="dxa"/>
            <w:tcBorders>
              <w:bottom w:val="single" w:sz="8" w:space="0" w:color="993333"/>
            </w:tcBorders>
            <w:shd w:val="clear" w:color="auto" w:fill="auto"/>
          </w:tcPr>
          <w:p w14:paraId="2B5DEEB2"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666666"/>
                <w:sz w:val="18"/>
                <w:szCs w:val="18"/>
                <w:lang w:eastAsia="es-ES"/>
              </w:rPr>
              <w:t xml:space="preserve">Universitat de València - ADEIT. </w:t>
            </w:r>
            <w:r w:rsidRPr="00973028">
              <w:rPr>
                <w:rFonts w:ascii="Arial" w:eastAsia="Times New Roman" w:hAnsi="Arial" w:cs="Arial"/>
                <w:i/>
                <w:sz w:val="18"/>
                <w:szCs w:val="18"/>
                <w:lang w:eastAsia="es-ES"/>
              </w:rPr>
              <w:t>València</w:t>
            </w:r>
          </w:p>
          <w:p w14:paraId="4D9AF11D" w14:textId="77777777" w:rsidR="00B9275E" w:rsidRPr="00973028" w:rsidRDefault="00B9275E" w:rsidP="00BB3EDF">
            <w:pPr>
              <w:spacing w:after="0" w:line="276" w:lineRule="auto"/>
              <w:jc w:val="both"/>
              <w:rPr>
                <w:rFonts w:ascii="Arial" w:eastAsia="Times New Roman" w:hAnsi="Arial" w:cs="Arial"/>
                <w:b/>
                <w:bCs/>
                <w:sz w:val="18"/>
                <w:szCs w:val="18"/>
                <w:lang w:eastAsia="es-ES"/>
              </w:rPr>
            </w:pPr>
            <w:r w:rsidRPr="00973028">
              <w:rPr>
                <w:rFonts w:ascii="Arial" w:eastAsia="Times New Roman" w:hAnsi="Arial" w:cs="Arial"/>
                <w:b/>
                <w:bCs/>
                <w:sz w:val="18"/>
                <w:szCs w:val="18"/>
                <w:lang w:eastAsia="es-ES"/>
              </w:rPr>
              <w:t xml:space="preserve">La función desarrollada por las agencias antifraude </w:t>
            </w:r>
          </w:p>
          <w:p w14:paraId="4C20C631" w14:textId="136632B9" w:rsidR="00B9275E" w:rsidRPr="00973028" w:rsidRDefault="00B9275E" w:rsidP="00BB3EDF">
            <w:pPr>
              <w:spacing w:after="0" w:line="276" w:lineRule="auto"/>
              <w:jc w:val="both"/>
              <w:rPr>
                <w:rFonts w:ascii="Arial" w:hAnsi="Arial" w:cs="Arial"/>
                <w:sz w:val="18"/>
                <w:szCs w:val="18"/>
              </w:rPr>
            </w:pPr>
            <w:r w:rsidRPr="00973028">
              <w:rPr>
                <w:rFonts w:ascii="Arial" w:eastAsia="Times New Roman" w:hAnsi="Arial" w:cs="Arial"/>
                <w:sz w:val="18"/>
                <w:szCs w:val="18"/>
                <w:lang w:eastAsia="es-ES"/>
              </w:rPr>
              <w:t xml:space="preserve">Dentro de la 2ª edición del máster propio de la Universitat de València titulado </w:t>
            </w:r>
            <w:hyperlink r:id="rId194" w:history="1">
              <w:r w:rsidRPr="006E70E6">
                <w:rPr>
                  <w:rStyle w:val="Hipervnculo"/>
                  <w:rFonts w:ascii="Arial" w:eastAsia="Times New Roman" w:hAnsi="Arial" w:cs="Arial"/>
                  <w:sz w:val="18"/>
                  <w:szCs w:val="18"/>
                  <w:lang w:eastAsia="es-ES"/>
                </w:rPr>
                <w:t>“Contratación Pública y Compliance”</w:t>
              </w:r>
            </w:hyperlink>
            <w:r w:rsidRPr="00973028">
              <w:rPr>
                <w:rFonts w:ascii="Arial" w:eastAsia="Times New Roman" w:hAnsi="Arial" w:cs="Arial"/>
                <w:sz w:val="18"/>
                <w:szCs w:val="18"/>
                <w:lang w:eastAsia="es-ES"/>
              </w:rPr>
              <w:t xml:space="preserve"> el director de la Agencia imparte una clase sobre la función desarrollada por las agencias antifraude.</w:t>
            </w:r>
          </w:p>
        </w:tc>
      </w:tr>
      <w:tr w:rsidR="00B9275E" w:rsidRPr="00973028" w14:paraId="63C406C0" w14:textId="77777777" w:rsidTr="005D6A9A">
        <w:tc>
          <w:tcPr>
            <w:tcW w:w="2234" w:type="dxa"/>
            <w:tcBorders>
              <w:bottom w:val="single" w:sz="8" w:space="0" w:color="993333"/>
            </w:tcBorders>
            <w:shd w:val="clear" w:color="auto" w:fill="auto"/>
            <w:vAlign w:val="center"/>
          </w:tcPr>
          <w:p w14:paraId="247C534D"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000000"/>
                <w:sz w:val="18"/>
                <w:szCs w:val="18"/>
                <w:lang w:eastAsia="es-ES"/>
              </w:rPr>
              <w:t>23 de julio</w:t>
            </w:r>
          </w:p>
        </w:tc>
        <w:tc>
          <w:tcPr>
            <w:tcW w:w="6226" w:type="dxa"/>
            <w:tcBorders>
              <w:bottom w:val="single" w:sz="8" w:space="0" w:color="993333"/>
            </w:tcBorders>
            <w:shd w:val="clear" w:color="auto" w:fill="auto"/>
          </w:tcPr>
          <w:p w14:paraId="50947AED"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666666"/>
                <w:sz w:val="18"/>
                <w:szCs w:val="18"/>
                <w:lang w:eastAsia="es-ES"/>
              </w:rPr>
              <w:t xml:space="preserve">Universitat de València, Universitat d’Estiu de Gandia. </w:t>
            </w:r>
            <w:r w:rsidRPr="00973028">
              <w:rPr>
                <w:rFonts w:ascii="Arial" w:eastAsia="Times New Roman" w:hAnsi="Arial" w:cs="Arial"/>
                <w:i/>
                <w:sz w:val="18"/>
                <w:szCs w:val="18"/>
                <w:lang w:eastAsia="es-ES"/>
              </w:rPr>
              <w:t>Virtual</w:t>
            </w:r>
          </w:p>
          <w:p w14:paraId="6B3CBAA6" w14:textId="77777777" w:rsidR="00B9275E" w:rsidRPr="00973028" w:rsidRDefault="00B9275E" w:rsidP="00BB3EDF">
            <w:pPr>
              <w:spacing w:after="0" w:line="276" w:lineRule="auto"/>
              <w:jc w:val="both"/>
              <w:rPr>
                <w:rFonts w:ascii="Arial" w:eastAsia="Times New Roman" w:hAnsi="Arial" w:cs="Arial"/>
                <w:b/>
                <w:bCs/>
                <w:sz w:val="18"/>
                <w:szCs w:val="18"/>
                <w:lang w:eastAsia="es-ES"/>
              </w:rPr>
            </w:pPr>
            <w:r w:rsidRPr="00973028">
              <w:rPr>
                <w:rFonts w:ascii="Arial" w:eastAsia="Times New Roman" w:hAnsi="Arial" w:cs="Arial"/>
                <w:b/>
                <w:bCs/>
                <w:sz w:val="18"/>
                <w:szCs w:val="18"/>
                <w:lang w:eastAsia="es-ES"/>
              </w:rPr>
              <w:t>El fraude, la lucha contra la corrupción y la transparencia en las instituciones</w:t>
            </w:r>
          </w:p>
          <w:p w14:paraId="13D1695E" w14:textId="00457B3E" w:rsidR="00B9275E" w:rsidRPr="00973028" w:rsidRDefault="00B9275E" w:rsidP="00BB3EDF">
            <w:pPr>
              <w:spacing w:after="0" w:line="276" w:lineRule="auto"/>
              <w:jc w:val="both"/>
              <w:rPr>
                <w:rFonts w:ascii="Arial" w:hAnsi="Arial" w:cs="Arial"/>
                <w:sz w:val="18"/>
                <w:szCs w:val="18"/>
              </w:rPr>
            </w:pPr>
            <w:r w:rsidRPr="00973028">
              <w:rPr>
                <w:rFonts w:ascii="Arial" w:eastAsia="Times New Roman" w:hAnsi="Arial" w:cs="Arial"/>
                <w:sz w:val="18"/>
                <w:szCs w:val="18"/>
                <w:lang w:eastAsia="es-ES"/>
              </w:rPr>
              <w:t xml:space="preserve">En el marco de la 37ª edición de la Universitat d’Estiu de Gandia, centrada en los Objetivos de Desarrollo Sostenible de la Agenda 2030, el director pronuncia una conferencia dentro del curso sobre el ODS 16 </w:t>
            </w:r>
            <w:r w:rsidRPr="00FD3708">
              <w:rPr>
                <w:rFonts w:ascii="Arial" w:eastAsia="Times New Roman" w:hAnsi="Arial" w:cs="Arial"/>
                <w:sz w:val="18"/>
                <w:szCs w:val="18"/>
                <w:lang w:eastAsia="es-ES"/>
              </w:rPr>
              <w:t xml:space="preserve">Paz </w:t>
            </w:r>
            <w:hyperlink r:id="rId195" w:history="1">
              <w:r w:rsidRPr="00FD3708">
                <w:rPr>
                  <w:rStyle w:val="Hipervnculo"/>
                  <w:rFonts w:ascii="Arial" w:eastAsia="Times New Roman" w:hAnsi="Arial" w:cs="Arial"/>
                  <w:sz w:val="18"/>
                  <w:szCs w:val="18"/>
                  <w:lang w:eastAsia="es-ES"/>
                </w:rPr>
                <w:t>“Los grandes retos de los Derechos humanos, la Paz, la Justicia y la lucha contra corrupción para conseguir un mundo mejor”</w:t>
              </w:r>
            </w:hyperlink>
            <w:r w:rsidRPr="00973028">
              <w:rPr>
                <w:rFonts w:ascii="Arial" w:eastAsia="Times New Roman" w:hAnsi="Arial" w:cs="Arial"/>
                <w:sz w:val="18"/>
                <w:szCs w:val="18"/>
                <w:lang w:eastAsia="es-ES"/>
              </w:rPr>
              <w:t>.</w:t>
            </w:r>
          </w:p>
        </w:tc>
      </w:tr>
      <w:tr w:rsidR="00B9275E" w:rsidRPr="00973028" w14:paraId="6CA3F0E4" w14:textId="77777777" w:rsidTr="005D6A9A">
        <w:tc>
          <w:tcPr>
            <w:tcW w:w="2234" w:type="dxa"/>
            <w:tcBorders>
              <w:bottom w:val="single" w:sz="8" w:space="0" w:color="993333"/>
            </w:tcBorders>
            <w:shd w:val="clear" w:color="auto" w:fill="FFFFFF"/>
            <w:vAlign w:val="center"/>
          </w:tcPr>
          <w:p w14:paraId="7243D827"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000000"/>
                <w:sz w:val="18"/>
                <w:szCs w:val="18"/>
                <w:lang w:eastAsia="es-ES"/>
              </w:rPr>
              <w:t>30 de septiembre</w:t>
            </w:r>
          </w:p>
        </w:tc>
        <w:tc>
          <w:tcPr>
            <w:tcW w:w="6226" w:type="dxa"/>
            <w:tcBorders>
              <w:bottom w:val="single" w:sz="8" w:space="0" w:color="993333"/>
            </w:tcBorders>
            <w:shd w:val="clear" w:color="auto" w:fill="FFFFFF"/>
          </w:tcPr>
          <w:p w14:paraId="2FC8394B" w14:textId="77777777" w:rsidR="00B9275E" w:rsidRPr="00967150" w:rsidRDefault="00B9275E" w:rsidP="00BB3EDF">
            <w:pPr>
              <w:spacing w:after="0" w:line="276" w:lineRule="auto"/>
              <w:jc w:val="both"/>
              <w:rPr>
                <w:rFonts w:ascii="Arial" w:eastAsia="Times New Roman" w:hAnsi="Arial" w:cs="Arial"/>
                <w:sz w:val="18"/>
                <w:szCs w:val="18"/>
                <w:lang w:eastAsia="es-ES"/>
              </w:rPr>
            </w:pPr>
            <w:r w:rsidRPr="00967150">
              <w:rPr>
                <w:rFonts w:ascii="Arial" w:eastAsia="Times New Roman" w:hAnsi="Arial" w:cs="Arial"/>
                <w:color w:val="666666"/>
                <w:sz w:val="18"/>
                <w:szCs w:val="18"/>
                <w:lang w:eastAsia="es-ES"/>
              </w:rPr>
              <w:t xml:space="preserve">Universidad Nacional de Educación a Distancia, UNED. </w:t>
            </w:r>
            <w:r w:rsidRPr="00967150">
              <w:rPr>
                <w:rFonts w:ascii="Arial" w:eastAsia="Times New Roman" w:hAnsi="Arial" w:cs="Arial"/>
                <w:sz w:val="18"/>
                <w:szCs w:val="18"/>
                <w:lang w:eastAsia="es-ES"/>
              </w:rPr>
              <w:t>Virtual</w:t>
            </w:r>
          </w:p>
          <w:p w14:paraId="2F4AC618" w14:textId="77777777" w:rsidR="00B9275E" w:rsidRPr="00967150" w:rsidRDefault="001400EF" w:rsidP="00BB3EDF">
            <w:pPr>
              <w:spacing w:after="0" w:line="276" w:lineRule="auto"/>
              <w:jc w:val="both"/>
              <w:rPr>
                <w:rFonts w:ascii="Arial" w:eastAsia="Times New Roman" w:hAnsi="Arial" w:cs="Arial"/>
                <w:b/>
                <w:bCs/>
                <w:sz w:val="18"/>
                <w:szCs w:val="18"/>
                <w:lang w:eastAsia="es-ES"/>
              </w:rPr>
            </w:pPr>
            <w:hyperlink r:id="rId196">
              <w:r w:rsidR="00B9275E" w:rsidRPr="00967150">
                <w:rPr>
                  <w:rStyle w:val="EnlacedeInternet"/>
                  <w:rFonts w:ascii="Arial" w:eastAsia="Times New Roman" w:hAnsi="Arial" w:cs="Arial"/>
                  <w:b/>
                  <w:bCs/>
                  <w:sz w:val="18"/>
                  <w:szCs w:val="18"/>
                  <w:lang w:eastAsia="es-ES"/>
                </w:rPr>
                <w:t>La tensión entre la confidencialidad y la transparencia (acceso, confidencialidad y whistleblowers)</w:t>
              </w:r>
            </w:hyperlink>
          </w:p>
          <w:p w14:paraId="629E4402" w14:textId="093AA91B" w:rsidR="00B9275E" w:rsidRPr="00967150" w:rsidRDefault="00B9275E" w:rsidP="00BB3EDF">
            <w:pPr>
              <w:spacing w:after="0" w:line="276" w:lineRule="auto"/>
              <w:jc w:val="both"/>
              <w:rPr>
                <w:rFonts w:ascii="Arial" w:eastAsia="Times New Roman" w:hAnsi="Arial" w:cs="Arial"/>
                <w:sz w:val="18"/>
                <w:szCs w:val="18"/>
                <w:lang w:eastAsia="es-ES"/>
              </w:rPr>
            </w:pPr>
            <w:r w:rsidRPr="00967150">
              <w:rPr>
                <w:rFonts w:ascii="Arial" w:eastAsia="Times New Roman" w:hAnsi="Arial" w:cs="Arial"/>
                <w:sz w:val="18"/>
                <w:szCs w:val="18"/>
                <w:lang w:eastAsia="es-ES"/>
              </w:rPr>
              <w:t>El director de la Agencia participa como ponente en e</w:t>
            </w:r>
            <w:r w:rsidRPr="00967150">
              <w:rPr>
                <w:rStyle w:val="EnlacedeInternet"/>
                <w:rFonts w:ascii="Arial" w:eastAsia="Times New Roman" w:hAnsi="Arial" w:cs="Arial"/>
                <w:sz w:val="18"/>
                <w:szCs w:val="18"/>
                <w:u w:val="none"/>
                <w:lang w:eastAsia="es-ES"/>
              </w:rPr>
              <w:t xml:space="preserve">l </w:t>
            </w:r>
            <w:hyperlink r:id="rId197" w:history="1">
              <w:r w:rsidRPr="00967150">
                <w:rPr>
                  <w:rStyle w:val="Hipervnculo"/>
                  <w:rFonts w:ascii="Arial" w:eastAsia="Times New Roman" w:hAnsi="Arial" w:cs="Arial"/>
                  <w:sz w:val="18"/>
                  <w:szCs w:val="18"/>
                  <w:lang w:eastAsia="es-ES"/>
                </w:rPr>
                <w:t>V Congreso Internacional de Transparencia y Derecho de Acceso a la Información Pública</w:t>
              </w:r>
            </w:hyperlink>
            <w:r w:rsidRPr="00967150">
              <w:rPr>
                <w:rFonts w:ascii="Arial" w:eastAsia="Times New Roman" w:hAnsi="Arial" w:cs="Arial"/>
                <w:sz w:val="18"/>
                <w:szCs w:val="18"/>
                <w:lang w:eastAsia="es-ES"/>
              </w:rPr>
              <w:t xml:space="preserve"> es una iniciativa originada en la Universidad Complutense de Madrid en el año 2016 e impulsada por el Grupo de Investigación Regulación Jurídica y Participación del Ciudadano Digital y la Asociación de Profesionales de la Transparencia (ACREDITRA). Desde esa fecha, el profesor Manuel Sánchez de Diego con un equipo de profesionales del Derecho, las Ciencias Políticas y la Comunicación, han abierto un espacio de encuentro de profesionales, investigadores y académicos, así como de consultores, cuya actividad se enmarca en relación con el derecho de acceso a la información pública, la publicidad activa y los ámbitos conexos relacionados con el Gobierno Abierto y el Buen Gobierno.</w:t>
            </w:r>
          </w:p>
        </w:tc>
      </w:tr>
      <w:tr w:rsidR="00B9275E" w:rsidRPr="00973028" w14:paraId="6C27AB5C" w14:textId="77777777" w:rsidTr="005D6A9A">
        <w:tc>
          <w:tcPr>
            <w:tcW w:w="2234" w:type="dxa"/>
            <w:tcBorders>
              <w:bottom w:val="single" w:sz="8" w:space="0" w:color="993333"/>
            </w:tcBorders>
            <w:shd w:val="clear" w:color="auto" w:fill="auto"/>
            <w:vAlign w:val="center"/>
          </w:tcPr>
          <w:p w14:paraId="685D57CE"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000000"/>
                <w:sz w:val="18"/>
                <w:szCs w:val="18"/>
                <w:lang w:eastAsia="es-ES"/>
              </w:rPr>
              <w:t>15 de octubre</w:t>
            </w:r>
          </w:p>
        </w:tc>
        <w:tc>
          <w:tcPr>
            <w:tcW w:w="6226" w:type="dxa"/>
            <w:tcBorders>
              <w:bottom w:val="single" w:sz="8" w:space="0" w:color="993333"/>
            </w:tcBorders>
            <w:shd w:val="clear" w:color="auto" w:fill="auto"/>
          </w:tcPr>
          <w:p w14:paraId="5FFE7923"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666666"/>
                <w:sz w:val="18"/>
                <w:szCs w:val="18"/>
                <w:lang w:eastAsia="es-ES"/>
              </w:rPr>
              <w:t xml:space="preserve">Universitat de València, Càtedra PAGODA. </w:t>
            </w:r>
            <w:r w:rsidRPr="00973028">
              <w:rPr>
                <w:rFonts w:ascii="Arial" w:eastAsia="Times New Roman" w:hAnsi="Arial" w:cs="Arial"/>
                <w:i/>
                <w:sz w:val="18"/>
                <w:szCs w:val="18"/>
                <w:lang w:eastAsia="es-ES"/>
              </w:rPr>
              <w:t>Virtual</w:t>
            </w:r>
          </w:p>
          <w:p w14:paraId="407A24DB" w14:textId="77777777" w:rsidR="00B9275E" w:rsidRPr="00973028" w:rsidRDefault="00B9275E" w:rsidP="00BB3EDF">
            <w:pPr>
              <w:spacing w:after="0" w:line="276" w:lineRule="auto"/>
              <w:jc w:val="both"/>
              <w:rPr>
                <w:rFonts w:ascii="Arial" w:eastAsia="Times New Roman" w:hAnsi="Arial" w:cs="Arial"/>
                <w:b/>
                <w:bCs/>
                <w:sz w:val="18"/>
                <w:szCs w:val="18"/>
                <w:lang w:eastAsia="es-ES"/>
              </w:rPr>
            </w:pPr>
            <w:r w:rsidRPr="00973028">
              <w:rPr>
                <w:rFonts w:ascii="Arial" w:eastAsia="Times New Roman" w:hAnsi="Arial" w:cs="Arial"/>
                <w:b/>
                <w:bCs/>
                <w:sz w:val="18"/>
                <w:szCs w:val="18"/>
                <w:lang w:eastAsia="es-ES"/>
              </w:rPr>
              <w:t>La Agencia Antifraude Valenciana</w:t>
            </w:r>
          </w:p>
          <w:p w14:paraId="28E4CA0A" w14:textId="77777777" w:rsidR="00B9275E" w:rsidRPr="00973028" w:rsidRDefault="00B9275E" w:rsidP="00BB3EDF">
            <w:pPr>
              <w:spacing w:after="0" w:line="276" w:lineRule="auto"/>
              <w:jc w:val="both"/>
              <w:rPr>
                <w:rFonts w:ascii="Arial" w:hAnsi="Arial" w:cs="Arial"/>
                <w:sz w:val="18"/>
                <w:szCs w:val="18"/>
              </w:rPr>
            </w:pPr>
            <w:r w:rsidRPr="00973028">
              <w:rPr>
                <w:rFonts w:ascii="Arial" w:hAnsi="Arial" w:cs="Arial"/>
                <w:sz w:val="18"/>
                <w:szCs w:val="18"/>
              </w:rPr>
              <w:t xml:space="preserve">Dentro del XI Seminario Política 2.0: Políticas de integridad institucional, organizado por la </w:t>
            </w:r>
            <w:hyperlink r:id="rId198">
              <w:r w:rsidRPr="00973028">
                <w:rPr>
                  <w:rStyle w:val="EnlacedeInternet"/>
                  <w:rFonts w:ascii="Arial" w:hAnsi="Arial" w:cs="Arial"/>
                  <w:sz w:val="18"/>
                  <w:szCs w:val="18"/>
                </w:rPr>
                <w:t xml:space="preserve">Càtedra PAGODA </w:t>
              </w:r>
            </w:hyperlink>
            <w:r w:rsidRPr="00973028">
              <w:rPr>
                <w:rFonts w:ascii="Arial" w:hAnsi="Arial" w:cs="Arial"/>
                <w:sz w:val="18"/>
                <w:szCs w:val="18"/>
              </w:rPr>
              <w:t xml:space="preserve">de la Universitat de València, el director de la AVAF imparte una ponencia sobre la Agencia Valenciana Antifraude. </w:t>
            </w:r>
          </w:p>
        </w:tc>
      </w:tr>
      <w:tr w:rsidR="00B9275E" w:rsidRPr="00973028" w14:paraId="06797F59" w14:textId="77777777" w:rsidTr="005D6A9A">
        <w:tc>
          <w:tcPr>
            <w:tcW w:w="2234" w:type="dxa"/>
            <w:tcBorders>
              <w:bottom w:val="single" w:sz="8" w:space="0" w:color="993333"/>
            </w:tcBorders>
            <w:shd w:val="clear" w:color="auto" w:fill="auto"/>
            <w:vAlign w:val="center"/>
          </w:tcPr>
          <w:p w14:paraId="48E5DE6F"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000000"/>
                <w:sz w:val="18"/>
                <w:szCs w:val="18"/>
                <w:lang w:eastAsia="es-ES"/>
              </w:rPr>
              <w:lastRenderedPageBreak/>
              <w:t>19 de octubre</w:t>
            </w:r>
          </w:p>
        </w:tc>
        <w:tc>
          <w:tcPr>
            <w:tcW w:w="6226" w:type="dxa"/>
            <w:tcBorders>
              <w:bottom w:val="single" w:sz="8" w:space="0" w:color="993333"/>
            </w:tcBorders>
            <w:shd w:val="clear" w:color="auto" w:fill="auto"/>
          </w:tcPr>
          <w:p w14:paraId="35932576" w14:textId="77777777" w:rsidR="00B9275E" w:rsidRPr="00973028" w:rsidRDefault="00B9275E" w:rsidP="00BB3EDF">
            <w:pPr>
              <w:spacing w:after="0" w:line="276" w:lineRule="auto"/>
              <w:ind w:left="708" w:hanging="708"/>
              <w:jc w:val="both"/>
              <w:rPr>
                <w:rFonts w:ascii="Arial" w:eastAsia="Times New Roman" w:hAnsi="Arial" w:cs="Arial"/>
                <w:sz w:val="18"/>
                <w:szCs w:val="18"/>
                <w:lang w:eastAsia="es-ES"/>
              </w:rPr>
            </w:pPr>
            <w:r w:rsidRPr="00973028">
              <w:rPr>
                <w:rFonts w:ascii="Arial" w:eastAsia="Times New Roman" w:hAnsi="Arial" w:cs="Arial"/>
                <w:color w:val="666666"/>
                <w:sz w:val="18"/>
                <w:szCs w:val="18"/>
                <w:lang w:eastAsia="es-ES"/>
              </w:rPr>
              <w:t xml:space="preserve">Universitat de Barcelona. </w:t>
            </w:r>
            <w:r w:rsidRPr="00973028">
              <w:rPr>
                <w:rFonts w:ascii="Arial" w:eastAsia="Times New Roman" w:hAnsi="Arial" w:cs="Arial"/>
                <w:i/>
                <w:sz w:val="18"/>
                <w:szCs w:val="18"/>
                <w:lang w:eastAsia="es-ES"/>
              </w:rPr>
              <w:t>Virtual</w:t>
            </w:r>
          </w:p>
          <w:p w14:paraId="6910F13D" w14:textId="77777777" w:rsidR="00B9275E" w:rsidRPr="00973028" w:rsidRDefault="00B9275E" w:rsidP="00BB3EDF">
            <w:pPr>
              <w:spacing w:after="0" w:line="276" w:lineRule="auto"/>
              <w:jc w:val="both"/>
              <w:rPr>
                <w:rFonts w:ascii="Arial" w:eastAsia="Times New Roman" w:hAnsi="Arial" w:cs="Arial"/>
                <w:b/>
                <w:bCs/>
                <w:sz w:val="18"/>
                <w:szCs w:val="18"/>
                <w:lang w:eastAsia="es-ES"/>
              </w:rPr>
            </w:pPr>
            <w:r w:rsidRPr="00973028">
              <w:rPr>
                <w:rFonts w:ascii="Arial" w:eastAsia="Times New Roman" w:hAnsi="Arial" w:cs="Arial"/>
                <w:b/>
                <w:bCs/>
                <w:sz w:val="18"/>
                <w:szCs w:val="18"/>
                <w:lang w:eastAsia="es-ES"/>
              </w:rPr>
              <w:t>Regulación de los denunciantes de irregularidades en los sectores privado y público (</w:t>
            </w:r>
            <w:r w:rsidRPr="00973028">
              <w:rPr>
                <w:rFonts w:ascii="Arial" w:eastAsia="Times New Roman" w:hAnsi="Arial" w:cs="Arial"/>
                <w:b/>
                <w:bCs/>
                <w:i/>
                <w:iCs/>
                <w:sz w:val="18"/>
                <w:szCs w:val="18"/>
                <w:lang w:eastAsia="es-ES"/>
              </w:rPr>
              <w:t>Whistleblowers</w:t>
            </w:r>
            <w:r w:rsidRPr="00973028">
              <w:rPr>
                <w:rFonts w:ascii="Arial" w:eastAsia="Times New Roman" w:hAnsi="Arial" w:cs="Arial"/>
                <w:b/>
                <w:bCs/>
                <w:sz w:val="18"/>
                <w:szCs w:val="18"/>
                <w:lang w:eastAsia="es-ES"/>
              </w:rPr>
              <w:t>)</w:t>
            </w:r>
          </w:p>
          <w:p w14:paraId="4A03950A" w14:textId="77777777" w:rsidR="00B9275E" w:rsidRPr="00973028" w:rsidRDefault="00B9275E" w:rsidP="00BB3EDF">
            <w:pPr>
              <w:spacing w:after="0" w:line="276" w:lineRule="auto"/>
              <w:jc w:val="both"/>
              <w:rPr>
                <w:rFonts w:ascii="Arial" w:hAnsi="Arial" w:cs="Arial"/>
                <w:sz w:val="18"/>
                <w:szCs w:val="18"/>
              </w:rPr>
            </w:pPr>
            <w:r w:rsidRPr="00973028">
              <w:rPr>
                <w:rFonts w:ascii="Arial" w:hAnsi="Arial" w:cs="Arial"/>
                <w:sz w:val="18"/>
                <w:szCs w:val="18"/>
              </w:rPr>
              <w:t xml:space="preserve">El III </w:t>
            </w:r>
            <w:hyperlink r:id="rId199">
              <w:r w:rsidRPr="00973028">
                <w:rPr>
                  <w:rStyle w:val="EnlacedeInternet"/>
                  <w:rFonts w:ascii="Arial" w:hAnsi="Arial" w:cs="Arial"/>
                  <w:sz w:val="18"/>
                  <w:szCs w:val="18"/>
                </w:rPr>
                <w:t>Living Lab de Buen Gobierno y Regulación</w:t>
              </w:r>
            </w:hyperlink>
            <w:r w:rsidRPr="00973028">
              <w:rPr>
                <w:rFonts w:ascii="Arial" w:hAnsi="Arial" w:cs="Arial"/>
                <w:sz w:val="18"/>
                <w:szCs w:val="18"/>
              </w:rPr>
              <w:t xml:space="preserve"> reunió al director de la Agencia y al profesor Manuel Villoria, la Sra. Maite Morao y el Sr. Josep Figols para presentar y debatir sobre el tema de los alertadores de corrupción.</w:t>
            </w:r>
          </w:p>
        </w:tc>
      </w:tr>
      <w:tr w:rsidR="00B9275E" w:rsidRPr="00973028" w14:paraId="54ECB882" w14:textId="77777777" w:rsidTr="005D6A9A">
        <w:tc>
          <w:tcPr>
            <w:tcW w:w="2234" w:type="dxa"/>
            <w:tcBorders>
              <w:bottom w:val="single" w:sz="8" w:space="0" w:color="993333"/>
            </w:tcBorders>
            <w:shd w:val="clear" w:color="auto" w:fill="auto"/>
            <w:vAlign w:val="center"/>
          </w:tcPr>
          <w:p w14:paraId="7E171D38"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000000"/>
                <w:sz w:val="18"/>
                <w:szCs w:val="18"/>
                <w:lang w:eastAsia="es-ES"/>
              </w:rPr>
              <w:t>28 de octubre</w:t>
            </w:r>
          </w:p>
        </w:tc>
        <w:tc>
          <w:tcPr>
            <w:tcW w:w="6226" w:type="dxa"/>
            <w:tcBorders>
              <w:bottom w:val="single" w:sz="8" w:space="0" w:color="993333"/>
            </w:tcBorders>
            <w:shd w:val="clear" w:color="auto" w:fill="auto"/>
          </w:tcPr>
          <w:p w14:paraId="57C8EDC5" w14:textId="77777777" w:rsidR="00B9275E" w:rsidRPr="00973028" w:rsidRDefault="00B9275E" w:rsidP="00BB3EDF">
            <w:pPr>
              <w:spacing w:after="0" w:line="276" w:lineRule="auto"/>
              <w:ind w:left="708" w:hanging="708"/>
              <w:jc w:val="both"/>
              <w:rPr>
                <w:rFonts w:ascii="Arial" w:eastAsia="Times New Roman" w:hAnsi="Arial" w:cs="Arial"/>
                <w:sz w:val="18"/>
                <w:szCs w:val="18"/>
                <w:lang w:eastAsia="es-ES"/>
              </w:rPr>
            </w:pPr>
            <w:r w:rsidRPr="00973028">
              <w:rPr>
                <w:rFonts w:ascii="Arial" w:eastAsia="Times New Roman" w:hAnsi="Arial" w:cs="Arial"/>
                <w:color w:val="666666"/>
                <w:sz w:val="18"/>
                <w:szCs w:val="18"/>
                <w:lang w:eastAsia="es-ES"/>
              </w:rPr>
              <w:t xml:space="preserve">Fundación Internacional Baltasar Garzón - FIBGAR. </w:t>
            </w:r>
            <w:r w:rsidRPr="00973028">
              <w:rPr>
                <w:rFonts w:ascii="Arial" w:eastAsia="Times New Roman" w:hAnsi="Arial" w:cs="Arial"/>
                <w:i/>
                <w:sz w:val="18"/>
                <w:szCs w:val="18"/>
                <w:lang w:eastAsia="es-ES"/>
              </w:rPr>
              <w:t>Virtual</w:t>
            </w:r>
          </w:p>
          <w:p w14:paraId="5256854B" w14:textId="77777777" w:rsidR="00B9275E" w:rsidRPr="00973028" w:rsidRDefault="00B9275E" w:rsidP="00BB3EDF">
            <w:pPr>
              <w:spacing w:after="0" w:line="276" w:lineRule="auto"/>
              <w:jc w:val="both"/>
              <w:rPr>
                <w:rFonts w:ascii="Arial" w:eastAsia="Times New Roman" w:hAnsi="Arial" w:cs="Arial"/>
                <w:b/>
                <w:bCs/>
                <w:sz w:val="18"/>
                <w:szCs w:val="18"/>
                <w:lang w:eastAsia="es-ES"/>
              </w:rPr>
            </w:pPr>
            <w:r w:rsidRPr="00973028">
              <w:rPr>
                <w:rFonts w:ascii="Arial" w:eastAsia="Times New Roman" w:hAnsi="Arial" w:cs="Arial"/>
                <w:b/>
                <w:bCs/>
                <w:sz w:val="18"/>
                <w:szCs w:val="18"/>
                <w:lang w:eastAsia="es-ES"/>
              </w:rPr>
              <w:t>Buzones seguros en el sector público</w:t>
            </w:r>
          </w:p>
          <w:p w14:paraId="5C446935" w14:textId="77777777" w:rsidR="00B9275E" w:rsidRPr="00973028" w:rsidRDefault="00B9275E" w:rsidP="00BB3EDF">
            <w:pPr>
              <w:spacing w:after="0" w:line="276" w:lineRule="auto"/>
              <w:jc w:val="both"/>
              <w:rPr>
                <w:rFonts w:ascii="Arial" w:hAnsi="Arial" w:cs="Arial"/>
                <w:sz w:val="18"/>
                <w:szCs w:val="18"/>
              </w:rPr>
            </w:pPr>
            <w:r w:rsidRPr="00973028">
              <w:rPr>
                <w:rFonts w:ascii="Arial" w:hAnsi="Arial" w:cs="Arial"/>
                <w:sz w:val="18"/>
                <w:szCs w:val="18"/>
              </w:rPr>
              <w:t xml:space="preserve">Participación del director en la actividad, organizada por la Fundación FIBGAR, titulada “Alertadores y seguridad digital: los nuevos retos de la democracia” que forma parte del proyecto EAT </w:t>
            </w:r>
            <w:r w:rsidRPr="00973028">
              <w:rPr>
                <w:rFonts w:ascii="Arial" w:hAnsi="Arial" w:cs="Arial"/>
                <w:i/>
                <w:iCs/>
                <w:sz w:val="18"/>
                <w:szCs w:val="18"/>
              </w:rPr>
              <w:t>(</w:t>
            </w:r>
            <w:hyperlink r:id="rId200">
              <w:r w:rsidRPr="00973028">
                <w:rPr>
                  <w:rStyle w:val="EnlacedeInternet"/>
                  <w:rFonts w:ascii="Arial" w:hAnsi="Arial" w:cs="Arial"/>
                  <w:i/>
                  <w:iCs/>
                  <w:sz w:val="18"/>
                  <w:szCs w:val="18"/>
                </w:rPr>
                <w:t>Expanding Anonymous Tipping</w:t>
              </w:r>
            </w:hyperlink>
            <w:r w:rsidRPr="00973028">
              <w:rPr>
                <w:rFonts w:ascii="Arial" w:hAnsi="Arial" w:cs="Arial"/>
                <w:sz w:val="18"/>
                <w:szCs w:val="18"/>
              </w:rPr>
              <w:t>), de debate, reflexión e intercambio de información sobre la protección de los alertadores y los canales seguros de denuncia en el ámbito digital.</w:t>
            </w:r>
          </w:p>
          <w:p w14:paraId="478503B9" w14:textId="77777777" w:rsidR="00B9275E" w:rsidRPr="00973028" w:rsidRDefault="00B9275E" w:rsidP="00BB3EDF">
            <w:pPr>
              <w:spacing w:after="0" w:line="276" w:lineRule="auto"/>
              <w:jc w:val="both"/>
              <w:rPr>
                <w:rFonts w:ascii="Arial" w:hAnsi="Arial" w:cs="Arial"/>
                <w:sz w:val="18"/>
                <w:szCs w:val="18"/>
              </w:rPr>
            </w:pPr>
            <w:r w:rsidRPr="00973028">
              <w:rPr>
                <w:rFonts w:ascii="Arial" w:hAnsi="Arial" w:cs="Arial"/>
                <w:sz w:val="18"/>
                <w:szCs w:val="18"/>
              </w:rPr>
              <w:t>El director de la AVAF pronuncia una ponencia en la segunda mesa: “Experiencias y buenas prácticas para alertar” en la que se presenta el proyecto EAT y el buzón de la Federación de Sindicatos de Periodistas.</w:t>
            </w:r>
          </w:p>
        </w:tc>
      </w:tr>
      <w:tr w:rsidR="00B9275E" w:rsidRPr="00973028" w14:paraId="7E9982ED" w14:textId="77777777" w:rsidTr="005D6A9A">
        <w:tc>
          <w:tcPr>
            <w:tcW w:w="2234" w:type="dxa"/>
            <w:tcBorders>
              <w:bottom w:val="single" w:sz="8" w:space="0" w:color="993333"/>
            </w:tcBorders>
            <w:shd w:val="clear" w:color="auto" w:fill="FFFFFF"/>
            <w:vAlign w:val="center"/>
          </w:tcPr>
          <w:p w14:paraId="186F2713"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000000"/>
                <w:sz w:val="18"/>
                <w:szCs w:val="18"/>
                <w:lang w:eastAsia="es-ES"/>
              </w:rPr>
              <w:t>29 de octubre</w:t>
            </w:r>
          </w:p>
        </w:tc>
        <w:tc>
          <w:tcPr>
            <w:tcW w:w="6226" w:type="dxa"/>
            <w:tcBorders>
              <w:bottom w:val="single" w:sz="8" w:space="0" w:color="993333"/>
            </w:tcBorders>
            <w:shd w:val="clear" w:color="auto" w:fill="FFFFFF"/>
          </w:tcPr>
          <w:p w14:paraId="7B3AC131" w14:textId="77777777" w:rsidR="00B9275E" w:rsidRPr="00973028" w:rsidRDefault="00B9275E" w:rsidP="00BB3EDF">
            <w:pPr>
              <w:spacing w:after="0" w:line="276" w:lineRule="auto"/>
              <w:ind w:left="708" w:hanging="708"/>
              <w:jc w:val="both"/>
              <w:rPr>
                <w:rFonts w:ascii="Arial" w:eastAsia="Times New Roman" w:hAnsi="Arial" w:cs="Arial"/>
                <w:sz w:val="18"/>
                <w:szCs w:val="18"/>
                <w:lang w:eastAsia="es-ES"/>
              </w:rPr>
            </w:pPr>
            <w:r w:rsidRPr="00973028">
              <w:rPr>
                <w:rFonts w:ascii="Arial" w:eastAsia="Times New Roman" w:hAnsi="Arial" w:cs="Arial"/>
                <w:color w:val="666666"/>
                <w:sz w:val="18"/>
                <w:szCs w:val="18"/>
                <w:lang w:eastAsia="es-ES"/>
              </w:rPr>
              <w:t xml:space="preserve">Novagob. </w:t>
            </w:r>
            <w:r w:rsidRPr="00973028">
              <w:rPr>
                <w:rFonts w:ascii="Arial" w:eastAsia="Times New Roman" w:hAnsi="Arial" w:cs="Arial"/>
                <w:i/>
                <w:sz w:val="18"/>
                <w:szCs w:val="18"/>
                <w:lang w:eastAsia="es-ES"/>
              </w:rPr>
              <w:t>Virtual</w:t>
            </w:r>
          </w:p>
          <w:p w14:paraId="181264F9" w14:textId="77777777" w:rsidR="00B9275E" w:rsidRPr="00973028" w:rsidRDefault="00B9275E" w:rsidP="00BB3EDF">
            <w:pPr>
              <w:spacing w:after="0" w:line="276" w:lineRule="auto"/>
              <w:jc w:val="both"/>
              <w:rPr>
                <w:rFonts w:ascii="Arial" w:eastAsia="Times New Roman" w:hAnsi="Arial" w:cs="Arial"/>
                <w:bCs/>
                <w:sz w:val="18"/>
                <w:szCs w:val="18"/>
                <w:lang w:eastAsia="es-ES"/>
              </w:rPr>
            </w:pPr>
            <w:r w:rsidRPr="00973028">
              <w:rPr>
                <w:rFonts w:ascii="Arial" w:eastAsia="Times New Roman" w:hAnsi="Arial" w:cs="Arial"/>
                <w:b/>
                <w:bCs/>
                <w:sz w:val="18"/>
                <w:szCs w:val="18"/>
                <w:lang w:eastAsia="es-ES"/>
              </w:rPr>
              <w:t>[Canal calidad democrática] Del compromiso a la acción: Propuestas para mejorar la calidad democrática y de las instituciones</w:t>
            </w:r>
          </w:p>
          <w:p w14:paraId="14B854CA" w14:textId="77777777" w:rsidR="00B9275E" w:rsidRPr="00973028" w:rsidRDefault="00B9275E" w:rsidP="00BB3EDF">
            <w:pPr>
              <w:spacing w:after="0" w:line="276" w:lineRule="auto"/>
              <w:jc w:val="both"/>
              <w:rPr>
                <w:rFonts w:ascii="Arial" w:hAnsi="Arial" w:cs="Arial"/>
                <w:sz w:val="18"/>
                <w:szCs w:val="18"/>
              </w:rPr>
            </w:pPr>
            <w:r w:rsidRPr="00973028">
              <w:rPr>
                <w:rFonts w:ascii="Arial" w:eastAsia="Times New Roman" w:hAnsi="Arial" w:cs="Arial"/>
                <w:bCs/>
                <w:sz w:val="18"/>
                <w:szCs w:val="18"/>
                <w:lang w:eastAsia="es-ES"/>
              </w:rPr>
              <w:t xml:space="preserve">El </w:t>
            </w:r>
            <w:hyperlink r:id="rId201">
              <w:r w:rsidRPr="00973028">
                <w:rPr>
                  <w:rStyle w:val="EnlacedeInternet"/>
                  <w:rFonts w:ascii="Arial" w:eastAsia="Times New Roman" w:hAnsi="Arial" w:cs="Arial"/>
                  <w:bCs/>
                  <w:sz w:val="18"/>
                  <w:szCs w:val="18"/>
                  <w:lang w:eastAsia="es-ES"/>
                </w:rPr>
                <w:t>VII Congreso de Innovación Pública</w:t>
              </w:r>
            </w:hyperlink>
            <w:r w:rsidRPr="00973028">
              <w:rPr>
                <w:rFonts w:ascii="Arial" w:eastAsia="Times New Roman" w:hAnsi="Arial" w:cs="Arial"/>
                <w:bCs/>
                <w:sz w:val="18"/>
                <w:szCs w:val="18"/>
                <w:lang w:eastAsia="es-ES"/>
              </w:rPr>
              <w:t>, que se desarrolla de manera virtual los días 29 y 30 de octubre, reúne la mañana del jueves 29, en torno de la mesa redonda entorno a la mesa sobre la Calidad democrática a Francisco Delgado Morales, de Novagob, Concepción Campos, del Ayuntamiento de Vigo, Michael Donalson, del Ayuntamiento de Barcelona y al director de la AVAF</w:t>
            </w:r>
            <w:r w:rsidRPr="00973028">
              <w:rPr>
                <w:rFonts w:ascii="Arial" w:hAnsi="Arial" w:cs="Arial"/>
                <w:sz w:val="18"/>
                <w:szCs w:val="18"/>
              </w:rPr>
              <w:t>.</w:t>
            </w:r>
          </w:p>
        </w:tc>
      </w:tr>
      <w:tr w:rsidR="00B9275E" w:rsidRPr="00973028" w14:paraId="6E559860" w14:textId="77777777" w:rsidTr="005D6A9A">
        <w:tc>
          <w:tcPr>
            <w:tcW w:w="2234" w:type="dxa"/>
            <w:tcBorders>
              <w:bottom w:val="single" w:sz="8" w:space="0" w:color="993333"/>
            </w:tcBorders>
            <w:shd w:val="clear" w:color="auto" w:fill="FFFFFF"/>
            <w:vAlign w:val="center"/>
          </w:tcPr>
          <w:p w14:paraId="6240AB1E"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000000"/>
                <w:sz w:val="18"/>
                <w:szCs w:val="18"/>
                <w:lang w:eastAsia="es-ES"/>
              </w:rPr>
              <w:t>30 de octubre</w:t>
            </w:r>
          </w:p>
        </w:tc>
        <w:tc>
          <w:tcPr>
            <w:tcW w:w="6226" w:type="dxa"/>
            <w:tcBorders>
              <w:bottom w:val="single" w:sz="8" w:space="0" w:color="993333"/>
            </w:tcBorders>
            <w:shd w:val="clear" w:color="auto" w:fill="FFFFFF"/>
          </w:tcPr>
          <w:p w14:paraId="65F182D3" w14:textId="77777777" w:rsidR="00B9275E" w:rsidRPr="00973028" w:rsidRDefault="00B9275E" w:rsidP="00BB3EDF">
            <w:pPr>
              <w:spacing w:after="0" w:line="276" w:lineRule="auto"/>
              <w:ind w:left="708" w:hanging="708"/>
              <w:jc w:val="both"/>
              <w:rPr>
                <w:rFonts w:ascii="Arial" w:eastAsia="Times New Roman" w:hAnsi="Arial" w:cs="Arial"/>
                <w:sz w:val="18"/>
                <w:szCs w:val="18"/>
                <w:lang w:eastAsia="es-ES"/>
              </w:rPr>
            </w:pPr>
            <w:r w:rsidRPr="00973028">
              <w:rPr>
                <w:rFonts w:ascii="Arial" w:eastAsia="Times New Roman" w:hAnsi="Arial" w:cs="Arial"/>
                <w:color w:val="666666"/>
                <w:sz w:val="18"/>
                <w:szCs w:val="18"/>
                <w:lang w:eastAsia="es-ES"/>
              </w:rPr>
              <w:t xml:space="preserve">World Compliance Association, capítulo Perú. </w:t>
            </w:r>
            <w:r w:rsidRPr="00973028">
              <w:rPr>
                <w:rFonts w:ascii="Arial" w:eastAsia="Times New Roman" w:hAnsi="Arial" w:cs="Arial"/>
                <w:i/>
                <w:sz w:val="18"/>
                <w:szCs w:val="18"/>
                <w:lang w:eastAsia="es-ES"/>
              </w:rPr>
              <w:t>Virtual</w:t>
            </w:r>
          </w:p>
          <w:p w14:paraId="7D34CC30" w14:textId="77777777" w:rsidR="00B9275E" w:rsidRPr="00973028" w:rsidRDefault="00B9275E" w:rsidP="00BB3EDF">
            <w:pPr>
              <w:spacing w:after="0" w:line="276" w:lineRule="auto"/>
              <w:jc w:val="both"/>
              <w:rPr>
                <w:rFonts w:ascii="Arial" w:eastAsia="Times New Roman" w:hAnsi="Arial" w:cs="Arial"/>
                <w:bCs/>
                <w:sz w:val="18"/>
                <w:szCs w:val="18"/>
                <w:lang w:eastAsia="es-ES"/>
              </w:rPr>
            </w:pPr>
            <w:r w:rsidRPr="00973028">
              <w:rPr>
                <w:rFonts w:ascii="Arial" w:eastAsia="Times New Roman" w:hAnsi="Arial" w:cs="Arial"/>
                <w:b/>
                <w:bCs/>
                <w:sz w:val="18"/>
                <w:szCs w:val="18"/>
                <w:lang w:eastAsia="es-ES"/>
              </w:rPr>
              <w:t>Prevención del fraude en tiempos de pandemia</w:t>
            </w:r>
          </w:p>
          <w:p w14:paraId="6D8A5116" w14:textId="77777777" w:rsidR="00B9275E" w:rsidRPr="00973028" w:rsidRDefault="00B9275E" w:rsidP="00BB3EDF">
            <w:pPr>
              <w:spacing w:after="0" w:line="276" w:lineRule="auto"/>
              <w:jc w:val="both"/>
              <w:rPr>
                <w:rFonts w:ascii="Arial" w:hAnsi="Arial" w:cs="Arial"/>
                <w:sz w:val="18"/>
                <w:szCs w:val="18"/>
              </w:rPr>
            </w:pPr>
            <w:r w:rsidRPr="00973028">
              <w:rPr>
                <w:rFonts w:ascii="Arial" w:eastAsia="Times New Roman" w:hAnsi="Arial" w:cs="Arial"/>
                <w:bCs/>
                <w:sz w:val="18"/>
                <w:szCs w:val="18"/>
                <w:lang w:eastAsia="es-ES"/>
              </w:rPr>
              <w:t xml:space="preserve">El </w:t>
            </w:r>
            <w:hyperlink r:id="rId202" w:anchor="about" w:history="1">
              <w:r w:rsidRPr="00973028">
                <w:rPr>
                  <w:rStyle w:val="EnlacedeInternet"/>
                  <w:rFonts w:ascii="Arial" w:eastAsia="Times New Roman" w:hAnsi="Arial" w:cs="Arial"/>
                  <w:bCs/>
                  <w:sz w:val="18"/>
                  <w:szCs w:val="18"/>
                  <w:lang w:eastAsia="es-ES"/>
                </w:rPr>
                <w:t>IV Congreso Internacional de Compliance y Lucha Anticorrupción</w:t>
              </w:r>
            </w:hyperlink>
            <w:r w:rsidRPr="00973028">
              <w:rPr>
                <w:rFonts w:ascii="Arial" w:eastAsia="Times New Roman" w:hAnsi="Arial" w:cs="Arial"/>
                <w:bCs/>
                <w:sz w:val="18"/>
                <w:szCs w:val="18"/>
                <w:lang w:eastAsia="es-ES"/>
              </w:rPr>
              <w:t>, celebrado del 26 al 30 de octubre, cuenta con la participación del director en el bloque V con el tema “Experiencia Internacional en Compliance, Últimas tendencias”. El objetivo del Congreso es convertirse en un referente nacional e internacional de aprendizaje e información sobre las tendencias, actualidad y herramientas para promover la cultura ética y de cumplimiento en las organizaciones.</w:t>
            </w:r>
          </w:p>
        </w:tc>
      </w:tr>
      <w:tr w:rsidR="00B9275E" w:rsidRPr="00973028" w14:paraId="33ABCED8" w14:textId="77777777" w:rsidTr="005D6A9A">
        <w:tc>
          <w:tcPr>
            <w:tcW w:w="2234" w:type="dxa"/>
            <w:tcBorders>
              <w:bottom w:val="single" w:sz="8" w:space="0" w:color="993333"/>
            </w:tcBorders>
            <w:shd w:val="clear" w:color="auto" w:fill="FFFFFF"/>
            <w:vAlign w:val="center"/>
          </w:tcPr>
          <w:p w14:paraId="64C37D8E"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color w:val="000000"/>
                <w:sz w:val="18"/>
                <w:szCs w:val="18"/>
                <w:lang w:eastAsia="es-ES"/>
              </w:rPr>
              <w:t>4 de noviembre</w:t>
            </w:r>
          </w:p>
        </w:tc>
        <w:tc>
          <w:tcPr>
            <w:tcW w:w="6226" w:type="dxa"/>
            <w:tcBorders>
              <w:bottom w:val="single" w:sz="8" w:space="0" w:color="993333"/>
            </w:tcBorders>
            <w:shd w:val="clear" w:color="auto" w:fill="FFFFFF"/>
          </w:tcPr>
          <w:p w14:paraId="3AB492F8" w14:textId="77777777" w:rsidR="00B9275E" w:rsidRPr="00973028" w:rsidRDefault="00B9275E" w:rsidP="00BB3EDF">
            <w:pPr>
              <w:spacing w:after="0" w:line="276" w:lineRule="auto"/>
              <w:ind w:left="708" w:hanging="708"/>
              <w:jc w:val="both"/>
              <w:rPr>
                <w:rFonts w:ascii="Arial" w:eastAsia="Times New Roman" w:hAnsi="Arial" w:cs="Arial"/>
                <w:sz w:val="18"/>
                <w:szCs w:val="18"/>
                <w:lang w:eastAsia="es-ES"/>
              </w:rPr>
            </w:pPr>
            <w:r w:rsidRPr="00973028">
              <w:rPr>
                <w:rFonts w:ascii="Arial" w:eastAsia="Times New Roman" w:hAnsi="Arial" w:cs="Arial"/>
                <w:color w:val="666666"/>
                <w:sz w:val="18"/>
                <w:szCs w:val="18"/>
                <w:lang w:eastAsia="es-ES"/>
              </w:rPr>
              <w:t xml:space="preserve">World Compliance Association. </w:t>
            </w:r>
            <w:r w:rsidRPr="00973028">
              <w:rPr>
                <w:rFonts w:ascii="Arial" w:eastAsia="Times New Roman" w:hAnsi="Arial" w:cs="Arial"/>
                <w:i/>
                <w:sz w:val="18"/>
                <w:szCs w:val="18"/>
                <w:lang w:eastAsia="es-ES"/>
              </w:rPr>
              <w:t>Virtual</w:t>
            </w:r>
          </w:p>
          <w:p w14:paraId="3C76FA87" w14:textId="77777777" w:rsidR="00B9275E" w:rsidRPr="00973028" w:rsidRDefault="00B9275E" w:rsidP="00BB3EDF">
            <w:pPr>
              <w:spacing w:after="0" w:line="276" w:lineRule="auto"/>
              <w:jc w:val="both"/>
              <w:rPr>
                <w:rFonts w:ascii="Arial" w:eastAsia="Times New Roman" w:hAnsi="Arial" w:cs="Arial"/>
                <w:bCs/>
                <w:sz w:val="18"/>
                <w:szCs w:val="18"/>
                <w:lang w:eastAsia="es-ES"/>
              </w:rPr>
            </w:pPr>
            <w:r w:rsidRPr="00973028">
              <w:rPr>
                <w:rFonts w:ascii="Arial" w:eastAsia="Times New Roman" w:hAnsi="Arial" w:cs="Arial"/>
                <w:b/>
                <w:bCs/>
                <w:sz w:val="18"/>
                <w:szCs w:val="18"/>
                <w:lang w:eastAsia="es-ES"/>
              </w:rPr>
              <w:t>La Agencia Valenciana Antifraude</w:t>
            </w:r>
          </w:p>
          <w:p w14:paraId="3B75DCFE" w14:textId="77777777" w:rsidR="00B9275E" w:rsidRPr="00973028" w:rsidRDefault="00B9275E" w:rsidP="00BB3EDF">
            <w:pPr>
              <w:spacing w:after="0" w:line="276" w:lineRule="auto"/>
              <w:jc w:val="both"/>
              <w:rPr>
                <w:rFonts w:ascii="Arial" w:hAnsi="Arial" w:cs="Arial"/>
                <w:sz w:val="18"/>
                <w:szCs w:val="18"/>
              </w:rPr>
            </w:pPr>
            <w:r w:rsidRPr="00973028">
              <w:rPr>
                <w:rFonts w:ascii="Arial" w:eastAsia="Times New Roman" w:hAnsi="Arial" w:cs="Arial"/>
                <w:bCs/>
                <w:sz w:val="18"/>
                <w:szCs w:val="18"/>
                <w:lang w:eastAsia="es-ES"/>
              </w:rPr>
              <w:t xml:space="preserve">El webinar, </w:t>
            </w:r>
            <w:hyperlink r:id="rId203" w:anchor="submenuhome" w:history="1">
              <w:r w:rsidRPr="00973028">
                <w:rPr>
                  <w:rStyle w:val="EnlacedeInternet"/>
                  <w:rFonts w:ascii="Arial" w:eastAsia="Times New Roman" w:hAnsi="Arial" w:cs="Arial"/>
                  <w:bCs/>
                  <w:sz w:val="18"/>
                  <w:szCs w:val="18"/>
                  <w:lang w:eastAsia="es-ES"/>
                </w:rPr>
                <w:t>La Agencia Valenciana Antifraude</w:t>
              </w:r>
            </w:hyperlink>
            <w:r w:rsidRPr="00973028">
              <w:rPr>
                <w:rFonts w:ascii="Arial" w:eastAsia="Times New Roman" w:hAnsi="Arial" w:cs="Arial"/>
                <w:bCs/>
                <w:sz w:val="18"/>
                <w:szCs w:val="18"/>
                <w:lang w:eastAsia="es-ES"/>
              </w:rPr>
              <w:t>. Impartido por el director de la AVAF esta formación dio a conocer el trabajo desarrollado por la Agencia, así como las herramientas y canales de que se disponen para luchar contra el fraude y la corrupción.</w:t>
            </w:r>
          </w:p>
        </w:tc>
      </w:tr>
    </w:tbl>
    <w:p w14:paraId="53B78B3E" w14:textId="77777777" w:rsidR="004C75D4" w:rsidRPr="00973028" w:rsidRDefault="004C75D4" w:rsidP="004522FD">
      <w:pPr>
        <w:spacing w:after="240" w:line="276" w:lineRule="auto"/>
        <w:jc w:val="both"/>
        <w:rPr>
          <w:rFonts w:ascii="Arial" w:eastAsia="Times New Roman" w:hAnsi="Arial" w:cs="Arial"/>
          <w:b/>
          <w:bCs/>
          <w:smallCaps/>
          <w:color w:val="94070A"/>
          <w:sz w:val="21"/>
          <w:szCs w:val="21"/>
          <w:lang w:eastAsia="es-ES"/>
        </w:rPr>
      </w:pPr>
    </w:p>
    <w:p w14:paraId="79F22C94" w14:textId="76550A59" w:rsidR="00B9275E" w:rsidRPr="00973028" w:rsidRDefault="00B9275E" w:rsidP="00672ABA">
      <w:pPr>
        <w:pStyle w:val="Prrafodelista"/>
        <w:numPr>
          <w:ilvl w:val="1"/>
          <w:numId w:val="25"/>
        </w:numPr>
        <w:spacing w:before="360" w:after="240" w:line="276" w:lineRule="auto"/>
        <w:ind w:left="851" w:hanging="851"/>
        <w:jc w:val="both"/>
        <w:outlineLvl w:val="1"/>
        <w:rPr>
          <w:rFonts w:ascii="Arial" w:eastAsia="Times New Roman" w:hAnsi="Arial" w:cs="Arial"/>
          <w:b/>
          <w:color w:val="9D2235" w:themeColor="accent1"/>
          <w:sz w:val="32"/>
          <w:szCs w:val="32"/>
        </w:rPr>
      </w:pPr>
      <w:bookmarkStart w:id="212" w:name="_Toc67646312"/>
      <w:r w:rsidRPr="00973028">
        <w:rPr>
          <w:rFonts w:ascii="Arial" w:eastAsia="Times New Roman" w:hAnsi="Arial" w:cs="Arial"/>
          <w:b/>
          <w:color w:val="9D2235" w:themeColor="accent1"/>
          <w:sz w:val="32"/>
          <w:szCs w:val="32"/>
        </w:rPr>
        <w:t xml:space="preserve">Entrevistas </w:t>
      </w:r>
      <w:r w:rsidR="000703E7">
        <w:rPr>
          <w:rFonts w:ascii="Arial" w:eastAsia="Times New Roman" w:hAnsi="Arial" w:cs="Arial"/>
          <w:b/>
          <w:color w:val="9D2235" w:themeColor="accent1"/>
          <w:sz w:val="32"/>
          <w:szCs w:val="32"/>
        </w:rPr>
        <w:t>-</w:t>
      </w:r>
      <w:r w:rsidRPr="00973028">
        <w:rPr>
          <w:rFonts w:ascii="Arial" w:eastAsia="Times New Roman" w:hAnsi="Arial" w:cs="Arial"/>
          <w:b/>
          <w:color w:val="9D2235" w:themeColor="accent1"/>
          <w:sz w:val="32"/>
          <w:szCs w:val="32"/>
        </w:rPr>
        <w:t xml:space="preserve"> Reuniones</w:t>
      </w:r>
      <w:bookmarkEnd w:id="212"/>
    </w:p>
    <w:p w14:paraId="0BC6B22C" w14:textId="343A7C8E" w:rsidR="00B9275E"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lastRenderedPageBreak/>
        <w:t>Durante 2020 se han mantenido los siguientes encuentros de carácter oficial o institucional para tratar diversos temas relacionados con la actividad de la Agencia y la colaboración con diversas instituciones, corporaciones, administraciones y centros directivos de la Generalitat Valenciana, de otras comunidades autónomas, de la administración general del estado, así como con organizaciones de lucha contra el fraude de países extranjeros.</w:t>
      </w:r>
    </w:p>
    <w:p w14:paraId="56A89881" w14:textId="7A0B5DA1" w:rsidR="00ED7F0D" w:rsidRPr="00ED7F0D" w:rsidRDefault="00ED7F0D" w:rsidP="00ED7F0D">
      <w:pPr>
        <w:pStyle w:val="Descripcin"/>
        <w:keepNext/>
        <w:rPr>
          <w:rFonts w:ascii="Arial" w:hAnsi="Arial" w:cs="Arial"/>
          <w:smallCaps w:val="0"/>
          <w:sz w:val="18"/>
        </w:rPr>
      </w:pPr>
      <w:bookmarkStart w:id="213" w:name="_Hlk32391862"/>
      <w:bookmarkStart w:id="214" w:name="_Toc67646356"/>
      <w:bookmarkEnd w:id="213"/>
      <w:r w:rsidRPr="00ED7F0D">
        <w:rPr>
          <w:rFonts w:ascii="Arial" w:hAnsi="Arial" w:cs="Arial"/>
          <w:smallCaps w:val="0"/>
          <w:color w:val="9D2235" w:themeColor="accent1"/>
          <w:sz w:val="18"/>
        </w:rPr>
        <w:t xml:space="preserve">Tabla </w:t>
      </w:r>
      <w:r w:rsidRPr="00ED7F0D">
        <w:rPr>
          <w:rFonts w:ascii="Arial" w:hAnsi="Arial" w:cs="Arial"/>
          <w:smallCaps w:val="0"/>
          <w:color w:val="9D2235" w:themeColor="accent1"/>
          <w:sz w:val="18"/>
        </w:rPr>
        <w:fldChar w:fldCharType="begin"/>
      </w:r>
      <w:r w:rsidRPr="00ED7F0D">
        <w:rPr>
          <w:rFonts w:ascii="Arial" w:hAnsi="Arial" w:cs="Arial"/>
          <w:smallCaps w:val="0"/>
          <w:color w:val="9D2235" w:themeColor="accent1"/>
          <w:sz w:val="18"/>
        </w:rPr>
        <w:instrText xml:space="preserve"> SEQ Tabla \* ARABIC </w:instrText>
      </w:r>
      <w:r w:rsidRPr="00ED7F0D">
        <w:rPr>
          <w:rFonts w:ascii="Arial" w:hAnsi="Arial" w:cs="Arial"/>
          <w:smallCaps w:val="0"/>
          <w:color w:val="9D2235" w:themeColor="accent1"/>
          <w:sz w:val="18"/>
        </w:rPr>
        <w:fldChar w:fldCharType="separate"/>
      </w:r>
      <w:r w:rsidRPr="00ED7F0D">
        <w:rPr>
          <w:rFonts w:ascii="Arial" w:hAnsi="Arial" w:cs="Arial"/>
          <w:smallCaps w:val="0"/>
          <w:noProof/>
          <w:color w:val="9D2235" w:themeColor="accent1"/>
          <w:sz w:val="18"/>
        </w:rPr>
        <w:t>19</w:t>
      </w:r>
      <w:r w:rsidRPr="00ED7F0D">
        <w:rPr>
          <w:rFonts w:ascii="Arial" w:hAnsi="Arial" w:cs="Arial"/>
          <w:smallCaps w:val="0"/>
          <w:color w:val="9D2235" w:themeColor="accent1"/>
          <w:sz w:val="18"/>
        </w:rPr>
        <w:fldChar w:fldCharType="end"/>
      </w:r>
      <w:r w:rsidRPr="00ED7F0D">
        <w:rPr>
          <w:rFonts w:ascii="Arial" w:hAnsi="Arial" w:cs="Arial"/>
          <w:smallCaps w:val="0"/>
          <w:color w:val="9D2235" w:themeColor="accent1"/>
          <w:sz w:val="18"/>
        </w:rPr>
        <w:t xml:space="preserve">. </w:t>
      </w:r>
      <w:r w:rsidRPr="00ED7F0D">
        <w:rPr>
          <w:rFonts w:ascii="Arial" w:hAnsi="Arial" w:cs="Arial"/>
          <w:smallCaps w:val="0"/>
          <w:sz w:val="18"/>
        </w:rPr>
        <w:t>Entrevistas y reuniones mantenidas por el director de la Agencia.</w:t>
      </w:r>
      <w:bookmarkEnd w:id="214"/>
    </w:p>
    <w:tbl>
      <w:tblPr>
        <w:tblW w:w="8486" w:type="dxa"/>
        <w:jc w:val="right"/>
        <w:tblCellMar>
          <w:left w:w="0" w:type="dxa"/>
          <w:bottom w:w="28" w:type="dxa"/>
          <w:right w:w="0" w:type="dxa"/>
        </w:tblCellMar>
        <w:tblLook w:val="04A0" w:firstRow="1" w:lastRow="0" w:firstColumn="1" w:lastColumn="0" w:noHBand="0" w:noVBand="1"/>
      </w:tblPr>
      <w:tblGrid>
        <w:gridCol w:w="1842"/>
        <w:gridCol w:w="6644"/>
      </w:tblGrid>
      <w:tr w:rsidR="00B9275E" w:rsidRPr="00973028" w14:paraId="016F4FAD" w14:textId="77777777" w:rsidTr="00DD0CB6">
        <w:trPr>
          <w:tblHeader/>
          <w:jc w:val="right"/>
        </w:trPr>
        <w:tc>
          <w:tcPr>
            <w:tcW w:w="1842" w:type="dxa"/>
            <w:tcBorders>
              <w:bottom w:val="single" w:sz="4" w:space="0" w:color="9D2235" w:themeColor="accent1"/>
            </w:tcBorders>
            <w:shd w:val="clear" w:color="auto" w:fill="9D2235" w:themeFill="accent1"/>
            <w:vAlign w:val="center"/>
          </w:tcPr>
          <w:p w14:paraId="0FED3C2B" w14:textId="77777777" w:rsidR="00B9275E" w:rsidRPr="00973028" w:rsidRDefault="00B9275E" w:rsidP="00BB3EDF">
            <w:pPr>
              <w:spacing w:after="0" w:line="276" w:lineRule="auto"/>
              <w:jc w:val="both"/>
              <w:rPr>
                <w:rFonts w:ascii="Arial" w:eastAsia="Times New Roman" w:hAnsi="Arial" w:cs="Arial"/>
                <w:sz w:val="18"/>
                <w:szCs w:val="18"/>
                <w:lang w:eastAsia="es-ES"/>
              </w:rPr>
            </w:pPr>
            <w:r w:rsidRPr="00973028">
              <w:rPr>
                <w:rFonts w:ascii="Arial" w:eastAsia="Times New Roman" w:hAnsi="Arial" w:cs="Arial"/>
                <w:b/>
                <w:bCs/>
                <w:color w:val="FFFFFF"/>
                <w:sz w:val="18"/>
                <w:szCs w:val="18"/>
                <w:lang w:eastAsia="es-ES"/>
              </w:rPr>
              <w:t>Fecha</w:t>
            </w:r>
          </w:p>
        </w:tc>
        <w:tc>
          <w:tcPr>
            <w:tcW w:w="6644" w:type="dxa"/>
            <w:tcBorders>
              <w:bottom w:val="single" w:sz="4" w:space="0" w:color="9D2235" w:themeColor="accent1"/>
            </w:tcBorders>
            <w:shd w:val="clear" w:color="auto" w:fill="9D2235" w:themeFill="accent1"/>
            <w:vAlign w:val="center"/>
          </w:tcPr>
          <w:p w14:paraId="1B29EEED" w14:textId="5BB27698" w:rsidR="00B9275E" w:rsidRPr="00973028" w:rsidRDefault="00B9275E" w:rsidP="00BB3EDF">
            <w:pPr>
              <w:spacing w:after="0" w:line="276" w:lineRule="auto"/>
              <w:jc w:val="both"/>
              <w:rPr>
                <w:rFonts w:ascii="Arial" w:eastAsia="Times New Roman" w:hAnsi="Arial" w:cs="Arial"/>
                <w:b/>
                <w:bCs/>
                <w:color w:val="FFFFFF"/>
                <w:sz w:val="18"/>
                <w:szCs w:val="18"/>
                <w:lang w:eastAsia="es-ES"/>
              </w:rPr>
            </w:pPr>
            <w:r w:rsidRPr="00973028">
              <w:rPr>
                <w:rFonts w:ascii="Arial" w:eastAsia="Times New Roman" w:hAnsi="Arial" w:cs="Arial"/>
                <w:b/>
                <w:bCs/>
                <w:color w:val="FFFFFF"/>
                <w:sz w:val="18"/>
                <w:szCs w:val="18"/>
                <w:lang w:eastAsia="es-ES"/>
              </w:rPr>
              <w:t>E</w:t>
            </w:r>
            <w:r w:rsidR="007F1407">
              <w:rPr>
                <w:rFonts w:ascii="Arial" w:eastAsia="Times New Roman" w:hAnsi="Arial" w:cs="Arial"/>
                <w:b/>
                <w:bCs/>
                <w:color w:val="FFFFFF"/>
                <w:sz w:val="18"/>
                <w:szCs w:val="18"/>
                <w:lang w:eastAsia="es-ES"/>
              </w:rPr>
              <w:t>ntidad</w:t>
            </w:r>
            <w:r w:rsidRPr="00973028">
              <w:rPr>
                <w:rFonts w:ascii="Arial" w:eastAsia="Times New Roman" w:hAnsi="Arial" w:cs="Arial"/>
                <w:b/>
                <w:bCs/>
                <w:color w:val="FFFFFF"/>
                <w:sz w:val="18"/>
                <w:szCs w:val="18"/>
                <w:lang w:eastAsia="es-ES"/>
              </w:rPr>
              <w:t xml:space="preserve"> / A</w:t>
            </w:r>
            <w:r w:rsidR="007F1407">
              <w:rPr>
                <w:rFonts w:ascii="Arial" w:eastAsia="Times New Roman" w:hAnsi="Arial" w:cs="Arial"/>
                <w:b/>
                <w:bCs/>
                <w:color w:val="FFFFFF"/>
                <w:sz w:val="18"/>
                <w:szCs w:val="18"/>
                <w:lang w:eastAsia="es-ES"/>
              </w:rPr>
              <w:t>utoridad</w:t>
            </w:r>
          </w:p>
          <w:p w14:paraId="32BFC181" w14:textId="77777777" w:rsidR="00B9275E" w:rsidRPr="00973028" w:rsidRDefault="00B9275E" w:rsidP="00BB3EDF">
            <w:pPr>
              <w:spacing w:after="0" w:line="276" w:lineRule="auto"/>
              <w:jc w:val="both"/>
              <w:rPr>
                <w:rFonts w:ascii="Arial" w:eastAsia="Times New Roman" w:hAnsi="Arial" w:cs="Arial"/>
                <w:b/>
                <w:i/>
                <w:sz w:val="18"/>
                <w:szCs w:val="18"/>
                <w:lang w:eastAsia="es-ES"/>
              </w:rPr>
            </w:pPr>
            <w:r w:rsidRPr="00973028">
              <w:rPr>
                <w:rFonts w:ascii="Arial" w:eastAsia="Times New Roman" w:hAnsi="Arial" w:cs="Arial"/>
                <w:b/>
                <w:i/>
                <w:color w:val="FFFFFF" w:themeColor="background1"/>
                <w:sz w:val="18"/>
                <w:szCs w:val="18"/>
                <w:lang w:eastAsia="es-ES"/>
              </w:rPr>
              <w:t>Lugar</w:t>
            </w:r>
          </w:p>
        </w:tc>
      </w:tr>
      <w:tr w:rsidR="00B9275E" w:rsidRPr="00973028" w14:paraId="252C5B78" w14:textId="77777777" w:rsidTr="00DD0CB6">
        <w:trPr>
          <w:jc w:val="right"/>
        </w:trPr>
        <w:tc>
          <w:tcPr>
            <w:tcW w:w="1842" w:type="dxa"/>
            <w:tcBorders>
              <w:top w:val="single" w:sz="4" w:space="0" w:color="9D2235" w:themeColor="accent1"/>
              <w:bottom w:val="single" w:sz="4" w:space="0" w:color="C00000"/>
            </w:tcBorders>
            <w:shd w:val="clear" w:color="auto" w:fill="auto"/>
            <w:vAlign w:val="center"/>
          </w:tcPr>
          <w:p w14:paraId="26506336"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 xml:space="preserve">7 de enero </w:t>
            </w:r>
          </w:p>
        </w:tc>
        <w:tc>
          <w:tcPr>
            <w:tcW w:w="6644" w:type="dxa"/>
            <w:tcBorders>
              <w:top w:val="single" w:sz="4" w:space="0" w:color="9D2235" w:themeColor="accent1"/>
              <w:bottom w:val="single" w:sz="4" w:space="0" w:color="C00000"/>
            </w:tcBorders>
            <w:shd w:val="clear" w:color="auto" w:fill="auto"/>
          </w:tcPr>
          <w:p w14:paraId="74FACD68"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Concejala de Transparencia y Gobierno Abierto del Ayuntamiento de València</w:t>
            </w:r>
          </w:p>
          <w:p w14:paraId="54A6FC5D" w14:textId="77777777" w:rsidR="00B9275E" w:rsidRPr="00973028" w:rsidRDefault="00B9275E" w:rsidP="00BB3EDF">
            <w:pPr>
              <w:spacing w:after="0" w:line="276" w:lineRule="auto"/>
              <w:jc w:val="both"/>
              <w:rPr>
                <w:rFonts w:ascii="Arial" w:eastAsia="Times New Roman" w:hAnsi="Arial" w:cs="Arial"/>
                <w:i/>
                <w:color w:val="000000"/>
                <w:sz w:val="18"/>
                <w:szCs w:val="18"/>
                <w:lang w:eastAsia="es-ES"/>
              </w:rPr>
            </w:pPr>
            <w:r w:rsidRPr="00973028">
              <w:rPr>
                <w:rFonts w:ascii="Arial" w:eastAsia="Times New Roman" w:hAnsi="Arial" w:cs="Arial"/>
                <w:i/>
                <w:sz w:val="18"/>
                <w:szCs w:val="18"/>
                <w:lang w:eastAsia="es-ES"/>
              </w:rPr>
              <w:t>València</w:t>
            </w:r>
          </w:p>
        </w:tc>
      </w:tr>
      <w:tr w:rsidR="00B9275E" w:rsidRPr="00973028" w14:paraId="58FB351A" w14:textId="77777777" w:rsidTr="005D6A9A">
        <w:trPr>
          <w:jc w:val="right"/>
        </w:trPr>
        <w:tc>
          <w:tcPr>
            <w:tcW w:w="1842" w:type="dxa"/>
            <w:tcBorders>
              <w:top w:val="single" w:sz="4" w:space="0" w:color="C00000"/>
              <w:bottom w:val="single" w:sz="4" w:space="0" w:color="C00000"/>
            </w:tcBorders>
            <w:shd w:val="clear" w:color="auto" w:fill="auto"/>
            <w:vAlign w:val="center"/>
          </w:tcPr>
          <w:p w14:paraId="31BDE2B6" w14:textId="77777777" w:rsidR="00B9275E" w:rsidRPr="00973028" w:rsidRDefault="00B9275E" w:rsidP="00BB3EDF">
            <w:pPr>
              <w:spacing w:after="0" w:line="276" w:lineRule="auto"/>
              <w:ind w:left="708" w:hanging="708"/>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15 de enero</w:t>
            </w:r>
          </w:p>
        </w:tc>
        <w:tc>
          <w:tcPr>
            <w:tcW w:w="6644" w:type="dxa"/>
            <w:tcBorders>
              <w:top w:val="single" w:sz="4" w:space="0" w:color="C00000"/>
              <w:bottom w:val="single" w:sz="4" w:space="0" w:color="C00000"/>
            </w:tcBorders>
            <w:shd w:val="clear" w:color="auto" w:fill="auto"/>
          </w:tcPr>
          <w:p w14:paraId="5CAF2AF8"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Fundación por la Justicia</w:t>
            </w:r>
          </w:p>
          <w:p w14:paraId="4710578A" w14:textId="77777777" w:rsidR="00B9275E" w:rsidRPr="00973028" w:rsidRDefault="00B9275E" w:rsidP="00BB3EDF">
            <w:pPr>
              <w:spacing w:after="0" w:line="276" w:lineRule="auto"/>
              <w:jc w:val="both"/>
              <w:rPr>
                <w:rFonts w:ascii="Arial" w:eastAsia="Times New Roman" w:hAnsi="Arial" w:cs="Arial"/>
                <w:i/>
                <w:color w:val="000000"/>
                <w:sz w:val="18"/>
                <w:szCs w:val="18"/>
                <w:lang w:eastAsia="es-ES"/>
              </w:rPr>
            </w:pPr>
            <w:r w:rsidRPr="00973028">
              <w:rPr>
                <w:rFonts w:ascii="Arial" w:eastAsia="Times New Roman" w:hAnsi="Arial" w:cs="Arial"/>
                <w:i/>
                <w:sz w:val="18"/>
                <w:szCs w:val="18"/>
                <w:lang w:eastAsia="es-ES"/>
              </w:rPr>
              <w:t>València</w:t>
            </w:r>
          </w:p>
        </w:tc>
      </w:tr>
      <w:tr w:rsidR="00B9275E" w:rsidRPr="00973028" w14:paraId="4819A248" w14:textId="77777777" w:rsidTr="005D6A9A">
        <w:trPr>
          <w:jc w:val="right"/>
        </w:trPr>
        <w:tc>
          <w:tcPr>
            <w:tcW w:w="1842" w:type="dxa"/>
            <w:tcBorders>
              <w:top w:val="single" w:sz="4" w:space="0" w:color="C00000"/>
              <w:bottom w:val="single" w:sz="4" w:space="0" w:color="C00000"/>
            </w:tcBorders>
            <w:shd w:val="clear" w:color="auto" w:fill="auto"/>
            <w:vAlign w:val="center"/>
          </w:tcPr>
          <w:p w14:paraId="38311CD5"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16 de enero</w:t>
            </w:r>
          </w:p>
        </w:tc>
        <w:tc>
          <w:tcPr>
            <w:tcW w:w="6644" w:type="dxa"/>
            <w:tcBorders>
              <w:top w:val="single" w:sz="4" w:space="0" w:color="C00000"/>
              <w:bottom w:val="single" w:sz="4" w:space="0" w:color="C00000"/>
            </w:tcBorders>
            <w:shd w:val="clear" w:color="auto" w:fill="auto"/>
          </w:tcPr>
          <w:p w14:paraId="4F2BF0EB"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Grupo de trabajo para la elaboración de la Ley estatal de Prevención y Lucha contra la Corrupción</w:t>
            </w:r>
          </w:p>
          <w:p w14:paraId="63C64388"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sz w:val="18"/>
                <w:szCs w:val="18"/>
                <w:lang w:eastAsia="es-ES"/>
              </w:rPr>
              <w:t>Online</w:t>
            </w:r>
          </w:p>
        </w:tc>
      </w:tr>
      <w:tr w:rsidR="00B9275E" w:rsidRPr="00973028" w14:paraId="20E01619" w14:textId="77777777" w:rsidTr="005D6A9A">
        <w:trPr>
          <w:jc w:val="right"/>
        </w:trPr>
        <w:tc>
          <w:tcPr>
            <w:tcW w:w="1842" w:type="dxa"/>
            <w:tcBorders>
              <w:top w:val="single" w:sz="4" w:space="0" w:color="C00000"/>
              <w:bottom w:val="single" w:sz="4" w:space="0" w:color="C00000"/>
            </w:tcBorders>
            <w:shd w:val="clear" w:color="auto" w:fill="auto"/>
            <w:vAlign w:val="center"/>
          </w:tcPr>
          <w:p w14:paraId="1A7370E3"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28 de enero</w:t>
            </w:r>
          </w:p>
        </w:tc>
        <w:tc>
          <w:tcPr>
            <w:tcW w:w="6644" w:type="dxa"/>
            <w:tcBorders>
              <w:top w:val="single" w:sz="4" w:space="0" w:color="C00000"/>
              <w:bottom w:val="single" w:sz="4" w:space="0" w:color="C00000"/>
            </w:tcBorders>
            <w:shd w:val="clear" w:color="auto" w:fill="auto"/>
          </w:tcPr>
          <w:p w14:paraId="59BE67F0" w14:textId="77777777" w:rsidR="00B9275E" w:rsidRPr="00973028" w:rsidRDefault="00B9275E" w:rsidP="00BB3EDF">
            <w:pPr>
              <w:spacing w:after="0" w:line="276" w:lineRule="auto"/>
              <w:jc w:val="both"/>
              <w:rPr>
                <w:rFonts w:ascii="Arial" w:hAnsi="Arial" w:cs="Arial"/>
                <w:sz w:val="18"/>
                <w:szCs w:val="18"/>
              </w:rPr>
            </w:pPr>
            <w:r w:rsidRPr="00973028">
              <w:rPr>
                <w:rFonts w:ascii="Arial" w:eastAsia="Times New Roman" w:hAnsi="Arial" w:cs="Arial"/>
                <w:color w:val="000000"/>
                <w:sz w:val="18"/>
                <w:szCs w:val="18"/>
                <w:lang w:eastAsia="es-ES"/>
              </w:rPr>
              <w:t>Grupo parlamentario Ciudadanos</w:t>
            </w:r>
          </w:p>
          <w:p w14:paraId="78A65A38"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sz w:val="18"/>
                <w:szCs w:val="18"/>
                <w:lang w:eastAsia="es-ES"/>
              </w:rPr>
              <w:t>València</w:t>
            </w:r>
          </w:p>
        </w:tc>
      </w:tr>
      <w:tr w:rsidR="00B9275E" w:rsidRPr="00973028" w14:paraId="33604EFC" w14:textId="77777777" w:rsidTr="005D6A9A">
        <w:trPr>
          <w:jc w:val="right"/>
        </w:trPr>
        <w:tc>
          <w:tcPr>
            <w:tcW w:w="1842" w:type="dxa"/>
            <w:tcBorders>
              <w:top w:val="single" w:sz="4" w:space="0" w:color="C00000"/>
              <w:bottom w:val="single" w:sz="4" w:space="0" w:color="C00000"/>
            </w:tcBorders>
            <w:shd w:val="clear" w:color="auto" w:fill="auto"/>
            <w:vAlign w:val="center"/>
          </w:tcPr>
          <w:p w14:paraId="4FBC8B62"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3 de febrero</w:t>
            </w:r>
          </w:p>
        </w:tc>
        <w:tc>
          <w:tcPr>
            <w:tcW w:w="6644" w:type="dxa"/>
            <w:tcBorders>
              <w:top w:val="single" w:sz="4" w:space="0" w:color="C00000"/>
              <w:bottom w:val="single" w:sz="4" w:space="0" w:color="C00000"/>
            </w:tcBorders>
            <w:shd w:val="clear" w:color="auto" w:fill="auto"/>
          </w:tcPr>
          <w:p w14:paraId="0F3C0153" w14:textId="71F52A48"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Gerente de la Entidad Publica de Saneamiento de Aguas Residuales de la Comuni</w:t>
            </w:r>
            <w:r w:rsidR="00C24397">
              <w:rPr>
                <w:rFonts w:ascii="Arial" w:eastAsia="Times New Roman" w:hAnsi="Arial" w:cs="Arial"/>
                <w:color w:val="000000"/>
                <w:sz w:val="18"/>
                <w:szCs w:val="18"/>
                <w:lang w:eastAsia="es-ES"/>
              </w:rPr>
              <w:t>t</w:t>
            </w:r>
            <w:r w:rsidRPr="00973028">
              <w:rPr>
                <w:rFonts w:ascii="Arial" w:eastAsia="Times New Roman" w:hAnsi="Arial" w:cs="Arial"/>
                <w:color w:val="000000"/>
                <w:sz w:val="18"/>
                <w:szCs w:val="18"/>
                <w:lang w:eastAsia="es-ES"/>
              </w:rPr>
              <w:t>a</w:t>
            </w:r>
            <w:r w:rsidR="00C24397">
              <w:rPr>
                <w:rFonts w:ascii="Arial" w:eastAsia="Times New Roman" w:hAnsi="Arial" w:cs="Arial"/>
                <w:color w:val="000000"/>
                <w:sz w:val="18"/>
                <w:szCs w:val="18"/>
                <w:lang w:eastAsia="es-ES"/>
              </w:rPr>
              <w:t>t</w:t>
            </w:r>
            <w:r w:rsidRPr="00973028">
              <w:rPr>
                <w:rFonts w:ascii="Arial" w:eastAsia="Times New Roman" w:hAnsi="Arial" w:cs="Arial"/>
                <w:color w:val="000000"/>
                <w:sz w:val="18"/>
                <w:szCs w:val="18"/>
                <w:lang w:eastAsia="es-ES"/>
              </w:rPr>
              <w:t xml:space="preserve"> Valenciana, EPSAR</w:t>
            </w:r>
          </w:p>
          <w:p w14:paraId="0C0B9503"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sz w:val="18"/>
                <w:szCs w:val="18"/>
                <w:lang w:eastAsia="es-ES"/>
              </w:rPr>
              <w:t>València</w:t>
            </w:r>
          </w:p>
        </w:tc>
      </w:tr>
      <w:tr w:rsidR="00B9275E" w:rsidRPr="00973028" w14:paraId="318D5C9C" w14:textId="77777777" w:rsidTr="005D6A9A">
        <w:trPr>
          <w:jc w:val="right"/>
        </w:trPr>
        <w:tc>
          <w:tcPr>
            <w:tcW w:w="1842" w:type="dxa"/>
            <w:tcBorders>
              <w:top w:val="single" w:sz="4" w:space="0" w:color="C00000"/>
              <w:bottom w:val="single" w:sz="4" w:space="0" w:color="C00000"/>
            </w:tcBorders>
            <w:shd w:val="clear" w:color="auto" w:fill="auto"/>
            <w:vAlign w:val="center"/>
          </w:tcPr>
          <w:p w14:paraId="10C2EA8C"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11 de febrero</w:t>
            </w:r>
          </w:p>
        </w:tc>
        <w:tc>
          <w:tcPr>
            <w:tcW w:w="6644" w:type="dxa"/>
            <w:tcBorders>
              <w:top w:val="single" w:sz="4" w:space="0" w:color="C00000"/>
              <w:bottom w:val="single" w:sz="4" w:space="0" w:color="C00000"/>
            </w:tcBorders>
            <w:shd w:val="clear" w:color="auto" w:fill="auto"/>
          </w:tcPr>
          <w:p w14:paraId="20ACBDE6"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 xml:space="preserve">Fundación por la Justicia y Festival </w:t>
            </w:r>
            <w:r w:rsidRPr="00973028">
              <w:rPr>
                <w:rFonts w:ascii="Arial" w:eastAsia="Times New Roman" w:hAnsi="Arial" w:cs="Arial"/>
                <w:i/>
                <w:iCs/>
                <w:color w:val="000000"/>
                <w:sz w:val="18"/>
                <w:szCs w:val="18"/>
                <w:lang w:eastAsia="es-ES"/>
              </w:rPr>
              <w:t>Human Fest</w:t>
            </w:r>
          </w:p>
          <w:p w14:paraId="1DFDED82"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sz w:val="18"/>
                <w:szCs w:val="18"/>
                <w:lang w:eastAsia="es-ES"/>
              </w:rPr>
              <w:t>València</w:t>
            </w:r>
          </w:p>
        </w:tc>
      </w:tr>
      <w:tr w:rsidR="00B9275E" w:rsidRPr="00973028" w14:paraId="564FFC9A" w14:textId="77777777" w:rsidTr="005D6A9A">
        <w:trPr>
          <w:jc w:val="right"/>
        </w:trPr>
        <w:tc>
          <w:tcPr>
            <w:tcW w:w="1842" w:type="dxa"/>
            <w:tcBorders>
              <w:top w:val="single" w:sz="4" w:space="0" w:color="C00000"/>
              <w:bottom w:val="single" w:sz="4" w:space="0" w:color="C00000"/>
            </w:tcBorders>
            <w:shd w:val="clear" w:color="auto" w:fill="auto"/>
            <w:vAlign w:val="center"/>
          </w:tcPr>
          <w:p w14:paraId="172691FC"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12 de febrero</w:t>
            </w:r>
          </w:p>
        </w:tc>
        <w:tc>
          <w:tcPr>
            <w:tcW w:w="6644" w:type="dxa"/>
            <w:tcBorders>
              <w:top w:val="single" w:sz="4" w:space="0" w:color="C00000"/>
              <w:bottom w:val="single" w:sz="4" w:space="0" w:color="C00000"/>
            </w:tcBorders>
            <w:shd w:val="clear" w:color="auto" w:fill="auto"/>
          </w:tcPr>
          <w:p w14:paraId="3DBB24B3" w14:textId="77777777" w:rsidR="00B9275E" w:rsidRPr="00973028" w:rsidRDefault="00B9275E" w:rsidP="00BB3EDF">
            <w:pPr>
              <w:spacing w:after="0" w:line="276" w:lineRule="auto"/>
              <w:jc w:val="both"/>
              <w:rPr>
                <w:rFonts w:ascii="Arial" w:eastAsia="Times New Roman" w:hAnsi="Arial" w:cs="Arial"/>
                <w:i/>
                <w:sz w:val="18"/>
                <w:szCs w:val="18"/>
                <w:lang w:eastAsia="es-ES"/>
              </w:rPr>
            </w:pPr>
            <w:r w:rsidRPr="00973028">
              <w:rPr>
                <w:rFonts w:ascii="Arial" w:eastAsia="Times New Roman" w:hAnsi="Arial" w:cs="Arial"/>
                <w:color w:val="000000"/>
                <w:sz w:val="18"/>
                <w:szCs w:val="18"/>
                <w:lang w:eastAsia="es-ES"/>
              </w:rPr>
              <w:t>Subdirectora general del Servicio Nacional de Coordinación Antifraude, Intervención General del Estado</w:t>
            </w:r>
          </w:p>
          <w:p w14:paraId="4F7BAAB0"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sz w:val="18"/>
                <w:szCs w:val="18"/>
                <w:lang w:eastAsia="es-ES"/>
              </w:rPr>
              <w:t>Madrid</w:t>
            </w:r>
          </w:p>
        </w:tc>
      </w:tr>
      <w:tr w:rsidR="00B9275E" w:rsidRPr="00973028" w14:paraId="13372E3A" w14:textId="77777777" w:rsidTr="005D6A9A">
        <w:trPr>
          <w:jc w:val="right"/>
        </w:trPr>
        <w:tc>
          <w:tcPr>
            <w:tcW w:w="1842" w:type="dxa"/>
            <w:tcBorders>
              <w:top w:val="single" w:sz="4" w:space="0" w:color="C00000"/>
              <w:bottom w:val="single" w:sz="4" w:space="0" w:color="C00000"/>
            </w:tcBorders>
            <w:shd w:val="clear" w:color="auto" w:fill="auto"/>
            <w:vAlign w:val="center"/>
          </w:tcPr>
          <w:p w14:paraId="559A718B"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18 de febrero</w:t>
            </w:r>
          </w:p>
        </w:tc>
        <w:tc>
          <w:tcPr>
            <w:tcW w:w="6644" w:type="dxa"/>
            <w:tcBorders>
              <w:top w:val="single" w:sz="4" w:space="0" w:color="C00000"/>
              <w:bottom w:val="single" w:sz="4" w:space="0" w:color="C00000"/>
            </w:tcBorders>
            <w:shd w:val="clear" w:color="auto" w:fill="auto"/>
          </w:tcPr>
          <w:p w14:paraId="2102B3EB" w14:textId="77777777" w:rsidR="00B9275E" w:rsidRPr="00973028" w:rsidRDefault="00B9275E" w:rsidP="00BB3EDF">
            <w:pPr>
              <w:spacing w:after="0" w:line="276" w:lineRule="auto"/>
              <w:jc w:val="both"/>
              <w:rPr>
                <w:rFonts w:ascii="Arial" w:hAnsi="Arial" w:cs="Arial"/>
                <w:sz w:val="18"/>
                <w:szCs w:val="18"/>
              </w:rPr>
            </w:pPr>
            <w:r w:rsidRPr="00973028">
              <w:rPr>
                <w:rFonts w:ascii="Arial" w:eastAsia="Times New Roman" w:hAnsi="Arial" w:cs="Arial"/>
                <w:color w:val="000000"/>
                <w:sz w:val="18"/>
                <w:szCs w:val="18"/>
                <w:lang w:eastAsia="es-ES"/>
              </w:rPr>
              <w:t>Grupo parlamentario Unides Podem</w:t>
            </w:r>
          </w:p>
          <w:p w14:paraId="7FBD10B7"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sz w:val="18"/>
                <w:szCs w:val="18"/>
                <w:lang w:eastAsia="es-ES"/>
              </w:rPr>
              <w:t>València</w:t>
            </w:r>
          </w:p>
        </w:tc>
      </w:tr>
      <w:tr w:rsidR="00B9275E" w:rsidRPr="00973028" w14:paraId="668D84C2" w14:textId="77777777" w:rsidTr="005D6A9A">
        <w:trPr>
          <w:jc w:val="right"/>
        </w:trPr>
        <w:tc>
          <w:tcPr>
            <w:tcW w:w="1842" w:type="dxa"/>
            <w:tcBorders>
              <w:top w:val="single" w:sz="4" w:space="0" w:color="C00000"/>
              <w:bottom w:val="single" w:sz="4" w:space="0" w:color="C00000"/>
            </w:tcBorders>
            <w:shd w:val="clear" w:color="auto" w:fill="auto"/>
            <w:vAlign w:val="center"/>
          </w:tcPr>
          <w:p w14:paraId="46F5105B"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20 de febrero</w:t>
            </w:r>
          </w:p>
        </w:tc>
        <w:tc>
          <w:tcPr>
            <w:tcW w:w="6644" w:type="dxa"/>
            <w:tcBorders>
              <w:top w:val="single" w:sz="4" w:space="0" w:color="C00000"/>
              <w:bottom w:val="single" w:sz="4" w:space="0" w:color="C00000"/>
            </w:tcBorders>
            <w:shd w:val="clear" w:color="auto" w:fill="auto"/>
          </w:tcPr>
          <w:p w14:paraId="4281501F"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Institut de Drets Humans de Catalunya</w:t>
            </w:r>
          </w:p>
          <w:p w14:paraId="75EB7FAA"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sz w:val="18"/>
                <w:szCs w:val="18"/>
                <w:lang w:eastAsia="es-ES"/>
              </w:rPr>
              <w:t>Reunión virtual</w:t>
            </w:r>
          </w:p>
        </w:tc>
      </w:tr>
      <w:tr w:rsidR="00B9275E" w:rsidRPr="00973028" w14:paraId="20E8B15A" w14:textId="77777777" w:rsidTr="005D6A9A">
        <w:trPr>
          <w:jc w:val="right"/>
        </w:trPr>
        <w:tc>
          <w:tcPr>
            <w:tcW w:w="1842" w:type="dxa"/>
            <w:tcBorders>
              <w:top w:val="single" w:sz="4" w:space="0" w:color="C00000"/>
              <w:bottom w:val="single" w:sz="4" w:space="0" w:color="C00000"/>
            </w:tcBorders>
            <w:shd w:val="clear" w:color="auto" w:fill="auto"/>
            <w:vAlign w:val="center"/>
          </w:tcPr>
          <w:p w14:paraId="5E2AE4CF"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 de marzo</w:t>
            </w:r>
          </w:p>
        </w:tc>
        <w:tc>
          <w:tcPr>
            <w:tcW w:w="6644" w:type="dxa"/>
            <w:tcBorders>
              <w:top w:val="single" w:sz="4" w:space="0" w:color="C00000"/>
              <w:bottom w:val="single" w:sz="4" w:space="0" w:color="C00000"/>
            </w:tcBorders>
            <w:shd w:val="clear" w:color="auto" w:fill="auto"/>
          </w:tcPr>
          <w:p w14:paraId="2E98CD57"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Directores de las Oficinas Antifraude de Cataluña y Baleares</w:t>
            </w:r>
          </w:p>
          <w:p w14:paraId="370A4AEA"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sz w:val="18"/>
                <w:szCs w:val="18"/>
                <w:lang w:eastAsia="es-ES"/>
              </w:rPr>
              <w:t>Barcelona</w:t>
            </w:r>
          </w:p>
        </w:tc>
      </w:tr>
      <w:tr w:rsidR="00B9275E" w:rsidRPr="00973028" w14:paraId="07DA1A71" w14:textId="77777777" w:rsidTr="005D6A9A">
        <w:trPr>
          <w:jc w:val="right"/>
        </w:trPr>
        <w:tc>
          <w:tcPr>
            <w:tcW w:w="1842" w:type="dxa"/>
            <w:tcBorders>
              <w:top w:val="single" w:sz="4" w:space="0" w:color="C00000"/>
              <w:bottom w:val="single" w:sz="4" w:space="0" w:color="C00000"/>
            </w:tcBorders>
            <w:shd w:val="clear" w:color="auto" w:fill="auto"/>
            <w:vAlign w:val="center"/>
          </w:tcPr>
          <w:p w14:paraId="19E881F8"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5 de marzo</w:t>
            </w:r>
          </w:p>
        </w:tc>
        <w:tc>
          <w:tcPr>
            <w:tcW w:w="6644" w:type="dxa"/>
            <w:tcBorders>
              <w:top w:val="single" w:sz="4" w:space="0" w:color="C00000"/>
              <w:bottom w:val="single" w:sz="4" w:space="0" w:color="C00000"/>
            </w:tcBorders>
            <w:shd w:val="clear" w:color="auto" w:fill="auto"/>
          </w:tcPr>
          <w:p w14:paraId="07CECA62"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Síndico Mayor de Cuentas de la Comunitat Valenciana</w:t>
            </w:r>
          </w:p>
          <w:p w14:paraId="2336C96D"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sz w:val="18"/>
                <w:szCs w:val="18"/>
                <w:lang w:eastAsia="es-ES"/>
              </w:rPr>
              <w:t>València</w:t>
            </w:r>
          </w:p>
        </w:tc>
      </w:tr>
      <w:tr w:rsidR="00B9275E" w:rsidRPr="00973028" w14:paraId="1E8E412C" w14:textId="77777777" w:rsidTr="005D6A9A">
        <w:trPr>
          <w:jc w:val="right"/>
        </w:trPr>
        <w:tc>
          <w:tcPr>
            <w:tcW w:w="1842" w:type="dxa"/>
            <w:tcBorders>
              <w:top w:val="single" w:sz="4" w:space="0" w:color="C00000"/>
              <w:bottom w:val="single" w:sz="4" w:space="0" w:color="C00000"/>
            </w:tcBorders>
            <w:shd w:val="clear" w:color="auto" w:fill="auto"/>
            <w:vAlign w:val="center"/>
          </w:tcPr>
          <w:p w14:paraId="55350B3C"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6 de marzo</w:t>
            </w:r>
          </w:p>
        </w:tc>
        <w:tc>
          <w:tcPr>
            <w:tcW w:w="6644" w:type="dxa"/>
            <w:tcBorders>
              <w:top w:val="single" w:sz="4" w:space="0" w:color="C00000"/>
              <w:bottom w:val="single" w:sz="4" w:space="0" w:color="C00000"/>
            </w:tcBorders>
            <w:shd w:val="clear" w:color="auto" w:fill="auto"/>
          </w:tcPr>
          <w:p w14:paraId="6EFCE0C0"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Director general de Desarrollo Rural, Conselleria de Agricultura, Desarrollo Rural, Emergencia Climática y Transición Ecológica.</w:t>
            </w:r>
          </w:p>
          <w:p w14:paraId="76470B6D"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sz w:val="18"/>
                <w:szCs w:val="18"/>
                <w:lang w:eastAsia="es-ES"/>
              </w:rPr>
              <w:t>València</w:t>
            </w:r>
          </w:p>
        </w:tc>
      </w:tr>
      <w:tr w:rsidR="00B9275E" w:rsidRPr="00973028" w14:paraId="4975EA96" w14:textId="77777777" w:rsidTr="005D6A9A">
        <w:trPr>
          <w:jc w:val="right"/>
        </w:trPr>
        <w:tc>
          <w:tcPr>
            <w:tcW w:w="1842" w:type="dxa"/>
            <w:tcBorders>
              <w:top w:val="single" w:sz="4" w:space="0" w:color="C00000"/>
              <w:bottom w:val="single" w:sz="4" w:space="0" w:color="C00000"/>
            </w:tcBorders>
            <w:shd w:val="clear" w:color="auto" w:fill="auto"/>
            <w:vAlign w:val="center"/>
          </w:tcPr>
          <w:p w14:paraId="5266F01A"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6 de marzo</w:t>
            </w:r>
          </w:p>
        </w:tc>
        <w:tc>
          <w:tcPr>
            <w:tcW w:w="6644" w:type="dxa"/>
            <w:tcBorders>
              <w:top w:val="single" w:sz="4" w:space="0" w:color="C00000"/>
              <w:bottom w:val="single" w:sz="4" w:space="0" w:color="C00000"/>
            </w:tcBorders>
            <w:shd w:val="clear" w:color="auto" w:fill="auto"/>
          </w:tcPr>
          <w:p w14:paraId="5215FB59"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Colegio Oficial de Censores Jurados de Cuentas de la Comunitat Valenciana</w:t>
            </w:r>
          </w:p>
          <w:p w14:paraId="3058605F"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sz w:val="18"/>
                <w:szCs w:val="18"/>
                <w:lang w:eastAsia="es-ES"/>
              </w:rPr>
              <w:t>València</w:t>
            </w:r>
          </w:p>
        </w:tc>
      </w:tr>
      <w:tr w:rsidR="00B9275E" w:rsidRPr="00973028" w14:paraId="675C8F3D" w14:textId="77777777" w:rsidTr="005D6A9A">
        <w:trPr>
          <w:jc w:val="right"/>
        </w:trPr>
        <w:tc>
          <w:tcPr>
            <w:tcW w:w="1842" w:type="dxa"/>
            <w:tcBorders>
              <w:top w:val="single" w:sz="4" w:space="0" w:color="C00000"/>
              <w:bottom w:val="single" w:sz="4" w:space="0" w:color="C00000"/>
            </w:tcBorders>
            <w:shd w:val="clear" w:color="auto" w:fill="auto"/>
            <w:vAlign w:val="center"/>
          </w:tcPr>
          <w:p w14:paraId="4BB560AC"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6 de marzo</w:t>
            </w:r>
          </w:p>
        </w:tc>
        <w:tc>
          <w:tcPr>
            <w:tcW w:w="6644" w:type="dxa"/>
            <w:tcBorders>
              <w:top w:val="single" w:sz="4" w:space="0" w:color="C00000"/>
              <w:bottom w:val="single" w:sz="4" w:space="0" w:color="C00000"/>
            </w:tcBorders>
            <w:shd w:val="clear" w:color="auto" w:fill="auto"/>
          </w:tcPr>
          <w:p w14:paraId="084A7AB5"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Presidente de la Comisión por la calidad democrática, contra corrupción y por la reforma institucional y legislativa, del Congreso de los Diputados</w:t>
            </w:r>
          </w:p>
          <w:p w14:paraId="2C522B86"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sz w:val="18"/>
                <w:szCs w:val="18"/>
                <w:lang w:eastAsia="es-ES"/>
              </w:rPr>
              <w:t>València</w:t>
            </w:r>
          </w:p>
        </w:tc>
      </w:tr>
      <w:tr w:rsidR="00B9275E" w:rsidRPr="00973028" w14:paraId="4367B4C4" w14:textId="77777777" w:rsidTr="005D6A9A">
        <w:trPr>
          <w:jc w:val="right"/>
        </w:trPr>
        <w:tc>
          <w:tcPr>
            <w:tcW w:w="1842" w:type="dxa"/>
            <w:tcBorders>
              <w:top w:val="single" w:sz="4" w:space="0" w:color="C00000"/>
              <w:bottom w:val="single" w:sz="4" w:space="0" w:color="C00000"/>
            </w:tcBorders>
            <w:shd w:val="clear" w:color="auto" w:fill="auto"/>
            <w:vAlign w:val="center"/>
          </w:tcPr>
          <w:p w14:paraId="64F01603"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11 de marzo</w:t>
            </w:r>
          </w:p>
        </w:tc>
        <w:tc>
          <w:tcPr>
            <w:tcW w:w="6644" w:type="dxa"/>
            <w:tcBorders>
              <w:top w:val="single" w:sz="4" w:space="0" w:color="C00000"/>
              <w:bottom w:val="single" w:sz="4" w:space="0" w:color="C00000"/>
            </w:tcBorders>
            <w:shd w:val="clear" w:color="auto" w:fill="auto"/>
          </w:tcPr>
          <w:p w14:paraId="69895EC8"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Fundación Etnor</w:t>
            </w:r>
          </w:p>
          <w:p w14:paraId="56061BDC"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sz w:val="18"/>
                <w:szCs w:val="18"/>
                <w:lang w:eastAsia="es-ES"/>
              </w:rPr>
              <w:t>València</w:t>
            </w:r>
          </w:p>
        </w:tc>
      </w:tr>
      <w:tr w:rsidR="00B9275E" w:rsidRPr="00973028" w14:paraId="053DA26C" w14:textId="77777777" w:rsidTr="005D6A9A">
        <w:trPr>
          <w:jc w:val="right"/>
        </w:trPr>
        <w:tc>
          <w:tcPr>
            <w:tcW w:w="1842" w:type="dxa"/>
            <w:tcBorders>
              <w:top w:val="single" w:sz="4" w:space="0" w:color="C00000"/>
              <w:bottom w:val="single" w:sz="4" w:space="0" w:color="C00000"/>
            </w:tcBorders>
            <w:shd w:val="clear" w:color="auto" w:fill="auto"/>
            <w:vAlign w:val="center"/>
          </w:tcPr>
          <w:p w14:paraId="7C8EA7FA"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14 de abril</w:t>
            </w:r>
          </w:p>
        </w:tc>
        <w:tc>
          <w:tcPr>
            <w:tcW w:w="6644" w:type="dxa"/>
            <w:tcBorders>
              <w:top w:val="single" w:sz="4" w:space="0" w:color="C00000"/>
              <w:bottom w:val="single" w:sz="4" w:space="0" w:color="C00000"/>
            </w:tcBorders>
            <w:shd w:val="clear" w:color="auto" w:fill="auto"/>
          </w:tcPr>
          <w:p w14:paraId="07CF2DCA"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KPMG Abogados</w:t>
            </w:r>
          </w:p>
          <w:p w14:paraId="321C5D8C"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sz w:val="18"/>
                <w:szCs w:val="18"/>
                <w:lang w:eastAsia="es-ES"/>
              </w:rPr>
              <w:t>Virtual</w:t>
            </w:r>
          </w:p>
        </w:tc>
      </w:tr>
      <w:tr w:rsidR="00B9275E" w:rsidRPr="00973028" w14:paraId="2B8A1315" w14:textId="77777777" w:rsidTr="005D6A9A">
        <w:trPr>
          <w:jc w:val="right"/>
        </w:trPr>
        <w:tc>
          <w:tcPr>
            <w:tcW w:w="1842" w:type="dxa"/>
            <w:tcBorders>
              <w:top w:val="single" w:sz="4" w:space="0" w:color="C00000"/>
              <w:bottom w:val="single" w:sz="4" w:space="0" w:color="C00000"/>
            </w:tcBorders>
            <w:shd w:val="clear" w:color="auto" w:fill="auto"/>
            <w:vAlign w:val="center"/>
          </w:tcPr>
          <w:p w14:paraId="288CC58E"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16 de abril</w:t>
            </w:r>
          </w:p>
        </w:tc>
        <w:tc>
          <w:tcPr>
            <w:tcW w:w="6644" w:type="dxa"/>
            <w:tcBorders>
              <w:top w:val="single" w:sz="4" w:space="0" w:color="C00000"/>
              <w:bottom w:val="single" w:sz="4" w:space="0" w:color="C00000"/>
            </w:tcBorders>
            <w:shd w:val="clear" w:color="auto" w:fill="auto"/>
          </w:tcPr>
          <w:p w14:paraId="3B839487"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Asociación Española Sujetos Obligados en Prevención del Blanqueo, Aseblac</w:t>
            </w:r>
          </w:p>
          <w:p w14:paraId="41E5E4DF"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sz w:val="18"/>
                <w:szCs w:val="18"/>
                <w:lang w:eastAsia="es-ES"/>
              </w:rPr>
              <w:t>Virtual</w:t>
            </w:r>
          </w:p>
        </w:tc>
      </w:tr>
      <w:tr w:rsidR="00B9275E" w:rsidRPr="00973028" w14:paraId="35F18743" w14:textId="77777777" w:rsidTr="005D6A9A">
        <w:trPr>
          <w:jc w:val="right"/>
        </w:trPr>
        <w:tc>
          <w:tcPr>
            <w:tcW w:w="1842" w:type="dxa"/>
            <w:tcBorders>
              <w:top w:val="single" w:sz="4" w:space="0" w:color="C00000"/>
              <w:bottom w:val="single" w:sz="4" w:space="0" w:color="C00000"/>
            </w:tcBorders>
            <w:shd w:val="clear" w:color="auto" w:fill="auto"/>
            <w:vAlign w:val="center"/>
          </w:tcPr>
          <w:p w14:paraId="6B0ADED3"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22 de abril</w:t>
            </w:r>
          </w:p>
        </w:tc>
        <w:tc>
          <w:tcPr>
            <w:tcW w:w="6644" w:type="dxa"/>
            <w:tcBorders>
              <w:top w:val="single" w:sz="4" w:space="0" w:color="C00000"/>
              <w:bottom w:val="single" w:sz="4" w:space="0" w:color="C00000"/>
            </w:tcBorders>
            <w:shd w:val="clear" w:color="auto" w:fill="auto"/>
          </w:tcPr>
          <w:p w14:paraId="1B132876"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Directores de las Oficinas Antifraude de Cataluña y Baleares</w:t>
            </w:r>
          </w:p>
          <w:p w14:paraId="4903E83F" w14:textId="77777777" w:rsidR="00B9275E" w:rsidRPr="00973028" w:rsidRDefault="00B9275E" w:rsidP="00BB3EDF">
            <w:pPr>
              <w:spacing w:after="0" w:line="276" w:lineRule="auto"/>
              <w:jc w:val="both"/>
              <w:rPr>
                <w:rFonts w:ascii="Arial" w:eastAsia="Times New Roman" w:hAnsi="Arial" w:cs="Arial"/>
                <w:i/>
                <w:color w:val="000000"/>
                <w:sz w:val="18"/>
                <w:szCs w:val="18"/>
                <w:lang w:eastAsia="es-ES"/>
              </w:rPr>
            </w:pPr>
            <w:r w:rsidRPr="00973028">
              <w:rPr>
                <w:rFonts w:ascii="Arial" w:eastAsia="Times New Roman" w:hAnsi="Arial" w:cs="Arial"/>
                <w:i/>
                <w:color w:val="000000"/>
                <w:sz w:val="18"/>
                <w:szCs w:val="18"/>
                <w:lang w:eastAsia="es-ES"/>
              </w:rPr>
              <w:t>Virtual</w:t>
            </w:r>
          </w:p>
        </w:tc>
      </w:tr>
      <w:tr w:rsidR="00B9275E" w:rsidRPr="00973028" w14:paraId="0AB53719" w14:textId="77777777" w:rsidTr="005D6A9A">
        <w:trPr>
          <w:jc w:val="right"/>
        </w:trPr>
        <w:tc>
          <w:tcPr>
            <w:tcW w:w="1842" w:type="dxa"/>
            <w:tcBorders>
              <w:top w:val="single" w:sz="4" w:space="0" w:color="C00000"/>
              <w:bottom w:val="single" w:sz="4" w:space="0" w:color="C00000"/>
            </w:tcBorders>
            <w:shd w:val="clear" w:color="auto" w:fill="auto"/>
            <w:vAlign w:val="center"/>
          </w:tcPr>
          <w:p w14:paraId="0DDEEF08"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lastRenderedPageBreak/>
              <w:t>25 de mayo</w:t>
            </w:r>
          </w:p>
        </w:tc>
        <w:tc>
          <w:tcPr>
            <w:tcW w:w="6644" w:type="dxa"/>
            <w:tcBorders>
              <w:top w:val="single" w:sz="4" w:space="0" w:color="C00000"/>
              <w:bottom w:val="single" w:sz="4" w:space="0" w:color="C00000"/>
            </w:tcBorders>
            <w:shd w:val="clear" w:color="auto" w:fill="auto"/>
          </w:tcPr>
          <w:p w14:paraId="3C84C9A4"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Director general de Función Pública, Consellería de Justicia, Interior y Administración Pública</w:t>
            </w:r>
          </w:p>
          <w:p w14:paraId="4D387A36" w14:textId="77777777" w:rsidR="00B9275E" w:rsidRPr="00973028" w:rsidRDefault="00B9275E" w:rsidP="00BB3EDF">
            <w:pPr>
              <w:spacing w:after="0" w:line="276" w:lineRule="auto"/>
              <w:jc w:val="both"/>
              <w:rPr>
                <w:rFonts w:ascii="Arial" w:eastAsia="Times New Roman" w:hAnsi="Arial" w:cs="Arial"/>
                <w:i/>
                <w:color w:val="000000"/>
                <w:sz w:val="18"/>
                <w:szCs w:val="18"/>
                <w:lang w:eastAsia="es-ES"/>
              </w:rPr>
            </w:pPr>
            <w:r w:rsidRPr="00973028">
              <w:rPr>
                <w:rFonts w:ascii="Arial" w:eastAsia="Times New Roman" w:hAnsi="Arial" w:cs="Arial"/>
                <w:i/>
                <w:color w:val="000000"/>
                <w:sz w:val="18"/>
                <w:szCs w:val="18"/>
                <w:lang w:eastAsia="es-ES"/>
              </w:rPr>
              <w:t>Virtual</w:t>
            </w:r>
          </w:p>
        </w:tc>
      </w:tr>
      <w:tr w:rsidR="00B9275E" w:rsidRPr="00973028" w14:paraId="27E9A456" w14:textId="77777777" w:rsidTr="005D6A9A">
        <w:trPr>
          <w:jc w:val="right"/>
        </w:trPr>
        <w:tc>
          <w:tcPr>
            <w:tcW w:w="1842" w:type="dxa"/>
            <w:tcBorders>
              <w:top w:val="single" w:sz="4" w:space="0" w:color="C00000"/>
              <w:bottom w:val="single" w:sz="4" w:space="0" w:color="C00000"/>
            </w:tcBorders>
            <w:shd w:val="clear" w:color="auto" w:fill="auto"/>
            <w:vAlign w:val="center"/>
          </w:tcPr>
          <w:p w14:paraId="650F6683"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3 de junio</w:t>
            </w:r>
          </w:p>
        </w:tc>
        <w:tc>
          <w:tcPr>
            <w:tcW w:w="6644" w:type="dxa"/>
            <w:tcBorders>
              <w:top w:val="single" w:sz="4" w:space="0" w:color="C00000"/>
              <w:bottom w:val="single" w:sz="4" w:space="0" w:color="C00000"/>
            </w:tcBorders>
            <w:shd w:val="clear" w:color="auto" w:fill="auto"/>
          </w:tcPr>
          <w:p w14:paraId="1ADCA4C8"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Vicepresidente segundo del Consell y Conseller de Vivienda y Arquitectura Bioclimática</w:t>
            </w:r>
          </w:p>
          <w:p w14:paraId="1DAA436E"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color w:val="000000"/>
                <w:sz w:val="18"/>
                <w:szCs w:val="18"/>
                <w:lang w:eastAsia="es-ES"/>
              </w:rPr>
              <w:t>València</w:t>
            </w:r>
          </w:p>
        </w:tc>
      </w:tr>
      <w:tr w:rsidR="00B9275E" w:rsidRPr="00973028" w14:paraId="05C1CC72" w14:textId="77777777" w:rsidTr="005D6A9A">
        <w:trPr>
          <w:jc w:val="right"/>
        </w:trPr>
        <w:tc>
          <w:tcPr>
            <w:tcW w:w="1842" w:type="dxa"/>
            <w:tcBorders>
              <w:top w:val="single" w:sz="4" w:space="0" w:color="C00000"/>
              <w:bottom w:val="single" w:sz="4" w:space="0" w:color="C00000"/>
            </w:tcBorders>
            <w:shd w:val="clear" w:color="auto" w:fill="auto"/>
            <w:vAlign w:val="center"/>
          </w:tcPr>
          <w:p w14:paraId="495234C2"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9 de junio</w:t>
            </w:r>
          </w:p>
        </w:tc>
        <w:tc>
          <w:tcPr>
            <w:tcW w:w="6644" w:type="dxa"/>
            <w:tcBorders>
              <w:top w:val="single" w:sz="4" w:space="0" w:color="C00000"/>
              <w:bottom w:val="single" w:sz="4" w:space="0" w:color="C00000"/>
            </w:tcBorders>
            <w:shd w:val="clear" w:color="auto" w:fill="auto"/>
          </w:tcPr>
          <w:p w14:paraId="71BED52F"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 xml:space="preserve">Director General de Administración Local, Presidència GVA </w:t>
            </w:r>
          </w:p>
          <w:p w14:paraId="41055CB1"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color w:val="000000"/>
                <w:sz w:val="18"/>
                <w:szCs w:val="18"/>
                <w:lang w:eastAsia="es-ES"/>
              </w:rPr>
              <w:t>València</w:t>
            </w:r>
          </w:p>
        </w:tc>
      </w:tr>
      <w:tr w:rsidR="00B9275E" w:rsidRPr="00973028" w14:paraId="5DB4B16F" w14:textId="77777777" w:rsidTr="005D6A9A">
        <w:trPr>
          <w:jc w:val="right"/>
        </w:trPr>
        <w:tc>
          <w:tcPr>
            <w:tcW w:w="1842" w:type="dxa"/>
            <w:tcBorders>
              <w:top w:val="single" w:sz="4" w:space="0" w:color="C00000"/>
              <w:bottom w:val="single" w:sz="4" w:space="0" w:color="C00000"/>
            </w:tcBorders>
            <w:shd w:val="clear" w:color="auto" w:fill="auto"/>
            <w:vAlign w:val="center"/>
          </w:tcPr>
          <w:p w14:paraId="76CCD23B"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3 de julio</w:t>
            </w:r>
          </w:p>
        </w:tc>
        <w:tc>
          <w:tcPr>
            <w:tcW w:w="6644" w:type="dxa"/>
            <w:tcBorders>
              <w:top w:val="single" w:sz="4" w:space="0" w:color="C00000"/>
              <w:bottom w:val="single" w:sz="4" w:space="0" w:color="C00000"/>
            </w:tcBorders>
            <w:shd w:val="clear" w:color="auto" w:fill="auto"/>
          </w:tcPr>
          <w:p w14:paraId="2AAA10B4"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Directora general de Planificación Estratégica e Inspección General de Servicios</w:t>
            </w:r>
          </w:p>
          <w:p w14:paraId="594F9930"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color w:val="000000"/>
                <w:sz w:val="18"/>
                <w:szCs w:val="18"/>
                <w:lang w:eastAsia="es-ES"/>
              </w:rPr>
              <w:t xml:space="preserve">València </w:t>
            </w:r>
          </w:p>
        </w:tc>
      </w:tr>
      <w:tr w:rsidR="00B9275E" w:rsidRPr="00973028" w14:paraId="0F8E20E8" w14:textId="77777777" w:rsidTr="005D6A9A">
        <w:trPr>
          <w:jc w:val="right"/>
        </w:trPr>
        <w:tc>
          <w:tcPr>
            <w:tcW w:w="1842" w:type="dxa"/>
            <w:tcBorders>
              <w:top w:val="single" w:sz="4" w:space="0" w:color="C00000"/>
              <w:bottom w:val="single" w:sz="4" w:space="0" w:color="C00000"/>
            </w:tcBorders>
            <w:shd w:val="clear" w:color="auto" w:fill="auto"/>
            <w:vAlign w:val="center"/>
          </w:tcPr>
          <w:p w14:paraId="7807D7D9"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7 de julio</w:t>
            </w:r>
          </w:p>
        </w:tc>
        <w:tc>
          <w:tcPr>
            <w:tcW w:w="6644" w:type="dxa"/>
            <w:tcBorders>
              <w:top w:val="single" w:sz="4" w:space="0" w:color="C00000"/>
              <w:bottom w:val="single" w:sz="4" w:space="0" w:color="C00000"/>
            </w:tcBorders>
            <w:shd w:val="clear" w:color="auto" w:fill="auto"/>
          </w:tcPr>
          <w:p w14:paraId="5FF08895" w14:textId="77777777" w:rsidR="00B9275E" w:rsidRPr="00973028" w:rsidRDefault="00B9275E" w:rsidP="00BB3EDF">
            <w:pPr>
              <w:spacing w:after="0" w:line="276" w:lineRule="auto"/>
              <w:jc w:val="both"/>
              <w:rPr>
                <w:rFonts w:ascii="Arial" w:hAnsi="Arial" w:cs="Arial"/>
                <w:sz w:val="18"/>
                <w:szCs w:val="18"/>
              </w:rPr>
            </w:pPr>
            <w:r w:rsidRPr="00973028">
              <w:rPr>
                <w:rFonts w:ascii="Arial" w:eastAsia="Times New Roman" w:hAnsi="Arial" w:cs="Arial"/>
                <w:color w:val="000000"/>
                <w:sz w:val="18"/>
                <w:szCs w:val="18"/>
                <w:lang w:eastAsia="es-ES"/>
              </w:rPr>
              <w:t>Grupo Parlamentario Ciudadanos</w:t>
            </w:r>
          </w:p>
          <w:p w14:paraId="29B49392"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color w:val="000000"/>
                <w:sz w:val="18"/>
                <w:szCs w:val="18"/>
                <w:lang w:eastAsia="es-ES"/>
              </w:rPr>
              <w:t>Virtual</w:t>
            </w:r>
          </w:p>
        </w:tc>
      </w:tr>
      <w:tr w:rsidR="00B9275E" w:rsidRPr="00973028" w14:paraId="71748E97" w14:textId="77777777" w:rsidTr="005D6A9A">
        <w:trPr>
          <w:jc w:val="right"/>
        </w:trPr>
        <w:tc>
          <w:tcPr>
            <w:tcW w:w="1842" w:type="dxa"/>
            <w:tcBorders>
              <w:top w:val="single" w:sz="4" w:space="0" w:color="C00000"/>
              <w:bottom w:val="single" w:sz="4" w:space="0" w:color="C00000"/>
            </w:tcBorders>
            <w:shd w:val="clear" w:color="auto" w:fill="auto"/>
            <w:vAlign w:val="center"/>
          </w:tcPr>
          <w:p w14:paraId="5A912817"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8 de julio</w:t>
            </w:r>
          </w:p>
        </w:tc>
        <w:tc>
          <w:tcPr>
            <w:tcW w:w="6644" w:type="dxa"/>
            <w:tcBorders>
              <w:top w:val="single" w:sz="4" w:space="0" w:color="C00000"/>
              <w:bottom w:val="single" w:sz="4" w:space="0" w:color="C00000"/>
            </w:tcBorders>
            <w:shd w:val="clear" w:color="auto" w:fill="auto"/>
          </w:tcPr>
          <w:p w14:paraId="0DBBE2F5"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Servicio de Promoción de los Derechos de la Infancia y Adolescencia</w:t>
            </w:r>
          </w:p>
          <w:p w14:paraId="7BFE9A5B"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color w:val="000000"/>
                <w:sz w:val="18"/>
                <w:szCs w:val="18"/>
                <w:lang w:eastAsia="es-ES"/>
              </w:rPr>
              <w:t>Virtual</w:t>
            </w:r>
          </w:p>
        </w:tc>
      </w:tr>
      <w:tr w:rsidR="00B9275E" w:rsidRPr="00973028" w14:paraId="616449DA" w14:textId="77777777" w:rsidTr="005D6A9A">
        <w:trPr>
          <w:jc w:val="right"/>
        </w:trPr>
        <w:tc>
          <w:tcPr>
            <w:tcW w:w="1842" w:type="dxa"/>
            <w:tcBorders>
              <w:top w:val="single" w:sz="4" w:space="0" w:color="C00000"/>
              <w:bottom w:val="single" w:sz="4" w:space="0" w:color="C00000"/>
            </w:tcBorders>
            <w:shd w:val="clear" w:color="auto" w:fill="auto"/>
            <w:vAlign w:val="center"/>
          </w:tcPr>
          <w:p w14:paraId="1F8F28AD"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 de septiembre</w:t>
            </w:r>
          </w:p>
        </w:tc>
        <w:tc>
          <w:tcPr>
            <w:tcW w:w="6644" w:type="dxa"/>
            <w:tcBorders>
              <w:top w:val="single" w:sz="4" w:space="0" w:color="C00000"/>
              <w:bottom w:val="single" w:sz="4" w:space="0" w:color="C00000"/>
            </w:tcBorders>
            <w:shd w:val="clear" w:color="auto" w:fill="auto"/>
          </w:tcPr>
          <w:p w14:paraId="52182507" w14:textId="77777777" w:rsidR="00B9275E" w:rsidRPr="00973028" w:rsidRDefault="00B9275E" w:rsidP="00BB3EDF">
            <w:pPr>
              <w:spacing w:after="0" w:line="276" w:lineRule="auto"/>
              <w:jc w:val="both"/>
              <w:rPr>
                <w:rFonts w:ascii="Arial" w:hAnsi="Arial" w:cs="Arial"/>
                <w:sz w:val="18"/>
                <w:szCs w:val="18"/>
              </w:rPr>
            </w:pPr>
            <w:r w:rsidRPr="00973028">
              <w:rPr>
                <w:rFonts w:ascii="Arial" w:eastAsia="Times New Roman" w:hAnsi="Arial" w:cs="Arial"/>
                <w:color w:val="000000"/>
                <w:sz w:val="18"/>
                <w:szCs w:val="18"/>
                <w:lang w:eastAsia="es-ES"/>
              </w:rPr>
              <w:t>Unidad de la Policía Nacional adscrita a la Comunitat Valenciana</w:t>
            </w:r>
          </w:p>
          <w:p w14:paraId="03514F85"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color w:val="000000"/>
                <w:sz w:val="18"/>
                <w:szCs w:val="18"/>
                <w:lang w:eastAsia="es-ES"/>
              </w:rPr>
              <w:t>Virtual</w:t>
            </w:r>
          </w:p>
        </w:tc>
      </w:tr>
      <w:tr w:rsidR="00B9275E" w:rsidRPr="00973028" w14:paraId="7EF15DFC" w14:textId="77777777" w:rsidTr="005D6A9A">
        <w:trPr>
          <w:jc w:val="right"/>
        </w:trPr>
        <w:tc>
          <w:tcPr>
            <w:tcW w:w="1842" w:type="dxa"/>
            <w:tcBorders>
              <w:top w:val="single" w:sz="4" w:space="0" w:color="C00000"/>
              <w:bottom w:val="single" w:sz="4" w:space="0" w:color="C00000"/>
            </w:tcBorders>
            <w:shd w:val="clear" w:color="auto" w:fill="FFFFFF"/>
            <w:vAlign w:val="center"/>
          </w:tcPr>
          <w:p w14:paraId="5F72144D"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14 de septiembre</w:t>
            </w:r>
          </w:p>
        </w:tc>
        <w:tc>
          <w:tcPr>
            <w:tcW w:w="6644" w:type="dxa"/>
            <w:tcBorders>
              <w:top w:val="single" w:sz="4" w:space="0" w:color="C00000"/>
              <w:bottom w:val="single" w:sz="4" w:space="0" w:color="C00000"/>
            </w:tcBorders>
            <w:shd w:val="clear" w:color="auto" w:fill="FFFFFF"/>
          </w:tcPr>
          <w:p w14:paraId="3681B23A"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Viceconsejería de Transparencia y Calidad de los Servicios de la Junta de Castilla-León</w:t>
            </w:r>
          </w:p>
          <w:p w14:paraId="289F3643"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color w:val="000000"/>
                <w:sz w:val="18"/>
                <w:szCs w:val="18"/>
                <w:lang w:eastAsia="es-ES"/>
              </w:rPr>
              <w:t>Virtual</w:t>
            </w:r>
          </w:p>
        </w:tc>
      </w:tr>
      <w:tr w:rsidR="00B9275E" w:rsidRPr="00973028" w14:paraId="08702AEC" w14:textId="77777777" w:rsidTr="005D6A9A">
        <w:trPr>
          <w:jc w:val="right"/>
        </w:trPr>
        <w:tc>
          <w:tcPr>
            <w:tcW w:w="1842" w:type="dxa"/>
            <w:tcBorders>
              <w:top w:val="single" w:sz="4" w:space="0" w:color="C00000"/>
              <w:bottom w:val="single" w:sz="4" w:space="0" w:color="C00000"/>
            </w:tcBorders>
            <w:shd w:val="clear" w:color="auto" w:fill="FFFFFF"/>
            <w:vAlign w:val="center"/>
          </w:tcPr>
          <w:p w14:paraId="0CAF8EDA"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16 de septiembre</w:t>
            </w:r>
          </w:p>
        </w:tc>
        <w:tc>
          <w:tcPr>
            <w:tcW w:w="6644" w:type="dxa"/>
            <w:tcBorders>
              <w:top w:val="single" w:sz="4" w:space="0" w:color="C00000"/>
              <w:bottom w:val="single" w:sz="4" w:space="0" w:color="C00000"/>
            </w:tcBorders>
            <w:shd w:val="clear" w:color="auto" w:fill="FFFFFF"/>
          </w:tcPr>
          <w:p w14:paraId="4607EFE0" w14:textId="77777777" w:rsidR="00B9275E" w:rsidRPr="00973028" w:rsidRDefault="00B9275E" w:rsidP="00BB3EDF">
            <w:pPr>
              <w:spacing w:after="0" w:line="276" w:lineRule="auto"/>
              <w:jc w:val="both"/>
              <w:rPr>
                <w:rFonts w:ascii="Arial" w:hAnsi="Arial" w:cs="Arial"/>
                <w:sz w:val="18"/>
                <w:szCs w:val="18"/>
              </w:rPr>
            </w:pPr>
            <w:r w:rsidRPr="00973028">
              <w:rPr>
                <w:rFonts w:ascii="Arial" w:eastAsia="Times New Roman" w:hAnsi="Arial" w:cs="Arial"/>
                <w:color w:val="000000"/>
                <w:sz w:val="18"/>
                <w:szCs w:val="18"/>
                <w:lang w:eastAsia="es-ES"/>
              </w:rPr>
              <w:t>Fundación ciudadana Civio</w:t>
            </w:r>
          </w:p>
          <w:p w14:paraId="398A446F"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color w:val="000000"/>
                <w:sz w:val="18"/>
                <w:szCs w:val="18"/>
                <w:lang w:eastAsia="es-ES"/>
              </w:rPr>
              <w:t>Virtual</w:t>
            </w:r>
          </w:p>
        </w:tc>
      </w:tr>
      <w:tr w:rsidR="00B9275E" w:rsidRPr="00973028" w14:paraId="6191A328" w14:textId="77777777" w:rsidTr="005D6A9A">
        <w:trPr>
          <w:jc w:val="right"/>
        </w:trPr>
        <w:tc>
          <w:tcPr>
            <w:tcW w:w="1842" w:type="dxa"/>
            <w:tcBorders>
              <w:top w:val="single" w:sz="4" w:space="0" w:color="C00000"/>
              <w:bottom w:val="single" w:sz="4" w:space="0" w:color="C00000"/>
            </w:tcBorders>
            <w:shd w:val="clear" w:color="auto" w:fill="FFFFFF"/>
            <w:vAlign w:val="center"/>
          </w:tcPr>
          <w:p w14:paraId="522B55FB"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23 de septiembre</w:t>
            </w:r>
          </w:p>
        </w:tc>
        <w:tc>
          <w:tcPr>
            <w:tcW w:w="6644" w:type="dxa"/>
            <w:tcBorders>
              <w:top w:val="single" w:sz="4" w:space="0" w:color="C00000"/>
              <w:bottom w:val="single" w:sz="4" w:space="0" w:color="C00000"/>
            </w:tcBorders>
            <w:shd w:val="clear" w:color="auto" w:fill="FFFFFF"/>
          </w:tcPr>
          <w:p w14:paraId="638E6B81"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Consellera de Participación, Transparencia, Cooperación y Calidad Democrática</w:t>
            </w:r>
          </w:p>
          <w:p w14:paraId="69BF0E39"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color w:val="000000"/>
                <w:sz w:val="18"/>
                <w:szCs w:val="18"/>
                <w:lang w:eastAsia="es-ES"/>
              </w:rPr>
              <w:t>València</w:t>
            </w:r>
          </w:p>
        </w:tc>
      </w:tr>
      <w:tr w:rsidR="00B9275E" w:rsidRPr="00973028" w14:paraId="106FA925" w14:textId="77777777" w:rsidTr="005D6A9A">
        <w:trPr>
          <w:trHeight w:val="495"/>
          <w:jc w:val="right"/>
        </w:trPr>
        <w:tc>
          <w:tcPr>
            <w:tcW w:w="1842" w:type="dxa"/>
            <w:tcBorders>
              <w:top w:val="single" w:sz="4" w:space="0" w:color="C00000"/>
              <w:bottom w:val="single" w:sz="4" w:space="0" w:color="C00000"/>
            </w:tcBorders>
            <w:shd w:val="clear" w:color="auto" w:fill="FFFFFF"/>
            <w:vAlign w:val="center"/>
          </w:tcPr>
          <w:p w14:paraId="2B2D1870"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28 de septiembre</w:t>
            </w:r>
          </w:p>
        </w:tc>
        <w:tc>
          <w:tcPr>
            <w:tcW w:w="6644" w:type="dxa"/>
            <w:tcBorders>
              <w:top w:val="single" w:sz="4" w:space="0" w:color="C00000"/>
              <w:bottom w:val="single" w:sz="4" w:space="0" w:color="C00000"/>
            </w:tcBorders>
            <w:shd w:val="clear" w:color="auto" w:fill="FFFFFF"/>
          </w:tcPr>
          <w:p w14:paraId="7C0F5188"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Inspección de Trabajo y Seguridad Social</w:t>
            </w:r>
          </w:p>
          <w:p w14:paraId="72B7CE3B" w14:textId="77777777" w:rsidR="00B9275E" w:rsidRPr="00973028" w:rsidRDefault="00B9275E" w:rsidP="00BB3EDF">
            <w:pPr>
              <w:spacing w:after="0" w:line="276" w:lineRule="auto"/>
              <w:jc w:val="both"/>
              <w:rPr>
                <w:rFonts w:ascii="Arial" w:eastAsia="Times New Roman" w:hAnsi="Arial" w:cs="Arial"/>
                <w:i/>
                <w:color w:val="000000"/>
                <w:sz w:val="18"/>
                <w:szCs w:val="18"/>
                <w:lang w:eastAsia="es-ES"/>
              </w:rPr>
            </w:pPr>
            <w:r w:rsidRPr="00973028">
              <w:rPr>
                <w:rFonts w:ascii="Arial" w:eastAsia="Times New Roman" w:hAnsi="Arial" w:cs="Arial"/>
                <w:i/>
                <w:color w:val="000000"/>
                <w:sz w:val="18"/>
                <w:szCs w:val="18"/>
                <w:lang w:eastAsia="es-ES"/>
              </w:rPr>
              <w:t>València</w:t>
            </w:r>
          </w:p>
        </w:tc>
      </w:tr>
      <w:tr w:rsidR="00B9275E" w:rsidRPr="00973028" w14:paraId="3DD77BD6" w14:textId="77777777" w:rsidTr="005D6A9A">
        <w:trPr>
          <w:jc w:val="right"/>
        </w:trPr>
        <w:tc>
          <w:tcPr>
            <w:tcW w:w="1842" w:type="dxa"/>
            <w:tcBorders>
              <w:top w:val="single" w:sz="4" w:space="0" w:color="C00000"/>
              <w:bottom w:val="single" w:sz="4" w:space="0" w:color="C00000"/>
            </w:tcBorders>
            <w:shd w:val="clear" w:color="auto" w:fill="FFFFFF"/>
            <w:vAlign w:val="center"/>
          </w:tcPr>
          <w:p w14:paraId="26B89FB9"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30 de septiembre</w:t>
            </w:r>
          </w:p>
        </w:tc>
        <w:tc>
          <w:tcPr>
            <w:tcW w:w="6644" w:type="dxa"/>
            <w:tcBorders>
              <w:top w:val="single" w:sz="4" w:space="0" w:color="C00000"/>
              <w:bottom w:val="single" w:sz="4" w:space="0" w:color="C00000"/>
            </w:tcBorders>
            <w:shd w:val="clear" w:color="auto" w:fill="FFFFFF"/>
          </w:tcPr>
          <w:p w14:paraId="13D4474A"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Concejala de Transparencia y Gobierno Abierto del Ayuntamiento de València</w:t>
            </w:r>
          </w:p>
          <w:p w14:paraId="51BF9582" w14:textId="77777777" w:rsidR="00B9275E" w:rsidRPr="00973028" w:rsidRDefault="00B9275E" w:rsidP="00BB3EDF">
            <w:pPr>
              <w:spacing w:after="0" w:line="276" w:lineRule="auto"/>
              <w:jc w:val="both"/>
              <w:rPr>
                <w:rFonts w:ascii="Arial" w:eastAsia="Times New Roman" w:hAnsi="Arial" w:cs="Arial"/>
                <w:i/>
                <w:color w:val="000000"/>
                <w:sz w:val="18"/>
                <w:szCs w:val="18"/>
                <w:lang w:eastAsia="es-ES"/>
              </w:rPr>
            </w:pPr>
            <w:r w:rsidRPr="00973028">
              <w:rPr>
                <w:rFonts w:ascii="Arial" w:eastAsia="Times New Roman" w:hAnsi="Arial" w:cs="Arial"/>
                <w:i/>
                <w:sz w:val="18"/>
                <w:szCs w:val="18"/>
                <w:lang w:eastAsia="es-ES"/>
              </w:rPr>
              <w:t>València</w:t>
            </w:r>
          </w:p>
        </w:tc>
      </w:tr>
      <w:tr w:rsidR="00B9275E" w:rsidRPr="00973028" w14:paraId="2EBD50FE" w14:textId="77777777" w:rsidTr="005D6A9A">
        <w:trPr>
          <w:jc w:val="right"/>
        </w:trPr>
        <w:tc>
          <w:tcPr>
            <w:tcW w:w="1842" w:type="dxa"/>
            <w:tcBorders>
              <w:top w:val="single" w:sz="4" w:space="0" w:color="C00000"/>
              <w:bottom w:val="single" w:sz="4" w:space="0" w:color="C00000"/>
            </w:tcBorders>
            <w:shd w:val="clear" w:color="auto" w:fill="FFFFFF"/>
            <w:vAlign w:val="center"/>
          </w:tcPr>
          <w:p w14:paraId="0EB691E5"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30 de septiembre</w:t>
            </w:r>
          </w:p>
        </w:tc>
        <w:tc>
          <w:tcPr>
            <w:tcW w:w="6644" w:type="dxa"/>
            <w:tcBorders>
              <w:top w:val="single" w:sz="4" w:space="0" w:color="C00000"/>
              <w:bottom w:val="single" w:sz="4" w:space="0" w:color="C00000"/>
            </w:tcBorders>
            <w:shd w:val="clear" w:color="auto" w:fill="FFFFFF"/>
          </w:tcPr>
          <w:p w14:paraId="0D07A6CE"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Secretario Autonómica de Transparencia y Participación y director de la Oficina de Conflicto de Interés, Consellería de Participación, Transparencia, Cooperación y Calidad Democrática</w:t>
            </w:r>
          </w:p>
          <w:p w14:paraId="7996F18B" w14:textId="77777777" w:rsidR="00B9275E" w:rsidRPr="00973028" w:rsidRDefault="00B9275E" w:rsidP="00BB3EDF">
            <w:pPr>
              <w:spacing w:after="0" w:line="276" w:lineRule="auto"/>
              <w:jc w:val="both"/>
              <w:rPr>
                <w:rFonts w:ascii="Arial" w:eastAsia="Times New Roman" w:hAnsi="Arial" w:cs="Arial"/>
                <w:i/>
                <w:color w:val="000000"/>
                <w:sz w:val="18"/>
                <w:szCs w:val="18"/>
                <w:lang w:eastAsia="es-ES"/>
              </w:rPr>
            </w:pPr>
            <w:r w:rsidRPr="00973028">
              <w:rPr>
                <w:rFonts w:ascii="Arial" w:eastAsia="Times New Roman" w:hAnsi="Arial" w:cs="Arial"/>
                <w:i/>
                <w:color w:val="000000"/>
                <w:sz w:val="18"/>
                <w:szCs w:val="18"/>
                <w:lang w:eastAsia="es-ES"/>
              </w:rPr>
              <w:t>València</w:t>
            </w:r>
          </w:p>
        </w:tc>
      </w:tr>
      <w:tr w:rsidR="00B9275E" w:rsidRPr="00973028" w14:paraId="0D047B8D" w14:textId="77777777" w:rsidTr="005D6A9A">
        <w:trPr>
          <w:jc w:val="right"/>
        </w:trPr>
        <w:tc>
          <w:tcPr>
            <w:tcW w:w="1842" w:type="dxa"/>
            <w:tcBorders>
              <w:top w:val="single" w:sz="4" w:space="0" w:color="C00000"/>
              <w:bottom w:val="single" w:sz="4" w:space="0" w:color="C00000"/>
            </w:tcBorders>
            <w:shd w:val="clear" w:color="auto" w:fill="FFFFFF"/>
            <w:vAlign w:val="center"/>
          </w:tcPr>
          <w:p w14:paraId="2FD8DE8A"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 de octubre</w:t>
            </w:r>
          </w:p>
        </w:tc>
        <w:tc>
          <w:tcPr>
            <w:tcW w:w="6644" w:type="dxa"/>
            <w:tcBorders>
              <w:top w:val="single" w:sz="4" w:space="0" w:color="C00000"/>
              <w:bottom w:val="single" w:sz="4" w:space="0" w:color="C00000"/>
            </w:tcBorders>
            <w:shd w:val="clear" w:color="auto" w:fill="FFFFFF"/>
          </w:tcPr>
          <w:p w14:paraId="2DDE2BCD" w14:textId="77777777" w:rsidR="00B9275E" w:rsidRPr="00973028" w:rsidRDefault="00B9275E" w:rsidP="00BB3EDF">
            <w:pPr>
              <w:spacing w:after="0" w:line="276" w:lineRule="auto"/>
              <w:jc w:val="both"/>
              <w:rPr>
                <w:rFonts w:ascii="Arial" w:hAnsi="Arial" w:cs="Arial"/>
                <w:sz w:val="18"/>
                <w:szCs w:val="18"/>
              </w:rPr>
            </w:pPr>
            <w:r w:rsidRPr="00973028">
              <w:rPr>
                <w:rFonts w:ascii="Arial" w:eastAsia="Times New Roman" w:hAnsi="Arial" w:cs="Arial"/>
                <w:color w:val="000000"/>
                <w:sz w:val="18"/>
                <w:szCs w:val="18"/>
                <w:lang w:eastAsia="es-ES"/>
              </w:rPr>
              <w:t>Fundación ciudadana Civio</w:t>
            </w:r>
          </w:p>
          <w:p w14:paraId="3F431EE1"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color w:val="000000"/>
                <w:sz w:val="18"/>
                <w:szCs w:val="18"/>
                <w:lang w:eastAsia="es-ES"/>
              </w:rPr>
              <w:t>Virtual</w:t>
            </w:r>
          </w:p>
        </w:tc>
      </w:tr>
      <w:tr w:rsidR="00B9275E" w:rsidRPr="00973028" w14:paraId="08E31EF3" w14:textId="77777777" w:rsidTr="005D6A9A">
        <w:trPr>
          <w:jc w:val="right"/>
        </w:trPr>
        <w:tc>
          <w:tcPr>
            <w:tcW w:w="1842" w:type="dxa"/>
            <w:tcBorders>
              <w:top w:val="single" w:sz="4" w:space="0" w:color="C00000"/>
              <w:bottom w:val="single" w:sz="4" w:space="0" w:color="C00000"/>
            </w:tcBorders>
            <w:shd w:val="clear" w:color="auto" w:fill="FFFFFF"/>
            <w:vAlign w:val="center"/>
          </w:tcPr>
          <w:p w14:paraId="00049396"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19 de octubre</w:t>
            </w:r>
          </w:p>
        </w:tc>
        <w:tc>
          <w:tcPr>
            <w:tcW w:w="6644" w:type="dxa"/>
            <w:tcBorders>
              <w:top w:val="single" w:sz="4" w:space="0" w:color="C00000"/>
              <w:bottom w:val="single" w:sz="4" w:space="0" w:color="C00000"/>
            </w:tcBorders>
            <w:shd w:val="clear" w:color="auto" w:fill="FFFFFF"/>
          </w:tcPr>
          <w:p w14:paraId="4A9EA048"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Consellera de Participación, Transparencia, Cooperación y Calidad Democrática</w:t>
            </w:r>
          </w:p>
          <w:p w14:paraId="4277CC3D"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color w:val="000000"/>
                <w:sz w:val="18"/>
                <w:szCs w:val="18"/>
                <w:lang w:eastAsia="es-ES"/>
              </w:rPr>
              <w:t>València</w:t>
            </w:r>
          </w:p>
        </w:tc>
      </w:tr>
      <w:tr w:rsidR="00B9275E" w:rsidRPr="00973028" w14:paraId="36AA0F0D" w14:textId="77777777" w:rsidTr="005D6A9A">
        <w:trPr>
          <w:jc w:val="right"/>
        </w:trPr>
        <w:tc>
          <w:tcPr>
            <w:tcW w:w="1842" w:type="dxa"/>
            <w:tcBorders>
              <w:top w:val="single" w:sz="4" w:space="0" w:color="C00000"/>
              <w:bottom w:val="single" w:sz="4" w:space="0" w:color="C00000"/>
            </w:tcBorders>
            <w:shd w:val="clear" w:color="auto" w:fill="auto"/>
            <w:vAlign w:val="center"/>
          </w:tcPr>
          <w:p w14:paraId="0C26FB24"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26 de octubre</w:t>
            </w:r>
          </w:p>
        </w:tc>
        <w:tc>
          <w:tcPr>
            <w:tcW w:w="6644" w:type="dxa"/>
            <w:tcBorders>
              <w:top w:val="single" w:sz="4" w:space="0" w:color="C00000"/>
              <w:bottom w:val="single" w:sz="4" w:space="0" w:color="C00000"/>
            </w:tcBorders>
            <w:shd w:val="clear" w:color="auto" w:fill="auto"/>
          </w:tcPr>
          <w:p w14:paraId="4E7D43A8"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Concejal Protección Ciudadana del Ayuntamiento de València</w:t>
            </w:r>
          </w:p>
          <w:p w14:paraId="36996AFC" w14:textId="77777777" w:rsidR="00B9275E" w:rsidRPr="00973028" w:rsidRDefault="00B9275E" w:rsidP="00BB3EDF">
            <w:pPr>
              <w:spacing w:after="0" w:line="276" w:lineRule="auto"/>
              <w:jc w:val="both"/>
              <w:rPr>
                <w:rFonts w:ascii="Arial" w:eastAsia="Times New Roman" w:hAnsi="Arial" w:cs="Arial"/>
                <w:i/>
                <w:color w:val="000000"/>
                <w:sz w:val="18"/>
                <w:szCs w:val="18"/>
                <w:lang w:eastAsia="es-ES"/>
              </w:rPr>
            </w:pPr>
            <w:r w:rsidRPr="00973028">
              <w:rPr>
                <w:rFonts w:ascii="Arial" w:eastAsia="Times New Roman" w:hAnsi="Arial" w:cs="Arial"/>
                <w:i/>
                <w:sz w:val="18"/>
                <w:szCs w:val="18"/>
                <w:lang w:eastAsia="es-ES"/>
              </w:rPr>
              <w:t>València</w:t>
            </w:r>
          </w:p>
        </w:tc>
      </w:tr>
      <w:tr w:rsidR="00B9275E" w:rsidRPr="00973028" w14:paraId="74C15D14" w14:textId="77777777" w:rsidTr="005D6A9A">
        <w:trPr>
          <w:jc w:val="right"/>
        </w:trPr>
        <w:tc>
          <w:tcPr>
            <w:tcW w:w="1842" w:type="dxa"/>
            <w:tcBorders>
              <w:top w:val="single" w:sz="4" w:space="0" w:color="C00000"/>
              <w:bottom w:val="single" w:sz="4" w:space="0" w:color="C00000"/>
            </w:tcBorders>
            <w:shd w:val="clear" w:color="auto" w:fill="FFFFFF"/>
            <w:vAlign w:val="center"/>
          </w:tcPr>
          <w:p w14:paraId="351046D5"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3 de noviembre</w:t>
            </w:r>
          </w:p>
        </w:tc>
        <w:tc>
          <w:tcPr>
            <w:tcW w:w="6644" w:type="dxa"/>
            <w:tcBorders>
              <w:top w:val="single" w:sz="4" w:space="0" w:color="C00000"/>
              <w:bottom w:val="single" w:sz="4" w:space="0" w:color="C00000"/>
            </w:tcBorders>
            <w:shd w:val="clear" w:color="auto" w:fill="FFFFFF"/>
          </w:tcPr>
          <w:p w14:paraId="4C7A1C70"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Red de Oficinas y Agencias Antifraude del Estado Español</w:t>
            </w:r>
          </w:p>
          <w:p w14:paraId="03A1E456" w14:textId="77777777" w:rsidR="00B9275E" w:rsidRPr="00973028" w:rsidRDefault="00B9275E" w:rsidP="00BB3EDF">
            <w:pPr>
              <w:spacing w:after="0" w:line="276" w:lineRule="auto"/>
              <w:jc w:val="both"/>
              <w:rPr>
                <w:rFonts w:ascii="Arial" w:eastAsia="Times New Roman" w:hAnsi="Arial" w:cs="Arial"/>
                <w:i/>
                <w:color w:val="000000"/>
                <w:sz w:val="18"/>
                <w:szCs w:val="18"/>
                <w:lang w:eastAsia="es-ES"/>
              </w:rPr>
            </w:pPr>
            <w:r w:rsidRPr="00973028">
              <w:rPr>
                <w:rFonts w:ascii="Arial" w:eastAsia="Times New Roman" w:hAnsi="Arial" w:cs="Arial"/>
                <w:i/>
                <w:color w:val="000000"/>
                <w:sz w:val="18"/>
                <w:szCs w:val="18"/>
                <w:lang w:eastAsia="es-ES"/>
              </w:rPr>
              <w:t>Virtual</w:t>
            </w:r>
          </w:p>
        </w:tc>
      </w:tr>
      <w:tr w:rsidR="00B9275E" w:rsidRPr="00973028" w14:paraId="00D359C3" w14:textId="77777777" w:rsidTr="005D6A9A">
        <w:trPr>
          <w:jc w:val="right"/>
        </w:trPr>
        <w:tc>
          <w:tcPr>
            <w:tcW w:w="1842" w:type="dxa"/>
            <w:tcBorders>
              <w:top w:val="single" w:sz="4" w:space="0" w:color="C00000"/>
              <w:bottom w:val="single" w:sz="4" w:space="0" w:color="C00000"/>
            </w:tcBorders>
            <w:shd w:val="clear" w:color="auto" w:fill="FFFFFF"/>
            <w:vAlign w:val="center"/>
          </w:tcPr>
          <w:p w14:paraId="391CBE0E"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4 de noviembre</w:t>
            </w:r>
          </w:p>
        </w:tc>
        <w:tc>
          <w:tcPr>
            <w:tcW w:w="6644" w:type="dxa"/>
            <w:tcBorders>
              <w:top w:val="single" w:sz="4" w:space="0" w:color="C00000"/>
              <w:bottom w:val="single" w:sz="4" w:space="0" w:color="C00000"/>
            </w:tcBorders>
            <w:shd w:val="clear" w:color="auto" w:fill="FFFFFF"/>
          </w:tcPr>
          <w:p w14:paraId="1EB3E73F"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Subsecretaría del Ministerio de Justicia y la Red de Oficinas y Agencias Antifraude del Estado Español</w:t>
            </w:r>
          </w:p>
          <w:p w14:paraId="76BB0C4A" w14:textId="77777777" w:rsidR="00B9275E" w:rsidRPr="00973028" w:rsidRDefault="00B9275E" w:rsidP="00BB3EDF">
            <w:pPr>
              <w:spacing w:after="0" w:line="276" w:lineRule="auto"/>
              <w:jc w:val="both"/>
              <w:rPr>
                <w:rFonts w:ascii="Arial" w:eastAsia="Times New Roman" w:hAnsi="Arial" w:cs="Arial"/>
                <w:i/>
                <w:color w:val="000000"/>
                <w:sz w:val="18"/>
                <w:szCs w:val="18"/>
                <w:lang w:eastAsia="es-ES"/>
              </w:rPr>
            </w:pPr>
            <w:r w:rsidRPr="00973028">
              <w:rPr>
                <w:rFonts w:ascii="Arial" w:eastAsia="Times New Roman" w:hAnsi="Arial" w:cs="Arial"/>
                <w:i/>
                <w:color w:val="000000"/>
                <w:sz w:val="18"/>
                <w:szCs w:val="18"/>
                <w:lang w:eastAsia="es-ES"/>
              </w:rPr>
              <w:t>Virtual</w:t>
            </w:r>
          </w:p>
        </w:tc>
      </w:tr>
      <w:tr w:rsidR="00B9275E" w:rsidRPr="00973028" w14:paraId="22AADF5B" w14:textId="77777777" w:rsidTr="005D6A9A">
        <w:trPr>
          <w:jc w:val="right"/>
        </w:trPr>
        <w:tc>
          <w:tcPr>
            <w:tcW w:w="1842" w:type="dxa"/>
            <w:tcBorders>
              <w:top w:val="single" w:sz="4" w:space="0" w:color="C00000"/>
              <w:bottom w:val="single" w:sz="4" w:space="0" w:color="C00000"/>
            </w:tcBorders>
            <w:shd w:val="clear" w:color="auto" w:fill="FFFFFF"/>
            <w:vAlign w:val="center"/>
          </w:tcPr>
          <w:p w14:paraId="47275073"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25 de noviembre</w:t>
            </w:r>
          </w:p>
        </w:tc>
        <w:tc>
          <w:tcPr>
            <w:tcW w:w="6644" w:type="dxa"/>
            <w:tcBorders>
              <w:top w:val="single" w:sz="4" w:space="0" w:color="C00000"/>
              <w:bottom w:val="single" w:sz="4" w:space="0" w:color="C00000"/>
            </w:tcBorders>
            <w:shd w:val="clear" w:color="auto" w:fill="FFFFFF"/>
          </w:tcPr>
          <w:p w14:paraId="4A4637FA" w14:textId="77777777" w:rsidR="00B9275E" w:rsidRPr="00973028" w:rsidRDefault="00B9275E" w:rsidP="00BB3EDF">
            <w:pPr>
              <w:spacing w:after="0" w:line="276" w:lineRule="auto"/>
              <w:jc w:val="both"/>
              <w:rPr>
                <w:rFonts w:ascii="Arial" w:hAnsi="Arial" w:cs="Arial"/>
                <w:sz w:val="18"/>
                <w:szCs w:val="18"/>
              </w:rPr>
            </w:pPr>
            <w:r w:rsidRPr="00973028">
              <w:rPr>
                <w:rFonts w:ascii="Arial" w:eastAsia="Times New Roman" w:hAnsi="Arial" w:cs="Arial"/>
                <w:color w:val="000000"/>
                <w:sz w:val="18"/>
                <w:szCs w:val="18"/>
                <w:lang w:eastAsia="es-ES"/>
              </w:rPr>
              <w:t xml:space="preserve">Cátedra de Transparencia y Gestión de Datos, Universitat Politècnica de València </w:t>
            </w:r>
          </w:p>
          <w:p w14:paraId="02DE3BDB" w14:textId="77777777" w:rsidR="00B9275E" w:rsidRPr="00973028" w:rsidRDefault="00B9275E" w:rsidP="00BB3EDF">
            <w:pPr>
              <w:spacing w:after="0" w:line="276" w:lineRule="auto"/>
              <w:jc w:val="both"/>
              <w:rPr>
                <w:rFonts w:ascii="Arial" w:eastAsia="Times New Roman" w:hAnsi="Arial" w:cs="Arial"/>
                <w:i/>
                <w:color w:val="000000"/>
                <w:sz w:val="18"/>
                <w:szCs w:val="18"/>
                <w:lang w:eastAsia="es-ES"/>
              </w:rPr>
            </w:pPr>
            <w:r w:rsidRPr="00973028">
              <w:rPr>
                <w:rFonts w:ascii="Arial" w:eastAsia="Times New Roman" w:hAnsi="Arial" w:cs="Arial"/>
                <w:i/>
                <w:color w:val="000000"/>
                <w:sz w:val="18"/>
                <w:szCs w:val="18"/>
                <w:lang w:eastAsia="es-ES"/>
              </w:rPr>
              <w:t>Virtual</w:t>
            </w:r>
          </w:p>
        </w:tc>
      </w:tr>
      <w:tr w:rsidR="00B9275E" w:rsidRPr="00973028" w14:paraId="2CBDF3A3" w14:textId="77777777" w:rsidTr="005D6A9A">
        <w:trPr>
          <w:jc w:val="right"/>
        </w:trPr>
        <w:tc>
          <w:tcPr>
            <w:tcW w:w="1842" w:type="dxa"/>
            <w:tcBorders>
              <w:top w:val="single" w:sz="4" w:space="0" w:color="C00000"/>
              <w:bottom w:val="single" w:sz="4" w:space="0" w:color="C00000"/>
            </w:tcBorders>
            <w:shd w:val="clear" w:color="auto" w:fill="FFFFFF"/>
            <w:vAlign w:val="center"/>
          </w:tcPr>
          <w:p w14:paraId="104772A4"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30 de noviembre</w:t>
            </w:r>
          </w:p>
        </w:tc>
        <w:tc>
          <w:tcPr>
            <w:tcW w:w="6644" w:type="dxa"/>
            <w:tcBorders>
              <w:top w:val="single" w:sz="4" w:space="0" w:color="C00000"/>
              <w:bottom w:val="single" w:sz="4" w:space="0" w:color="C00000"/>
            </w:tcBorders>
            <w:shd w:val="clear" w:color="auto" w:fill="FFFFFF"/>
          </w:tcPr>
          <w:p w14:paraId="2005BA1F"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Divalterra</w:t>
            </w:r>
          </w:p>
          <w:p w14:paraId="16C2081D" w14:textId="77777777" w:rsidR="00B9275E" w:rsidRPr="00973028" w:rsidRDefault="00B9275E" w:rsidP="00BB3EDF">
            <w:pPr>
              <w:spacing w:after="0" w:line="276" w:lineRule="auto"/>
              <w:jc w:val="both"/>
              <w:rPr>
                <w:rFonts w:ascii="Arial" w:eastAsia="Times New Roman" w:hAnsi="Arial" w:cs="Arial"/>
                <w:i/>
                <w:color w:val="000000"/>
                <w:sz w:val="18"/>
                <w:szCs w:val="18"/>
                <w:lang w:eastAsia="es-ES"/>
              </w:rPr>
            </w:pPr>
            <w:r w:rsidRPr="00973028">
              <w:rPr>
                <w:rFonts w:ascii="Arial" w:eastAsia="Times New Roman" w:hAnsi="Arial" w:cs="Arial"/>
                <w:i/>
                <w:color w:val="000000"/>
                <w:sz w:val="18"/>
                <w:szCs w:val="18"/>
                <w:lang w:eastAsia="es-ES"/>
              </w:rPr>
              <w:t>Virtual</w:t>
            </w:r>
          </w:p>
        </w:tc>
      </w:tr>
      <w:tr w:rsidR="00B9275E" w:rsidRPr="00973028" w14:paraId="3D51854D" w14:textId="77777777" w:rsidTr="005D6A9A">
        <w:trPr>
          <w:jc w:val="right"/>
        </w:trPr>
        <w:tc>
          <w:tcPr>
            <w:tcW w:w="1842" w:type="dxa"/>
            <w:tcBorders>
              <w:top w:val="single" w:sz="4" w:space="0" w:color="C00000"/>
              <w:bottom w:val="single" w:sz="4" w:space="0" w:color="C00000"/>
            </w:tcBorders>
            <w:shd w:val="clear" w:color="auto" w:fill="FFFFFF"/>
            <w:vAlign w:val="center"/>
          </w:tcPr>
          <w:p w14:paraId="0E388969"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9 de diciembre</w:t>
            </w:r>
          </w:p>
        </w:tc>
        <w:tc>
          <w:tcPr>
            <w:tcW w:w="6644" w:type="dxa"/>
            <w:tcBorders>
              <w:top w:val="single" w:sz="4" w:space="0" w:color="C00000"/>
              <w:bottom w:val="single" w:sz="4" w:space="0" w:color="C00000"/>
            </w:tcBorders>
            <w:shd w:val="clear" w:color="auto" w:fill="FFFFFF"/>
          </w:tcPr>
          <w:p w14:paraId="29FC48C7"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Cámara de Cuentas de Canarias y Consello de Contas de Galicia</w:t>
            </w:r>
          </w:p>
          <w:p w14:paraId="4E80C6A5" w14:textId="77777777" w:rsidR="00B9275E" w:rsidRPr="00973028" w:rsidRDefault="00B9275E" w:rsidP="00BB3EDF">
            <w:pPr>
              <w:spacing w:after="0" w:line="276" w:lineRule="auto"/>
              <w:jc w:val="both"/>
              <w:rPr>
                <w:rFonts w:ascii="Arial" w:eastAsia="Times New Roman" w:hAnsi="Arial" w:cs="Arial"/>
                <w:i/>
                <w:color w:val="000000"/>
                <w:sz w:val="18"/>
                <w:szCs w:val="18"/>
                <w:lang w:eastAsia="es-ES"/>
              </w:rPr>
            </w:pPr>
            <w:r w:rsidRPr="00973028">
              <w:rPr>
                <w:rFonts w:ascii="Arial" w:eastAsia="Times New Roman" w:hAnsi="Arial" w:cs="Arial"/>
                <w:i/>
                <w:color w:val="000000"/>
                <w:sz w:val="18"/>
                <w:szCs w:val="18"/>
                <w:lang w:eastAsia="es-ES"/>
              </w:rPr>
              <w:t>Virtual</w:t>
            </w:r>
          </w:p>
        </w:tc>
      </w:tr>
      <w:tr w:rsidR="00B9275E" w:rsidRPr="00973028" w14:paraId="0F9E4553" w14:textId="77777777" w:rsidTr="005D6A9A">
        <w:trPr>
          <w:jc w:val="right"/>
        </w:trPr>
        <w:tc>
          <w:tcPr>
            <w:tcW w:w="1842" w:type="dxa"/>
            <w:tcBorders>
              <w:top w:val="single" w:sz="4" w:space="0" w:color="C00000"/>
              <w:bottom w:val="single" w:sz="4" w:space="0" w:color="C00000"/>
            </w:tcBorders>
            <w:shd w:val="clear" w:color="auto" w:fill="FFFFFF"/>
            <w:vAlign w:val="center"/>
          </w:tcPr>
          <w:p w14:paraId="7B73C13F" w14:textId="77777777" w:rsidR="00B9275E" w:rsidRPr="00973028" w:rsidRDefault="00B9275E" w:rsidP="00BB3EDF">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18 de diciembre</w:t>
            </w:r>
          </w:p>
        </w:tc>
        <w:tc>
          <w:tcPr>
            <w:tcW w:w="6644" w:type="dxa"/>
            <w:tcBorders>
              <w:top w:val="single" w:sz="4" w:space="0" w:color="C00000"/>
              <w:bottom w:val="single" w:sz="4" w:space="0" w:color="C00000"/>
            </w:tcBorders>
            <w:shd w:val="clear" w:color="auto" w:fill="FFFFFF"/>
          </w:tcPr>
          <w:p w14:paraId="22C98BC5" w14:textId="77777777" w:rsidR="00B9275E" w:rsidRPr="00973028" w:rsidRDefault="00B9275E" w:rsidP="00BB3EDF">
            <w:pPr>
              <w:spacing w:after="0" w:line="276" w:lineRule="auto"/>
              <w:jc w:val="both"/>
              <w:rPr>
                <w:rFonts w:ascii="Arial" w:hAnsi="Arial" w:cs="Arial"/>
                <w:sz w:val="18"/>
                <w:szCs w:val="18"/>
              </w:rPr>
            </w:pPr>
            <w:r w:rsidRPr="00973028">
              <w:rPr>
                <w:rFonts w:ascii="Arial" w:eastAsia="Times New Roman" w:hAnsi="Arial" w:cs="Arial"/>
                <w:color w:val="000000"/>
                <w:sz w:val="18"/>
                <w:szCs w:val="18"/>
                <w:lang w:eastAsia="es-ES"/>
              </w:rPr>
              <w:t>Secretario Autonómico de Seguridad y Emergencias y Comisaria, jefa de la Unidad de la Policía Nacional Adscrita a la Comunitat Valenciana</w:t>
            </w:r>
          </w:p>
          <w:p w14:paraId="2903BE0A" w14:textId="77777777" w:rsidR="00B9275E" w:rsidRPr="00973028" w:rsidRDefault="00B9275E" w:rsidP="00BB3EDF">
            <w:pPr>
              <w:spacing w:after="0" w:line="276" w:lineRule="auto"/>
              <w:jc w:val="both"/>
              <w:rPr>
                <w:rFonts w:ascii="Arial" w:eastAsia="Times New Roman" w:hAnsi="Arial" w:cs="Arial"/>
                <w:i/>
                <w:color w:val="000000"/>
                <w:sz w:val="18"/>
                <w:szCs w:val="18"/>
                <w:lang w:eastAsia="es-ES"/>
              </w:rPr>
            </w:pPr>
            <w:r w:rsidRPr="00973028">
              <w:rPr>
                <w:rFonts w:ascii="Arial" w:eastAsia="Times New Roman" w:hAnsi="Arial" w:cs="Arial"/>
                <w:i/>
                <w:color w:val="000000"/>
                <w:sz w:val="18"/>
                <w:szCs w:val="18"/>
                <w:lang w:eastAsia="es-ES"/>
              </w:rPr>
              <w:lastRenderedPageBreak/>
              <w:t>València</w:t>
            </w:r>
          </w:p>
        </w:tc>
      </w:tr>
    </w:tbl>
    <w:p w14:paraId="3C8D4A33" w14:textId="77777777" w:rsidR="00B9275E" w:rsidRPr="00973028" w:rsidRDefault="00B9275E" w:rsidP="004522FD">
      <w:pPr>
        <w:spacing w:after="240" w:line="276" w:lineRule="auto"/>
        <w:jc w:val="both"/>
        <w:rPr>
          <w:rFonts w:ascii="Arial" w:eastAsia="Times New Roman" w:hAnsi="Arial" w:cs="Arial"/>
          <w:sz w:val="21"/>
          <w:szCs w:val="21"/>
          <w:lang w:eastAsia="es-ES"/>
        </w:rPr>
      </w:pPr>
    </w:p>
    <w:p w14:paraId="136453B5" w14:textId="33EAA881" w:rsidR="00B9275E" w:rsidRPr="00973028" w:rsidRDefault="00B9275E" w:rsidP="00672ABA">
      <w:pPr>
        <w:pStyle w:val="Prrafodelista"/>
        <w:numPr>
          <w:ilvl w:val="1"/>
          <w:numId w:val="25"/>
        </w:numPr>
        <w:spacing w:before="360" w:after="240" w:line="276" w:lineRule="auto"/>
        <w:ind w:left="851" w:hanging="851"/>
        <w:jc w:val="both"/>
        <w:outlineLvl w:val="1"/>
        <w:rPr>
          <w:rFonts w:ascii="Arial" w:eastAsia="Times New Roman" w:hAnsi="Arial" w:cs="Arial"/>
          <w:b/>
          <w:color w:val="9D2235" w:themeColor="accent1"/>
          <w:sz w:val="32"/>
          <w:szCs w:val="32"/>
        </w:rPr>
      </w:pPr>
      <w:bookmarkStart w:id="215" w:name="_Toc62561787"/>
      <w:bookmarkStart w:id="216" w:name="_Toc67646313"/>
      <w:r w:rsidRPr="00973028">
        <w:rPr>
          <w:rFonts w:ascii="Arial" w:eastAsia="Times New Roman" w:hAnsi="Arial" w:cs="Arial"/>
          <w:b/>
          <w:color w:val="9D2235" w:themeColor="accent1"/>
          <w:sz w:val="32"/>
          <w:szCs w:val="32"/>
        </w:rPr>
        <w:t>Página web de la Agencia y redes sociales</w:t>
      </w:r>
      <w:bookmarkEnd w:id="215"/>
      <w:bookmarkEnd w:id="216"/>
    </w:p>
    <w:p w14:paraId="0AEBFDAE" w14:textId="77777777" w:rsidR="00B9275E" w:rsidRPr="00973028" w:rsidRDefault="00B9275E" w:rsidP="00777EC4">
      <w:pPr>
        <w:spacing w:after="240" w:line="276" w:lineRule="auto"/>
        <w:jc w:val="both"/>
        <w:rPr>
          <w:rFonts w:ascii="Arial" w:hAnsi="Arial" w:cs="Arial"/>
          <w:sz w:val="21"/>
          <w:szCs w:val="21"/>
        </w:rPr>
      </w:pPr>
      <w:r w:rsidRPr="00973028">
        <w:rPr>
          <w:rFonts w:ascii="Arial" w:eastAsia="Times New Roman" w:hAnsi="Arial" w:cs="Arial"/>
          <w:sz w:val="21"/>
          <w:szCs w:val="21"/>
          <w:lang w:eastAsia="es-ES"/>
        </w:rPr>
        <w:t xml:space="preserve">La página web es uno de los principales canales de difusión de la actividad que desarrolla la Agencia, así como el espacio en el que se recoge toda la información que está a disposición de la ciudadanía. </w:t>
      </w:r>
    </w:p>
    <w:p w14:paraId="1A6FB529" w14:textId="77777777" w:rsidR="00B9275E" w:rsidRPr="00973028" w:rsidRDefault="00B9275E" w:rsidP="00777EC4">
      <w:pPr>
        <w:spacing w:after="240" w:line="276" w:lineRule="auto"/>
        <w:jc w:val="both"/>
        <w:rPr>
          <w:rFonts w:ascii="Arial" w:hAnsi="Arial" w:cs="Arial"/>
          <w:sz w:val="21"/>
          <w:szCs w:val="21"/>
        </w:rPr>
      </w:pPr>
      <w:r w:rsidRPr="00973028">
        <w:rPr>
          <w:rFonts w:ascii="Arial" w:eastAsia="Times New Roman" w:hAnsi="Arial" w:cs="Arial"/>
          <w:sz w:val="21"/>
          <w:szCs w:val="21"/>
          <w:lang w:eastAsia="es-ES"/>
        </w:rPr>
        <w:t>Este año como novedad se ha incluido una sección en donde se recogen todas las resoluciones de investigación llevadas a cabo por la Agencia y que pueden ser consultadas directamente. Se debe señalar que antes de proceder a su publicación dichas resoluciones se han sometido a un proceso de anonimización de todos aquellos datos considerados de carácter personal.</w:t>
      </w:r>
    </w:p>
    <w:p w14:paraId="4A859B2B" w14:textId="77777777" w:rsidR="00B9275E" w:rsidRPr="00973028" w:rsidRDefault="00B9275E" w:rsidP="00777EC4">
      <w:pPr>
        <w:spacing w:after="240" w:line="276" w:lineRule="auto"/>
        <w:jc w:val="both"/>
        <w:rPr>
          <w:rFonts w:ascii="Arial" w:hAnsi="Arial" w:cs="Arial"/>
          <w:sz w:val="21"/>
          <w:szCs w:val="21"/>
        </w:rPr>
      </w:pPr>
      <w:r w:rsidRPr="00973028">
        <w:rPr>
          <w:rFonts w:ascii="Arial" w:eastAsia="Times New Roman" w:hAnsi="Arial" w:cs="Arial"/>
          <w:sz w:val="21"/>
          <w:szCs w:val="21"/>
          <w:lang w:eastAsia="es-ES"/>
        </w:rPr>
        <w:t xml:space="preserve">Si analizamos las visitas a la página web observamos cómo se ha pasado de las 42.491 visitas registradas durante el año 2019 a las 66.468 visitas del año 2020 lo que supone un incremento del 56,43%. Las páginas más visitadas han sido por un lado la página de inicio o </w:t>
      </w:r>
      <w:r w:rsidRPr="00973028">
        <w:rPr>
          <w:rFonts w:ascii="Arial" w:eastAsia="Times New Roman" w:hAnsi="Arial" w:cs="Arial"/>
          <w:i/>
          <w:iCs/>
          <w:sz w:val="21"/>
          <w:szCs w:val="21"/>
          <w:lang w:eastAsia="es-ES"/>
        </w:rPr>
        <w:t>home</w:t>
      </w:r>
      <w:r w:rsidRPr="00973028">
        <w:rPr>
          <w:rFonts w:ascii="Arial" w:eastAsia="Times New Roman" w:hAnsi="Arial" w:cs="Arial"/>
          <w:sz w:val="21"/>
          <w:szCs w:val="21"/>
          <w:lang w:eastAsia="es-ES"/>
        </w:rPr>
        <w:t xml:space="preserve"> de la Agencia, seguida por las páginas correspondientes al Buzón de Denuncias y del Portal de Transparencia.</w:t>
      </w:r>
    </w:p>
    <w:p w14:paraId="40424284" w14:textId="28F44E74" w:rsidR="00BB3EDF" w:rsidRPr="00973028" w:rsidRDefault="00B9275E" w:rsidP="00777EC4">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Con respecto al número de usuarios en el año 2020 se ha alcanzado la cifra de 11.509 frente a los 7.323 del año 2019 lo que representa un aumento del 57,16%. De esos 11.509 usuarios registrados el 56% corresponden a nuevos usuarios que nunca antes habían visitado la página web de la Agencia.</w:t>
      </w:r>
    </w:p>
    <w:p w14:paraId="07785436" w14:textId="77777777" w:rsidR="00AB573D" w:rsidRPr="00973028" w:rsidRDefault="00CB5309" w:rsidP="00AB573D">
      <w:pPr>
        <w:keepNext/>
        <w:spacing w:before="120" w:after="240" w:line="276" w:lineRule="auto"/>
        <w:jc w:val="center"/>
      </w:pPr>
      <w:r w:rsidRPr="00973028">
        <w:rPr>
          <w:noProof/>
        </w:rPr>
        <w:drawing>
          <wp:inline distT="0" distB="0" distL="0" distR="0" wp14:anchorId="5DB3C504" wp14:editId="1C7C7064">
            <wp:extent cx="5400040" cy="3049180"/>
            <wp:effectExtent l="0" t="0" r="10160" b="1841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7981D979" w14:textId="1F022653" w:rsidR="00BB3EDF" w:rsidRPr="00973028" w:rsidRDefault="00AB573D" w:rsidP="00AB573D">
      <w:pPr>
        <w:pStyle w:val="Descripcin"/>
        <w:jc w:val="center"/>
        <w:rPr>
          <w:rFonts w:ascii="Arial" w:hAnsi="Arial" w:cs="Arial"/>
          <w:smallCaps w:val="0"/>
          <w:sz w:val="16"/>
          <w:szCs w:val="16"/>
        </w:rPr>
      </w:pPr>
      <w:bookmarkStart w:id="217" w:name="_Toc67646416"/>
      <w:r w:rsidRPr="00973028">
        <w:rPr>
          <w:rFonts w:ascii="Arial" w:hAnsi="Arial" w:cs="Arial"/>
          <w:smallCaps w:val="0"/>
          <w:color w:val="9D2235" w:themeColor="accent1"/>
          <w:sz w:val="16"/>
          <w:szCs w:val="16"/>
        </w:rPr>
        <w:t xml:space="preserve">Gráfico </w:t>
      </w:r>
      <w:r w:rsidRPr="00973028">
        <w:rPr>
          <w:rFonts w:ascii="Arial" w:hAnsi="Arial" w:cs="Arial"/>
          <w:smallCaps w:val="0"/>
          <w:color w:val="9D2235" w:themeColor="accent1"/>
          <w:sz w:val="16"/>
          <w:szCs w:val="16"/>
        </w:rPr>
        <w:fldChar w:fldCharType="begin"/>
      </w:r>
      <w:r w:rsidRPr="00973028">
        <w:rPr>
          <w:rFonts w:ascii="Arial" w:hAnsi="Arial" w:cs="Arial"/>
          <w:smallCaps w:val="0"/>
          <w:color w:val="9D2235" w:themeColor="accent1"/>
          <w:sz w:val="16"/>
          <w:szCs w:val="16"/>
        </w:rPr>
        <w:instrText xml:space="preserve"> SEQ Gráfico \* ARABIC </w:instrText>
      </w:r>
      <w:r w:rsidRPr="00973028">
        <w:rPr>
          <w:rFonts w:ascii="Arial" w:hAnsi="Arial" w:cs="Arial"/>
          <w:smallCaps w:val="0"/>
          <w:color w:val="9D2235" w:themeColor="accent1"/>
          <w:sz w:val="16"/>
          <w:szCs w:val="16"/>
        </w:rPr>
        <w:fldChar w:fldCharType="separate"/>
      </w:r>
      <w:r w:rsidR="00000D1F">
        <w:rPr>
          <w:rFonts w:ascii="Arial" w:hAnsi="Arial" w:cs="Arial"/>
          <w:smallCaps w:val="0"/>
          <w:noProof/>
          <w:color w:val="9D2235" w:themeColor="accent1"/>
          <w:sz w:val="16"/>
          <w:szCs w:val="16"/>
        </w:rPr>
        <w:t>20</w:t>
      </w:r>
      <w:r w:rsidRPr="00973028">
        <w:rPr>
          <w:rFonts w:ascii="Arial" w:hAnsi="Arial" w:cs="Arial"/>
          <w:smallCaps w:val="0"/>
          <w:color w:val="9D2235" w:themeColor="accent1"/>
          <w:sz w:val="16"/>
          <w:szCs w:val="16"/>
        </w:rPr>
        <w:fldChar w:fldCharType="end"/>
      </w:r>
      <w:r w:rsidR="00364B3C">
        <w:rPr>
          <w:rFonts w:ascii="Arial" w:hAnsi="Arial" w:cs="Arial"/>
          <w:smallCaps w:val="0"/>
          <w:color w:val="9D2235" w:themeColor="accent1"/>
          <w:sz w:val="16"/>
          <w:szCs w:val="16"/>
        </w:rPr>
        <w:t>.</w:t>
      </w:r>
      <w:r w:rsidRPr="00973028">
        <w:rPr>
          <w:rFonts w:ascii="Arial" w:hAnsi="Arial" w:cs="Arial"/>
          <w:smallCaps w:val="0"/>
          <w:sz w:val="16"/>
          <w:szCs w:val="16"/>
        </w:rPr>
        <w:t xml:space="preserve"> Usuarios/as de la web por año. Comparativa 2019-2020.</w:t>
      </w:r>
      <w:bookmarkEnd w:id="217"/>
    </w:p>
    <w:p w14:paraId="0B195FB8" w14:textId="77777777" w:rsidR="00777EC4" w:rsidRDefault="00777EC4" w:rsidP="0079356D">
      <w:pPr>
        <w:spacing w:after="0"/>
        <w:jc w:val="both"/>
        <w:rPr>
          <w:rFonts w:ascii="Arial" w:eastAsia="Times New Roman" w:hAnsi="Arial" w:cs="Arial"/>
          <w:sz w:val="21"/>
          <w:szCs w:val="21"/>
          <w:lang w:eastAsia="es-ES"/>
        </w:rPr>
      </w:pPr>
    </w:p>
    <w:p w14:paraId="4AD3BC24" w14:textId="1A38AB89" w:rsidR="00074E2D" w:rsidRPr="00973028" w:rsidRDefault="00074E2D" w:rsidP="00777EC4">
      <w:pPr>
        <w:spacing w:after="240" w:line="276" w:lineRule="auto"/>
        <w:jc w:val="both"/>
        <w:rPr>
          <w:rFonts w:ascii="Arial" w:eastAsia="Times New Roman" w:hAnsi="Arial" w:cs="Arial"/>
          <w:sz w:val="21"/>
          <w:szCs w:val="21"/>
          <w:lang w:eastAsia="es-ES"/>
        </w:rPr>
      </w:pPr>
      <w:r w:rsidRPr="00777EC4">
        <w:rPr>
          <w:rFonts w:ascii="Arial" w:eastAsia="Times New Roman" w:hAnsi="Arial" w:cs="Arial"/>
          <w:sz w:val="21"/>
          <w:szCs w:val="21"/>
          <w:lang w:eastAsia="es-ES"/>
        </w:rPr>
        <w:t>En la siguiente imagen hemos recogido los países desde donde más se accede a la página web de la Agencia, así como el número de usuarios que lo han hecho. España es el país donde más acceso</w:t>
      </w:r>
      <w:r w:rsidR="005718E7" w:rsidRPr="00777EC4">
        <w:rPr>
          <w:rFonts w:ascii="Arial" w:eastAsia="Times New Roman" w:hAnsi="Arial" w:cs="Arial"/>
          <w:sz w:val="21"/>
          <w:szCs w:val="21"/>
          <w:lang w:eastAsia="es-ES"/>
        </w:rPr>
        <w:t>s</w:t>
      </w:r>
      <w:r w:rsidRPr="00777EC4">
        <w:rPr>
          <w:rFonts w:ascii="Arial" w:eastAsia="Times New Roman" w:hAnsi="Arial" w:cs="Arial"/>
          <w:sz w:val="21"/>
          <w:szCs w:val="21"/>
          <w:lang w:eastAsia="es-ES"/>
        </w:rPr>
        <w:t xml:space="preserve"> se registran</w:t>
      </w:r>
      <w:r w:rsidR="005718E7" w:rsidRPr="00777EC4">
        <w:rPr>
          <w:rFonts w:ascii="Arial" w:eastAsia="Times New Roman" w:hAnsi="Arial" w:cs="Arial"/>
          <w:sz w:val="21"/>
          <w:szCs w:val="21"/>
          <w:lang w:eastAsia="es-ES"/>
        </w:rPr>
        <w:t xml:space="preserve"> con 10</w:t>
      </w:r>
      <w:r w:rsidR="00777EC4" w:rsidRPr="00777EC4">
        <w:rPr>
          <w:rFonts w:ascii="Arial" w:eastAsia="Times New Roman" w:hAnsi="Arial" w:cs="Arial"/>
          <w:sz w:val="21"/>
          <w:szCs w:val="21"/>
          <w:lang w:eastAsia="es-ES"/>
        </w:rPr>
        <w:t>.</w:t>
      </w:r>
      <w:r w:rsidR="005718E7" w:rsidRPr="00777EC4">
        <w:rPr>
          <w:rFonts w:ascii="Arial" w:eastAsia="Times New Roman" w:hAnsi="Arial" w:cs="Arial"/>
          <w:sz w:val="21"/>
          <w:szCs w:val="21"/>
          <w:lang w:eastAsia="es-ES"/>
        </w:rPr>
        <w:t xml:space="preserve">120 visitas, </w:t>
      </w:r>
      <w:r w:rsidRPr="00777EC4">
        <w:rPr>
          <w:rFonts w:ascii="Arial" w:eastAsia="Times New Roman" w:hAnsi="Arial" w:cs="Arial"/>
          <w:sz w:val="21"/>
          <w:szCs w:val="21"/>
          <w:lang w:eastAsia="es-ES"/>
        </w:rPr>
        <w:t>seguido por Estados Unidos desde donde 668 personas accedieron a la web en 2020.</w:t>
      </w:r>
      <w:r w:rsidR="006856D4">
        <w:rPr>
          <w:rFonts w:ascii="Arial" w:eastAsia="Times New Roman" w:hAnsi="Arial" w:cs="Arial"/>
          <w:sz w:val="21"/>
          <w:szCs w:val="21"/>
          <w:lang w:eastAsia="es-ES"/>
        </w:rPr>
        <w:t xml:space="preserve"> </w:t>
      </w:r>
    </w:p>
    <w:p w14:paraId="7227046A" w14:textId="77777777" w:rsidR="005718E7" w:rsidRPr="00973028" w:rsidRDefault="005718E7" w:rsidP="0079356D">
      <w:pPr>
        <w:spacing w:after="0"/>
        <w:jc w:val="both"/>
        <w:rPr>
          <w:rFonts w:ascii="Arial" w:eastAsia="Times New Roman" w:hAnsi="Arial" w:cs="Arial"/>
          <w:sz w:val="21"/>
          <w:szCs w:val="21"/>
          <w:lang w:eastAsia="es-ES"/>
        </w:rPr>
      </w:pPr>
    </w:p>
    <w:p w14:paraId="5B431850" w14:textId="77777777" w:rsidR="00DE6B10" w:rsidRPr="00973028" w:rsidRDefault="005718E7" w:rsidP="00DE6B10">
      <w:pPr>
        <w:keepNext/>
        <w:spacing w:after="0"/>
        <w:jc w:val="both"/>
      </w:pPr>
      <w:r w:rsidRPr="00973028">
        <w:rPr>
          <w:noProof/>
        </w:rPr>
        <w:drawing>
          <wp:inline distT="0" distB="0" distL="0" distR="0" wp14:anchorId="61CDBC24" wp14:editId="6CF07DFF">
            <wp:extent cx="5400040" cy="3198495"/>
            <wp:effectExtent l="0" t="0" r="10160" b="190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00E9E150" w14:textId="77777777" w:rsidR="00DE6B10" w:rsidRPr="00973028" w:rsidRDefault="00DE6B10" w:rsidP="00DE6B10">
      <w:pPr>
        <w:pStyle w:val="Descripcin"/>
        <w:jc w:val="center"/>
        <w:rPr>
          <w:rFonts w:ascii="Arial" w:hAnsi="Arial" w:cs="Arial"/>
          <w:smallCaps w:val="0"/>
          <w:sz w:val="16"/>
        </w:rPr>
      </w:pPr>
    </w:p>
    <w:p w14:paraId="60C1B335" w14:textId="6E490CD9" w:rsidR="005718E7" w:rsidRPr="00973028" w:rsidRDefault="00DE6B10" w:rsidP="00DE6B10">
      <w:pPr>
        <w:pStyle w:val="Descripcin"/>
        <w:jc w:val="center"/>
        <w:rPr>
          <w:rFonts w:ascii="Arial" w:hAnsi="Arial" w:cs="Arial"/>
          <w:smallCaps w:val="0"/>
          <w:sz w:val="16"/>
        </w:rPr>
      </w:pPr>
      <w:bookmarkStart w:id="218" w:name="_Toc67646417"/>
      <w:r w:rsidRPr="00973028">
        <w:rPr>
          <w:rFonts w:ascii="Arial" w:hAnsi="Arial" w:cs="Arial"/>
          <w:smallCaps w:val="0"/>
          <w:color w:val="9D2235" w:themeColor="accent1"/>
          <w:sz w:val="16"/>
        </w:rPr>
        <w:t xml:space="preserve">Gráfico </w:t>
      </w:r>
      <w:r w:rsidRPr="00973028">
        <w:rPr>
          <w:rFonts w:ascii="Arial" w:hAnsi="Arial" w:cs="Arial"/>
          <w:smallCaps w:val="0"/>
          <w:color w:val="9D2235" w:themeColor="accent1"/>
          <w:sz w:val="16"/>
        </w:rPr>
        <w:fldChar w:fldCharType="begin"/>
      </w:r>
      <w:r w:rsidRPr="00973028">
        <w:rPr>
          <w:rFonts w:ascii="Arial" w:hAnsi="Arial" w:cs="Arial"/>
          <w:smallCaps w:val="0"/>
          <w:color w:val="9D2235" w:themeColor="accent1"/>
          <w:sz w:val="16"/>
        </w:rPr>
        <w:instrText xml:space="preserve"> SEQ Gráfico \* ARABIC </w:instrText>
      </w:r>
      <w:r w:rsidRPr="00973028">
        <w:rPr>
          <w:rFonts w:ascii="Arial" w:hAnsi="Arial" w:cs="Arial"/>
          <w:smallCaps w:val="0"/>
          <w:color w:val="9D2235" w:themeColor="accent1"/>
          <w:sz w:val="16"/>
        </w:rPr>
        <w:fldChar w:fldCharType="separate"/>
      </w:r>
      <w:r w:rsidR="00000D1F">
        <w:rPr>
          <w:rFonts w:ascii="Arial" w:hAnsi="Arial" w:cs="Arial"/>
          <w:smallCaps w:val="0"/>
          <w:noProof/>
          <w:color w:val="9D2235" w:themeColor="accent1"/>
          <w:sz w:val="16"/>
        </w:rPr>
        <w:t>21</w:t>
      </w:r>
      <w:r w:rsidRPr="00973028">
        <w:rPr>
          <w:rFonts w:ascii="Arial" w:hAnsi="Arial" w:cs="Arial"/>
          <w:smallCaps w:val="0"/>
          <w:color w:val="9D2235" w:themeColor="accent1"/>
          <w:sz w:val="16"/>
        </w:rPr>
        <w:fldChar w:fldCharType="end"/>
      </w:r>
      <w:r w:rsidR="00364B3C">
        <w:rPr>
          <w:rFonts w:ascii="Arial" w:hAnsi="Arial" w:cs="Arial"/>
          <w:smallCaps w:val="0"/>
          <w:color w:val="9D2235" w:themeColor="accent1"/>
          <w:sz w:val="16"/>
        </w:rPr>
        <w:t>.</w:t>
      </w:r>
      <w:r w:rsidRPr="00973028">
        <w:rPr>
          <w:rFonts w:ascii="Arial" w:hAnsi="Arial" w:cs="Arial"/>
          <w:smallCaps w:val="0"/>
          <w:color w:val="9D2235" w:themeColor="accent1"/>
          <w:sz w:val="16"/>
        </w:rPr>
        <w:t xml:space="preserve"> </w:t>
      </w:r>
      <w:r w:rsidRPr="00973028">
        <w:rPr>
          <w:rFonts w:ascii="Arial" w:hAnsi="Arial" w:cs="Arial"/>
          <w:smallCaps w:val="0"/>
          <w:sz w:val="16"/>
        </w:rPr>
        <w:t>Conexiones de usuarios/as a la web desde otros países</w:t>
      </w:r>
      <w:bookmarkEnd w:id="218"/>
    </w:p>
    <w:p w14:paraId="5330E943" w14:textId="3EDB84CD" w:rsidR="005718E7" w:rsidRPr="00973028" w:rsidRDefault="005718E7" w:rsidP="0079356D">
      <w:pPr>
        <w:spacing w:after="0"/>
        <w:jc w:val="both"/>
      </w:pPr>
      <w:r w:rsidRPr="00973028">
        <w:rPr>
          <w:noProof/>
        </w:rPr>
        <w:drawing>
          <wp:anchor distT="0" distB="0" distL="114300" distR="114300" simplePos="0" relativeHeight="251942912" behindDoc="0" locked="0" layoutInCell="1" allowOverlap="1" wp14:anchorId="3E0CD271" wp14:editId="611E9F63">
            <wp:simplePos x="0" y="0"/>
            <wp:positionH relativeFrom="column">
              <wp:posOffset>145415</wp:posOffset>
            </wp:positionH>
            <wp:positionV relativeFrom="paragraph">
              <wp:posOffset>0</wp:posOffset>
            </wp:positionV>
            <wp:extent cx="5170805" cy="3288030"/>
            <wp:effectExtent l="0" t="0" r="0" b="762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206">
                      <a:extLst>
                        <a:ext uri="{28A0092B-C50C-407E-A947-70E740481C1C}">
                          <a14:useLocalDpi xmlns:a14="http://schemas.microsoft.com/office/drawing/2010/main" val="0"/>
                        </a:ext>
                      </a:extLst>
                    </a:blip>
                    <a:stretch>
                      <a:fillRect/>
                    </a:stretch>
                  </pic:blipFill>
                  <pic:spPr bwMode="auto">
                    <a:xfrm>
                      <a:off x="0" y="0"/>
                      <a:ext cx="5170805" cy="3288030"/>
                    </a:xfrm>
                    <a:prstGeom prst="rect">
                      <a:avLst/>
                    </a:prstGeom>
                  </pic:spPr>
                </pic:pic>
              </a:graphicData>
            </a:graphic>
          </wp:anchor>
        </w:drawing>
      </w:r>
    </w:p>
    <w:p w14:paraId="59C7F6A0" w14:textId="77777777" w:rsidR="005718E7" w:rsidRPr="00973028" w:rsidRDefault="00B9275E" w:rsidP="004522FD">
      <w:pPr>
        <w:spacing w:before="120"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lastRenderedPageBreak/>
        <w:t>En cuanto al número de personas usuarias de la web, desglosado por meses, constatamos una tendencia al alza durante el último trimestre del año 2020 tal y como se refleja en el siguiente gráfico.</w:t>
      </w:r>
    </w:p>
    <w:p w14:paraId="6E811CF6" w14:textId="4EA2E214" w:rsidR="00B9275E" w:rsidRPr="00973028" w:rsidRDefault="00B9275E" w:rsidP="004522FD">
      <w:pPr>
        <w:spacing w:before="120"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 </w:t>
      </w:r>
      <w:r w:rsidR="005718E7" w:rsidRPr="00973028">
        <w:rPr>
          <w:noProof/>
        </w:rPr>
        <w:drawing>
          <wp:inline distT="0" distB="0" distL="0" distR="0" wp14:anchorId="6DE38826" wp14:editId="6ED58DA0">
            <wp:extent cx="5400040" cy="2369820"/>
            <wp:effectExtent l="0" t="0" r="10160" b="1143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57648DE6" w14:textId="1CAE4386" w:rsidR="00B9275E" w:rsidRPr="00973028" w:rsidRDefault="00074E2D" w:rsidP="00074E2D">
      <w:pPr>
        <w:pStyle w:val="Descripcin"/>
        <w:jc w:val="center"/>
        <w:rPr>
          <w:rFonts w:ascii="Arial" w:eastAsia="Times New Roman" w:hAnsi="Arial" w:cs="Arial"/>
          <w:smallCaps w:val="0"/>
          <w:sz w:val="16"/>
          <w:szCs w:val="16"/>
          <w:lang w:eastAsia="es-ES"/>
        </w:rPr>
      </w:pPr>
      <w:bookmarkStart w:id="219" w:name="_Toc67646418"/>
      <w:r w:rsidRPr="00973028">
        <w:rPr>
          <w:rFonts w:ascii="Arial" w:hAnsi="Arial" w:cs="Arial"/>
          <w:smallCaps w:val="0"/>
          <w:color w:val="9D2235" w:themeColor="accent1"/>
          <w:sz w:val="16"/>
          <w:szCs w:val="16"/>
        </w:rPr>
        <w:t xml:space="preserve">Gráfico </w:t>
      </w:r>
      <w:r w:rsidRPr="00973028">
        <w:rPr>
          <w:rFonts w:ascii="Arial" w:hAnsi="Arial" w:cs="Arial"/>
          <w:smallCaps w:val="0"/>
          <w:color w:val="9D2235" w:themeColor="accent1"/>
          <w:sz w:val="16"/>
          <w:szCs w:val="16"/>
        </w:rPr>
        <w:fldChar w:fldCharType="begin"/>
      </w:r>
      <w:r w:rsidRPr="00973028">
        <w:rPr>
          <w:rFonts w:ascii="Arial" w:hAnsi="Arial" w:cs="Arial"/>
          <w:smallCaps w:val="0"/>
          <w:color w:val="9D2235" w:themeColor="accent1"/>
          <w:sz w:val="16"/>
          <w:szCs w:val="16"/>
        </w:rPr>
        <w:instrText xml:space="preserve"> SEQ Gráfico \* ARABIC </w:instrText>
      </w:r>
      <w:r w:rsidRPr="00973028">
        <w:rPr>
          <w:rFonts w:ascii="Arial" w:hAnsi="Arial" w:cs="Arial"/>
          <w:smallCaps w:val="0"/>
          <w:color w:val="9D2235" w:themeColor="accent1"/>
          <w:sz w:val="16"/>
          <w:szCs w:val="16"/>
        </w:rPr>
        <w:fldChar w:fldCharType="separate"/>
      </w:r>
      <w:r w:rsidR="00000D1F">
        <w:rPr>
          <w:rFonts w:ascii="Arial" w:hAnsi="Arial" w:cs="Arial"/>
          <w:smallCaps w:val="0"/>
          <w:noProof/>
          <w:color w:val="9D2235" w:themeColor="accent1"/>
          <w:sz w:val="16"/>
          <w:szCs w:val="16"/>
        </w:rPr>
        <w:t>22</w:t>
      </w:r>
      <w:r w:rsidRPr="00973028">
        <w:rPr>
          <w:rFonts w:ascii="Arial" w:hAnsi="Arial" w:cs="Arial"/>
          <w:smallCaps w:val="0"/>
          <w:color w:val="9D2235" w:themeColor="accent1"/>
          <w:sz w:val="16"/>
          <w:szCs w:val="16"/>
        </w:rPr>
        <w:fldChar w:fldCharType="end"/>
      </w:r>
      <w:r w:rsidR="00364B3C">
        <w:rPr>
          <w:rFonts w:ascii="Arial" w:hAnsi="Arial" w:cs="Arial"/>
          <w:smallCaps w:val="0"/>
          <w:color w:val="9D2235" w:themeColor="accent1"/>
          <w:sz w:val="16"/>
          <w:szCs w:val="16"/>
        </w:rPr>
        <w:t>.</w:t>
      </w:r>
      <w:r w:rsidRPr="00973028">
        <w:rPr>
          <w:rFonts w:ascii="Arial" w:hAnsi="Arial" w:cs="Arial"/>
          <w:smallCaps w:val="0"/>
          <w:color w:val="9D2235" w:themeColor="accent1"/>
          <w:sz w:val="16"/>
          <w:szCs w:val="16"/>
        </w:rPr>
        <w:t xml:space="preserve"> </w:t>
      </w:r>
      <w:r w:rsidRPr="00973028">
        <w:rPr>
          <w:rFonts w:ascii="Arial" w:hAnsi="Arial" w:cs="Arial"/>
          <w:smallCaps w:val="0"/>
          <w:sz w:val="16"/>
          <w:szCs w:val="16"/>
        </w:rPr>
        <w:t>Usuarios</w:t>
      </w:r>
      <w:r w:rsidR="00F96F9C">
        <w:rPr>
          <w:rFonts w:ascii="Arial" w:hAnsi="Arial" w:cs="Arial"/>
          <w:smallCaps w:val="0"/>
          <w:sz w:val="16"/>
          <w:szCs w:val="16"/>
        </w:rPr>
        <w:t>/as</w:t>
      </w:r>
      <w:r w:rsidRPr="00973028">
        <w:rPr>
          <w:rFonts w:ascii="Arial" w:hAnsi="Arial" w:cs="Arial"/>
          <w:smallCaps w:val="0"/>
          <w:sz w:val="16"/>
          <w:szCs w:val="16"/>
        </w:rPr>
        <w:t xml:space="preserve"> de la web por meses del año 2020</w:t>
      </w:r>
      <w:bookmarkEnd w:id="219"/>
    </w:p>
    <w:p w14:paraId="4516B96B" w14:textId="77777777" w:rsidR="00074E2D" w:rsidRPr="00973028" w:rsidRDefault="00074E2D" w:rsidP="00074E2D">
      <w:pPr>
        <w:keepNext/>
        <w:spacing w:after="240" w:line="276" w:lineRule="auto"/>
        <w:jc w:val="both"/>
      </w:pPr>
    </w:p>
    <w:p w14:paraId="41D716C9" w14:textId="77777777" w:rsidR="00B9275E" w:rsidRPr="00973028" w:rsidRDefault="00B9275E" w:rsidP="004522FD">
      <w:pPr>
        <w:spacing w:after="240" w:line="276" w:lineRule="auto"/>
        <w:jc w:val="both"/>
        <w:rPr>
          <w:rFonts w:ascii="Arial" w:hAnsi="Arial" w:cs="Arial"/>
          <w:sz w:val="24"/>
          <w:szCs w:val="24"/>
        </w:rPr>
      </w:pPr>
      <w:r w:rsidRPr="00973028">
        <w:rPr>
          <w:rFonts w:ascii="Arial" w:eastAsia="Times New Roman" w:hAnsi="Arial" w:cs="Arial"/>
          <w:b/>
          <w:bCs/>
          <w:color w:val="94070A"/>
          <w:sz w:val="24"/>
          <w:szCs w:val="24"/>
          <w:lang w:eastAsia="es-ES"/>
        </w:rPr>
        <w:t>Presencia en redes sociales</w:t>
      </w:r>
    </w:p>
    <w:p w14:paraId="7391FD99" w14:textId="77777777" w:rsidR="00B9275E" w:rsidRPr="00973028" w:rsidRDefault="00B9275E" w:rsidP="004522FD">
      <w:pPr>
        <w:spacing w:before="120"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Además de la página web la Agencia Valenciana Antifraude dispone de diferentes perfiles en redes sociales con el objetivo de informar y comunicar de una forma cercana y directa con la ciudadanía. Durante el año 2020 ha aumentado la presencia de la AVAF en redes sociales ya que además de Twitter y LinkedIn se han abierto perfiles en Facebook, Instagram y así como un canal de Telegram.</w:t>
      </w:r>
    </w:p>
    <w:p w14:paraId="42BADBF4" w14:textId="77777777" w:rsidR="00B9275E" w:rsidRPr="00973028" w:rsidRDefault="00B9275E" w:rsidP="004522FD">
      <w:pPr>
        <w:spacing w:before="120" w:after="240" w:line="276" w:lineRule="auto"/>
        <w:jc w:val="both"/>
        <w:rPr>
          <w:rFonts w:ascii="Arial" w:eastAsia="Calibri" w:hAnsi="Arial" w:cs="Arial"/>
          <w:sz w:val="21"/>
          <w:szCs w:val="21"/>
        </w:rPr>
      </w:pPr>
      <w:r w:rsidRPr="00973028">
        <w:rPr>
          <w:rFonts w:ascii="Arial" w:eastAsia="Times New Roman" w:hAnsi="Arial" w:cs="Arial"/>
          <w:sz w:val="21"/>
          <w:szCs w:val="21"/>
          <w:lang w:eastAsia="es-ES"/>
        </w:rPr>
        <w:t>El perfil en Twitter sigue siendo el más activo y con el que se obtiene un mayor alcance. Durante el año 2020 hemos pasado de los 785 seguidores a los 1.081 registrados al cierre del año.</w:t>
      </w:r>
    </w:p>
    <w:p w14:paraId="159505C5" w14:textId="77777777" w:rsidR="00B9275E" w:rsidRPr="00973028" w:rsidRDefault="00B9275E" w:rsidP="004522FD">
      <w:pPr>
        <w:spacing w:before="120" w:after="240" w:line="276" w:lineRule="auto"/>
        <w:jc w:val="both"/>
        <w:rPr>
          <w:rFonts w:ascii="Arial" w:hAnsi="Arial" w:cs="Arial"/>
          <w:sz w:val="21"/>
          <w:szCs w:val="21"/>
        </w:rPr>
      </w:pPr>
      <w:r w:rsidRPr="00973028">
        <w:rPr>
          <w:rFonts w:ascii="Arial" w:eastAsia="Times New Roman" w:hAnsi="Arial" w:cs="Arial"/>
          <w:sz w:val="21"/>
          <w:szCs w:val="21"/>
          <w:lang w:eastAsia="es-ES"/>
        </w:rPr>
        <w:t>Uno de los perfiles que mayor incremento ha experimentado ha sido LinkedIn, donde se ha pasado de los 70 seguidores a finales de 2019 a superar los 300, lo cual ha permitido que las publicaciones generadas por la AVAF tengan una difusión mucho más amplia.</w:t>
      </w:r>
    </w:p>
    <w:p w14:paraId="110B2026" w14:textId="77777777" w:rsidR="00B9275E" w:rsidRPr="00973028" w:rsidRDefault="00B9275E" w:rsidP="004522FD">
      <w:pPr>
        <w:spacing w:before="120" w:after="240" w:line="276" w:lineRule="auto"/>
        <w:jc w:val="both"/>
        <w:rPr>
          <w:rFonts w:ascii="Arial" w:hAnsi="Arial" w:cs="Arial"/>
          <w:sz w:val="21"/>
          <w:szCs w:val="21"/>
        </w:rPr>
      </w:pPr>
      <w:r w:rsidRPr="00973028">
        <w:rPr>
          <w:rFonts w:ascii="Arial" w:eastAsia="Times New Roman" w:hAnsi="Arial" w:cs="Arial"/>
          <w:sz w:val="21"/>
          <w:szCs w:val="21"/>
          <w:lang w:eastAsia="es-ES"/>
        </w:rPr>
        <w:t xml:space="preserve">En el caso de YouTube se han pasado de las 567 visualizaciones del año 2019 a las 1.292 del año 2020 sobre todo por la emisión en directo a través de este canal de la Jornada del Día Internacional de Naciones Unidas contra la Corrupción. Así mismo destacamos que por primera vez la Agencia ha grabado un vídeo con medios propios que ha sido protagonizado por personal de la AVAF. La temática del vídeo fue la presentación de la Recomendación general sobre planificación. </w:t>
      </w:r>
    </w:p>
    <w:p w14:paraId="72DD1384" w14:textId="77777777" w:rsidR="00B9275E" w:rsidRPr="00973028" w:rsidRDefault="00B9275E" w:rsidP="004522FD">
      <w:pPr>
        <w:spacing w:before="120" w:after="240" w:line="276" w:lineRule="auto"/>
        <w:jc w:val="both"/>
        <w:rPr>
          <w:rFonts w:ascii="Arial" w:hAnsi="Arial" w:cs="Arial"/>
          <w:sz w:val="21"/>
          <w:szCs w:val="21"/>
        </w:rPr>
      </w:pPr>
      <w:r w:rsidRPr="00973028">
        <w:rPr>
          <w:rFonts w:ascii="Arial" w:eastAsia="Times New Roman" w:hAnsi="Arial" w:cs="Arial"/>
          <w:sz w:val="21"/>
          <w:szCs w:val="21"/>
          <w:lang w:eastAsia="es-ES"/>
        </w:rPr>
        <w:t>Como hemos señalado, en este año 2020 se ha abierto el perfil de Facebook de la Agencia que ya ha superado los 100 seguidores y aunque de forma lenta, va consiguiendo hacerse un espacio en esta red social.</w:t>
      </w:r>
    </w:p>
    <w:p w14:paraId="26429442" w14:textId="77777777" w:rsidR="00B9275E" w:rsidRPr="00973028" w:rsidRDefault="00B9275E" w:rsidP="004522FD">
      <w:pPr>
        <w:spacing w:before="120"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lastRenderedPageBreak/>
        <w:t>También este mismo año hemos abierto perfil en Instagram y en los pocos meses que lleva en funcionamiento ha superado los 200 seguidores. Este canal es importante ya que es utilizado por personas mucho más jóvenes lo cual nos permite comunicarnos con este público objetivo.</w:t>
      </w:r>
    </w:p>
    <w:p w14:paraId="633E71A1" w14:textId="0FCC25F9" w:rsidR="00B9275E" w:rsidRPr="00973028" w:rsidRDefault="00B9275E" w:rsidP="004522FD">
      <w:pPr>
        <w:spacing w:before="120" w:after="240" w:line="276" w:lineRule="auto"/>
        <w:jc w:val="both"/>
        <w:rPr>
          <w:rFonts w:ascii="Arial" w:eastAsia="Calibri" w:hAnsi="Arial" w:cs="Arial"/>
          <w:sz w:val="21"/>
          <w:szCs w:val="21"/>
        </w:rPr>
      </w:pPr>
      <w:r w:rsidRPr="00973028">
        <w:rPr>
          <w:rFonts w:ascii="Arial" w:eastAsia="Times New Roman" w:hAnsi="Arial" w:cs="Arial"/>
          <w:sz w:val="21"/>
          <w:szCs w:val="21"/>
          <w:lang w:eastAsia="es-ES"/>
        </w:rPr>
        <w:t>Por último</w:t>
      </w:r>
      <w:r w:rsidR="00D968EB" w:rsidRPr="00973028">
        <w:rPr>
          <w:rFonts w:ascii="Arial" w:eastAsia="Times New Roman" w:hAnsi="Arial" w:cs="Arial"/>
          <w:sz w:val="21"/>
          <w:szCs w:val="21"/>
          <w:lang w:eastAsia="es-ES"/>
        </w:rPr>
        <w:t>,</w:t>
      </w:r>
      <w:r w:rsidRPr="00973028">
        <w:rPr>
          <w:rFonts w:ascii="Arial" w:eastAsia="Times New Roman" w:hAnsi="Arial" w:cs="Arial"/>
          <w:sz w:val="21"/>
          <w:szCs w:val="21"/>
          <w:lang w:eastAsia="es-ES"/>
        </w:rPr>
        <w:t xml:space="preserve"> hemos abierto un canal de Telegram que suma 82 seguidores y que es una herramienta para difundir información de la Agencia de forma directa a través del teléfono móvil a aquellas personas que lo soliciten simplemente suscribiéndose al canal. </w:t>
      </w:r>
    </w:p>
    <w:p w14:paraId="6D9A1C88" w14:textId="77777777" w:rsidR="00B9275E" w:rsidRPr="00973028" w:rsidRDefault="00B9275E" w:rsidP="004522FD">
      <w:pPr>
        <w:spacing w:before="120" w:after="240" w:line="276" w:lineRule="auto"/>
        <w:jc w:val="both"/>
        <w:rPr>
          <w:rFonts w:ascii="Arial" w:hAnsi="Arial" w:cs="Arial"/>
          <w:sz w:val="21"/>
          <w:szCs w:val="21"/>
        </w:rPr>
      </w:pPr>
      <w:r w:rsidRPr="00973028">
        <w:rPr>
          <w:rFonts w:ascii="Arial" w:eastAsia="Times New Roman" w:hAnsi="Arial" w:cs="Arial"/>
          <w:sz w:val="21"/>
          <w:szCs w:val="21"/>
          <w:lang w:eastAsia="es-ES"/>
        </w:rPr>
        <w:t xml:space="preserve">El aumento de la presencia de la Agencia en redes sociales tiene como objetivo llegar a un público cada vez más amplio y diversificado. Conscientes de las dificultades que presenta la presencia de un organismo como la Agencia en el entorno de las redes sociales por la especialización de sus contenidos, creemos que el balance de su presencia durante el año 2020 es positivo. </w:t>
      </w:r>
    </w:p>
    <w:p w14:paraId="6F84897E" w14:textId="417E98DD"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Se ha conseguido difundir contenidos e informaciones de una forma muy amplia tal y como se observa por el tráfico derivado a la página web desde las redes sociales y que tiene su</w:t>
      </w:r>
      <w:r w:rsidR="00D968EB" w:rsidRPr="00973028">
        <w:rPr>
          <w:rFonts w:ascii="Arial" w:eastAsia="Times New Roman" w:hAnsi="Arial" w:cs="Arial"/>
          <w:sz w:val="21"/>
          <w:szCs w:val="21"/>
          <w:lang w:eastAsia="es-ES"/>
        </w:rPr>
        <w:t xml:space="preserve"> </w:t>
      </w:r>
      <w:r w:rsidRPr="00973028">
        <w:rPr>
          <w:rFonts w:ascii="Arial" w:eastAsia="Times New Roman" w:hAnsi="Arial" w:cs="Arial"/>
          <w:sz w:val="21"/>
          <w:szCs w:val="21"/>
          <w:lang w:eastAsia="es-ES"/>
        </w:rPr>
        <w:t>reflejo en el aumento de las visitas que esperamos sigan evolucionando de forma positiva durante el año 2021.</w:t>
      </w:r>
    </w:p>
    <w:p w14:paraId="4A9B9598" w14:textId="7D6C57AF" w:rsidR="00B9275E" w:rsidRPr="00973028" w:rsidRDefault="00B9275E" w:rsidP="00672ABA">
      <w:pPr>
        <w:pStyle w:val="Prrafodelista"/>
        <w:numPr>
          <w:ilvl w:val="1"/>
          <w:numId w:val="25"/>
        </w:numPr>
        <w:spacing w:before="360" w:after="240" w:line="276" w:lineRule="auto"/>
        <w:ind w:left="851" w:hanging="851"/>
        <w:jc w:val="both"/>
        <w:outlineLvl w:val="1"/>
        <w:rPr>
          <w:rFonts w:ascii="Arial" w:eastAsia="Times New Roman" w:hAnsi="Arial" w:cs="Arial"/>
          <w:b/>
          <w:color w:val="9D2235" w:themeColor="accent1"/>
          <w:sz w:val="32"/>
          <w:szCs w:val="32"/>
        </w:rPr>
      </w:pPr>
      <w:bookmarkStart w:id="220" w:name="_Toc67646314"/>
      <w:r w:rsidRPr="00973028">
        <w:rPr>
          <w:rFonts w:ascii="Arial" w:eastAsia="Times New Roman" w:hAnsi="Arial" w:cs="Arial"/>
          <w:b/>
          <w:color w:val="9D2235" w:themeColor="accent1"/>
          <w:sz w:val="32"/>
          <w:szCs w:val="32"/>
        </w:rPr>
        <w:t>Medios de comunicación</w:t>
      </w:r>
      <w:bookmarkEnd w:id="220"/>
    </w:p>
    <w:p w14:paraId="4DC6B492" w14:textId="77777777" w:rsidR="00B9275E" w:rsidRPr="00973028" w:rsidRDefault="00B9275E" w:rsidP="004522FD">
      <w:pPr>
        <w:spacing w:beforeAutospacing="1" w:after="240" w:line="276" w:lineRule="auto"/>
        <w:jc w:val="both"/>
        <w:rPr>
          <w:rFonts w:ascii="Arial" w:hAnsi="Arial" w:cs="Arial"/>
          <w:sz w:val="21"/>
          <w:szCs w:val="21"/>
        </w:rPr>
      </w:pPr>
      <w:r w:rsidRPr="00973028">
        <w:rPr>
          <w:rFonts w:ascii="Arial" w:eastAsia="Times New Roman" w:hAnsi="Arial" w:cs="Arial"/>
          <w:sz w:val="21"/>
          <w:szCs w:val="21"/>
          <w:lang w:eastAsia="es-ES"/>
        </w:rPr>
        <w:t>La Agencia y los medios de comunicación han mantenido durante el año 2020, una relación fluida tanto en el ámbito de la Comunitat Valenciana como en el resto de España.</w:t>
      </w:r>
    </w:p>
    <w:p w14:paraId="5B0A2266" w14:textId="77777777" w:rsidR="00B9275E" w:rsidRPr="00973028" w:rsidRDefault="00B9275E" w:rsidP="004522FD">
      <w:pPr>
        <w:spacing w:beforeAutospacing="1" w:after="240" w:line="276" w:lineRule="auto"/>
        <w:jc w:val="both"/>
        <w:rPr>
          <w:rFonts w:ascii="Arial" w:hAnsi="Arial" w:cs="Arial"/>
          <w:sz w:val="21"/>
          <w:szCs w:val="21"/>
        </w:rPr>
      </w:pPr>
      <w:r w:rsidRPr="00973028">
        <w:rPr>
          <w:rFonts w:ascii="Arial" w:eastAsia="Times New Roman" w:hAnsi="Arial" w:cs="Arial"/>
          <w:sz w:val="21"/>
          <w:szCs w:val="21"/>
          <w:lang w:eastAsia="es-ES"/>
        </w:rPr>
        <w:t xml:space="preserve">Se ha de tomar en consideración, no </w:t>
      </w:r>
      <w:r w:rsidRPr="004C75D4">
        <w:rPr>
          <w:rFonts w:ascii="Arial" w:eastAsia="Times New Roman" w:hAnsi="Arial" w:cs="Arial"/>
          <w:sz w:val="21"/>
          <w:szCs w:val="21"/>
          <w:lang w:eastAsia="es-ES"/>
        </w:rPr>
        <w:t xml:space="preserve">obstante, que la Agencia, por su propia naturaleza y como así establece su Ley de creación en el artículo 8: </w:t>
      </w:r>
      <w:r w:rsidRPr="004C75D4">
        <w:rPr>
          <w:rFonts w:ascii="Arial" w:eastAsia="Times New Roman" w:hAnsi="Arial" w:cs="Arial"/>
          <w:iCs/>
          <w:sz w:val="21"/>
          <w:szCs w:val="21"/>
          <w:lang w:eastAsia="es-ES"/>
        </w:rPr>
        <w:t>“Las actuaciones de la Agencia han de asegurar, en todo caso, la reserva máxima para evitar perjuicios a la persona o a la entidad investigada y como salvaguarda de la eficacia del procedimiento jurisdiccional o administrativo que se pueda iniciar como consecuencia de estas actuaciones”,</w:t>
      </w:r>
      <w:r w:rsidRPr="004C75D4">
        <w:rPr>
          <w:rFonts w:ascii="Arial" w:eastAsia="Times New Roman" w:hAnsi="Arial" w:cs="Arial"/>
          <w:sz w:val="21"/>
          <w:szCs w:val="21"/>
          <w:lang w:eastAsia="es-ES"/>
        </w:rPr>
        <w:t xml:space="preserve"> no puede en modo alguno facilitar a los medios de comunicación información ni opiniones</w:t>
      </w:r>
      <w:r w:rsidRPr="00973028">
        <w:rPr>
          <w:rFonts w:ascii="Arial" w:eastAsia="Times New Roman" w:hAnsi="Arial" w:cs="Arial"/>
          <w:sz w:val="21"/>
          <w:szCs w:val="21"/>
          <w:lang w:eastAsia="es-ES"/>
        </w:rPr>
        <w:t xml:space="preserve"> sobre las actuaciones concretas de investigación de los expedientes que se encuentran en fase de análisis o estudio.</w:t>
      </w:r>
    </w:p>
    <w:p w14:paraId="2ED68955" w14:textId="3544458E" w:rsidR="00B9275E" w:rsidRPr="00973028" w:rsidRDefault="00B9275E" w:rsidP="004522FD">
      <w:pPr>
        <w:spacing w:beforeAutospacing="1"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A pesar de esta limitación, la totalidad de los medios: radio, prensa y televisión, siempre han encontrado la total y abierta disposición de la Agencia para informar de la actividad que lleva a cabo, así como de los diversos aspectos relacionados con su funcionamiento y con las relaciones exteriores que ha mantenido, tanto en el ámbito de la Comunitat Valenciana como en el nacional e internacional. </w:t>
      </w:r>
    </w:p>
    <w:p w14:paraId="1F3567A4" w14:textId="0914FD91" w:rsidR="00074E2D" w:rsidRPr="00973028" w:rsidRDefault="00E760C2" w:rsidP="004522FD">
      <w:pPr>
        <w:spacing w:beforeAutospacing="1" w:after="240" w:line="276" w:lineRule="auto"/>
        <w:jc w:val="both"/>
        <w:rPr>
          <w:rFonts w:ascii="Arial" w:eastAsia="Times New Roman" w:hAnsi="Arial" w:cs="Arial"/>
          <w:sz w:val="21"/>
          <w:szCs w:val="21"/>
          <w:lang w:eastAsia="es-ES"/>
        </w:rPr>
      </w:pPr>
      <w:r w:rsidRPr="00973028">
        <w:rPr>
          <w:rFonts w:ascii="Arial" w:eastAsia="Times New Roman" w:hAnsi="Arial" w:cs="Arial"/>
          <w:noProof/>
          <w:sz w:val="21"/>
          <w:szCs w:val="21"/>
          <w:lang w:eastAsia="es-ES"/>
        </w:rPr>
        <w:lastRenderedPageBreak/>
        <mc:AlternateContent>
          <mc:Choice Requires="wpg">
            <w:drawing>
              <wp:anchor distT="0" distB="0" distL="114300" distR="114300" simplePos="0" relativeHeight="251939840" behindDoc="0" locked="0" layoutInCell="1" allowOverlap="1" wp14:anchorId="05506A7D" wp14:editId="734504D5">
                <wp:simplePos x="0" y="0"/>
                <wp:positionH relativeFrom="column">
                  <wp:posOffset>62865</wp:posOffset>
                </wp:positionH>
                <wp:positionV relativeFrom="paragraph">
                  <wp:posOffset>48260</wp:posOffset>
                </wp:positionV>
                <wp:extent cx="5197475" cy="4706620"/>
                <wp:effectExtent l="0" t="0" r="3175" b="0"/>
                <wp:wrapTopAndBottom/>
                <wp:docPr id="27" name="Grupo 27"/>
                <wp:cNvGraphicFramePr/>
                <a:graphic xmlns:a="http://schemas.openxmlformats.org/drawingml/2006/main">
                  <a:graphicData uri="http://schemas.microsoft.com/office/word/2010/wordprocessingGroup">
                    <wpg:wgp>
                      <wpg:cNvGrpSpPr/>
                      <wpg:grpSpPr>
                        <a:xfrm>
                          <a:off x="0" y="0"/>
                          <a:ext cx="5197475" cy="4706620"/>
                          <a:chOff x="0" y="0"/>
                          <a:chExt cx="5197475" cy="4706620"/>
                        </a:xfrm>
                      </wpg:grpSpPr>
                      <pic:pic xmlns:pic="http://schemas.openxmlformats.org/drawingml/2006/picture">
                        <pic:nvPicPr>
                          <pic:cNvPr id="263" name="Imagen 15" descr="Texto, Pizarra&#10;&#10;Descripción generada automáticamente"/>
                          <pic:cNvPicPr>
                            <a:picLocks noChangeAspect="1"/>
                          </pic:cNvPicPr>
                        </pic:nvPicPr>
                        <pic:blipFill>
                          <a:blip r:embed="rId208"/>
                          <a:stretch>
                            <a:fillRect/>
                          </a:stretch>
                        </pic:blipFill>
                        <pic:spPr bwMode="auto">
                          <a:xfrm>
                            <a:off x="0" y="0"/>
                            <a:ext cx="5197475" cy="4428490"/>
                          </a:xfrm>
                          <a:prstGeom prst="rect">
                            <a:avLst/>
                          </a:prstGeom>
                        </pic:spPr>
                      </pic:pic>
                      <wps:wsp>
                        <wps:cNvPr id="26" name="Cuadro de texto 26"/>
                        <wps:cNvSpPr txBox="1"/>
                        <wps:spPr>
                          <a:xfrm>
                            <a:off x="0" y="4488180"/>
                            <a:ext cx="5197475" cy="218440"/>
                          </a:xfrm>
                          <a:prstGeom prst="rect">
                            <a:avLst/>
                          </a:prstGeom>
                          <a:solidFill>
                            <a:prstClr val="white"/>
                          </a:solidFill>
                          <a:ln>
                            <a:noFill/>
                          </a:ln>
                        </wps:spPr>
                        <wps:txbx>
                          <w:txbxContent>
                            <w:p w14:paraId="58EEE59D" w14:textId="0187AA21" w:rsidR="004D416C" w:rsidRPr="00DE6B10" w:rsidRDefault="004D416C" w:rsidP="00E760C2">
                              <w:pPr>
                                <w:pStyle w:val="Descripcin"/>
                                <w:jc w:val="center"/>
                                <w:rPr>
                                  <w:rFonts w:ascii="Arial" w:eastAsia="Times New Roman" w:hAnsi="Arial" w:cs="Arial"/>
                                  <w:smallCaps w:val="0"/>
                                  <w:noProof/>
                                  <w:sz w:val="16"/>
                                  <w:szCs w:val="20"/>
                                </w:rPr>
                              </w:pPr>
                              <w:bookmarkStart w:id="221" w:name="_Toc67646436"/>
                              <w:r w:rsidRPr="00963019">
                                <w:rPr>
                                  <w:rFonts w:ascii="Arial" w:hAnsi="Arial" w:cs="Arial"/>
                                  <w:smallCaps w:val="0"/>
                                  <w:color w:val="9D2235" w:themeColor="accent1"/>
                                  <w:sz w:val="16"/>
                                  <w:szCs w:val="20"/>
                                </w:rPr>
                                <w:t xml:space="preserve">Ilustración </w:t>
                              </w:r>
                              <w:r w:rsidRPr="00963019">
                                <w:rPr>
                                  <w:rFonts w:ascii="Arial" w:hAnsi="Arial" w:cs="Arial"/>
                                  <w:smallCaps w:val="0"/>
                                  <w:color w:val="9D2235" w:themeColor="accent1"/>
                                  <w:sz w:val="16"/>
                                  <w:szCs w:val="20"/>
                                </w:rPr>
                                <w:fldChar w:fldCharType="begin"/>
                              </w:r>
                              <w:r w:rsidRPr="00963019">
                                <w:rPr>
                                  <w:rFonts w:ascii="Arial" w:hAnsi="Arial" w:cs="Arial"/>
                                  <w:smallCaps w:val="0"/>
                                  <w:color w:val="9D2235" w:themeColor="accent1"/>
                                  <w:sz w:val="16"/>
                                  <w:szCs w:val="20"/>
                                </w:rPr>
                                <w:instrText xml:space="preserve"> SEQ Ilustración \* ARABIC </w:instrText>
                              </w:r>
                              <w:r w:rsidRPr="00963019">
                                <w:rPr>
                                  <w:rFonts w:ascii="Arial" w:hAnsi="Arial" w:cs="Arial"/>
                                  <w:smallCaps w:val="0"/>
                                  <w:color w:val="9D2235" w:themeColor="accent1"/>
                                  <w:sz w:val="16"/>
                                  <w:szCs w:val="20"/>
                                </w:rPr>
                                <w:fldChar w:fldCharType="separate"/>
                              </w:r>
                              <w:r>
                                <w:rPr>
                                  <w:rFonts w:ascii="Arial" w:hAnsi="Arial" w:cs="Arial"/>
                                  <w:smallCaps w:val="0"/>
                                  <w:noProof/>
                                  <w:color w:val="9D2235" w:themeColor="accent1"/>
                                  <w:sz w:val="16"/>
                                  <w:szCs w:val="20"/>
                                </w:rPr>
                                <w:t>2</w:t>
                              </w:r>
                              <w:r w:rsidRPr="00963019">
                                <w:rPr>
                                  <w:rFonts w:ascii="Arial" w:hAnsi="Arial" w:cs="Arial"/>
                                  <w:smallCaps w:val="0"/>
                                  <w:color w:val="9D2235" w:themeColor="accent1"/>
                                  <w:sz w:val="16"/>
                                  <w:szCs w:val="20"/>
                                </w:rPr>
                                <w:fldChar w:fldCharType="end"/>
                              </w:r>
                              <w:r>
                                <w:rPr>
                                  <w:rFonts w:ascii="Arial" w:hAnsi="Arial" w:cs="Arial"/>
                                  <w:smallCaps w:val="0"/>
                                  <w:color w:val="9D2235" w:themeColor="accent1"/>
                                  <w:sz w:val="16"/>
                                  <w:szCs w:val="20"/>
                                </w:rPr>
                                <w:t>.</w:t>
                              </w:r>
                              <w:r w:rsidRPr="00963019">
                                <w:rPr>
                                  <w:rFonts w:ascii="Arial" w:hAnsi="Arial" w:cs="Arial"/>
                                  <w:smallCaps w:val="0"/>
                                  <w:color w:val="9D2235" w:themeColor="accent1"/>
                                  <w:sz w:val="16"/>
                                  <w:szCs w:val="20"/>
                                </w:rPr>
                                <w:t xml:space="preserve"> </w:t>
                              </w:r>
                              <w:r w:rsidRPr="00DE6B10">
                                <w:rPr>
                                  <w:rFonts w:ascii="Arial" w:hAnsi="Arial" w:cs="Arial"/>
                                  <w:smallCaps w:val="0"/>
                                  <w:sz w:val="16"/>
                                  <w:szCs w:val="20"/>
                                </w:rPr>
                                <w:t>Las redes sociales de la A</w:t>
                              </w:r>
                              <w:r>
                                <w:rPr>
                                  <w:rFonts w:ascii="Arial" w:hAnsi="Arial" w:cs="Arial"/>
                                  <w:smallCaps w:val="0"/>
                                  <w:sz w:val="16"/>
                                  <w:szCs w:val="20"/>
                                </w:rPr>
                                <w:t>gencia Valenciana Antifraude</w:t>
                              </w:r>
                              <w:bookmarkEnd w:id="2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5506A7D" id="Grupo 27" o:spid="_x0000_s1035" style="position:absolute;left:0;text-align:left;margin-left:4.95pt;margin-top:3.8pt;width:409.25pt;height:370.6pt;z-index:251939840" coordsize="51974,47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CyNEiwMAACgIAAAOAAAAZHJzL2Uyb0RvYy54bWykVe9u2zYQ/z6g70Cw&#10;QD+tke25jqNGKTxnCQJkrbFk6GeaoiyiEskdKUvp2+wZ9gh9sd1RUpo4Abp2Hywf/9397sffHU/f&#10;dXXF9gq8tibj06MJZ8pIm2uzy/iftxevl5z5IEwuKmtUxu+U5+/OXvx02rpUzWxpq1wBQyfGp63L&#10;eBmCS5PEy1LVwh9ZpwwuFhZqEXAIuyQH0aL3ukpmk8kiaS3kDqxU3uPseb/Iz6L/olAyfCgKrwKr&#10;Mo7YQvxC/G7pm5ydinQHwpVaDjDED6CohTYY9N7VuQiCNaCfuKq1BOttEY6krRNbFFqqmANmM50c&#10;ZHMJtnExl13a7tw9TUjtAU8/7Fa+31+Cu3EbQCZat0Mu4ohy6Qqo6R9Rsi5SdndPmeoCkzj5Znpy&#10;PD9+w5nEtfnxZLGYDaTKEpl/ck6Wv33jZDIGTh7BcVqm+Bs4QOsJB9/WCp4KDSg+OKn/k49awKfG&#10;vcbrciLora50uIvSw4shUGa/0XID/QDp3ADTecZni184M6JGzV/VYqcMmyJLufIS1XeL9Nmf2UZ/&#10;FgDi1ctu9TZ+zmlZO6m//GMYnlEgcsFEE2z95e+gJbozQZFoKTIF60MLoubayk+eGbsuhdmplXco&#10;fixJ2p083h6Hj3BvK+0udFXRdZM9MIRQD4T2DMm9iM+tbAhdX5WgKiTLGl9q5zmDVNVbhazAVR4B&#10;idQHUEGWFLDAwH8gWAL6YCGi/AqMUvCoU7Ztf7c50kq0xJr7fp3OZ8v5SdTpvdqQQvDhUtmakYFQ&#10;EVF0L/bXfsA2bhkYJTiDieiofrCJ+ZE8HD2h77vq9KYUTiEEcvtQWKOu1o3IwaKmWCA9sdmC7nrY&#10;TSXNQverxSKNlNN8D3gssIPKns+Xy+lyqN5n63s2Xc7n/4s2vF5b6XyUGvG5roDtBbbnttS9tkkE&#10;D3dVhlRiLJ3qNUIz2B7GhMgK3baLhXcykrC1+R1yABYvE1u/d/JCY7xr4cNGAHZ5nMSXK3zAT1HZ&#10;NuN2sDgrLXx+bp7246XiKmctvhoZ9381glpKdWXwuumJGQ0Yje1omKZeW8x0GtFEEw9AqEazAFt/&#10;xAdtRVFwSRiJsTIeRnMdcIQL+CBKtVpFu+9M1+bGYT+bRskSr7fdRwFuEDMJ5L0dBSXSA033e4ll&#10;71ZYVhc6Cp547Vkc6EZxRys+R2g9eu8ejuOurw/82b8AAAD//wMAUEsDBAoAAAAAAAAAIQCCx0R3&#10;X/8HAF//BwAUAAAAZHJzL21lZGlhL2ltYWdlMS5wbmeJUE5HDQoaCgAAAA1JSERSAAAFawAABJ4I&#10;BgAAALD4fPcAAAABc1JHQgCuzhzpAAAABGdBTUEAALGPC/xhBQAAAAlwSFlzAAAh1QAAIdUBBJy0&#10;nQAA/6VJREFUeF7svQdgXNW1tn3/7/tuy00B3LApITTbktyA0EJJQiCkAKlcAoQaSIDQa+g2BuNe&#10;ZMm94gruGAwuuBvjbtx7lYt61zT5/c+7Z5Z8PBoZ2ZZsAe9z7+KUvU+Zc86MM4/WrP1vEEIIIYQQ&#10;QgghhBBCCHHKkawVQgghhBBCCCGEEEKIOoBkrRBCCCGEEEIIIYQQQtQBJGuFEEIIIYQQQgghhBCi&#10;DiBZK4QQQgghhBBCCCGEEHUAyVohhBBCCCGEEEIIIYSoA0jWCiGEEEIIIYQQQgghRB1AslYIIYQQ&#10;QgghhBBCCCHqAJK1QgghhBBCCCGEEEIIUQeQrBVCCCGEEEIIIYQQQog6gGStEEIIIYQQQgghhBBC&#10;1AEka4UQQgghhBBCCCGEEKIOIFkrhBBCCCGEEEIIIYQQdQDJWiGEEEIIIYQQQgghhKgDSNYKIYQQ&#10;QgghhBBCCCFEHUCyVgghhBBCCCGEEEIIIeoAkrVCCCGEEEIIIYQQQghRB5CsFUIIIYQQQgghhBBC&#10;iDqAZK0QQgghhBBCCCGEEELUASRrhRBCCCGEEEIIIYQQog4gWSuEEEIIIYQQQgghhBB1AMlaIYQQ&#10;QgghhBBCCCGEqANI1gohhBBCCCGEEEIIIUQdQLJWCCGEEEIIIYQQQggh6gCStUIIIYQQQgghhBBC&#10;CFEHkKwVQgghhBBCCCGEEEKIOoBkrRBCCCGEEEIIIYQQQtQBJGuFEEIIIYQQQgghhBCiDiBZK4QQ&#10;QgghhBBCCCGEEHUAyVohhBBCCCGEEEIIIYSoA0jWCiGEEEIIIYQQQgghRB1AslYIIYQQQgghhBBC&#10;CCHqAJK1QgghhBBCCCGEEEIIUQeQrBVCCCGEEEIIIYQQQog6gGStEEIIIYQQQgghhBBC1AEka4UQ&#10;QgghRN3i0KHYjBBCCCGEEN8uJGuFEEIIIcRJ51BMyAbyClC0JwMHl67C3s8WYN2gUVjbbzi+7D0I&#10;K7v2wepeA7F5zCTsnb0A2Ws2oPRgFsojEbetEEIIIYQQ3zQka4UQQgghxEkjWFiE/QuXYNk7PfHx&#10;bffggx/fjPd+9ONjjqm/uQtL3uiEXZ/ORiAvP7Z3IYQQQgghvt5I1gohhBBCiFolXFrqMmPnPPIC&#10;3r/0xoTy9URixIVX4qNb78G6Ae+hLDs3dlQhhBBCCCG+fkjWCiGEEEKIWiEcCGBN2mBMvP53CSVr&#10;rcT5l2P6X/6OHR9ORyQQjJ2JEEIIIYQQXw8ka4UQQgghRI0SCQaxqucAjG3988RC9Sgx7NxLMfzc&#10;S9z80LPbYOhZrTD8h5dW6ledmHDNLVg/cGTsrIQQQgghhKj7SNYKIYQQQogagYOGHVy2GhOuuTWh&#10;PK0U512GQfWbY1TStRjT6meY9/jLWNa+OzYMex97Zy/EjimfYsv7U7Bl1AR8mTYYC55+A1NuugMj&#10;LroSgxskYUjjlhju7SPhvn3B0gubRoxDeTgcO1MhhBBCCCHqJpK1QgghhBDihKEInf/4ywllqT+Y&#10;JTu0SStM/sWfsH3SNBTt3ee2pehlVOCbJdbOKI9EUHIwE7unz8as+57AsLPbYHCj5K8Ut5S2+dt2&#10;xvYohBBCCCFE3UOyVgghhBBCnBCh4pKjljygRGV5g1HNr8G2CR/Ftori5Gs4gqC3DwpYClxmwS5t&#10;1w0LnnoNy97ujtU9BmDDkDHY9clnyNu4xTtesRO2Bufzt2zH4lc7YGybG9zxjiZu5z7+MsIlJUfK&#10;YSGEEEIIIeoAkrVCCCGEEOK4yVm/Ge+dn1iKMoadewkm3/BnHFy6CofKy902nAby8rFv/mLM+ccL&#10;GHHRVRh+ziUYenZrF27bOOFqGbnMoB12ThuMu/LXWPD0a9g7a77bl1+87lu4BOOv+s1Rhe3oFj9F&#10;1pcbJGyFEEIIIUSdQrJWCCGEEEIcF7s+nYMRF1yRUIYO/+FleP/Hv8TOj2ZWZMFS0mYuX43PHnoW&#10;Q5u0dAL2aEK1OkEZPOLCK/Hx7+93WbmhkhJ3LJIxZxGm3HyHK5OQaFvG+sFjYr2FEEIIIYQ49UjW&#10;CiGEEEKIY2bntFlOkiYSoJSwC55+3ZVHcBw6hD2z5mPSz/6AYedc4rJmE213QuHtc0iTlm5+Vbe+&#10;KNqTET10eTl2fjQD7192kzuvStt5wbq3oaJi118IIYQQQohTiWStEEIIIYQ4Jg4uW41Rza5JKD5Z&#10;0mDL2EmxnkD+1h349I6/Y0iTVgn710ZQyo5KuhZfvN4J4dIydx6B/EK3XFUm74e/vAOBvALXVwgh&#10;hBBCiFOFZK0QQgghhKg2RXv2YWzrGyrJTkpQrs9ascb1Y+mD9YNHY1TydVVmtNZ2sEQCpfLG9z5w&#10;50T2LfgCo1OuT3hOH1x+M4p2RzNyhRBCCCGEOBVI1gohhBBCiGoRCQQw+cbbK0lOiloO2GWik9ms&#10;c/7xPFi39r3zjux7KoLnN/W3d6No7z53fqVZOZj2xwei5xfXlwOXFezY7foJIYQQQghxspGsFUII&#10;IYQQ1WLZOz0qyU0GSxyUZmW7PqxTSzF6qrJpqwqez4iLrsT2D6e784yEQpj31KsJyyK8f+lNKM2M&#10;vh4hhBBCCCFOJpK1QgghhBDiK8nbtAXvnX+k1GRQdhbu2uP6MKN24nW3JRSgdScuw6J/ve0GPSPr&#10;B7wXHfQsrt/YNjd4r6fU9RFCCCGEEOJkIVkrhBBCCCGOCuvPjr/6t5WE5nvnXYY9M+e5PsxUnfjT&#10;31fuUweDWbaf3P6QO2ey6b1xGHZOm0r9ptz0vzgUk7pCCCGEEEKcDCRrhRBCCCHEUdm/YEklkUlR&#10;O+vex73WQ05oznvi1cp96ni8f9lNiITC7jWu7Tc8YZ8vXu8oYSuEEEIIIU4akrVCCCGEEKJKysNh&#10;jEq6ppLEHHHxVQjkF7o+u6fPrXM1aqsbHFAsEgy617GkXbeEr2PvnEWuXQghhBBCiNpGslYIIYQQ&#10;QlTJ/kVLK8lL1qTdNuEj1x4qLnVZtvF9vk4x9Td3oTwUwqHycsy894mENXc5cJoQQgghhBC1jWSt&#10;EEIIIYSokvcvvbGSuJxw7a0V2ajT/vhgpfavW1DOzn7oWRwqP4RgUTEmXv+7Sn0mXHOre71CCCGE&#10;EELUJpK1QgghhBAiIcwmjZeWjB0fTnft2avXY3iC9q9jsPzB6tSB7nXlb9uJkU2vrtRn8+gJrl0I&#10;IYQQQojaQrJWCCGEEEIkZNGLb1USlh9c/itEgiHXPvnGP1dq/zrHiAuvxMGlK91r2zBkTKX2UUnX&#10;ojw2IJkQQgghhBC1gWStEEIIIYRIyMiLrqokLFd17+/amH36Tcmq9ce4K3+FcFmZe40f/vquSu1z&#10;/vGCaxNCCCGEEKI2kKwVQgghhBCV4IBb8aKSUZSxz7V/9rdnE7YfTww9q1XCQb1ORfA8Fr3Qzr3G&#10;0swsvHfB5Ue0j7jgChTvP+jahRBCCCGEqGkka4UQQgghRCW2fPDhEZKS8eHNd8RagdEtflqp/Xhi&#10;8s//hANLV7r6uGvSBmNwg6SE/U5mDDunDbK+XOde57zHX8F7cSJ55r2PuzYhhBBCCCFqGslaIYQQ&#10;QghRiY9uvfcIQclY0q6ra9s37/NKAvN4YkzrGxAuLXX7NPK27qiRfZ9oTP7Fn3GovNyd04gLr6jU&#10;XrxP2bVCCCGEEKLmkawVQgghhBCV+ODym4+QkywPsH/hUtfGMgH+tuONhc+96fYXz/S7Hk3Y/2RH&#10;xrzP3fksfq1jpbaFz7d1bUIIIYQQQtQkkrVCCCGEEKISo5KuPUJOjrjwSkTCYdc25eY7jmg73pj/&#10;1Gtuf/Hs+nhmwv4nOyZccwvKIxF3TvFtIy++GuHS6EBkQgghhBBC1BSStUIIIYQQ4gj48//3zj9y&#10;YK3xV//WtXHgsREXX3VE2/HGqORrEcjLd/v1s7Rdt4T9T0Vkr93ozmnmfU9Wats8eqJrE0IIIYQQ&#10;oqaQrBVCCCGEEEfAwb7ixeTU397t2vI2bqnUdiIx7U8PonjfgYr6sLkbNteJmrUWH//+fhw6dAih&#10;ktJKbR/d8ld3zkIIIYQQQtQUkrVCCCGEEOIISjNzKonJGXc/5tp2T59bqe1EYvgPL8XIZtdg+l2P&#10;YPqdj+C9C47M6D3VwfMLFRU7mTyy6U8qtVM0CyGEEEIIUVNI1gohhBBCiCMo2rOvkpRc8Mwbrm3T&#10;iHGV2k4kBtdPwtAmLd0AZoxEfU51bJv4sXvt6/oNr9S2dfyHrk0IIYQQQoiaQLJWCCGEEEIcQeHO&#10;PZWk5NL2PVzb6l4DK7WdSORt2oqsNeux86MZWNGpN2be+8QR7UObtMLwcy85Yt3JjtHJ17nXXnIw&#10;s1Lb9LuiGcdCCCGEEELUBJK1QgghhBDiCBLJ2lXd+rq2lZ3TKrWdSISKi91+CWvDlnNwM1/7xuHv&#10;I3vtBmz5YAo+f6WDqxPrMnC9GNwoBaOTrsXQs1qh//cvdMu1kZ3LfZJIOIzhP4zb//mXI1wWcO1C&#10;CCGEEEKcKJK1QgghhBDiCBKVQVjxbqprW9klvVLbiYRf1hIKW3/7jsmfxFoOM6rZTzD+qt8gf8t2&#10;t8xtSP6WHfjkjw+4OrP+fdRElBw46I4x857HK7Xlb9vp2oQQQgghhDhRJGuFEEIIIcQRlByo/HP/&#10;xa91dG2rew6o1HYicTyyds4jL8TmEpO3dbvLvPXv50SDWb1k+6Rpldr2zl7o2oQQQgghhDhRJGuF&#10;EEIIIcQRBAoKKwnJ2Q8/69pYliC+7UTieGRtdchZu7FGSyKMitWtzVm3qVLbknZdXZsQQgghhBAn&#10;imStEEIIIYQ4gvJIpJKQ/PT2h1zbrk8+q9R2IlFbspZ8cvvDR+zrRGLEBVe4fRYfOFip7cNf/cW1&#10;CSGEEEIIcaJI1gohhBBCiEqMuPjqI4Tk5Btvd+sTZZaeSByvrN09fQ7mPPwcFr3QDpnLVsfWHkmi&#10;DOHjjvMvd/sMlZRWahtx0ZUVdXOFEEIIIYQ4ESRrhRBCCCFEJca2ueEIITm29Q1ufaQs4MSlv+1E&#10;4nhkbe7GLa7EwfAfxsocXHCFk7fxHEqQIXwi4fbpnR/lbHwbs5GFEEIIIYQ4USRrhRBCCCFEJSZc&#10;c+sRMpJytCwv37VNvO62I9pOJI5H1n78+/uP6MNIVIrgUPmR+zrRMMZf/dtKbeWhcKxVCCGEEEKI&#10;40eyVgghhBBCVGLxqx0qCcntk6a5tjn/eL5S2/HG8cjaUc1+ckQfxnAvwoFgrEeU+H2daDCrmEy5&#10;8fbKbcGQaxNCCCGEEOJEkKwVQgghhBCVyNuyo5KQnP/0665t08hxldqON2pK1jICuXmxHlFqWtaG&#10;iqLnOvWWuyu1RYJHimIhhBBCCCGOB8laIYQQQghRCSc642rTTrj2VtcWKipxZRH8bccbNStro2Ua&#10;jJqWtdwfSZxZK1krhBBCCCFOHMlaIYQQQgiRkJHNrzlCSHJAr4Kdu13blJvvOKLteOPrJGuND378&#10;y0ptKoMghBBCCCFqAslaIYQQQgiRkC1jJlWSkqt69HdtX/YeVCPZtV8bWXv+5W6f5eXlCds1wJgQ&#10;QgghhKgJJGuFEEIIIUSVxEvJCdfcikPl5YiEwxjZ9OpK7ccaXxdZO+KCK9w+gwWFCdsPRSKuXQgh&#10;hBBCiBNBslYIIYQQQlTJB5f/qpKYPLh0pWub8dfHKrUda4SKS9y+jLoqa0clX+f2Wbgno1IbpTWP&#10;JYQQQgghxIkiWSuEEEIIIaokc9nqSnJy9kPPuraSg1mVBiE71lg/aBT2fLYAeZu2oSw7x8lbf3td&#10;kbWLXnzL7TNz+ZeV2j6+7V7XJoQQQgghxIkiWSuEEEIIIaokEgpVkpPDvSjYvtO1f/irv1RqP5YY&#10;enZrDGncEsN/eClGJ12LcXGZvItf7YD9i5ehaPdeBPILEC4LYOQpkLUFO3a5fa7q3r9S24pOqa5N&#10;CCGEEEKIE0WyVgghhBBCHJW1/d+rJChn/+N51xbIy3eiNb69pmLYOW1cjLjoSoxOvg4f/PhmJ4sT&#10;9S3au9/JZaPGZO15l9kOMeEnt1Rq37fgi2i7EEIIIYQQJ4hkrRBCCCGEOCrBwsqDag374aUV2abz&#10;n3y1UvupiBEXX4X3L/slpv3xQVe2YN2gkQn7HWuMv+YW9zqDBUUYft5lldpZx1YIIYQQQoiaQLJW&#10;CCGEEEIcnUOHsKbPsEqScvzVv3HZq+WhcK1m1x5rUKjyfGrqnA4siQ6otm/RkkptI5tdg/Jw2LUL&#10;IYQQQghxokjWCiGEEEKIryRUUuJKEfhFJaXowZjIzFqzwZUL8Ld/E2LY2a0RDgSjJRCuvbVS++cv&#10;d3CvXwghhBBCiJpAslYIIYQQQlSL7ZM/qSQrGeWxOrHznnjlGydsOaAY4cBmidr3L1ji2oUQQggh&#10;hKgJJGuFEEIIIUS1mfqrOysJy8m/+LNriwRD+OCKmyu1f11jxIVXuAHUyNzH/lWpfVTzaxFh1q0Q&#10;QgghhBA1hGStEEIIIYSoNvmbt2PERVcdIS1ZDmF1zwGuvWjvPoxqds0R7V/H4GtaO+A995rCpWUJ&#10;BxZb2r67axdCCCGEEKKmkKwVQgghhBDHxOpeAyuJS8rMjLmLXPvBpasw8uKrK/X5OsWkn/2+Imt2&#10;1n1PVu5zwRUo2LHbtQshhBBCCFFTSNYKIYQQQohj4lB5OT65/aFKAnNE06uRu2Gz67P3swUYGZeB&#10;+3WJERdcgZy1G93ryNu8HcN/VDmrdvY/nnftQgghhBBC1CSStUIIIYQQ4pgJ5BXg/UturCQxP7j0&#10;JhTs2OP67J29IGH5gLocw865BOsGjnTnT8b/5JZKg6aNuPBKZdUKIYQQQohaQbJWCCGEEEIcF4U7&#10;drtyAH6RSTn7wY9/ieK9+12fA4uXYfgPL/16SFvvHOc//jLKI+Xu3Bc+166SqGXMf/p11y6EEEII&#10;IURNI1krhBBCCCGOm/2fL6skMylmRzW/BsUZB1yf0sxsjG1zQ6V+dSl4zjPufhTlobA7500jJyTs&#10;N6bVzxAuK3N9hBBCCCGEqGkka4UQQgghxPFz6BC2T5pWSWpSfo646Crkb9/lupWHQpj08z+4LNv4&#10;vqc6eK6z7n/S1eIlB5euxLAqznPnRzNdHyGEEEIIIWoDyVohhBBCCHHCrO07PKHcHH7uJdjy/mQc&#10;OnTIxdbxH2JI4xZ1piwC5fGSN7vEXgWQtXodhifox5j2hwdivYQQQgghhKgdJGuFEEIIIUSNwIG5&#10;EknOoWe1wvwnX0EkEHT9yrJz8PFt957SWrY89qika5ExZ5E7J4rkfQu+cIOHJeo/9tKbcChWy1YI&#10;IYQQQojaQrJWCCGEEELUGNsmfoyRTX+SUHiOSroOOes2xXoC+xcuwfirfuOE7cmUtsPOvRQz//pP&#10;hIpL3Hmw/MH6wSO99Zck7D865XqURyKurxBCCCGEELWJZK0QQgghhKhRMhYsxtjWlQcUc1L23DaY&#10;/8zrKMnMcn0pQVka4cNf3YkhTVpVKUxPNKxW7pSb/hd7Zy90tXZJIL8AM+97EkPPal1pGwazb/O3&#10;7HB9hRBCCCGEqG3+LRKJ5CoUCoVCoVDUtQiHwy44HwqFcoPBoAvOx6/nMucZ/n0w/PupKqrTh+Hv&#10;l2gbLld1HgxrS7Rdotf3dY78zTvyJ97wx3AiAerE6QVX4MteA1GWkxv7n6VAztoNmPfEqxjT4mc1&#10;UiLB9sHpjLsfRcbczysGEYsEg9j8/hSMbnF9hciNj5FJ1xw6sHx1QaLXp1AoFAqFQqFQ1EYos1YI&#10;IYQQdQLWDC0vL3dhg1Ex4ttCoZAL62frbZnh/Y8cF7bsb4tf9s9Xhb+v9bepn/g+/rB2/7LB5fjt&#10;bH18368T5aEwlrzRGe+df3lCGUqROvaSG7DsnZ4IFRXHtgIigQAy5i7C5y+1x6Qb/oSRza7B0LNb&#10;Yygzb8+55EiJG5vnumHntHHTIU1ausze6Xf+A1ven4KS/ZmxPXt415OZtVN+9ZejZvF+8OObkbd5&#10;e2wjIYQQQgghTg6StUIIIYSoE1BUmmTlvB+/zAwGgwgEAhV9/G22HA6HK8lahs3bMWye621bm8aH&#10;9WfYMqf+/v75o0U8x7r+6wTPnwN3fXDpTQmlKMNJ0wsux+yHn8OemfMQLCyKbR0tk1CamY0Dy1Zh&#10;05hJWNm1LxY93w6z//48Ztz1CD69/WHMfeRFfP7yO/gybQj2zlmI3M3bEcjLj+0hSrCwGJu97Sf/&#10;4k/RbFu/8I0LDn7mz/gVQgghhBDiZCFZK4QQQog6gYlJholQBqFQNQHrF7GE0/hlv0glnPe3+8N/&#10;LAvuzyJRu+3HptbX1vnhOu7DH/5+/vZE239TCJWUYFmHngnlqAUF6tCz22BU8nX45Pa/YeOwsSjY&#10;thPhQCC2l8Mc8q634a5bgmtXtGcftk+ahhn3/BMjL77KZeUmOq4/lnXohXBZWWwPQgghhBBCnFwk&#10;a4UQQghRp6B4iw+/PPWLUcuy5XwiqlpfFdbfjuGXqDbvb+N6f5ttb+v9YX0YfvxtnLd1/vimwNdS&#10;uHsvZtz9z4Si1B+urMG5l2DoOW2caP3wl3dg0fNtsX7QaOz5bAEOfL4MB5esQP62XW4AsF0fz8Lm&#10;0RNd6YSpv70bo1Kud9t/VRatxYRrb0X+9l04VP7Nud5CCCGEEOLrh2StEEIIIeoMiQSlSUwG55lZ&#10;y5q1XKY0LS0tdVFcXIz8/Hzs27cP27dvx7p167B69Wps3LjRLTN27drlYs+ePTh48CAyMzORnZ2N&#10;kpISt1//cf34j89jsq//vCyM+HWcsn/8a/H38ePvw/imwddWfCATU355R0JxmihMulowA3do45YY&#10;HhOyw7zlYTagWCwS7SdRbBoxLuF9EEIIIYQQ4mQjWSuEEEKIOokJS7+0tGVrp7TNysrCypUrsWDB&#10;AsyYMQMjRoxAly5d8NZbb+Gdd95Bx44d0alTJ7euV69eSE9Px6BBg/D+++9jypQpbpsVK1Zgy5Yt&#10;2L9/vxO+ZWVlLmM3PrvWfy6JsHMj1p+wvw2MRtFrEZ+hGx9HO9Y3hYLtOzHviVcwOvm6hCK1tmLs&#10;Jb/A6p4DEC6rXGJBCCGEEEKIU4VkrRBCCCHqDPGSkvP+9QZFZ0ZGhpOsFK5paWlOylLOvv7663j2&#10;2WfxxBNP4PHHH3dTxpNPPonnnnsOL7zwAv71r3+hbdu2FUI3NTUVAwcOxHvvvYdx48bhww8/dBJ3&#10;/vz5WL58OdavX4/du3e7LNyCggInc+Mlavw5+pc59QtaC//r5NS/3razfXwb2LdgMWb89bFaE7ej&#10;U67HR7f8FXtmzUd5KBQ7qhBCCCGEEHUHyVohhBBC1BkoKi371CSlX4pyXVFRETZt2oSpU6eid+/e&#10;ePPNN52EpYx9+umn8eKLL+K1115zQtbk7EsvveSmbLPgOrZzG8pdC/Z75ZVXnMjt2rWrE8GDBw92&#10;EveTTz7B7Nmz8fnnn2Pt2rXYtm1bRXmFvXv34sCBAxUy1/8aqoNf1vqF7bcR1o3NXL4aS9p1xUe3&#10;3oMxLX+WUL5+VXC7iT/7I2Y//Bx2fjwT4VINHCaEEEIIIeo2krVCCCGEqDNQ1LL+LKeWVWrikutY&#10;Y3bRokUYMmQI3n77bSddTcJyyqCkZXDe5Cvbn3/++Yp5itqXX365QuIy2E55a8E2SlvbHzN2mY3L&#10;aN++Pbp16+ZELssq8HxGjRqFyZMnu3IMFLmUuCyrQHlrNXUpcTkoGoMyl6/LL3Q5z3UW4jBlufk4&#10;sHg5NgwbiyVvdMK8x1/BnL8/j7mPvIjZDz+LOY+8gC9e74hV3fpi6/ipyFq5BoG8/GMS5kIIIYQQ&#10;QpxqJGuFEEIIccoxSUmBSSkbn13LbNpVq1Zh7Nix6Ny5s5OoFLGUqpSvFK8mbP0ClussuJ5h/azd&#10;v97muV/KW87zOE899VTF8TjPsgomfxk8H8pcStyePXuib9++6Nevn5O4rI3LsgrTpk3D3LlzsWzZ&#10;Mjf4GbNyORhaYWGhe61CCCGEEEIIIVkrhBBCiFqBojU+q9HWJVpv2aT+PpS2zE5duHChk58UqpSl&#10;/ixZZr1SqvoFrE0pUU3EUugy2MbtLawvI5Gstf3yOLa9SWLbl61jcJ5il2UZGFxmWYZ27dq5Qc6Y&#10;iTt06FCMHj0akyZNwsyZM7F48WKsXr3a1cblQGesj8uSCnl5eSgpKanIwq0udn3919LWHY34/hbW&#10;5ie+PZ6jtRH/9tXpJ4QQQgghxLcByVohhBBC1Arxko3zfiFr6/zzBvtYbdoJEya4bFqK0meeecYJ&#10;URO0JllNtPrnrXyBrefUMnBt2WQr5/3B9Yz49Qxuyzabxs8zuE+TtyZw7bg8p1dffdWJZE6Zkcu6&#10;uxzojDK3T58+GDFihMvGnTNnjhtEjddhx44dyMrKcteFJRUocVlWgSUWWFaB5SLir6VdXwsjftng&#10;Ov898vfzzxPOW99EJOpf1fZV7YNYv6PtSwghhBBCiG8KkrVCCCGEqBX8Qo2yzT9wlq23df6+XOZg&#10;XbNmzUL//v1dRioFJ4WnlSKgNKV4NXnKiBepXDZhawKVU2u37bnsl7r+ffn3YX0srK/1qyrYbsf1&#10;S1yKZ2YJW3CgM65jPwpcylsOcJaamupq4/JajBw50slr1sadMWOGq4+7dOlSbNiwwWXjsqYvs5GP&#10;Bq+z/x7YtU8U1m7TquKr2uMjUX/C87KwdcT6WJv/uRFCCCGEEOKbhGStEEIIIWqdRIKNU/8y++Tk&#10;5LhyAKzz2qFDhwqpSelpWbEmW+PlKZf9YtS24dREqbX5t7d5//78bf7+3J+/zcK2+6qw/nY+DNue&#10;U5O5lNJ83QxKXH9JBcvIpczt3r27E7nDhg3DuHHjXDYuBS6zca2sAmvjUn5nZ2e7sgqskRsIBNw1&#10;P1bsPsZLUi5bG6f+e2rL/ojH1lv/+G2sj7XFP0tCCCGEEEJ8U5CsFUIIIUStYHItXriZaDPpRnFI&#10;iUipyEG4WAqAwtJfm5by0kSlSVt/mGzlvMlVClBbZ+GXpon623prM3lq52HbW1jf+PVHCzumPxId&#10;l6/ZMoktrL/Nc3825bUxkcts5HfffdcNdsZBzpiNO336dMyfPx9LlizB2rVrsWvXLidwCwoKXGkF&#10;llXgvWBmrt2f6spQv0C17Ti19f79cN4fxPratha2T+tn662vEEIIIYQQ3zQka4UQQghRa1ComXCz&#10;ZQ6WRSHIedZa3bp1qxtoq3fv3mjbtq0TkRS1JmgpIk1ectlkJqcmPm3eL1e57Jep7Gf7YyTKkuV2&#10;DOvjX2fbc12ifVQ3/OfEffnPi+u5T9tvfF+bt/Pg1DJwGcy+feKJJ1w2Lq8D+7KkQvv27Z287dix&#10;o6v/y4xc1salyOVAZ5S5n3zyCRYtWoQ1a9Zg586drqQCJa4NbmZhwtTC8K9jP95z62/42/zt/uA6&#10;W2/z8dvynDjlOiGEEEIIIb5JSNYKIYQQolbwyzeTcxaUbQxm1H755ZdOFvbr1w/p6eno27evm2dW&#10;KH/qT4FLMUkJ+fjjjzshSRlJeWuS0jJNKVXjZW0iKcpIJEP9fapqY3DZ9uOfr27Ei+JE+7XjM6xP&#10;fF8L68/5eLlsy7xeVlLBhC7Xc1sK3bfffhs9evRw154DnPGefPrpp5g7dy4WL16MZcuWOZG7ZcsW&#10;J3P37duH3NxcN8iZCdXq4H8mOI0XrvbcVBXcRrJWCCGEEEJ8U5GsFUIIIUSt4BdsflFrwo0/uc/K&#10;ysKePXvcT/KZYbtx40b3E/2VK1e62qsfffQRxo4diwEDBrhs0E6dOrkwiUvJ+Nprr7mf/lOAUlZS&#10;1lJMMvzzfoFpYZIzXo7621hagFPu27bjvH8dp+xfnUjUN37fNh8f8W22zH2YADY5yzaGLftfv83b&#10;9tbX38bgPt944w2Xmcsawr169cLQoUNdNi4HOfvss8+wfPlyJ3AzMjIq6uLm5+e72rilpaUue5qZ&#10;1BSsx4s9R0IIIYQQQnzTkawVQgghRK3hz6C04DLFHQUehS0zM03mccrl4uJiJ/s44NjBgwed0KUQ&#10;ZGYna67Onj3bDabFgciGDx+O/v37u6xQCkUKXEpLCkyKRwpby7w1GWnBZZOUNm/92c5l25cJTVtn&#10;ctj6mXj9qvCfg+2L623f/nl/cL0dl1ML268F98+pv76vvT6u5zrrZ2F97Lz8kttEN4PHo7ylKH/r&#10;rbfc9WaN4dTUVHcPeC8++OADJ3JZI3fp0qXYsGGDu3e8h5S4lLeWGWvB58KEbCIpK1krhBBCCCG+&#10;LUjWCiGEEKLWoIQzMcd54hd0iTialON2zNakxOXP8Hfs2IHNmze7UgqUuBxAi5JwypQpGDduHEaO&#10;HOnqsqalpbl6rRx4i1m4FJNWDoBTK61gktJEKvuZuDWp6RemlJ5cx+B8dcL2y+ByVfvh+kTh72v7&#10;8m9n834pa6+H29t6296/rf8Y8X0Yti9eI5afsLIKdv3YbjVyKXFZ0mLYsGFO4o4aNcrVJp4xY0bF&#10;QGerV692948il1m5lPSUubzPQgghhBBCfBuRrBVCCCFErWGyllGVnD0eKHS5P4bJX39mbkFBgRsg&#10;a/fu3U4GMsOTA2ixDiul4cCBA11NXA62xbIKrNfKTFHKXGaOsrQCpSalJOvkMjjoGcUthaRJS05N&#10;bB5LmCD1y1Hbr7XF97M+PK4/Em1jy7ZP9uM624/N27J/W/8xbHuGtfmDfXhN/MH13Bf3bVKb69jG&#10;/lx+8803nTynRH/vvfcwceJEzJw50wncVatWYf369U7g7t+/3wVr47K8ArOtmY3Ney2EEEIIIcQ3&#10;EclaIYQQQtQK9tN1CxO3llXLeWZSWn1TSji/eLV+NrV9Vhf25bbM1ORxKPuYvcmyCnv37nU1cvkT&#10;fcrBefPmVdTHtUxcZoYyS9REI6cmN01ScspltvmDYtMfJkMZ8ettn/HrOG/C1NoS7T9+v7bsX8fw&#10;i1Pu17/O39eOYcfx748R3z8+bFteHyujYJm4Fly2c2CmM+UthTnLKrz77rvo1q2bE+q8F5S5LHnB&#10;wc54n9atW4dt27a5+0g5z2fDwp41IYQQQgghvq5I1gohhBDimDApRkyO+QUZ502e+aGMpSSlHGXt&#10;WZYw4ABjzII1oUqZykxKZsRu2rTJlTdgluXOnTtdpiylLvv6j/dVJOpr58ygGOY58Ljbt293g5zx&#10;HJmNy5/rUxKyBivLKowYMcL9tJ8Zuf6SCsy6tZIKnJqM5NREL8NkZ7zg9MtQvwjlNiZsGbbepCvD&#10;L1wtEglVa7N92n6q6pton/5ItI2FHcPOPX6f1m5C119SwbKYbb/chiKXmbgcZI4Sl6UVKNYp2GfN&#10;mlVRVoHPi4lce65qAv/zwqgO/r7V3c76+SPResM/H0/8Nl8VQgghhBCibiBZK4QQQohjwjJdTfKY&#10;mLWwddZOwbpr1y4sW7bMDTTF7bm+Otg+KHIpUinjKFLXrl3r9pmRkeEkK0Uufyrv/5l8dY9B7DiJ&#10;gtmbFH8HDhxwInD58uX47LPPXLanZeL27t3bicSuXbvinXfecdmhzBJlOQXKRkpHCkir7RqfZeoX&#10;uuzrn7ewZZOlXKbwpKxlmCg1Icqoal8W/v7+9fHruL3t07bx97H9Wxun/uPadha236rCtk0UJoHt&#10;uvEa85rz2lOkjx492pW8oMDlM8dMXMp+e1b4BwL+UYD3lCUzqvOsxD8Thv+Zj8ffN347w9bH94vf&#10;r623MKrqZ/PW5u/nn/f3EUIIIYQQdQPJWiGEEEJUG7/g8UtbTik1GSZ+KE0pVJnxWFRU5NbVFiyl&#10;wGxcSlwKXYpdZleWlJRUnCenJorjX0N1sNfIAc74eij7KIgp/1hflWUVePzFixdjzpw5mDZtmquP&#10;O2DAAPezfpZUsGxSCklKzarkJPtxyjYTnLbsl7P+dtuXiVSTpv6Ib+PUvz87NoP7smPaOlvv349f&#10;FHOe6+xcGNZ2rOHfh/+84rNx2WbnwClrDjMTlwKXwpw1iXv16uVE7tChQ51gnzp1qiupwAHOKOAp&#10;4nlPmYlLect7bWHPiz3Xfvx9EhG/rX+ZEX+ceKxPVW32TLMPqWpfX7UfIYQQQghRd5CsFUIIIcQx&#10;Y/LHasty2S9CKTSZAUtheqrgOVDCURhbeQOrd0q5ynPLyclx/eJFlr2OY4Uyl9m93C+PzYxOHpdS&#10;cOHChW4QLUrcSZMmYeTIkU7kpqamuqxQZuOydivlI0spMGxQMwbFJCUl2y0oLzn1S1GTm5z6paq/&#10;zdr98/HtJj9feeUVN2/rrc36+/cdL2utX22EnYsdi9fIspVt3q4jr5udn9XHZU1i1iZmWQXeiylT&#10;pmD69OlOtC9atMg9v7x3vIf+sgpHk57x67ls/Rnxfxyw9dYvft9cPpZtbJ21G0fr618nhBBCCCFO&#10;PZK1QgghhKgWfrljgody0l9DlvKWmaaUk5wWByLYmxtwbXUFZtuaxGXdXGbEUshR4DJYV5ftzJpl&#10;+QVmCPP1Vhdei3j5ZdfOMnN5bSiQeZ2YicssT4pc1salOOzXr5+TuD179kSPHj1cvVZmjJo4pXy0&#10;sgoWJinZxrAsWL/g5LJfclq2KoPtftHK4DKPaUI2XpAy/PtNdAyuq42IPxe+Br5+/+vmPPvY67Jt&#10;uN6uk0lw9uc1bt++vRO5vAcc3OyDDz5wmbisjfv555+7zG2W8+Dzw2eFpRVYVoGZuTZIXvz9T4S/&#10;jz0fFkaidf6+8fuwiG8/2rrqnq8QQgghhDg5SNYKIYQQolqY3KFwtIxav6xl2759+5x85Hw4Uo5W&#10;ry5F/X8uwMIt+bG91H1Yx5Q1cJmFy8HNONAZpS6FHOUt2xl83Qy7HnzN1YXXi9tQ7nFfFMjcN7Ny&#10;KYltsDOWVfjiiy+cyB0/frwbWIs/52cmrg1wZiUATKzaMqWkydt4iWlhApNTbu+Xsuxv2/i3i98H&#10;wySo9fUvx/etqeC58rX6s3lNzlof/3lwau3+czRhS9nNeXvNvJaUt/5o27aty4CmQOd9GD58ON5/&#10;/32XLc1yH8zE5X1jfVzeS/+z4n/f2DRektr7yL++qj7+fv518eHv4w8S30cIIYQQQpx6JGuFEEII&#10;US0odCh2TDZRQJmkZFAyMvOQ60ik/BBueHcl/t+dM9F+8k637miUBiOYtzEP+/ICKK9j8ohS1V/e&#10;gBm4zK6kzGV2LGUuBS+zK/n6a0J+cR8UfJS4FMXM4mQJBwrBNWvWuJ/qc6AzDqY1ceJEJw05uFb/&#10;/v0rZC6lI7NuH3/8cTf1y0hOLUxccr1JUBOgFlxmUIJy2YSov4+ts34nI+xY9hoY1uY/N66312rn&#10;am2JrgUFt8luylxeQ/91ZB/Kcl5nZj4zC5rZuIMHD3YSd8KECfj444/x6aefYsGCBVi5cmVFGQ6W&#10;VeB9tffPsWLvOXvOOOX70tYx/H38wX4mihn+/QghhBBCiFOPZK0QQgghjgkKJsuoNTHLzNClS5c6&#10;oemnJFiOuRvynIj9KvbnBfB/7piJs59ehJLAV/evC1By8TqwnimzYTnIGWUcSytQ5lLiMsuSIpeD&#10;oFlmLmXZseIXawzeA5ZU4LGtrAOPu2LFCld3laKQg2lRHjILtHfv3k4ocrAzDrzF2q2vvfaak52U&#10;kiZ1WV7BSiqYrKTEpNy0rF2TnYxE8vNkyFo7ls2bZPWfj7+fv4+1x7dxaudu8pbzXOffllO7Ppxn&#10;P14zfykKbsPry+vMsgp9+vRx92LMmDH46KOPXOkLvmco3jdv3uyeFQp5/7PC9xWfl+rIVJOzBudN&#10;zPoFLd+z/j8oVGffQgghhBDi5CFZK4QQQohqQ7FjP+mmDDJxS0FJUemHfV/5YBteen8bdmSVoSQU&#10;QWFZGBGfUPJzID+I//fXz3DmkwtRUg25e6zwsB2m7kS3T/Zg+tocbD5QWi2JfCIwI5fZthSpzKrk&#10;oFXMxOX1opSj3KaQY7Afp7y+JmWri/9e+EsrUOSyPi4zgSkEmd1JSUhZyFqsI0aMcIOc8Wf9HHSL&#10;cpFCliUArD6uyUiTmpynkDSZ6Z/3h/XnPmozTK7a8fxh602y+tdb9jCnJqH9/W0b62PtXOZ6vkZK&#10;WZPZ/uvAdbZMgct9cTsGr/Hrr7/u4q233kKnTp1cfeJBgwY5uc57M3/+fCxbtszdL5bCsLIKvKcU&#10;9AzeY3sfEj4v/meG8/YccWqy1i9uhRBCCCFE3UOyVgghhBDVwqQPpSBlj0HpOGzS7AppZLD/Ld2+&#10;xH/8bQ4mLM3EnI35+N5Dc/DEsE3oMm037u67Hmkz91YI05qWtfmlYezKLkNRGbMIgbySMP7PPbPx&#10;Xw/MwX/cNxv/ffcsnH7/HDR/7nP8pssqvDB2K0Z/cRArdxV5fUOxvdQsJs14DSlVKd1YWoEyl+UN&#10;mGm5YcMGJ+dYVqK6WZVfBffBY1IIc7/8GT6PweNSHFMkUw7aQGcUhuPGjcOQIUNcNi5FLuUipSMz&#10;b/3BdSYrTWIyTIqe7OBxLShHbR2nJlpt2aYMv6C1eYa1W5h0tW1sfxZcb1O2m9Dl9bG6uCyrYNfP&#10;P8AZRe4777zjsp8pcNPT011pBd4HZuROmjTJ1cedPXt2RY1c3kerp+x/X1YFnwULPo+MmnjGhBBC&#10;CCFEzSBZK4QQQohqYXLHxA7nKYg4ANZVby526/yw3y3dv8R/PzQXE5dnYe7GfPz7fbPxH/fPxv/n&#10;xb/9ZRb+44HZaPzIfNc/kawtKosgECpHmRfHyoy1Ofi/3vGSn//c7YOy9j8enIv/+Ntc3J6+Di1e&#10;WYLvPDzPnd93YvHv98/B/73TOy/v3Br+fR4ue3UJ3hi/PbbH2sWuL4VbXl5eRUkF1sVldqXVO+V6&#10;BjNmre5pdeExqgoem1m93CeFLrNxeWwOGEeBO3XqVJf5OXToUPdzfv6sn0IxLS0NnTt3dgNwUehS&#10;1D7xxBOurIJfSFqJAJO5iUToiUQiiWpZsyZP/W02b+v9kpnBNmu3dQwew5+Na8f192HYfuOXbRtO&#10;uX8e04SuP+xacWpCl9nOViOX1/699947QuBS9vNZ4X1jSQw+Jxz0j38QoKjnHweEEEIIIUTdRrJW&#10;CCGEOAWYIPsqEvWzddXZvqbhMSn1iJU/eKzHNLR6bYlb54d9K8na+2fj/z04B2v2FGNndhn+88G5&#10;rv3DVVkVsrYRZW0ggrFfHMS/PzDHSd0+s/a6/a3aXYQPlmR62xchHDn6NaCspZxt9eoSBMKHZe0N&#10;nVa69qC37ozHFjhhe7T493tn40vvuMdDOELZzExkZjAevm9HOe2vhD+FZyYlZRzLKmzatMllylLG&#10;+eucWrkKyly/ZK8u7G9ZwFZegT/FpyRmfV4enz/TZ43cGTNmuMHNKHJZUoE/72etVgYlLjNGrawC&#10;g/LSLykpJC1MmvpFqj8SiVATqCZNbR/Wj/uyvjZvbSZbbb0t+9s5te2t3fbl359/W+tvYfszyetf&#10;z23iz99/Lew62XZcx+NyG15bDnTGqZVVYGYuM3JHjRqF8ePHO9nOP6rweWFdXHtOrKwC762VVDj8&#10;jFb/eTmebaqD7S9+//HH8beR+GUSvyyEEEIIUVeRrBVCCCFOAZQiiQRavGRgHwozW8cply386y1q&#10;GzsGBQ8z+Zo+MQ3/8/A83Nh5Fbp8vAvLdxZgf37Q9Uska69otxyR8ug+nhy5xbU/Nnxzhaw966lF&#10;GDJvH/79gbn4P/fOxoA5+9x1+Eufdfg3b/m/Yhmw3/v7PMxcn1txPmXBCHZkl2LrgRIUByJVytr/&#10;fnCOm88pCuHcZxYlFLT+YMmE1ccpaw/m5CMrrwAHc/NxICfPBZfzi0pQUhZE0ERu7N7FXspxw3vC&#10;wcb8IpfZlVzHbF0Tcv7nzx/HAiUupR+D8pgZnDwWa+Ny0CyWVVi4cCGmT5+OCRMmYNiwYW6QM2bh&#10;MjOUWbhWFsCEJAWliUlKSZOX/jA5yjBpacLTRCnXsY19/GI0Pthm2/qn/rD9WpttxymP4z8fa/P3&#10;jQ+u97dZf5O1jKP15fFMbPM68Rr6M5hN8nI/vMZt27Z1A8pR4FKkU+KyVjFrFk+ePNndn0WLFrnM&#10;bYpcynjKf4r5RM+IhWHL/mfqeLD92Pa2T5vy886/7O9nn4cG2+P7+JeFEEIIIeoykrVCCCHEScSk&#10;gYkDW/aLCL9QsHZbZ8sW1t8ftY0dgxl502bOxXfvmon/fCBaC/a/Hpzj5Ot//W2u65dI1v6i48oK&#10;Wdv5412u/fH3Dsva7z48F/+X5Qi8vqM+P+j2w7qzLF9w1pMLsSOrFMXecotXl+C/7puNzMIgQpFy&#10;XPzCYvyHd/x/u2c2vuf1/df72xPL2ofm4Ade+2l/n+fOk/KXwfOoaVlLMXu0yIyTuLmFxSgqKUNZ&#10;IIRQOOIGY7P7GrvsxwSFKn8Cz7qmFHE7duxw2dCUuQwus9yByVxm49r9PVH4TFsWMI/BWrwUuAsW&#10;LHADaLEuLrNxKQ5ZVoHlFFijtXv37mjfvv0RJRUeffRRN40vqWBi0sLErT9MfsZLVYbJUevLPrYf&#10;f3//vH/f/rB2honX+Pb4/TLit7V1jPjz+6qw7XkMuyYmdXndWJqCwevHc2RJhXfffdfVJWZd3IkT&#10;J+LDDz90cp0S1wY4473jc7Nz504n5fPz890fBo7nWeE2JlcZ/n1En/PDYZ9xR/u8Y/jbObV9+9fZ&#10;vBBCCCFEXUeyVgghhDiJUBaYRPAv+9cZbPPLhfhlo6r1tQmPRwk4b/4CbDxQgk++zEaXj3bh/r7r&#10;cPmrS3D+Pxe4Pr/uvAr/cc9nGLckM6Gs7ehtEy9rmzy50GXRUs6mx8of5BaH8F8PzcMZj83Hbd1W&#10;46X3t+KeAevx7w/OxdD5+/H8mK1OuF70wmIMnr8Pb07agdMeicrWeFn7P/fMxhbvnMcvy3Q1bX/2&#10;7kpc1W45Tnt0vsvYZR9K3JMha6sKStyDOXkuMr3lnPxCFLhs3IArqxDyiajjvfXclqUTmEVpMnXL&#10;li1untmVrFvLKCgocNKVco7lFRh8XqsDz9GebU6Z2UshzOA++QxRFPO4VlKB2bisj0uJy0xcZoXy&#10;5/0c5IyDbzFTlD/7Z1kFTikzKSQpISl0rb4rhSUFJqcmdU2EmjT1i85EfePFJ+e5Ll6iWl8L/z4Z&#10;1te29/exZbZZu7Udb8Tvk2Hi1rKZuc6kMue5HQU5ryn7ctqlSxcnclmfmJnRrFlMyU7Zzsxtyn57&#10;Vij7+axYbVze40Sfa4TPHtfHt3E5+kxHH2r/PLHlRGHtPGaisH0LIYQQQtR1JGuFEEKIkwyFgYkK&#10;Ew2JRIIJBhK/jVHV+tqG57Z9+3aXdZcIDgzG09mwrxjD5u/D2r3FWL6zEK2eXIhbOq+qkLXtJ+/A&#10;fz445whZywHGcktCOO/ZxfjP++dgb26gIrP2gucX4+mRW3DjOyvQ/OlFOOPR+Wg/cTvavLEU/++B&#10;OZi/Kc/tlwxbsB//6W0TL2u/e+9s185BzP7t7s8wY22uW+4ybTeW7yjEgs35bv5//n7qZG1V4Ze4&#10;LK3AdXmFxSgsKUVp4HBZBT4LJ/I4UKpSpvKn8JS5zMLloFUbN250GZasWcs29rPn9ESeQ4pg7o+i&#10;z+riMoOTMpDH/PLLL53M5c/1KXJHjhyJgQMHup/0UyZS5FI6WkkAykiTq5zasklTyzY1Mct+bLOg&#10;xPRnx9p+OGX4ZSjXM9iP28RLUuvP9vhj2P794e9j+7LtjyW4jYV/Pfdn52zhvx6U3Sa9rT/3wZq4&#10;zMSlMGddXGZAU+LyPrBWMevjMjPX6uOyFAafGz4rlolr9ZMTPStc5rN0tOcn+lxHP/PY19/f1lsf&#10;BtvtjwNsE0IIIYT4OiBZK4QQQpwCbNAmEwiUCsxYZEYa18eLB7+csPXE2vzrags7FwbFy+rVq12N&#10;0mOhNBRBQWm44lwXby3APwZtQIepO3EgP4Dv/mUmvv+3ua7m7JyNeU7knvXEQid3L3l9qZOzG/eX&#10;uGXK113ZZcgsCOGKt5bj372+y3YWuv2SHVllLlO2urKWdWMPFAS8axk9t4Vb8l02b12StUcLJ3Jj&#10;4bJxC4qQX1SM4tIylAVDbrCz6CBnsZM7Rii8mDnJYCalCVX+NJ7i3korcB3bKXv5nFcXe7YSwfV8&#10;9rlPyj/WxaXAZXYn6ybPmzcPn3zyiZOFY8aMcVmg/fv3dyKXmbkc6IxylGKSUtKycBmc98tdC7/k&#10;9IvP+D7+ftbX38f6HW2dfx9+kcv1Fv5jVCf82zJsv/52O75/O4b/HEzgWukJXieT4v6yCuzLrGdm&#10;47KcxaBBgzB8+HC8//77rrTC7NmzncRl9jRFLu8hs7iZXW2fe/wcqw72ecjnywQwnxH7LLT9cGqf&#10;tceyfyGEEEKIU4lkrRBCCHGSoVTwywMGMwopuVhXlKLLL7lMQsTL2viobfzHojSjJONP2GsCyleK&#10;RGbRMgM3HIlKlWdHbkar5z/HP4Ztwr68AM57ciFOe3AOftp+OS589nNc+NQi5JeE8eGqbPz73+bi&#10;6vYr3HY8x/e/yARr2FZX1g6et8+J4ivfWOqWg942/+e+z742sraqiJe4XJdTUFiRjcvauCcicQ17&#10;LpiJy7IGHNyMWbFW55SSlYKXspfZswwOTnYsQpfw+TdJZ8H3Ev+AYIOd8ZgcMIslFaZNm4bx48c7&#10;gcu6uMwIpVBkrVbWxmVYaQUKTIpHk7gmKf1ZuJwyTHJSajJMfpocZZj85HqTwZwmEsOJtqMAZdhy&#10;dcO/nX+ftt7fzjCJy3OxZbZzO3u99vptX5zndbHrw225jX9f/m1YYoFZubz2vA+skcv7MmvWLPdZ&#10;wvvFrG1+pvA54X1kaQVm5fK5srIKfvjM2eehLfs/I22dPSPx2wshhBBC1EUka4UQQoiTiMkFv1Bg&#10;VhllFn9mzowzCgsKW8oFtvuD2/iD604W/vOgaPv8889rTNZWBbNdy0LlyCkOuWXWrh06fx8eHrAB&#10;f+q5Bmmz9jipSm7ustrVsP3RC5/j8rbL8J2/zUlYs7YqWfvn3mvx317/f/vLTHdcCuQfPvv5117W&#10;VhWUuBZO5HrB9SyrwGzcQCwb17sUJwRFmdW7pUxlNjYlLrNi+bwzu5LPE/vFP+P+Z45RHbgd3zs8&#10;HvfLzE3KP8piSlxKZIrB5cuXY+7cuZgxYwYmT57sfsrfq1cvV1LBxC3DhKoJVk4tEi3bNpyaFOU8&#10;BSbr7DJManLK9Yz449n2Jj+PJfz7t/36I1F/rrfXwKBotYxjtnF/PHc7H66z8/QH15nEZfatf1A4&#10;2z+Px3298cYb7nqzrELXrl1djWIONsd6xczIZX1cytzFixe7z8ddu3a5+2llDex5sc9Tkuh5sX7W&#10;RwghhBCiLiNZK4QQQpxETBqYTKBkoMCi9ORPyCmvKLEolJihmCjz0KSD7YfY/my5NuExmPHGn55z&#10;eirgOVjdW4PL/efsw++6rMblbyxDhw934v+77RM0e2ZRtWTtHenrorL2rlluX4ymL31RS7K2CB+P&#10;SkevtDR8Mn0eDibsc2rCL3FXrF5TUR83m4OcFZegjLVHI97z55632As9Dvj88tmmeOMfLChU+YcK&#10;ily+D0zOcT2zK/leYN+vesbtfZCon63nsSmQrZxDRkaGe8+xLi7FIAUha+My83P06NFOIPKn/czK&#10;pVjkgGcUuhSQ//znP/Hoo4/i8ccfd1LSRCVlJ+UlxaZJzXjZabLUwoSnRXz7sQSFKIPz3BfPwSL+&#10;OP5+NqVYTZQx69/Ofxz/eobJXf/+LNPWgtfJSilYJrMdzzJxeb1TU1NdbVxK3AkTJmD69OmYM2dO&#10;RW1cyneW4mDWdiKO9kwIIYQQQtQ1JGuFEEKIk4wJAwojZgBSVPFnvhRSlFNWh5ODd1EiMTvQfgJs&#10;28bLh/jl2oTH4E+UmZV4Mo53LPivA4NlFb7cU+RdO7+s/cz1DYROoazNL8aY9Lb4dOFqfDpjPnYV&#10;lyK/uBi5RSWuPSpLE2znredzkLCtFmLFqi8r5v0Sl+UUDuTkuaDIzSsqRklZIFpSwV372AU4Tuz+&#10;UaRafVq+H1gnmSUWWC6Ef8xgliWDko6ZtHxPVRfu35/h7g9KZCupwMzfDRs2uPfk/Pnz3QBarMFK&#10;iTtgwAD06NHDCcWOHTu6KcsqUOSaxKSUtAxTyk8KSc5TVHI5vryARbwA9bd9VVh/OwfOJ5K1/mX2&#10;ic+eZZutZx//uVqwneFfx+A1YHBb7ofb+bf3nxfX2XlwavNst+382/IcOeAZ6xGzpALvw9ixY90f&#10;kCjd+XxkZma65yL+FwpCCCGEEHUdyVohhBDiJGPCwJ9ZyCmlAjNVmSFGKcWBeJhdSFlEaUXxwGzA&#10;UykcTHgwE/izz6LS8+tCbnEY//7AHPz3w3Nx2kNzkPTC5/gPb/mfwzdh+pps3NJtdVTW3jmrogxC&#10;7cradhg9+RN8uWk7Sso34R+Pd0R6rx74fO02bNm8ARlZeU6M5hZEJS4zW3OyD+J/n3gLxSWFbj9s&#10;r7TvGgxm1iZaX1VQ4jIT1yRudkEhikpKURYIIcRsXO+a2jPk/f8Jwz9w8P1h2bg7duxwzyZrQJuI&#10;9U8Zdvzqwm35vuM++YcTBo9LSczyJSzrQEHIsgosDcKsz5EjR6JPnz4uE5fylnKRctKkpwlHrqOY&#10;pIikuDUZaaKSU7+89LcdLb6qn1/isp9fjnLql6e2jfXjvD9j1t/H38/Cvz6+L88hvr+FSVrLVK6q&#10;fjCXuR9/SQUKdA5uxkHN+HnKe2dSXgghhBCiriNZK4QQQpxEKAsoDUwccMrMWkpayh/7uTflLAUU&#10;hS3FLWUQxZBJKJMOnFrUNv5jMeOXGYZfJ8q9S3R9h5U4+6mF+M7Dc/Fff5uL/35oHv7f/XNcnVpK&#10;Wda4/e+H5uLnHVbgudFbcPbTi2pV1g4f9xG6DxyLUPlO3H9/O+w5sB3333Efxn40DY883Q47M9bh&#10;xefboW+vLhjz0QLk5hzEXU+9g+KSIidv82KZuLUVxyprjxYUyy4bl4I5vwAFzMYtDSAYCkfLKlSI&#10;3NjFOw743qBY5fuIEpVZucyK5R89OOV7inLXXxM6nkTrqoPVyLUB1pgJzPcvBS7LKnCgsylTpmDM&#10;mDFOJHKALWaFcqAzSlzKSA5s5h/cjCLSLycpMU16xovPRJFIyPJYJorj+1tfO5Z/e38fv2S1Nq5L&#10;dDyLqtr96xicZ7DdzsOWbR9cz+C14XXi9WHw2j322GNuytfJOri83vwVAJ8F3iMhhBBCiLqOZK0Q&#10;QghxEqEIMllryyyBYDUzKZJs5HP+BJuCgXU0KWw5z34UUX7RxKk/4jla27Hg3w9/ZswMwq8jPP+M&#10;vDJ8tj4XqTP24OEhG3Fj55VIevkLnP7ofCdrKW2ZhfvvD3pxb+3UrB3b9210S+2Hj6fNQE54Gx54&#10;pBcyc/fg2UfaIre8FN1fegUr96zH0y92xr78EvT810PYsv+Ak7WFeXuQ1qktOnbuiiWbMpCTm42V&#10;K5Zjw5adbv/Z+UXIyY9m31ow4zWnoNhJXv/6o0VNytqqokLiepGZl+8GOHPZuN57gGUVIrE/bLiI&#10;Xdfjhe8tDjTGbEvWx+VzbME/hvCn8xS5Vh/XsnKrA8/Ppv7tuMx98Q8tfE+z1AmlMUs7UOR++umn&#10;bjAtylvWxWVWKCUjyyowK/fNN9+sKCdAaUlBaWUVrJyCP9OUU/ajkLVMXopOC8rOeFlrEtTWmTSN&#10;X7awffn7MexYnPrXWR9O/X3i95FoX/FtnNprZTvX2bWx18/1NmXt286dO+O9997DkiVL3L3mZ6j/&#10;/thnsn9eCCGEEOJUIVkrhBBCnGQoBBgGxQ4lDrP/bFAlCiNm3DJTz2pm8mfeDEpbZt6ydIIJBpMM&#10;tl//1OSDrTtRuB9KY46i/00jrziEFTsL8f4XB/HGxO34S/o63DtgPXK99cdDIjkZDWaXFmLzth2Y&#10;NWcedhVnoXPPCd76DLz89LvIDZegy3MvYuWeDXji6TewJzsfIzo+h4V79uKupztg+7zheOLNVIwZ&#10;2Q9Ptx+CD1JfQ+chE9Cj42v4YPFuLJ0+At1T0zF59mp3PAraDyZMxNPPPocu3Xtg3MRJWLyUcner&#10;75wqx8mQtVUFJa4b3CwmcVlSIb+oBMWlZSgLsqwChWhM4tbAo02RyxIKHKyK70P+8YRlFfisU7Qy&#10;K5NB8crsXc6blK3ue4v9+L7l9larmu9xZtbzM4DH4vubGbmsj/vJJ59UiNy+ffu6gbb4U3/KVn8p&#10;AspKBuWkSUxr47JJTL/gZJuJUpuPl6Jcx/7xfbnOjhHfN77NtvMf09axH8/Llqsb7M9t47ezZWvn&#10;vm3/FN4U4BwsjuURKObt3tlnJIN/CGMIIYQQQpwqJGuFEEKIk0hULB0pawll0NatW93gYvz5NH/C&#10;TWFLMUSpw2wwSiRm2bI2Jn9m7R9Ah/j3beLBv87iROE+mIX4dSuDcCpIJCGriux8b5pbgLziaGmD&#10;Des3Yce+DXjhpY7o3y8Vb3YfhsysTPz5sXbI3rEEz789EJt37MS2jL14+5kXsT2/BEWlBXjo+R6Y&#10;2ucVDJ4wC+u37/XtvxBdu/fA3ffcg3vuuw9/uv12DBg8pKI9UVQpa1nKINH6kxBWF9dJ3FhJhdzC&#10;IhQUl6IkEHRlFQ5n48ZuxHFgQpbvTb7XmJHLP5zwvWd/OOEfVlj2gH1q4r1F+L7lcfne5r537tzp&#10;xLHV5V24cKErq8DM9gkTJrj6uEOHDnVZud26dcNbb73lsm0ff/zxijqvVvPVli3rlBLTgpKTQtXE&#10;r0lPBvvGy8/4sD6c98vTRMficUzess3fn2HLNRHcHyU1M5J5LpS2zF7m5xfvqX1O2mcmZbr/D2FC&#10;CCGEECcbyVohhBDiJGJSwC8BOE8xRAFKGUMhSznDn2pTJtiARhQ3zPSj0LXBx9iHtW4pFwzujxl/&#10;8Vl/nPqPe7xwH5K11SORbDyW2H9gA554vjtyS8qQW1DoJOnmnRnIyS/AF/M+Q9+Bg/Hh4k1Yt+hj&#10;vNqhO4b374TXBs7HxrWrMevj8Xizx3tH7C8zJw8v/utl3HHnnRjz/jjkFZce0R4fiWQtpfLMcaOw&#10;PTO3UpvFV+23NoIS12XjesEpl1kKIq+oGEWxbNxw2LJxYzfoOOF7i0KVf1ChwOX7kmHlFTjlH1go&#10;efn+pHjlH134fjwW+F7jNvY+5pR/nOHnBUs18POBf+ThZwF/4j9v3jyXjcuauP3798fAgQPdlBm5&#10;LAXQoUMHV1qBg3ExM5cS02rkxtfJpdik7PRLWBOvftHqb/fLXn+bvw/3advz+JxamQfOW5+aDNuv&#10;HYPrunTp4q4VryHvJ7HrbNeaUyGEEEKIk41krRBCCHESqUoCUBbwp9A2qBizaxmUMJRAlmVLQcNl&#10;1rC1WrYUQ2ynwOG+CacmbBMJB66zOFa4jWRt9UgkFY8lKFfXb92dsI2RU8CBxjifjz379mPjtl04&#10;mFeE+Z+OQ+du3TH0o6WVttmflYOFXyx127rM1Lh2fySStQf3bcFdt/8FPScuRg7LOXjrCksDLnOX&#10;89nes9j7nbexp7D4iO1OVZjE9QfX83xZVqGkLOBq49aExDX4xxOrj8s/vPB9zPcz36ssd8D3MeUt&#10;hS/ftwxKWMvqrO77kn35uWAZ+Dwm980/7vA4PD6Pyc8KllXge/bDDz/EqFGjnMTt1KlTRU1cy3al&#10;yKSUNVlr85ScfunKqclbLvtFLeetzfZr/a0fl00Kczm+jm5tBI/lD5ZFmDp1qis/wWspWSuEEEKI&#10;uoBkrRBCCHESMRHgx9ZR2PBn1RSwzLDllMHyB8zWY51aChn+5Jq1NZlRx0GKKIE4zww/ZvD5s8T8&#10;4T8ul9mP02OF+5GsrR68vvmFHNTrcNbngdiUEjFeLFYZMcFY/Sh0MjZxW/RcEq2Pj0Sydubgdhg2&#10;axPuu/9ZZOYX4eDWpXjw2ecxcfp0bNpzEDmFZdixbiFGzVyJbK+/DXRW6Zi5ucjNz/Pmj/W11VyY&#10;vLV7w+B6llUoKilDMBTy3ic1I+34fqNUpaDl+5h/YGG5E8pcZsvzPc73NUUr+3zVMdlenfPiM0iJ&#10;yz8GMcuXx+BxrZwDM3Lnzp3ryipMmjTJlVVgfVwOcvbOO+84kUsZS7FqGbhWWoHrrA4u+1iYHKV8&#10;taxZ9rG+JnXZl8vsG79tbQQFrR2P8zwfvkaWk6DUts9Du7bVub5CCCGEEDWNZK0QQghxCvCLAJtS&#10;5vBn05Q3FLAUsRaUtlzPUggUOcwCo5ilYGA7ZQ+nrG9pdWxtvyZmTeISW2dy4ljgfiVrq4/da0a5&#10;F8ziLA0EUVRcEi1tEJOGxyVxazkqydqCXDzw80tw32OP4+4bLsH8nfm488qbURIIYNmEtnhq1FLM&#10;ndoVDz32Ev78wGvILcvEyImfYcbMGcgqKnWvM9ublgTDKMzcibseeRn784vd+iOOc4rDBK7FAdbI&#10;zc1zg5wVFJWgzLt/4ZjE9f7/hHDPhfc+5B9rLBPW6tMyI5fzfF/zjzEsrUDpSvnK/ty2Otjzlyh4&#10;bH5eWG1eSmN+3rA2LgcRnDx5MkaPHu0GOWM2bu/evV1tXJYRePfdd9G2bVsnZSluWVKBtXKtXi7X&#10;mdQ1WUtJSllqg6RxW5O2jNoWtpbZyynPhef2+uuvu9dJmc1rIoQQQghxKpGsFUIIIU4BFCQMvxjg&#10;PH/CzKw3ylrLsDVhy3mOFE9Ryn6UtvypM7NqTe7aT60pHShz7Bgma2tCRHAfflnLZXec2LEsvP+4&#10;dlE9mMHJTM6S0jLkFzEbtxCZeT6Je0Qklow1HfGydsvisfh7jw+RV1iMveun4p99P8bPLr0RZXl5&#10;yN44Dk8P/QLP/+lq/P2B+/Hbq1piyBdrcPX1f0R+oByXtLkTJSX5ePrmy/Db227BJ0s2YcGi5cjM&#10;L0HGvoyK18vjrPpsEPpP3xYrYZCHskBU9Np58FrZ/KkKk7gMnnduQRGKvXsXLanA97dfisZu8gnA&#10;jFtmxW7YsMH9cYafBZZt7y+nwOxd+0m/vf/d+7GacBtuT4HLfVEM89g8FmUyM3KXLVuGBQsWOJk7&#10;btw4VxvXBjd77bXXnIRlRq3VxaWEtQzdp556yolcy3Dl1AQuBapfrNZ0mAjmcUwSU9byfCif58yZ&#10;4zKeeQ2EEEIIIU4VkrVCCCHEKcAvUvxQkDC7jdKVQoaClvMmbSlwuczsN/ZjNpyVRWAGnr+d6yh1&#10;KV6OVdgcDe7HZC1fQ2lZGVYt+RLTOvfFl5M/xv49GSjOy0eAGcAR79hHSCvvHGroPL4tRLNxwygL&#10;BFBQXBItb5BfUPGz/SMlbs1mqMbL2pyiUhSVlkSXvfnX/tUJ2zeswB+fegpvP3c7nhq9HIPbPYT1&#10;mcXec1GCvNIM/OHpAcgpjeChn12N3IXtMG57IQpLS3Fw6xrc93hb73lZhs7d++GXN/0We3NjdW8z&#10;t+MXf3kVxYUF2LFoPB7t9aGvLm4hrmrxWxTFSktU5zXX9HU5WvBYJnF5f1gGorC4tGKAs0gNS1x+&#10;ZvCPNiyhYp8BFKr8ow8zcSlZKXPt8yY+jhV+nvAzhwKXfxTiZwEzfymRWRt30aJF+OyzzzBt2jRX&#10;VmHo0KFIT093ZRUobC371rJtraQCxSnlbrxgrcngMUzYMiiJ/aKYwnnx4sXu9R3PtRFCCCGEqAkk&#10;a4UQQoiTDCVAVbKW62ygMcpaC5O2FLYUIgxm1rEsAoUsg/KWg49RmrAvpxQ2lCrMkPMfi/PHKyO4&#10;ncnaYDiMsS++i/T6yehTLxnp378I6ac1RZ8Gyeh/Vhu8d/nN+PihZ7G4zxBs+XwpsnfsRnFuHgKh&#10;YCV55P0ndgRRHXjNKM4CgaDL6ORgWTmxsgo1JXET1ayNjxWffYyCwkJs/LQzXh+3EjnZ+/D6Sy/h&#10;/ufexf7CffjL84ORUxrGvT+5HDkHFuC1MV8gJ78IBfs3Olm75vMP8fgTT+P2m1tjwprooGSs8fvu&#10;Y7djR2k5Br/+AKatWoOXn3sWb/Uajuy8IlzT5jYUe681mxmt3uuOnguX+forv9aD2ZkJ15/s4H0x&#10;iesf4CwY4sBi/mxc7/7G7vPxwAxbClx+PvC9yj/eMJh1z+DnBD8b2IeZs/x8qKnMeyupQElMWczy&#10;LTbA2ZQpU9zgZhS4ffr0cWUUKE9ZB5cZt8zC9cvU2ggKYjsOwzJ8LduX5R74+cnrUhPXQwghhBDi&#10;WJGsFUIIIU4yURkTE5S+ZYOSgJlqFLTLly93wXnWr+RgY5Zhy3UUIcyoY4Ybfw5dWFjo5IwNWsS+&#10;VhaB2XUmZOKPeSxwO5O1OzZuQ1qjlujfuFXiOLMl+jZIRvppzaISt34y+nr9hyRdhwl/fACz3+iI&#10;1eOmYM/yL5G7ey+KvdcejklcZpS6czzO8/w2w/tMAVgaCLiszrzColiZgcMZuSZ0E0lFi+rI2o3z&#10;P8Drb7TF357vgP15ZUe0sVxDSSwTd83qL5FVXIKJqS/j0Sf+iVlfrMbfnumAMT2ewZR5GzCq7Z8r&#10;ZC1j9Yd90X/6cjzy5DvIzsrAxx+MRffHfonpX2bi2ja3oTR7PZ78+7N48cVX8fmWPVj02aeYP2cW&#10;vli50b3OnKISJ32Z2Tqtx1OYuac0dk6nXtrGh7sflLhecJklFQqYjRsIuvvIsg9RkXtiEtfgH0r4&#10;mcDPCf5hiJm4lLlWE5fB2tf2hyCrk53oD0xVwWeQ4ja+pIL9EoCfTcy+HTRokCtB8MYbbzh5yoxb&#10;K51Q0+LWBjWjGOaUmb5cz8xermOWLUs5fPDBB+5zk+cuhBBCCHGykawVQgghTiJOQsYJDy7711Fq&#10;+GtTmphltheD835hywxby5KjsKUQoUyl2KXo5T4oY7hPihKKEx7veOF5mqzd9sUKpJ/eNLGo/Yro&#10;17AF+pzRHH1Ob4Y+9ZPQp0EKBv7ocoz5+R/x8T+ex6Ke/bHp08+wf91G5OfmIhS7RkdIXIaoNrzv&#10;/Cl+IBhCcUmpq41r2biUmH6Jy1i+6ssjpGJVUVwW8PZX5uRsovb4yC30jptfiBxvmpVzEB+8/z6G&#10;f/A+FmwrOtwvcw9+d+stGPTZWrzX/lGkfbgKQ1+7B9NW7nOydutHvfGHh19G1w6v4nd/fxedHvtf&#10;9Hp/Fl6973+xbNtBTEt9DY+//DpeSZ2KLcvmYF9hAXbt2oH9WXlO4mbx+AVF0bISPF7sNVcc3xdW&#10;S/dkh1/i8tx4zZiNy0xqllWI1sc9/j+8xEPBys8RBjP1+dnCPxLxs4jyMiMjw32GsJ99ZsVHdeFn&#10;FY/DPzbx8+zTTz915RIoT5nlSnFKoVrTwpYS2ESw1cjlsfzru3fvjrlz57rXKoQQQghxspGsFUII&#10;IU4i8VKDU7+sZVCEMEOWgtVKIDAoZy1b1i9tKWUpU9ifAwBxW0oGyhYOPsZtGMygo2xhxlxVGWN2&#10;Pv7zszA4b7J2+xcr0Oc4ZW1V0a9RC5eN26deksvE5bRfk1Z475IbMfGPD2Lmi29hxfCx2LHgC2Rn&#10;7EOZd70i3jlR4vLcvRmeZOxsRXXgtYtmQkazcYucyC3Cpm3bnaiMSsPDIjeRWKzp4HFXrPoS+7IL&#10;sG3z5/jXcy/hib/ehk9W7cePm9+Mgi3T8WDXGTiYlYWdGVno/MIjWLHbe99M7oAPFn2Bn/ypPcpK&#10;SrB+4y5MfP2vWJKfjSFDB6Hry89j2urtWDI2FWMmDcWoUaO947GEQoErURCti3v4PHJK8rF4+aYj&#10;1iWKTO/6MKM3UVtNB++BiXUur9u4CbmFzMY9XFbBn417ovDZYDkVk7gsr0DJys8XZucyK5efPRyc&#10;i58/LMPg/8z4KkwSs1zCxIkT0atXL5dp668pGy9u45ctbPAwfx9bZ8uWYeuXtlxnwpbzLNVAQc1z&#10;I/7PaeNYXqMQQgghRHWRrBVCCCFOEfyi75e0fhHA7FfWlaS8oKSlnKWY5TKnzHbjOhOxJnQpbllC&#10;gWKFP13mz5m5bNtbHVuup1BxcjOGnQPlhK2PP0dbV5uytqrox5IKDVPQlwKXpRXqJTmpO7jpTzD6&#10;p3/Ah/c+gQUde2PD5E+wb/NWFAUDR0jcQ3xNsdcgqoeTuN51C3vPRIA/Y/eeqeggZ4mzcf1CsaYj&#10;3ztuXlGJd6wCbNq6y0nVD8eNxJtvtceHK/ai4/P/wNIdhdg4/i2MXbYev7j2zygOlDmJObnt/fj8&#10;4Ea0ffJxvPrUvXh6yDTM7HAvus9YixWz3kHPpfsw96NhaP/WG3i9z4dO3LrjesfaPvlt/CzlKu89&#10;RYFc4LKBTejyXGx+0YJF0ezXYu86lR5ZDqK2Y836jW7qL3Nh94Pnx7IKRczGDYS8e1lzEpfw84LZ&#10;/PxDEP8gxM8mClz+8Yhil+UWKHH5mcOSCvH1sw2u4x+R2I+/CBgxYgTat2/vSiKwTIFl2volrC37&#10;wy9mTcZSvnJdfN9E23MdSyLw2LNmzXLnTvg6GTxPfp5YEK5L9JqEEEIIIY4HyVohhBDiJGNf6u1L&#10;v33Rt3nCeQpRSlbKWopWy67l1DJrKWqt3YLClhlhFCWUKBQkzHqjQGE7t+U8pS2z4EzO2jmYkDDi&#10;z49xKmRtlXFmy2g2LkWuy8ht7mrk9j+7DYa3vgHv33wHPn3yVawYOAo7lq5EXnERwnw9XlDmSuIe&#10;O+554PXzrh0Fm2XjRmvjHpa4B2LZuH6xWNPBkgqUqwezWSqgAAf278GW/VnYvnIB7nz4MTzc5TNM&#10;evVOzFg5BS8O/hRbZvbHc8M+wfS3H8asA3kojszHfX13YMmknnjyuZfwy1/9CbtzonV2c8uCuMdb&#10;3r55MvpsyEV2QRGG9RmATz6eii17D6IgPwNPPNsRuUXFePetjigLhfHiX+9CJ+848edZm2Gy9mjB&#10;exIfvFcVg5x597EmJS4/L/gHIfsMorRlWQX+wYjzfG74HBGbGiyRwGzdCRMmoG3bthVlEfzZsSZl&#10;/aKVctZKGlg/f5t/+WhBOczpwIEDnXy2z0j7fOQf06ycjHsvxNqEEEIIIWoCyVohhBDiJGJf7DlN&#10;NG9f+LnMDDNKVwpWy661sHXx8ta/jj9R5s+VbZAgylsrrbBs2TLXjz9lZhau/WzZws7B4Lz/XOuU&#10;rD1KMBvXRaMWri5u2vcvdmUVBp1/BYZfehMm/OkBzH+7JzbOmONGrw/ydXpxhMQ90iOJo2DPh7uG&#10;EQ5yFnJZpszGzS0odILwZElcBjOAo6UJosda471Ppnw0BUPnr8aMTo/j0/2UtXNwf/8N+O1Vt6Ko&#10;KAv//Ot9MVnrneOG6bjsxj9i4qTJaHnNk8gvKMJt11yNLw8cwIuPPIgly6ehZeur8Vyfmej0dip2&#10;bPkcl/zkNhzwXhslMl93Vn6RywiuOK9aeN3VkbVVhV/e8p4wOO+ycUvKEAhGSyrUxFuBzwYlLbNr&#10;mYnLPyzxc4nL8bAffxXw2WefoXfv3m7gMRsYzKStiVmKVVvnF7V+ocv11vergv2473bt2rlauiwd&#10;w3Mn/Bw0WVvxvPs+u4UQQgghThTJWiGEEOIkYl/s7Yu/fdm3eX8byxhYdq2VOmCWFwUHRSvXWSYt&#10;wzJtra/VseUI7/wpL4UDhSTLK3CfVlKByxTDJh8MOx//ORHOf11kbVXhBG5s6iTu9y5C2ncvQN9G&#10;Keh/3o8x4spf45N//gsrxkzA3p07UcZr4YUrq0Apo7q4xwyfG3umKOLKAkGXjUuJ68Ro7smTuAwn&#10;cZ2YLEK2d/wNqz/HP1/8Fx7+Z7uorC0qwYAn7sCH6/ZizfpNaPuHVjgQKMJdv70HmaUlSH/rH1i4&#10;JxN33fsyMguK8duf3e7k9JU/uwuzl6xG0vkpuP3ef2HB9BF4p0MnbMjI9I7LbNZo2YTCGiyVcCKy&#10;tqrwS1wG6/ky2FZQXOpKKpyoxOXzwD8o8XONNWvjpS3b+bnEzzvWsWVJBIrUV155xU0pcClVKVgp&#10;Za3cgb/sAftR3PplbHWC++a2LMfAz0ieh52T/3PRljkVQgghhKgJJGuFEEKIk0j8F3v7sm/4JQCn&#10;zHr1DxJGKUvRarKW8yZqKV4ZnPcH+9jgYxx4jD8xtixb7oftlBFcxwxcijTCc2B2JJd5LgbXf91l&#10;bXWCZRXSf3Ax0r57Pvqc0Rx9vXVDkq7FpNsfwsIe/bDli2XILypGMPYTclc+wv2M/HB4/4ldNVEd&#10;+JwFgiEUl5YhP1ZSwS9xjxCIcXKxpoMlFQpKg67EAo+3d8sKPDV4Cf7yy7/gYEkxerd9GIv25uGu&#10;e/+Fg/nF+M1P/4ygd/+vuuEuFObtwR/uehlFBQXIy92HHds244+3PozM1VPwRL8vkJlfhLv+9Dhy&#10;vdeX6NjHGrUha6sTfonL+5FXWIyS0tgAZ9614B84Dr8fYje5Cvj5w5q3/COVe+/4YOY/P6dYloCi&#10;1jJnKVVtnmKVyyZrOU+RyxIKlLxcZ+urEyaC09LSsGTJEvfHrnj4nrcQQgghhKgpJGuFEEKIk8hh&#10;cRENE7MGl20dg2KVtWUpXZkJa/LVyiBwnus4b8vWbn25ntuyTi0zayk+uF/LsmUGLvtwG5ZdYJat&#10;yQeeA+e/jbK2qujXqKX3mpsh7XsXos8ZzZzUHXj+FRh74+2Y9a/2WDV+CjI2b0NBZhbKiksQ8q6f&#10;JO6JwecvFGJt3CCKONBYYZGThRS4lSSuF/FSsSajOBhyGbnbd+7GruxSTB3SEU+mfoo//eoeBCLl&#10;uPLnd6Iobw9+/5eXUJa/B3fecgfGz5qDX914H/av+Rivj1zpZO1N198dzXZPcIxjjapkbW1fi6OF&#10;SVzeH9b6LXTZuEGEwpSb3udcxfshdpNj8JcADPujkcFlytxhw4Y5Icu6spxS3lKuUtYyrDSCCVz2&#10;o6xlX8u2rU5wP9xH586dXSkEfi4S//vYPq/9n49CCCGEECeKZK0QQghxirAv+5wafhHA4E9vmXFG&#10;oUrhSqlKCcswIWuiNlGbX+ZyHbNpKVopHphly8xdihH2W7p0qRuFnQP7sGwCj23nZ2Hn+G2WtVWF&#10;K6nAwc1+cJG7Jn0aJKP/2ZdgxOU3Y+qDT2NR6kBsnrsIBzdvQ2FWDgLBYOXrG7vGonrw+oUjEXct&#10;WRuXmc6sU0tZePIlbgAHc7z304EsZOdkYeQHM5FfWIB+HV5Et95d8ZOr7kb2wS/xu2cGILcgAz++&#10;5s5ak7U52RlYuGA+NmzchD37Dnjrqn7tzCBOtL62gvfFRG5WfqEb4IyZ1MyopsjlPeV12bkzWk/b&#10;n7XKeX4W9u/f34lUk7D+7FpKVhOt/jYK2GORtSZ833jjDYwbN84NikZ4fjwP/3kJIYQQQtQkkrVC&#10;CCHEKeIISeeDyxQChEKgsLDQZcBSuFqdWcug9ctarjdJa8LW35fzVkqBA/ewRiSlCMUsB/uxwccs&#10;C9cGJ2NGm/88OZWsrX5Q4vZtkIx07zqln94Mfesnoe+ZLTA0+TqM//39mPXKO1g5ZiJ2fbEc2Tt3&#10;o7ikBJGYxLXsQ+8/ErnHAK8ZryH/4FBaFkChy8YtdvViKSdN5No0kVSsqcgtKnUZwQey81xG7azx&#10;A/H8i6n4x6NtkVdLZRBYkmDn3r340/XX451OnTFzZYYb8Mzq5UZr9RZg87oV2JOZe8S2pyp4Lw4y&#10;E9cLnj/Pdf3Gje6PVfZ5SFjXlp9h6enprlQBM2cZFKuvvvqqE7IUrQyWPWDm7bFIWn9wn9zP4MGD&#10;XRkZ91x5n8n8TJSsFUIIIURtIVkrhBBCnAL4pd8ffrhscoLzNtAYB+GhTKWYpXyNr1XL4DLb2I9h&#10;spbrTcRyHbPTmEFrg49RyjKLjRKX/ZYtW+aOx+MyA9eErZ3TN03WusHGGGdGp4n61EawhAKzcV05&#10;hfrJLht34Hk/xuif/QFT//Y0FnRJw4ap05GxZh3yc/MQlsQ9IXjNKHH5PDOTk9m4FLnx2bg2rc26&#10;uJSnNbX/RGUQWO/3sd/9HgfzS5B54Auk9e6HWQtXIMdryy0qRnZeIUZ3eByfb9hfcR5Hy7LNzC9G&#10;1knOwmWsXbfeCVveO/fMe5SUlLjPn44dO7rs2ieeeMJl07722mtO2FKwcj2Fqz+7lhEvZL8qKIJ7&#10;9uzp/oDF54afzRZ2TnZeQgghhBA1gWStEEIIcQqwL/tV4f/yzwwuli1gPVnLojVZ65e0Jmo5jc+2&#10;9S9bH85TyLImLjNsKYU53bVrl+tDsctjMOuWcsTOidNvkqytkLSJwt8e638yol+jFi4bt0+9JJeJ&#10;S6HL4w9vcyPG33Yvpj/zOpYPGont8z5HVsZ+lEXCTuC64HPFexW7X+Kr4TPN68b3WigcdrVVi0pK&#10;D2fj5sUyP03kxgnFUx1Hk7XZJUH84sY/YeuOXRjT6UlM/jIHvds9hWdfeAWP3nELFm88gIL9W7F4&#10;2XJk5Ja4rNvD+4ll4nqRu3oyPt6409d28mKN93nEzyCD0pSfUx999FGFsGWWLcWsZdaarGVYpu2x&#10;yFrLquUAZV27dsWKFSvcZ6Qfe278n9dCCCGEECeKZK0QQghxCjBZ6xegFvFwHTNfbaAxZr5yarLW&#10;5ilYTchSwnKdP5uW7dbHH+xnZREoRJhJy5/8Wp1cDurD7Fv/uX7jZG2jlkhr3BLpZ0anaWe2Ql8v&#10;+sTiZMvaqsKVVGiY4kSuK61wRnMncwdddBVGXXMrJv/lH5j3dnesm/gRMjZtRXEoiIh3vyhxXWkF&#10;L7wb6O6jqB583vleZW3cYCwbt6C4BLmxbFxm4B6IRW2XVKgqqpK1j956G7JLQrj29y+jpKgABzd/&#10;gUc6vI9HX01HcWkJBr35KBZv3IG//vr3mDl/MZ6940Zs4eCDbh9F2LJ6IT6ZMQcH84tQsCANXZas&#10;c22HM3H5mo88bm3E/sxsbN682Q2OaPeEwpblYcaPH4/27ds7WUtBa1KWwTIIJl6PRdQyTPgys5ay&#10;dvHixa4kjR97NuyzUQghhBCiJpCsFUIIIU4i/FLv/4JvX/Jt3pb9MNvPShRQulKgUrJS0pqAZXCZ&#10;69mHApbB5fhyCCZpbV9sZxvLIrBOLYUtM8g4T1HLtqysrCPO9esuaylf+zM470XfmKTt4wXFbf+G&#10;3pQDhnnRuwmnxyFrT6Lg5bkyG9ci/YxmSD/tYu/4rTE05acY8/M/YtojL2Jp/+HYvnQF8ktLDkvc&#10;Q5K4x4O9X53IDUdQFgy6gbLyCoqQnXdyJW4iWcsYM3AIsvKLsHZGFzz1wmvo/tS9GL96B/74p/tQ&#10;EAphyGt/w+JNK3HvG8NdeYSMbSvw0sSD0e0zNuLO+57Gpg3r8M9XOiF3YR90W7retbEkwsI5c7zP&#10;hvXIKQogJ78QeYVFro2v3fU5yms+HsG790Cmy6b114rl5xQHRezWrZvLgDVZ6xeuJm8t69YvZI8W&#10;3I6lFShr33nnHXz66afuM9H/OegPIYQQQoiaQrJWCCGEOEGO5cs6+/lFbVXbRgVQ2MkIZrWytixr&#10;JlKymmD1Z9RSvHL5WILbmLTlMvfDY7DsAcshMJuXtSKZ0UtZbOfJ6dc+s5YiNSZTOeWAX/2btEKa&#10;N+3VMAnp3jStUQr6euvSG7d0WbZO8Mbv5yjh9k+J6p9yvbe/RP1rI6LHPRwsq5D2vQuRflozDPjh&#10;ZU7kjr/lr5j7Vjesnz4bWTnZCMWeyYh3u/kcegvuvovqYe9pdw296xf03sclZQEUFBU7qVkbErcq&#10;WZvFAczcMfJdjdzcgmK3fuOqebjr7vvw0L33YtGGg+hw36+xKiMHU9rfhOFrQ9Ftty7BHY+/jdT0&#10;Pnj89VRkz+tXIWuzC8rwv9dehZmrl+F3P/8p7r37Ttz9Qg9k52Tho/lrXOatvbaC4lIUB8NHSNyC&#10;YAGefrVPxbrqxp79B3DgwIHD1zcScZ9Xo0ePrqhVS9FqdWopW/2yNl7IflVwO8ratm3bYuLEie5z&#10;mMe1+yyEEEIIURtI1gohhBAnCIWWCdijYYIhURiUD/ypL39um5OT4+QAf/5LKUup6herJmn9wvVY&#10;g/sw4WsimPtifVwbeIxlEXhOdp6cfhMyaxl9Od+oJQY2aIH+zEq99jeY83I7DP3lH9G9cRJ6U+Iy&#10;y5bZtl7/iu1j06MFs3UZA73t+zds4eb7ePvjlPs7LFETb38yg4ObUeKmffcC9KmfhH5ntcHwy36J&#10;aY+8hBVjxmPvjp0oc8/5IYS9++9KKsSeXfdcuHCPh6gGvGYsqxAIWm3cIidWWQ+XErdigLNYJBKX&#10;/qhS1lY3isPI9c5h1so9yM6z4+Xghb/djy9378H8GZ8gb2Eaui6JydrCMtz7q1txwDvn9v98CLvD&#10;QKeH78eK3bvxx3+NQnZRBH9KOh+79mxHy6tvwZ2/+z0+mL8FOfnFOLh/N3IKc/HzP7yIfO9zLvsY&#10;B1rbun3HEbVj+dnEP16lpaU5sUrByvIHJmgpcSleKW4Z8UL2aOGXtZMmTXJi2D3vHjYVQgghhKhp&#10;JGuFEEKIE6RCWMXN++E6iliGy1aMg+3MpKUcZckBZrMyy5VClQLVSh9QpPqzaSkp/GUOGPFC9mhh&#10;++G+uR8OosOfFXOZPznmwGY8p1AodMRr/DrL2mg2bVS+VmS9NmiJLvWTsH/1horM0pF3P46+TZLR&#10;32tjdq3b5oh9HA4nci2sjxOyKUhrnIw+TVLQ15vv3zDF1cUdVL8N0hpdgr7sE+tfF6NfwxZI+8HF&#10;UYlbr7kTzYOTrsPE2x/Cwu59sHn+58jNzEYZhX4whHBCiVv5/SCqxmXjeu+3krIy5DMbt+BwNm68&#10;xDWRe8KytoooKA2g0ItNe3OQu3Uhxm7cEW0rKMN9v7nNydrXH7wHO8JA54fuw/Ldu/D754YjqyiC&#10;v13zY+zeuwM/u7+z95lXiAf/ci9Wzx2Ov77QC6+98Sra3PKSt/8gJqa+ivdGj8WBglJkVaM8QsaB&#10;TPdHLH85BH5mTpgwwWXRUq6yHALFLKUtZS2l64nI2nbt2mHy5MmStUIIIYQ4KUjWCiGEECeASSl/&#10;Zq1/6s+65ZSCwd/O5WAw6OrEWibtli1bnET1S1oTtSZYOfXLWi6bxDURW93wC1rL4OVx2cY6thxs&#10;jOfnP++vu6x12a1OtEazX1mrdvBt96IkHEQ4VI5QJIz8XXuR+oOLnVztw6xbb1qxj4ptbb5ycL8u&#10;Wl+P3tf/Bqkp1yP17Dbe/lqhV5PWGNDA6+f2W/kc63pU1MX9/kXRQc4apmDABZdj7I23Y8aL7bBy&#10;zETsXrsB+Rnes1NUhGDsjxR8dtxzZCGqDa+fK43CzHuXjVuMbJZVyCvA6jWxgb/iJG5tRWZePgq9&#10;zy0eZ8Gc+cgoCaDfay9jVWYOHrnjD1i8dDGS652FPXt34JcP90JxcTYevffvGNH9ZSzeVoDiUAA3&#10;/vFF5Mxpj7af7EZx/kH86baHcTBW9/arYtOWre4PSQY/Q5cuXYru3btXCFtOKWut/AHFKyNeyB4t&#10;JGuFEEIIcSqQrBVCCCFOAH5h90tYC2Lr/YKWcJ7SpbS01NWG5aA1zKRluYP4TFcK06NJWPaNl7jH&#10;EtzWZC2XeQ4bNmxwx162bJmbch3FiL0GTr/WspYitVFUtPZt1AJ9GrdA1zOaYc8XK1FMGZZTgnBZ&#10;AKWhMvT/6R+Q1qS1t83hzNrDQrYlBjSMCVm2s1SCWz58jMH1W6NtwxYoyGCdTWBuzzT089Z1Pzta&#10;HiG+vMKJBuvh2rm687VI0Lc2gsdkBm76Dy72notm6NMgGf3PboP3rvgVpt7/JBZ264uNM+fiwLpN&#10;yM/MQlkodITEdc8YQ1QblqZgKYAAs3FLy6K1cQuKnMRlJu6xllQ43qA4Zn3cvLIgtu3aiyVLF2Pf&#10;gX14PX0KCoty8Nxjz2Ld/Ml4tutw7NgwFy1+8QJy5nfER7vykV1QjG5P/RWbMgMJ950oOOAinx2D&#10;n6PTpk1zYpWDjVG2WjkEBqUtl+OF7NFCslYIIYQQpwLJWiGEEOIEMMFEaRAvZ/3rDUpa1qPlz3b5&#10;xZ+Zq+vXr6/IZqUctSxaylcLk7IMSlWu80vc+Ozb6gb727Zc5j455blQ4HLK88vOzq6QE5x+3WWt&#10;K1HQsCV6N07GwEYt8N4tf0UkEEJBpBxzuw/E7mUrEAqGsHnGfPQ+PRl9G8dqzTIoerm9W/b22Yj7&#10;89q9dX28dQMacpmZta2iy15b1ytuQDDk3fv9B9HNW5fWhH1ZGiGaWWthpRSOtzQCzykqolt652Xn&#10;eGTUpBw+lujbIDkqcBn1vWvqXZchyddh/K33YsYL7bB8+FjsmL8Ymdt3ori0tIq6uBJk1YXXLOI9&#10;zyGXjRtEUXHJ4Wzc3MMSt0LmJhCiNRWZuSypUOrmly1biuEfzkTX/pPd+Tzxl9vRv09XPPh0D2TG&#10;BkCrTmzZut39wcs+X/nZys/Drl274qmnnnKZtYxnn33WBecTCdmjhWStEEIIIU4FkrVCCCFEDcAv&#10;7n5Z64fr+TNdq0e7Y8cObNy40YlRSlIKWit3QHlqgpbS1ESqtVk7tzVZ6xeunDcRW92w/XGe52Fh&#10;x2Om7TdL1sYyYRu2QGqTFPT+fjNsX7AEwfIwIsEw3m12DQb84o/esnffikvQs9nV6NuYYpXlEFoi&#10;/cwkb9tk9GiUgp5NWqBHg+ZIrd8smiVLact+Tr5Ga90Oaugdw+s7462eCIXLMeHpVzDstJSoMPbJ&#10;2v4xyeuXt642rjvnyq8jUfDYA1xdXJ5Hi5gQbu6dR7ITxxXCNsG2pyr6eefbp16Sy8ilxOUAZwPP&#10;+zFGX/c7fHjv45jfoSfWTfwYe1etQX5eHkKHylHO95sXhyjq+FzGnk3x1dhnFQc4Cwaj2biF3nOe&#10;WxAtQWACtyIrN06S1nTke8fPyivEQS+yKgY3++rYnbHf/SLB/8uFPXv2oH///q42LeWsTS0oXxNJ&#10;2apCslYIIYQQpwLJWiGEEOIE4Zf2+CAUIhyYq6ioCJmZme5nu5S0FKD+DFoTrH5JyzABa33j+3C7&#10;+H0cT9g+uQ9KWh6P81zH/VPkftNkLUVpb2bLNkrGwF/fgVAghNJIBBvGf4h3GzRH9+9fjBAHVgtH&#10;sDBtENLrN3fbUIb2PTMZPZOuxs5Zi5G7JwN523dh1fsT0aPpTzDkil+jd8ufobvbN2WpdzzvGAMa&#10;NkfXs1tjx4LPcXDZGvSr18o7/pGZta4sgxfchmK1b+NYuHbvnP2vwb2OWNiyFzy/3k2aedNk77je&#10;vhu2QC8Kae98ojI4+tr91yNRVOw7QSTqXxvhspUbJKNv/aSoxD3Duwfe6xve+gZ88Ou7MO2f/8LS&#10;vsOwbc4CZGXsQ5lP4rpsy3LveY09s6J62B+corVxgy7DOb+wCNn5rFN7pMitbYlbndi0eas7V4N/&#10;DBs/fryTqxStFLQsfWDlELicSMpWFZK1QgghhDgVSNYKIYQQJwC/sFs2rf9LPAUC69FycK7t27c7&#10;SUsxagLW5CqFqGW1WpuFyVTra5m01pdS1cRqfPuxBvcRvx8usxQCp5Qg/tf3dZa1/WN1Xfs2ao4u&#10;DZKwZeZcBMrCKC8LoEvL65HqvR5KyXmdUlEUDiF//0F0OIeyM1pa4N3GycjbuRfFYWYmhhHxrkd5&#10;eQSZO3di+aezUFpQhLx9+5F2/lXo1zAJ/c9MQc/vnYcu51+C3slXotuF16BTg2SkU6hSwsaC5RNY&#10;UiEaUanqzpPn681TxNprMHHKgdFs3gVFbMMW6HlWK6Rdexu6nHsVunw/CYPrt0Gat30a5TD7HHE9&#10;Kkd0XyaOo3HEcWLh7+/fvjYjeu9SoiKX1/H05i4zd+AFV2DkVb/BhD89iDlvdMLaCVORsWUrir17&#10;I4l7YvA9byKX5TxKylgbtwQ5BcyGjUrcAyZxvYiXqrUVW7Ztd79aMFhiZv78+ejVq5cTrcysZa1a&#10;m2ckkrJVhWStEEIIIU4FkrVCCCHECWASg1NGWVmZEwYc7IaSluLTxKoJWIpQf5gsZbtJU0aiPhbs&#10;a/3ZdiLh3x/PlzVquZ7nzEHG2P61l7VnRsWnm8bkZ3qjZAz9xe0Ih0IopVwPFWPnii+xYshYTH3q&#10;VXT9/d2ubmrEaxv/yHPRrNWGyZj44JMxaeXFgTwMf+QZjHj8RRQeyERZMIQQyykciqB782vQ7Zwk&#10;dPn+hVg1djzKCgoRCQQQLCpFxrIv0fOSX2CgE7QtnEjt/L0L0NWLdO8YAyhUmRnbIBaUtVxHSeq9&#10;ngpZ6mrjtkSa95pYcoEZuemNUvBOk0sRCQa9YxZh//K16PTDyzCgYTTb12Xzch/uusSuT1xUiFpv&#10;n9FsYpZ/iJ2DlWugVGbf2LnEh9XfPVk1cqPSm9fKC5ZWOKOZG+iM6wc3uwajrr0VHz34DJb0HYYd&#10;y1YhP1AWFe0MSdzjwj73eP3C4QgCLPdSUoq8omjt2dqWuDt273WDH7r758GB1vgZNmTIECdarVat&#10;vwSCTasTkrVCCCGEOBVI1gohhBAnCEUBs7tY7oCZtBw0zCStlRXgPAUo1zM4b4KUYdLV2ilo/es5&#10;b5m0/vUmc0242vrqRvy52P7seDx/9snJyTlCUnxdZa0F5WO3xi2waeZcFIXCKPPu36HyQyjjyPre&#10;ayzx7mlZqBzlwYiTrwdWrUWnxs3Q//SLMb3HQG99GKWREAbffh9GnN4c3c5qht4XX49ASRDl4bB3&#10;jcqRfuHVGPCD5tg0ZgqyD0UQCIRQlleI4twCFEfCbuCnd1tejwENkvHS985DcVYedm/YgvldB+KN&#10;ehfjvT8+iHF/fADdz2qBHt5x/ecffQ1RUUuByhq1FLau3EGjFLzd5BInIQtDASeR3z23DQY1SHFS&#10;OH5QM3+YWPXvf0ADZv1Gr1lv7xg93eBo0XNwfSl2KYq9eW4THXDt8NS/31MR7np55+cEdaMWrpxC&#10;2ncvQNppTdGvSWsMuvgneP+Xd2D2m52xfuYcZLm6uDEJySlFoDcV1YfXzoKfjywHU1oWQEERBzg7&#10;XE6BIvdEJC635R/FLLuWv2jYu3cvxowZ42QrZS2zaSldX3nllYpyCPFStqqQrBVCCCHEqUCyVggh&#10;xLceygR/+EVDPFzn78N5ljugILBMWhO08WKVQRFq81xvYev84V/v71ud/scTtr1f/vI1fBNkLTMu&#10;o9mhLdCbsrFhC/S77laEWJ+zNIJdy1dj4C13Yvob72LtpGnI2boLobIyl3UbjgQQDJdh2A23Y0D9&#10;JMzq0Q+BcMjd+3atrsHwBi3Q46zm6NYwCVvmf+EyDCOHytGt+bV4o0mSu16BkjCy1mxA++9fjPb1&#10;kjC/Q38EvH3v+3Id0hqm4OX/+RHCQWb4RrB7y05k7z8AXu1Sb1tK3SWDxqD/GZSkKa4Obf8zk912&#10;XU6/CN0bcbCzJPRu0NxrZ53cZPRs3BpjH/8XFgwdiw2fzsbbP+RAZxS6UanLLFxOozVxvWjU0ttv&#10;TKzGrtcA73VRyvY4tyU6n5OCrg2bI907934NYoOjMcvW9WUWLmVtVOJyyn0zOCAb92/79YdJ58MR&#10;Wxfbp8v8PVnhHbdvfe+afvdCF6yR2//sS/De5Tfj40dfwPIR72PPlm0uazQcDLrnptJnhYWoNsxQ&#10;Z23cIu+62gBnJnE5tYzcowndVd7nFH/NQHgfOD9p0iQ899xzTtZS0LIUgsnXeCFbVbAvM3K5j/bt&#10;21eStX4qngEhhBBCiBpAslYIIcS3DvtibV+u/csMSpj4sL6E88wUo6RluYMdO3Zgw4YNTnRS1K5Y&#10;scKJTr8EtbB1dTH8staWvymy1qRkWpMWGNiwBbo0boHtn81z9TfDoQiG3/2wKxFASdfjBxej4w8u&#10;RCozVJOuRt7efS7zdvWkT5HqbfvBg0+4EgghL0Y/9BzSzmmD/o2aIa1BMjbNWeDtr9zJ2p5Nr0OP&#10;lJ+47MxwMIIvFyxAvzseQK/W16Ndm+tRWlyC8kg5Ol98Bd74r/MQCYYQ8ZZ5PkWZ2dgwewGKsnJc&#10;bdxQeQSD//YYup9NAdrKydkpL76FfUvXIlhYguL9WVg+ZBTS29zovc6olO3hveZUr2+305OcwE33&#10;1lHS8jo4qer1i5ZXiErZ6EBmsevlLQ9olOyyaHs1uRxh73z2z1mIhe06o2vjlOi2LmKC1dsH6+Gm&#10;ete3N/dHMexNKcad2PX6+O9HVMjG2mKS2EljF9FlO5dTHZTT6addjLTvXeRq4/K8hyRfj4n/+xDm&#10;d07DxtnzkbUnA8W5ee5n+CydwfeIhfefaIhqEy0zEkKJy8YtQU5+oRvQzASuX+Ju3LLVDYBoMMt2&#10;6tSpTtY+/fTTTrxa3drjkbXcz9FkLZft3wkhhBBCiJpAslYIIcS3jiNEShz2xZuygOEXtZzyZ7al&#10;paWuhivLHVjZAAYFrUW89OQ6ydpTF5SJVi6AtVt7nNcGcwcNw+bZi7BtwRfoedYlFVKR/QY2TPLW&#10;paB//Uvx0WudES5nGYMAUlv/HJ2aJKMkJz86wFh+IXpccwt6NrkMva69DSX5+RWytlfT69Dl4svd&#10;fCAUQV5eLkpyC7x2lkk4hEBZAGGWS/jlH5ysZWZt2HveSnJy8W7KT9D9exei+yU3IVBYiMJwCAfX&#10;rEe/M1ogtV4K1oz7CKXeORV4z2i4LIhyHtOVXT2EGS+8iXdO+xH2b9qJ1bPmYOZbPdC7UbLLlO1d&#10;LxldG3mv7RwK3+ZIrd/cvW6WOeAAaiZJuY4DoKV707R6bfDFiPcR9M4hFAyjz6W/ima9um0oWSmH&#10;U7ztWqDr+W2QfsXP0bPZ5eh9FkUshTClrjfvvyexY0RLN7TypozDWbkV8ti/TR0Lvjari8uM474N&#10;UzDw/Msx9qbbMeO5N7F8xAfYtWI1cnbuQXFBIYK+zxP3XrIQ1YYinJnmzMYtZG3cwmLs2rMXmZmZ&#10;sR7RUgjTp093wvWpp55ywpXzll17LEFhS1n71ltvSdYKIYQQ4qQhWSuEEELEsC/dJlP8wfWUdczg&#10;2rlzp8ukNQnL8Jc9oOik4KT09PfhvInQuhjfZFlbUbOW2Z5ntUTfhi3xzhkXott3LsBbjZLQn4N4&#10;uUzRltG+Xj+K3YH1WqFL8+sQpFj1XvvM7mno0ygZo+/7JwqDQTcwGbNeSw5mI1Ba6vULIxyhrD2E&#10;ns2uQ9f6ySgPhRApCWHlxE/Q+bzL0Oenv8e4B5/BvHfSsfbD6Rh82x145bvnR2VtuBz7vOvf9bQL&#10;nQTt3igFuRn7UEBRmpuPVMrWK36B8kPeMYJhlOUVYOqrb+O9Ox7FvPRhKM4vwNzUNHT43o8QKSxF&#10;cSiIvK070aF+Eno1Tsanr7THlk8/Q+bmbcjatB3rxk/FB3c/hh4NohmjzGw1WduriXct3HVpid5X&#10;3uTeA0Hv9S5KHxLNnnXXKbpNX+88B5yRhIU9B6Hcex3lhUVY9FZPpHKgL+91VOzXH94+BlIQx2JA&#10;g1ZIOzOlokQDBzhzNXAT3c86HHxdzMBNP62pq48bLanQGiMu/xU+vPdxzO/UG+s/mYV9q9Yi78BB&#10;l7Vt2biuRi7fZwxRLfhHtQMHDsSWosvz5s3Dm2++WTHAGEWtvxzCsQRlLWvWsrQCy93Y56Dh7pt3&#10;/yRrhRBCCFFTSNYKIYT4VsMv2onC4Dx/VssRx/lFfevWrU5e+iWsPxIJT38bt+X6uhiJzv0bJ2tj&#10;4WqUntkCA5x0jArJqFBkG4VbSwxsQAnZEr0pG2/4E8Y8+Tpmv9MTafWT0KneBRj1m3uwZ8kSlOXm&#10;oawgF5tnz8fqeV+gPBKOlkG4+Br0qZ+CeYOGojQcRGFxMQb/4S70+MFF6PXd8/HOGRehR+NL0b9e&#10;Ml7972jN2nDYu7Zr1qLLDy5EH+/cejVIRl7GPgQPhXGoOITO9S/EuL89Gy2tEA5h/vDh6FbvIvRv&#10;1By9T2uGtMt/iW7nXY4up1+ISGGZy4bN27Td65OMnvWaYt+qNQijHMFAWVT4evspC4ex5aOZ6NUw&#10;2Q0gNoDZso2ima4Uj2lNkt1rzli5ztXZLcjMQrcfXlpxvRhD6rfA2+dc5l2HApR5r6PEuyY9W9zg&#10;hG7vJt4+zooKWIpYN/CYt57XPdVbHn79Lej/s1vQPflKV0aBkpz9nAyuZVnrpHGC9bUS3uvp691P&#10;J3CdxGU2bgsMSboO4265G9OfeR1LB43EttkLkLl1B4rKSiVxqwkHdjQoaz///HN07NixovTB8Uha&#10;C5O1EydOlKwVQgghxElBslYIIcS3Cn6xrir88Is369JysBpmbVHS+rNibd4vaP2RSNZyWbL2FAfl&#10;HAUgRSDFoROCR0a0D6ViS1eHte+ZSUhrnITe9VLcT9571b8AMx5/Bb1/cis6fOcCpJ13ObolXYl3&#10;z0jCxpnzEQ4HnaxNvehqDGiQgnfOTEbm+k1u8LBwMIB9y9dg66x52OVd2x0zZyO9URJeig0wxsza&#10;jDVr0e20i5ys7OVtz5q5oQhlbQAdGl2E8Y++7O4BRd7451/HoAYtvHNNQf+GLPXQAulNWuAdb/tQ&#10;aQCBSBC5W3agyxnNMbh+Ct6/95/46OW30e/GP6P/b/6C2V37IhjhT8sjmN62oxtka1ADliawUgTe&#10;NfGuA0tHvHfvPxCJHELQO+77dz/iauDyeO6Y9ZPwcbseri1YHsGKwWOi8ti75unePihmKWEr9uld&#10;Y1c+oUEyVg8di/JQGJGiYvRp9XP08fbLcgg8rpOp/vD2x2nCe3uMYfs6HHHHi+tfm9GPGcjeNWRG&#10;rk0H/PAyjLrmVky+81HMadcFa96fgj0rvnR/OAp5958C10lcSkJv6kak+5bCzyODsnbp0qXo0aMH&#10;XnnllQrpygxbK4lwLPFVspZwXaL1QgghhBDHg2StEEKIbw38Mk0Jyy/zFvFfsLnM9SUlJa4O4vbt&#10;27F+/fpKUtMvaSk3/SI3PtgvXoTWxYg/Ry5/42RtFVEh7rgck3V+kUvBGI0WaHdWEooycxAKBLDp&#10;09kYee+j6P3z32Disy+jtKgEwWAZQvnFSD/7x+h2djJYIqDz2Zdh+ZCxCHjtrFN7yPu/8vIIwoEy&#10;dPf299J3zkU4GERJ5BAyvlznyiBQcLrM2r0ZrtTCoZIgutW/GMN+docTdByMbE7PQeh3RksMbJTs&#10;MnF5jpSo3f6nOUJlZSj3nuXcLdvRucGFLvs19fsXovuZSeh19iXocPrFeMO7dwc3b0MgHMGelavQ&#10;o2GSy6btzRq0LE8Qe/0Upx1/eAlKsrzX7R13x6Il6HVGEvo0Zi3cVmh/ejMECosRLAuhrLgYvVr/&#10;AulNktCXGb3eufU6MwU96jV1ZQ4Oy9qWTtauHDQKQe/4fE3pl97onX+yE7vu+BS2XlCcR69/7N7Y&#10;/YoL3rv4e1tV2DYU05TKFMkUy9Hz80XcdiczeC/6NvCuWX3v/lLintHMrRva4mcYe9P/4uOHn8MX&#10;qYOw5bP5yNy3HwF+xvEzjFNK3HLvPRt7336TiZe1y5cvR8+ePV3pA5O0zz///HHJWpZSaNu2LSZM&#10;mFClrBVCCCGEqEkka4UQQnxr4Jdsv6z1/2yVbSx3UFxc7CQt69Iym9Zq01Jarly58ghJy2n8sgWX&#10;LeqyoPWHnfe3UdZWFcy+9QtLJxibtMb8t1IRzC9AJBx9jsrDIQS8KAoHXRbsjG79MOCM1l7fJKQ3&#10;jg4+lXpaErqddSnG3Ho/xv/tOQz83X3omHI9+jRIwWvfOddd14h3ifet24BOZ1zoslm7NEpG7p4M&#10;V6rgUEEJutdrjm4NWyJU5h0nVI6i/Tlo3/JapDZsju7e/ruc3tLV5O3y300RLitDuDzsZG3X+k3R&#10;oUkKVk78CMWZWSjLzUdpVg5ydmcgkFeIgPd+yNuzF93Pbo0+jVOiEjYmS50kZaZtgxaY8W4377hB&#10;lHmvsX+LX7i+rDs76u/P4pB3PsXeNVj3/ofo2qAZeif9BB8++RoWDvkAOz6bhxX9h2Hs7+9zdXh5&#10;Pfs3YmZtClYNHuUyew+VH0KfmKxlZi3LJUQFbTT8A6C5exObN4Hbz5VXiIu4++kPtnHbdG/qMom9&#10;cKUxvOMMYAkM75juPH3b1JWIPo8tXBmFPg2Ske69BylyB/7ocgy/9CaMu+UefPbyO/hy3BRkbNmK&#10;Ej6j7vn6ZkrcqmQtZSszY03UsiRCvIz9qqhK1nJq80IIIYQQNYlkrRBCiG8N9uXa/yWbU44ezkxa&#10;Dh62Z88ebNy4sULCmriktFyxYoWbctnKGbCf9fWHSU+L+L5crmvhP29b/rbL2oosW9Zx9aYMZmB2&#10;bZyEV85sjilPv4odny9B8cEshErLUJSRiRnte+Cds1p726SgX6Nopip/2k/5l9Y4GQMbJKN//WZI&#10;P4ulC1phUL1WSD/nErx1/pXoeN2tGPqH+9GjfnOkn5nijpO7NwMR5uJGguhQP9k7nyT0/fNDCJWH&#10;URYqR6i4FDumzcHKoeO84x/E4KtuQrcfJEVlbSSCnK3b0e0M71wfeBaRSMjJ5B1zlmDqs+0xvXd/&#10;FObkoszbV+G+/eh59iXeebLsg/davfM2WWsZp6ktr0fIe69EyiJY2HcI+tRLwTuNmiGYX4xwIOxq&#10;4fZp8wukNk7BzJfaI997VkrCIURCoegfSsoPIX/3fvQ69wpXtoF1clcNGe2dUzTLPf3Smyoya500&#10;9YJZtbyG0TgsbF00it4bDkbmSiy4vnavvPm4+1mxHee96OsFJa1l1aZ7r73nWcnodVaSt47Xum7K&#10;2qrCSdzY1Inc05oi7XsXevPJGHTBlXiPg5zd8zi+SB+C7ctXoSAQiApcxtdY4iaStSyDQDlrg4xR&#10;vB5P7dqqZK17nr1jCSGEEELUNJK1QgghvvHwy7WFH37RLi0tdSKSX8K3bNniRCUlJaWqCVoGl/3i&#10;lX380tWW/WFt1i5Z+/UMv+BzWZwNo4OPDWEmZ+PW6Pq989H23xuhw3+di57fuQj967XEYC8oO9Oa&#10;xH7235iSsXKwjaKQ8wO9/Q05s7W339ZI846R2qQ1BjdIwcuNk9DlouuQfuOf0YMSs1ESBtZPwYA7&#10;/oZgcamrX1pcHkQZDiFcXo69Cxai3fcuRnlRKYKRMHI2b0f3M5phyoPPIxyKeH0O4a1f3Yr3vHPq&#10;+j8XonDzbidLi/YfcOUR+p3Z3GWb8pysfm/0PFsg9cwUrJn0MYqDISeJ05tcjsG/+4sTtYXhMLZ9&#10;Mgudz0zG4IZJ6Nz0MuSu3oRFvQZgxJP/wmfDRrlM37xIAAfWb0KXek3Rt14SVg/x1keiA2n1a3OT&#10;t8/mSPWOn/rfzdH5wh9j4DW/QWrTq9DptAuQ1ig5ej2968OpBYUtpS4FMO9VVPDGRC+X3euIBq+3&#10;E7ucetfADWbm3SsOhDbq9gfQqfX16PTdizGkXmuvf4votrFn4ZsQvJ/Mwk377gVI//5F6NMwGQN+&#10;dDnG/OJP+Oz1jlg/cw6y8/IQ9J4Tilz7FYJ9hrrPAUYdIiMjI3peHvGZtZStlLYsicCIl7FHC5O9&#10;iWrW8o98PJYtCyGEEELUFJK1QgghvvHwy7TJBlvmF20OHkbpaJKWYtIvU02wcn28YOWyBZf9Ipdh&#10;YjZ+fzZfF8P/WmxZsjYq+EzYRbMWLSgEW2FgbIAvZs32PTMZvRuz9EGyE4LpjWIy0bc/t0/K24qI&#10;7iu+Ri6nHKCs51ktMbxRG6Sf26Yic7Rfw1ZIa9QCHb0+I3/3IFakDcEX/Ydj2gvvoOP5l+Ht0y9C&#10;uCTgBvxiZm3Xek3R7UeXoCw7F6FABMHcIgy/9wnMHjAYEe+9UOb1K9x3wJdZS1HJc4qeG8sDMLN1&#10;kPc6e//6DgS8bZi12/t//478rVtQXhZCJBhCz6t/he5nJ2FAwyT0b5iMjt+7ED1OvwB9GySh1+nN&#10;MPrPf8OhUMQN3tf7ml9665NdGQSTtX3b3IShDVPw+nltsGnqbIS9dRSGfPSK8/Ix9q5H0Mvb/5BG&#10;zdGvfgv0OPcSdGbJBe9YlMncn6vtyvONXdcjr3OsRm2TqKTl9Yxm1qagx1ktvNcRcFmmwYJCdG31&#10;s9j20e2OiNi6+Pv6dQ8ObMZM3LTvX+jq5Pb3nocRl/8KHz/yApYNG41d6zagIDcfZSWlCHnPQEKJ&#10;yzjJ+CUqBeqyZcsqataeSGatydq33noLkyZNqjgOg2Vz+O+I/98WIYQQQoiaQLJWCCFEncC+ANf0&#10;l17/Pvmlml+wWfIgKysLu3btcjVpWYuW2bOc+mWqX8ByvYW1+5etr/VPJGvrevhfiy1L1iaOChHo&#10;5B2nh8NlbMamAyyzM277KsNkoNsXl70pRaNbPhzpXhszd/u6LNjm6F0/CV1Pvxjp9ZJdRumAhino&#10;2uZGDLzjYXz4zOvoVS/JZQP3ufUOV+6guDwE3s2ywmLs27YLxZEICmKZtX0bJXkRlbXuXJwgboG0&#10;xino26QZOp6ZhINrNqIwHECB91xEwiGURsLYNm8xUn/QHAO87QbWa42ebW7C6vfGY++ipcj9chM2&#10;fTwHs4eMQnnkkIvRd/4NaQ2SsMqXWTuo1U3eMVpifv/hKAuXo8R7vx5YtQFbFi5FwHvfMlN48F0P&#10;o+tZ3uv7XlPk7N6PvP2ZWPfxDHQ7/ypMeaktFrzVAyN+9b8uc7dfQ+8ameCOXbuonG3hSi3wHlHa&#10;cuCznme3dCUeSkIhFJeVoGfyT10774uTut61iN5Xu0deeG0V87HgPXThv6+1EO5YCdbXRnCQs/Qf&#10;eM8XM3G9Z4nXZUjy9Zj0vw9h3ru9sH76bBzYthOFWdkoc7WST67ETSRrWQaBsvZ4BxazYM1blkEY&#10;P368K5Njryk/Px8HDx50n418zRWvNQGJ1lt/a/Mv2zqSaJ0QQgghvtlI1gohhKgT1MQX0kTb2j75&#10;BZ5fqFmXlpKWdWkpJCkj4zNqv60hWVszUZHJGZN3NSXVDotB23dUPlaKRqyRm4QBTdpgcP0U9G7A&#10;TNdW6NOoNdIbtkCns1ph0t+fx4wOaej30z9jTupgHNiyHVnrNqPXWZe4zOBBDVpHJWfFa4gKaNZx&#10;pST+6Nl2KAuFEGSWbIC1aMuRdsUvXdkBZqh28LbZv3I9Sg6Vo7AkgO2fLcCO+V8gY8s2lIfLnawd&#10;f8/j3rk1d7I2FJO1Q1vehPZnNkV5cZkrq7B/wxa82SAZPU9vhlH3P4pgWQjhwjJ09V5P9+81Q/bu&#10;fSiLBNzzeXD/Pnh7QcDbT7n3fj+wegO6nNUS6U2aea8pGQO9196zYTK6NvauT7OrkXbR5ehRvylS&#10;GyUjrVEKUplte/MfMOaJVzC/9xD0vPjK6PX0rjuvBaWuRZoX7vpU3JOvjgqJy4jd0+ONiv0mmvf1&#10;q+1wdXG9e0OR6yRuwxQMPP9yjL3pdkx/5nUs9e7tDu8zInvbDhTlF0RrE5cf/qx3nymME4SfR4aV&#10;QaCsZSbt8Q4sZkFZ++abbzpZu3v37ug5e7D0Av/dWL9+Pfbv3+8Gp+QfA63d4B8JGX64zPP0Z+Xa&#10;9bAwEq0TQgghxDcbyVohhBB1Av+XUf+X06oiHq6L/+Jr8KeqeXl57gv99u3bnXykhGQmrWXTUlBy&#10;vYnKb2NI1n49g2I4WkIhOn+EuI0F2/s3orCNZor2a5iCtHpNMbB+S/T+blO83SgZ7577Y/Q5s42T&#10;tf0btHLZkxUikPOxfXN9r3MvQ352NsIc4CwUQcay1ej1XxehV5MUDGjUHN2btETBrr0IhiPYv24j&#10;OjS4EH3PuABdfvV7733qvYcj5Zhwz+OxzNrRh2vWXnIDOnl9WYrgUDCArF17ML17P4x+6An0/Pmt&#10;KOBAbmUBdL/p9+j2/eZO1paHQwiFy5G1ZTvm9ByAXctWoiTCwc4iWPXBZPSr1xwDG6Tg3XMuwfzU&#10;gcjbsQuholKESkqxb+lyjLzvMfTga2vQAr2bXo5uZ1+KLmc0d7Vco1m5li3NTNwWTlozKzd6Tez6&#10;eNfL5r3r3L+h18aIbXv4OsaFu3+HI/7eVhUuu9c7jhvwzpbj4mRk91YVfN2Ut/xs6ONd/z4sqXBW&#10;azfA2ZS/PoZ5b3fH2smfYO/y1cjdfwBl3j10z4V3392998L7j/u8qQ61IWu5HUXt008/7cogTJ48&#10;2R2H58ZgNq/VM+cvNChyc3NzEQgE3L9FholZ95piy/H1bjnlev+/YX64LtF6IYQQQnwzkawVQghR&#10;57Avpl8V9uXWton/ost5ZtNSNG7bts1lQFFE+rNpGfGi1qTlty0ka79ZYZLWScUjhGF0mW0Uj04o&#10;ev0HN2yDgQ1bgfV2+zoRGBWSifab2iAFc9IGojArx/3kvcvVv8bwBpeh11kcAC0ZveolY9PHn6Es&#10;FEa4LITRd/8Tfa6+FQfXb0M5xWzkECbc84TLrF3patZGMy57X3YDOte/0HvGylEWCSInYz/2bdqG&#10;kqJC1ycQ8fYXDmPM86+jx/eTkL1nH0KRkNdehB6tfoG0eknodEYzFGZ651UUdnV03znjQvRu2BJf&#10;jpniyjUEvHNihL15fmaUoRzbp89Dl3rNcHDdJu9427F+yqfoc/Yl7vr0Oq05ujdMQc+LLvdeXyt0&#10;r98MvRuleNchWkbBZOwA75oN4PXltWPmbazNtTvpG2vj1OtHweoPv/iNv+bxwf1EJa13D3n/vGDG&#10;L0s8VByrGvs52cFnx9UVpgxnbeFYNu7gZtfig1/fiU8efxlf9BmKLTPmuGzv4rJSV7OYArfceyYO&#10;8fM+9jnkpzZl7TPPPIO3334bU6ZMcWUQ7N8ZitmdO3dW1DznZ+bWrVtdxi3brDQC4TY8Lz67FrYf&#10;Cy7719kyQwghhBDfLiRrhRBC1Cn8X14ZVcEvsPzyG5+dZMEvw/xZ6oEDB9wXaH6ZNjnrl7X8gh0v&#10;aiVrJWu/2UG56I9WiM/IjQpILxJsT4mb1igZ3Ru0xFtnt0H3y36Obvz5u7fcu3EKep+VjMHefPek&#10;nyJr83ZXlqC0PIRQWRn2ZexGebAcgcghjLn/CaTXb4alQ0ZGyyCUH0K/Njegf8Mk5O3Yj8JIEHuW&#10;rUGH76WgS/OrkXb9rzDiz/djartOGOdtm8oyCHv2I1QeRu6uvejonVs/77xSf9AMWdt2Iejtk+UQ&#10;utVvjj4pP/OOGUFpKIzSoiIMv+dR9L7ilxj1t2dwcP1mLBkxFp0aNkXOth1enxBK87LR6UeXuIHZ&#10;lvUagkyvT35mFkqy8pC1fgs+TxuE7udfiQEugzYqbXv84CKk1Y/WDGY5CAblLadOoMZErIWtZ0mF&#10;dJZgcNc91hZ3zY8I18fr621HSevqIseuP7N5KWyrtZ86FO71eK+Bg5oxXFZuveYYcO5lGHHVbzDp&#10;9ocw+9UOWD1yAnYtX438ggKEYp/1FLm1IWsZ3I7Clpm1EydOxI4dO9z+CWUs69ay/jmlLbNr7bNz&#10;06ZNTtry3yAOpmf/XnHelt25x2SsfbYaXGdS1/9vnBBCCCG+HUjWCiGEqBP4v7h+Ff6+Fv4vs/wZ&#10;amZm5hHZtCZhGSZtTU6amPSHrf82hb1uydpvaZwZy8R181GBlkjWmswdUN9r9/oNaNTUmya7EgjR&#10;gciS0O2c5hjitfc458f48Km22PjxTCwdPgYdfvVHBEtKwXf56L89hYFnNMOKwSNR4r2HI+WH0LfN&#10;zUg7Kwlj730C5aGIqwE6r1saOtVvih7/fQHeangx+vz4eqQ1uBg9/4eydp+TtXl7KGt5/t55nOat&#10;377L2977bIiUo2ujZAz51V+8fhRmYawaNwW9vP31aczszqbo5O2zd/I13nwL5GzbiUggjKD3+ZF+&#10;7mUYcHoyVk6YjGLWwo2dN1VdUSSIvJ170a351a4ecLfTk7D6o0+weNBofPjka+j4g4uQ2uJ6pDe7&#10;Gl3P8PZPYczrGYtoNq033yh6LSleXWZsdSRrbFvKXpZm6No4BW/XvwCdGzZD+pkpUQlcnf0cS7j9&#10;+fZbk/v+iuAz5URug6jITT+9mauVOyT5Ooz52R8w9f4nsWfnTn40OWpS1jIoa9u1a+dkLUsd2L9R&#10;HKiSsrawsNCF/WGQ/+bwM5Pylv8GUdqy3bJpGTxHm2f4//0iXCdZK4QQQnx7kawVQghRJ+CXUfvi&#10;6ofrjxb+PhQ7BQUF7svx5s2bK2SjX0KaiLRgW6Lw9/m2hL1uyVrF0cKEY3yYfBzQgMI2GRyMLN2L&#10;tHot0LN+CnqekYSB9VLweqNm6HDpz5F+0dVIb5SMyU+9gh3LVqE0rwCpl9/kyjD0r98ai8aMQ+BQ&#10;2JU+YEZrwe6DKM7JRehgHjo1an1Y1nrtuXsy0KmJd27etr1OT3Ky9pAbyKwcXRsmYcDNd7hyDeXl&#10;Eczp2Q8Dz2iOnmc1x4CGye580xt759igGXK37XR1doPZWeh17qXo7b2m/pf8HGPufBhvn/9jvHHJ&#10;NRh2+yMIFAUQ8Pb15YSp6FU/CV2890BhVjYCgVLkZWZhw0czESwtc2UYSg7mYNxL7ZHq7WvY6d7+&#10;WAu3YUv0OKMpup1xMVIbJCG1XjPvWqQ4ictr6cR5gmvPoCxlRi1F7UBvX4N/91eUZhxErncNB//0&#10;tor7wKjYJhb+/RxT8Jgsi8EyDtz/EXF4/zUqiL8iKo7fqAV2bdnqPptITcpabseatRxgjDVr+W8L&#10;P//47xT/IEh5yyllLOUt//3hMjNw+blp//6wVjoHt7RByPyCllPbZ3zwtUjWCiGEEN8+JGuFEELU&#10;CewLq59EX2Cr6ldaWoqDBw+6+oEmHykdrexBfCatBddZxLd928KugWStorpxpLQ7SjRq4TI++zdK&#10;AbNf+5/J2rYp6NM4CWn1UvD2f/4Ibf/rHCcD+zdKdj/n79kgGVMeehp5u6OCjITKmZEYQYeUa9D9&#10;uxxgbC/CgbDXZx+6ecegIO55WlTWRsLRz49uLI3Q+hdR8RUOYfXUGejeIMUJz/71ebzWeO+MVuh6&#10;ZpLLrOWAacHcbPT64aUYcGZz9PrBBeh6zqVIvehydKp/Ed797vlY9sEUFIfLUbg/G53PbulkbVFW&#10;DoKsiRvLoCzIykbEm+aGA94+gxj84CNI947ZtXFTV8N3w7jpyFizEcV7M7Bh/McYfttf0Z1CNO7a&#10;RbNaYyI0NuW5923cAt2/1xTFBzJQVhJEIBjClulz0KN+U689WlO34j65e3VkVOw31u6/r/ERvYct&#10;Mah+G/Rr4K1rmIxB3jXkMbjeMoKj+zvy3O04ifZbU7Fr6zb3fJCalLXc9qmnnsLrr7+OSZMmuc89&#10;Pos8BgcY42cjSx7s2rXLfUbyVx0sj8ABLSl22Wa/5GBfSlxKW/57FS9h+cy4Z9QL/791/hBCCCHE&#10;twPJWiGEEHUSfjG1L6/+L67W5v9JKbOamOHEn5/aF2O/gOUypaNJWxOS8Vm23/aQrFXURkSl3eEw&#10;kVcRjRjMbk1yMpeZmz3P8qYNWyDVW9/+P89D6vnXY9BPbkWnlGvRvkFTDDidA4k1RdaOXYiEojVr&#10;OzWh/G2O7qenOFkbDkZwKFKObg2ao/NZrXBg5TqUhMoQCAXQ5/d/QfeGSUj9XnM8dzblZhv0Oa0F&#10;crftQihcjmBuDtLPuRzveueyY/Z873PG+8zhZxBr63rTALNvvX7h0jKkXnw1Otdr5mRtxGXzRpB2&#10;6//ije+ei54//R3KAyHvc6wcmas3IK1BK6T/IAn71qxD9qEQwuURb78RV9eXA2nt/nw5erpM3xQn&#10;RqODvPlEqIuW3vm2QJ9GyRh0+4PRjGHvmKFgEMUlpeh98TVO5LJf9PrHwgY2c0I8et2tHIPVuD3i&#10;vsRFuncu3c5JcsfteXZz9Dor2dsuer/SvEht4k29YMavy+ptGC3JYGUZ4p+LmozakLXcltNnn33W&#10;ZdZOmDDBCVref/67w3n7d4WflVanlqKWWbYUshSzFLT8PLV+/NUH5S5r3bKf/VvG/frDSLROCCGE&#10;EN9sJGuFEELUCRJ9QTUZG/8lles4SEtRUdERA4iZYKSQXblypQsTkH6Ja6LWwrbzB9d928Jet/+a&#10;SNYqaiucBHR1ZmMS15eRWRFOKqagb5MWrqTCwCatMLAhM2hboPdZLdH+jKZ499wr0Pmam9HlLNbM&#10;TUHPes2xc+lKlOYXIFhais5nNndlDjpecgOKvOc4HOQo/eUo2rUHGZ99gUBOJqa90xE9z2zjyiBY&#10;Zm3qOZdi4G/vRHk4gjIvdn2+FCNu+yvGPPwcdi5bh5C3LlwWQOrF11bI2jC3LS5B1/rNvPNsju4N&#10;U5CxYTOCkQiKc4vQ7cxWGNGoBYb87M9YNXAsht/1KFL/dB/mDxmNcGkIhZEQPn2rM9IbMru4TfT1&#10;VwhVis9W6Om9bta/7VavKQp2ZyBQFkJpQREOst5uqBxzevVHav3mrv+R19K77g2j0tb2x/1ExW1U&#10;4tr6qGxt4d0X3qeo+OVgaX2Y8XzBFejRuI13fVpjkNeHA6xxPxwgLVp3l7KZ8jYFvb0pr31UBFd+&#10;BmoqakPWchtuS1nbvn17VwbBMmv9spb/zti/L/zcpLRlm0lb/jvFX33w3yl+pq5YscJtR2lLucu6&#10;tyyN4P93zo5hIYQQQohvF5K1Qggh6gT25dSw5URfYG0UbmbTUizal19KRUa8rDX5aBG/zGA/f8S3&#10;fxvCXrdkreJUhv8n+xWZuIlErsvgTHHbDDkzBekNk9C/YUsnc989/WK8fe4l6NrmevRp1AKDGlA+&#10;tkT3S3+BHctWO6EajoQQQrkTqfnrN+OdM5oif9tOBALeZ0xOHvqfcyl6X/8bBEMc6CmCT97qigGN&#10;ktDptPOwY8kSl4EbDgTRm7L2jDhZyxq0jZPR84xkZKxdh1DEO463vvtZbZDW5GL09M636+kUmpdg&#10;UOM2eOsH52HzZ/NQEgyjeO8+9GiYgjTv9VtmrSt74L2OtMYt3OsY3KgVhv35PpdNWxIOY2HqIIz+&#10;xzMIloWQf+AgenivndeH4pTbUr6m1U9ydXE5P8DbxwBvf/29GODavesd6zegQWt0b/UzDLnnUXT+&#10;6W3odoF3HZokY0D91nj57BQES0pc7eCMZSvQ+awUb188htfu7ZPXOo33wpv2q89SE1Fxa5m78fe6&#10;pqI2ZC23e/75552s7dChA6ZOnVpRs5bH4LzJWvu85Dz/PeK/QZSzlLSsY0thy0xaZtRu3Lixoj9/&#10;DcJ6tqxzS7HL/fo/ZyVrhRBCiG8nkrVCCCHqBPbFlFN/GGxjPUCWPOAX20TZtPzibMLR1tt8vKBl&#10;m4V//bc57FpI1irqYjhh60W0DiplbVURlZrMxu13FsUkl1OcPB3QMMkJ1PQ2v8DH/3gRH7/QDiPu&#10;/Ac6nXcpup+ZjAOr1qK0rAyhggKknnspOnj9M7x1ZRSz4TBm9x6C1eOmIVzmLYfKEQkEkXrRtehk&#10;spYlFIpL0K1eM6Q1OSxrw5S1JaXodlZr9DytKWZ17IG8tVuRt3s/AnsOYNeSZcjcsQPBcAjeTtDh&#10;3NZu4LPo64mKVL6OHmcnY3CDlni73sXI3LQZhcEQIqEQOv7wEnS74HKUBcoQ9JYnPfES0hs2R6+z&#10;m6Nvw1bo8p3zMb/PEEx+5g0MueFP6H5GElLP/zHSvejBc42Vn6AcHlqvDVJvuQcR770e9uLTF9ui&#10;f/3mSPWu6etNmrvrUOq9TgrbHg3aoPdZSRjYqDn6eK+1V9NrMfrPD2Dc7Q9g4G9uR9dzWjlh7F6H&#10;u4e1I21rM7P2ueeew9tvv+0ya/fs2VPx7xR/1cF/d+yPhZxnxH+e+ssjUNrm5ua6z09m1lp/Clz+&#10;8ZGfs/xjpB2DcGohhBBCiG8HkrVCCCHqBPZl1J9ZZPCLq5U82LlzZ8WXXAbFIsPEIoNffm29fXGO&#10;D/a3SNT+bQy7FpK1iq9TuMGxYqK2qkxc95P/xqyhmgIOQpbWhJm4zV3t2z71kjGwIX/Gn4JuZ7dG&#10;58tvxPDf3+/1ae3KDnS98GpsnfcFSsuCCKIcxdl5WPn5YpeRG/HWpV10DbqcfhGKsrJduQSXQUsB&#10;6jJrk2KyNrq+19mXIO2yX7r6t3nlYWRt2o55vfphydAPkLkzw23vHQKdz7vEO8/m0WxX7/Xx/Fkz&#10;lufet2EyBt9+D8KBEAq8/a55fyp61bsQfRokY9WYSQiFAti3dgM6e6+lf0PWmG2BV//nHISZIex9&#10;lm5f/iXmp7+Hgn1ZCOaXYO/ilRh6230uuzbVO0b/pGvQ+3d3I3Ko3GUET3q5PQZ616iXd/1YamJy&#10;265YNHwc1n/yGXo29LY5y7ue9ZMw8ZHnUZyZi0Ohcu91hF0N3rdbXOfKKbgMX3cvorL2iIjdQ84n&#10;ur/VidqStQxm1r711ltugDHKWvsc3L9/v/s3iNm0Jmv5ucnPS/s3iSKX7Rs2bKiQsfy3rLi42P06&#10;hJ+j/kExrTQCxa5JW4PH9Qfb/FLXiO9nIYQQQoivD5K1Qgghap3qfllkH7+s5Txr+TGbll+SmaFk&#10;EtHCvuQqTjzsekrWKr4pYRLQsnL9AtcvcqPzLTCoEaUif9bfwv2Un3J0cIMW6HpaMvpe+VuMuuef&#10;6Jv8C7x39z+weuqn2L1qLfpc9BO8U+9iFGXnIOi9N1wG7RlNXcZpr9NTsGfdBgQi5QiwPMIPL8Hg&#10;G/6IkNcvFCzHlGfboXeDi/D2D36I9d77qSzMerpRWdv3zCR3XnwdrgwCyx/Ub4FO9S/G3mVfIhKO&#10;Dnr2zk2/Q/eLLnGlCvpf9zuEvM9Nlm0YcPMd3nYpSG2cjPb/eS6CZQGv7RACobB3nJB3vrluoLRS&#10;bzkSDKPj1TfhXa9vcW4ecvbsRThU5u0ngIWjx2HYb+9G30t+gfSGKej2vSR0+s5F6HxGcww+oyX6&#10;NGmJ1Auvdpm2waB37JIgts9fgm2LlyP1ut9iSIPoQGSsbeuyd73X4mrbeq+rjzeNDnIWu09xYffQ&#10;f08TRW1m1j7zzDNO1jKz1sogEKtZG//vUPy/TbbMz1WKWZOx/KUIhSwzbVkegZ+zJn7Zj3+cpNRl&#10;JrP/s5dBScvXybB5E7fW7g/bXgghhBBfDyRrhRBC1Cr+L472RTIR/n6EXz4pafmFlaNp82eilq3k&#10;/yKsqLmw61pbsja9fjLSKMDOboNepzVFj/86D72/dxH6ctT4BP0VitqKo8lbhglcJxfPbOEyXNOb&#10;NMdQllA403uW67VAar0ktGOW6xneM90gBem/vxuTnmuLhYNGoVvDpujTuDl6nZGCfWs3oexQVNZ2&#10;ObsVOp7RFOGSMhREylG48wCG3vMEPnyrG8KFZQiFKOaATue1iWbW8jx4viyD0MA7pvf+GXv7wwiE&#10;AgiGIyjzPi9DBWUo2n8QWRs3Y/1n85BXUOiygNd99An6NGzhMmJf/865CAUCKA8dctJ27ANPIu28&#10;SzHuxXY45J1HUSSMjZ/O9N7LSSjOz0cgGEJxMOwdJ4TSUBBlJcXYuXglunmvedeyL7FyyqeY0b4z&#10;BtRvhYE//x0G/OkBV+qBA6QtGjEWPeqleNcnOsAYJXKfM733eMOWbjAzXlMOSNbXa6O07e29PjcQ&#10;WcX1tvtg9yoqbv0CNzrwWXTK5boqa+2zlP2Yecv1/LeM/6YxM5fStrS01ElZfqayjedOaesfqIxi&#10;l6+L8PgW/PeSMpcDbnJq/376+zCMROuEEEIIUfeQrBVCCFGr8EuhX9R+VRB+6eSgLMym5ZdX+/LL&#10;L7725VdR8xEvGLhcE7KWsoUDG037x3MoOpCJsrx8FO7dh90Ll2DFgBGY/vgrGHn979HvgiuQWq85&#10;uv/nuej5nR+hT/2k6D74c3Tf/hSK2gqTtU4McplClxFbH18rl9JxWAOWV0hG9yYpeO/0JHRplITe&#10;jdsg/cxk9G7UEj2v+jWG3vsYPu7QA53Oaekydbtf+1uECktReqgcpZEAyr3PvJ3btrvBwsrLD6Hr&#10;OT92ktNfBoGRWq8Vdi9dibIIRWoQRRlZ3vsRKPf+wyzbUKgcwbIISkIRhAOl6NHsapeR+8Z/n+Nk&#10;bag8guztO9Hz9ObefpPQ3Xtthd57MuhtV5Kdhf5nNEe781uj153/8M4pgkhpENtWrcWeNRuxbfYi&#10;vFsvydXIDfAzet9+vHPuZQgGShDg4FjlIQQj5di2cAWmPNce7934Z/Q8KwXvNmqKTt+9AOne+5lZ&#10;tSyJ0NvVEGZ2LYUt69pS1rZwwpZS173umIjlNGH2Lds4MJo3X5dkrZXo8a+3z1KTtlzH0gjbtm1z&#10;0pb/3lHasjQC/92zLFt+FrM+Oz9v2cZfmhj8d5Wvlf9eMjhv/9ZWBdv8IYQQQoi6iWStEEKIWiXR&#10;l0Iu80ulhbVzyi+jzCTiz0I5Uja/2NoXYpO18V+OFTUTdl1rUtY60UQpc04bJ2mDRcUIl5W5/fgp&#10;p3QIBBAsLELu1p3Y9OEnWPBWd4y77T4MTL4OqQ2T0fU/zkG3/zgXaXY8SVzFyYozKU0paykHYyLR&#10;TQ+Hy8BlCQUv+jSihOQ8RW5LDGjUCr0b8r3QHCytQCHZ7exLMemRF7Gg90AMue0BzOnSH6W5+eC7&#10;rPN5l7kBxSg33XvIm3Kb9/5wH4KUc4Eg9n6+FG9474vuF1+BQVfdjBF3PIjp7/bAlx9Pjw40Fglj&#10;Zrc0d/w3v0NZG3Sydu+69ej5/WbeuSSjR6MU5O3Z50onlJcE0PM0rm+JwTffgdLyEELhACb8qx26&#10;1kvGO42augHTKGsjwQgKMg7g7XMuQ3bGXpSVliHiHa+c2bWHgsgKFCFvx250OKsNivMKkLFhK6Y8&#10;1w69zv4xxt7zCCb+9Z/o86PLvOvTEv8/e38Bp8WRvWHD3+/9ft/7t92NIYEku1F8kLjbxpON+27c&#10;3Z0IEdwZgQEGd3d3dw3u7m4jcH991TOHFE+eIZAwBJK6k0N3V1dXd1f3VFddz+nTDQqXVgoAt2Ap&#10;1Y8McIv5YJbYwdRhelSHANqD8DY3bcUJDGutPbVnmQFb1mO0r3jaEg6BsAiY/xFN8rI9YHf9+vXO&#10;C5dz5Dj8Z2ii5USydXmtDwoKCgoKCvr9FWBtUFBQUFC+KK8BoZ/ur2eAiWfRxo0btWTJEjeAtcGs&#10;DXht0BssfyweLrB8LGAt3nPJ/7jEbQuUtXKOVlm7dmvNpGmalt5afV54Xy2uuFMpZ5VzELfm/1NE&#10;yadc5PbZ+KwKAeQG+30MyBjd7w4yuulP3rjpbrmMUorEoG6jomXVpHC0XKi00gtGfyP/e6G++N9z&#10;VDlaX/esMtHfTSnnYQogBmrWOau81kyfrX064D7eVf+uB6J9lFdylL853r1A4kJlVOd/z9f0pu2U&#10;k70/+pvZqypFSuob51mb6T4wtnbOfAdr084spdoFS8dg7f7o73LPPtU7rZQaRGU2vutxZR7YH/29&#10;HlC/z75X0zNKRcdTRjWi/MDazKicbWvWqW6B0qr6P0WV/OCzzrt3f1aOZg8aqTkDR2j52Kmqdfbl&#10;yo7K2ZW1T5OHjNDeXXu0L8rHC/31brhXqf+4VB1f+1ATGrXQ/K59NeTTykpJul61T7vItR2AZoOz&#10;aQZoc43lE9mz1oAs7SltaPzzi3V+Ht4i4SNkeNnyo+Xu3VF7F7WzeODiZcvHysjHRzbJgzctx+K3&#10;p7bsQ9tfUnwZQUFBQUFBQb+/AqwNCgoKCjouYuDIINo8gkzMk8YXshmY8mEVfxBrg9z4ga0/6A12&#10;bIy6ZWr1y/IxgbVnllWDXFibH8rJzNKmeQs1t0tvDa9YVZ3ufUpNk25U/QIlVfu//6H6f73QQaxG&#10;hYFkBs4SH2+wYMfaHHQ8k/nYveeHVcD4mBmhAdILlY7mS6lZNE0tgkduDNY6IBnlAVzWKHW9Uu98&#10;Wt3e+0a1i8Y+ONagaOyDaC7WqwHiq+7UvsxMZWUdUJen3tLnf/uHstwHxvZrzZx5qvdXYuqWUu1o&#10;XwdhrfOsLeXCEjS+7bHcNnu/en32ndILcGxJql0gFgaB9B2r16neaSWi/ZVQp8dedfmJodv1q2pq&#10;cWoF/XDqBap3bvlYOu0+HzfL3Kd9O3c5D+ImDz6v+dHf7G7t1/bM3doT/S1nR5YV5V8wYJjqnV1O&#10;TQtGdXF6GXV4+EXVv/Q21YzqxXnTUi8AW/6mo/kTBdbaswqz51W8WT6/nSWvlYVHLT9ampct8zwX&#10;AbacF9vxgyZetgBdg7Kct8WuZdmO05RXmm0fFBQUFBQUdOIowNqgoKCgoOOi2MA/BmtNpOFBRCw+&#10;PIoIe8BglUErg1cb1DL1B7PAQ9KCHVvzQYItHytYW//v+Qdr8xIxN7evXKWlQ0drUoOm6vvS+2p7&#10;00NqdOGVqn9KscgucnE00wBRwFwgV9zxBwuWXxYDtZEVAjqWU92zyqnOOeVU/6yybrlJQUBtdE8S&#10;DuHM0kopWkrpUZ4mZ1ZQeoGSalAkum/PBNbGwgbEwjDEyq1+xoVaMHyktm/eoh3LVumT/6ewsrOy&#10;tGd/9Lc7Z66qR3+zDYqUVV0Ha1dH6/brwK59qn9qKQd9G159j/OUzcrer0E16qlBoZJqEh2LwVri&#10;6u5Ys071Ti+h1DNLqPNjr8Xa8/056vVlZTWOyuCjYtXPK6cDtP3E0d2wRclX3qOq5yTp22h9/aLl&#10;VbX4Vdo4fa5GNGimXt/W1qy+g7Rjzz7tyMnWtC49o/2WUVW8eddvcc+OXRs3q2HBClG9lFHqaSXV&#10;+Zk31PTOJ7R88ZLcv/rfD9Yyzct4fpmxbPlt2W9zMbxpeSZu2rTJfWiT0EDsm1AIPCfJy5T4tvaR&#10;Mp6lwFr/GeuL62Ng1m/LLS0oKCgoKCjoxFGAtUFBQUFBx0X+oNDmLTYfA1AGqwx8zRiMmtkA1sxf&#10;F+zYmdXtsYa1fDTo94C1eYnj371xs9ZOmaEfO/TQiC+rqvtjL6vFZXc4r8IGp5dQyhmllBpN084o&#10;GfNq9M4pWLBjYYBVwGj9IuXV4IwySj+tjFqeVl7NC1Rw8Wn5MFhy0STVjyytCN63hEYo68zFwy0M&#10;EE1SCt60bh5gGxmAN7KaZxTX92eVV70yt6jymSXVvWI1jW/VWTPad1dNB2uTYrB21Rpl7o/a5b37&#10;VP30UmpMKIV/VNC+bdu1LTtTu9esUsrNd6vBRVeolu9ZmwtrU4qUUJfHXndtOuERen1VRY3xei1S&#10;RjXPu9jB2uzsA1o4eLgaFMAzluONzr1QCWWcnqRqfzlfdQqXVK3TLlLV//m7RtZvrMzMmFdv47Mv&#10;U70CSdq7eJUyc3K0Z9cu1SxaLqqX6BhPKa51s2a7fLRHpt8T1sYDWTNL99fZs45l2lzaWQAsU9IJ&#10;e8A8+wTGAmIBt+x3wYIFB9tptiHGO9AWr9q84Cvp/jPYFL8cFBQUFBQU9PsrwNqgoKCgoHyRDQDj&#10;B4EMFhl0EvZg3bp17vVOG5jawNU3BqM2kGVKWqLBcLDfbn592zLX5I8Gaw+nfTt2atP8xVoyeKQm&#10;J2dowJufqcMdT6hxsauVUriMks8oqeRTirmPnBFaIdE5Bwt2JOY8uYGsp5VR32feVc+K36rxE8+o&#10;dsmrVCu6z1Ki9U0KllKzAmWVWuhi1T2VuLExWMs655UbTYG0fGQLuAsIbRxN3Xo+blYkSalFyyq5&#10;SOnovi2rmn8toRqnFVODM2Owlw97tXn+PQ2smaq53fqqasHi0XZJUXoZdXvvK2Xv3qvsnBxlZu7V&#10;tnmL9H2RGKzF49bCIDjP2kdzPWsJm4BnLccZlVHrvEtisDZrv+b0GagGBUo7uJwaHU9a4VJKv/Ye&#10;zWjbTUuGjdKy4aM1tV0nTes3QNn7cpQTbVf/0htVNSpnz9JV0X6ztW/XLtUpUiEqu7Tq/+UirZ06&#10;Izq+EwfWsuw/n2hLrT2NN0snv5VjaYQ8mDx5skufP3++2y9xaoG2hD6gPeajZGw7adIkl4/QCKTv&#10;27fP1UE8tGU+EawNCgoKCgoKOvEUYG1QUFBQUL7IBoT+oNBALR5AvOLJq54MMhmYMuj0B7YMXBMN&#10;eC3d1gU7dubXty1zff5MsDYvZe/bpx2r1mjt5Bma27m3Rn9XW90fflENonN3MUmDBTtKA9Y2KpSk&#10;2oVKaWKTVlo5foZmtu+uVTPnanRGC6VF6fWLllLDgmXV6rHXNKNWupLxro22Sz4Y+qCcg66p0ZSw&#10;CUDbBmfF/uZcDNs4i3nexmLkNsJ7F+BboKTqnXKh6p5STOkFYmlNCpVUg4JJanzTY5rVsY+2LV2h&#10;ef2HqnLhEg7W8vExPGtrnV4iyl9KHR9/Qzk5B7Rnf466VarqPqoGCK51rsHaA5rTb5DzrAXWphcq&#10;ox9OO1/7tmzV7uws7d69R4uGjNbisZO1ce0a7c3OcR9Ry7j0TlWPznnXilXKitIyd+5S/TP5qFpp&#10;1ftbMa2bOsOB4xMF1vpm7aq1qfHPMUs3WGuQF7N5y8+UHzY5T4O2TAmDYB8gowzALnkILUQePG19&#10;2TPZzgH580FBQUFBQUEnhgKsDQr6gyu+U45YpgOP98WuXbuch6MZy77R2edVdfIe7vW6o9GfdWCQ&#10;6FqcrPql80h0rtw73E/mEcTg0waYzPMqpw1MzWzZBq+Ynx7syMwAAJZovZmt9+vdrg+xE+2aMv2z&#10;wdpEoh74qBnANtG5Bwt2OHMAtXBZ1SpcSuMbt9Tw5FaqfkZJfX1qae3Zsl11/3FxtFxCNQpdpJWj&#10;xymtwl1KO7OkA611zkpSvciI3QoYrX3qhUovXE71CyWp+l8vUNMCsbL5sJn76BiANDfsgnnk2v7N&#10;Ozc1Kpc4toRcSClaIlpXWo0KlVHq34op+awKSi16SZReWvX++YBaP/u2+nzxvWoVKqnU6Pi7PPqy&#10;cvYfUI4OqEelamp1RiyEQ81zL3EesntycjSn10AlFyjj0ptHx1exSHHtz8nS7qxMzR48RFX/er5q&#10;nXqeun1VXdmZ9DcOqOmld6hmdAx7l62K+iD7nWdtraLlVf+skqp9SjGtnz5XO6PyTwRYa22nmbWh&#10;idpVe54d7pnmp9k2pPEBMj4uZn00nql41fKjmuWxD5ABdOnD8fz1xTn47bnNBwUFBQUFBZ0YCrA2&#10;KOgEV3wnmnk63WaH62CzjkELZvmYp/NOfDMGGcOHD1fv3r3VvXt3Nx0wYIAGDhzopkOHDtW4ceMO&#10;vopnnf8tW7a4AQJlHU7xx8c8Zum2zp9Hfh7/PG0e+ekoPq+JeX/ZZOm++cor/ZeU1zakJTq+k1Hx&#10;52Hn5i/H33esZ2DJQHfevHnufvK9aS3EgT9Q9c0GvDboDXZ4oy6tPvMCA2Z+vfrztt5gBLGF/Wsc&#10;YK20dfEy7c/Zr/a3PhK8a4MdtQFLiU2benppTUttoR1btmnVlAmaNWCols6crW/OKqsZLTuq891P&#10;qvrfL1PGnc8q5dwKql+ovOr994Vq8v9GdmYZ1TmngibXSletIqWUdv2/tGD8eNWLto33rHXgtjD7&#10;/cnIwwfNkslfpKwa81Ezb5vYR8sAuGWUGlnjgsVVr0iSmpwRLRcoofpRWlrhpGiapFpJNyvl3meU&#10;cvP9Si9cRvXPLq1a51dwz4IsHdCPg4aqfkHi7pZykLnqaRdq37qN2pGTpb3rt6rRbY+52Lj8Xe3K&#10;zHLwN/3yO1X79FLaNGOusvZla9+O3apx1qXKiI6zctTurJ4xR1k5sfbIxP5+T1hr85jfpsanxbfJ&#10;fp54s23s2ckzk7dT8KAFxvJ8tfjvlg+PW8Au4YYIncBzGHH89hy3ZUuzcwsKCgoKCgr6fRVgbVDQ&#10;CS7rRPvz1sk+ko61rWfwwmCGTvyIESPcoKNNmzZq2LChqlWrpsqVK6tmzZqqX7++6tWr5wY5qamp&#10;atasmVq3bu3yss2gQYMc4B0fDQaJMcoAg9fuALmUj/cdgwcGBrzufiTyzyt+3j9Pm0c2b+vi85ps&#10;nZkpPt3W5ZV+pMprW+bjAebJKI6dOrbzMLN6t3PE7Hrglc09wcAW71nuG4xBKvcPg04biCYapAY7&#10;cqMO4wEA9cu8n27rbBvMlsljy1wv2y7A2p/rQE6sPRr5fW0HugKw/ZOYBzsxli0tYf48zEHQM8uo&#10;XsEympjeRsPSm6pGmWvU8YVPtfLHeWp6agmtGj9TPV96T7XOvFhb5ixQ8q0PaMRXtbVpxTKtmjZD&#10;da+7R61e+0R7du7SV+dVUI1/XKb0q+5TnbOT1KRoOTUuXFopZyU56JpSpLSLkesgbjSNwdiy+uF/&#10;zlHjM0o7j9v60TYO1HI/2zQy8rG+Hh88OytKK5TkvHedl27haL5QmSh/tE8+jnZ6kgtzUOfsMmpW&#10;sLQq//0yNbj8HjW6+QElFyaMQynnHdy0QGnVuuJ2Ze3crT0HsrU7a5+yo37DpvVrXIzbrOj50fjy&#10;u5QS7WtyRrvoWZKtndHzpNmDL6h+dLxfXniJdm3e6rxwTxRYezzM2mTaaOAsbTOwlmctIYaWLVvm&#10;1vGcBez6oRHIw/Fj9tyOX/blrw8KCgoKCgo6fgqwNijoJJDfWc7L8hKDFjrxdOj79u2rJk2aOBhb&#10;q1YtNwXOVq9e3QHb2rVru2WmGOuTk5NdGoMejPkGDRooJSVFaWlpSk9PV4sWLdSxY0dXPiB44sSJ&#10;bvACwGVgw0CCQQLHAcRlsADIZWCAEp0PFq9EeQwI+oMOk7+caN6WfcWXlVe+vHS47RKlnUzi2OPr&#10;xq8vpoTKwAzW4oFt3j4MHg0EmictxrKlJxqYBjtyow7N88rq2b4uHp/PN9K4FkzZnuvBPNuynuWN&#10;Gze662z3QoC1P2lU5bruo08B1v5J7Ew8UsupcSFgaLSMt2qux2rC/HmYg6V4oBYspXFprTWqcXNV&#10;+b/z9eH/53QtnjpNaXc8pbVjJqrrS58orWAFbZm3UMk3P6TlQ8eq7euf6rNTLlTfR95Q3xc+197M&#10;TK2cMkONrr1f84YOU3KBUmp64wNq/+YHSit1g9ILlY+OsYSaFCzjjrVZQY6/guoUvkgrJk5Qyo13&#10;OehKHNufvG9/uqdjx1rWedE2I0/R6O86F+K6fJERjsHmAbcA2SaFSrsQCxnR/tPO4hhi26VRfuGS&#10;kZXVd1HakBppWjVpusY1ba/On1U6+IxJvfpOV16lkte5D4nt2B97vuxZu0n7tmzR7pyoP5Ed+zHa&#10;9EeEtdYOM7U23dJYJnYtoJZwVvS31q5d62Lc2jMAM7Brb0ZZHfvP9XhZum9BQUFBQUFB+a8Aa4OC&#10;TgIl6ixjdLANivnptg3QjNfkAKh4xgJegbB40AJrDcDWqVPHGXAWM1hraeQF6LKdrWPeymGZcgC4&#10;wNuMjAw1b95crVq1Urt27dS1a1cHcocMGaLRo0cf9PRg0ENIBSAu8NY/h3jjHOPP187TLF6J1lkZ&#10;ZvHbxee3Zdu/v2/kz8fLtv2jyOoh/vz9ejHjenJdef2SASPXnMEzA1sbPDIANTB4PAa7fxYDuhqc&#10;NXCLUc+s49VYG+j7YNbgOcuWzrJdmxCzNm+N/KGO+/p+gLV/DvM9am3+YFqC/HladM84j9dCpdXj&#10;jU+1bPqP2rVtm/Zu36mdmzbrh/Mu08wuPTUmpbWqnnepdm/dpka3PKKahYpreudeyty6Q40uv0Nf&#10;nnuJdm/foe/+v2cr5br7tGHxUtU8tZgmNmqqAV9U0+5NW1T/xoeUUQhIigdtkr45t7wa3vOsqhSu&#10;oC2LlqverQ+qxRkl1LRABdUtWlIZZ5RRg6JRnugYzRuXaWrBJH1f4CLVOr24A60AXM7j0POiLn4C&#10;t2xbv0h5NSlcXMlnsw+gbVJUfqlofSllFC4TlVNaNf52vuqecpHqFiypL/9eQZWuukWp0bRJoaRo&#10;vxer+RNvKDszU/v25ygzen7vWL9RyxbMV9b+P59nrf/sxGirFyxY4I4JWEtoBMAt0Jb+luUjD+dA&#10;OKzMqC7tmW2yZT/NlFd6UFBQUFBQ0LFXgLVBQSe4/I4zQMw8FzGDZAbKTKxj4EKs2V69ejmAWqNG&#10;jUNgq3nVmqesedACaA2+kod1TA3oYgZ5SceYJx1wyz7YF3AXY57yKJt9NGrUyHnidurUyQFcYM/I&#10;kSOdNy4DDyASAwte42PQASDasWPHwVf3DierI8tnyz6UtbRE9YZY/iUzWdmJykF+fqZ57fNkkZ1P&#10;/HlYmok6AcITF9kGiQYMGWgaSLQBJ+tJs/Rgv80MujJvdWyw1gb1BmFJs3TblnkfBDBlXfCszVvA&#10;2mTAVNy5B/tjmg8hD3qWuvTE+fMyt13hJAdPM04vrtr/7zmq/V/nKaXAJfr21NJqUqCMqv/jEs3v&#10;O1SLho/S+nmLVf+2x7S610ClP/O2WnxUSRtnTtE3hUq7MAi1o21Srr1Hm5YsVe3TSqrze59ofL0m&#10;Gtmio2b2HKTGpyep/tll1KBgktbNmKWlU2dp1cw52rF1q5Jvf0QpZ5dV569+UPu3P1Za4Qqqe05p&#10;NSiKd2w5B2X54Biwd0zLNhr70fdKK1jKHTues5yH1ctBeO3OMXaeKUXKKqNAtP+ovGSXFp033ujk&#10;z60LB6+jfQBxW5xRVk2AxUVKuQ+SNcEzN9quWpS31T3/VvN7n1KlaH5opdpaPmWGA5CmPyqspX2m&#10;PbZQQuyXHz5JZ5lz5jmKly3AFg9ajH4UbzrZtuThh3w+TAbUtfNBzCeyROuCgoKCgoKC8k8B1gYF&#10;neDyO8QAMUAs3hAGa30xQMFbglfd+vfv72LOAkoNsgJWWTZoa+AVIIsZrLW8PsxlalDWtsMM2Mav&#10;94EvZmkGdP39s95ALl65xMjFG5cPnhEfd9KkSc4bkAEIgw4zXvmzOG3UCXakcXJN1G9e8DE+zTfE&#10;euocs7S8xPojzXuiy87brx/EMvXPdWFgyODSH8gyQPQhIVOMNFvnD0yD/Tqjbg2w+nUOsDUISxp/&#10;U3zszbYhD/n9MkhjG9J+L1jLLuPtRJPB2oZx5x7sj2kO0hYuq5SiSc67tP6ZSWpwRkmlROZCCUTr&#10;4y1ROfF58LJN44Nd0TruJeabFiyh5P+7SHVOPUvVziqvumddrFr/uFz9vqqiWW06KeOGe5RyWhmt&#10;HTNVkzp0VeptT2jLkmVqUPw6Ze7eploVbtOgBk00e+BwNT4tycWcrVviOu3asV0/nH2Jqp1RTDs3&#10;blK96+/T8qGDNLp1R3WtWFlz+w9V7cLF1LRAqejvt5zqFi2vbm98qMY3P66xrbtpZOVU1SoS/d2f&#10;EdVDZHx8rBEfJytcKjrmktH5lHZ1484tmjYtmKRaf79cDSrcEvPUdet+qgfnnUtaVH9NCsTajJQi&#10;xNkt46axsqI6ieqoccEyala4nCuz9l/PV7X/Ol/LFi7K/Wv8Y4dB8Ntm2nG/fQfEso40PGj9D5Ax&#10;Xbp0qSuLYyYPHx/D85Z+FH1Kv33HEj3rbZ0tBwUFBQUFBeWPAqwNCjqJZJ1nM+sw05kGkjGIAG5a&#10;yAPzcGUKGCUN8GpQFWAaD1VtPhGcZVvzwDUAa+v87eLXM29mZfrg1o7RQiqQj/1gxMUlzi4fOuO8&#10;8Mjt0qWL8xgeNmyYA7l4lgAHgbnr1693r/5RH9SLmV9nvkjz89h6q1ub9/Nhtt7W+Xl980U+7GSX&#10;nVv8eQPNiYfHANAgnw1kGRgCApk3szQbiGL+4DTYr7P4umTeH9zj7Wx/Lwzm+fsxz1v/Otk2Bmv5&#10;gcS/3scF1ka7Y18H9h/6d3WoxfI5+500IsDaP5UBDtMdlC2jRudfrUVjJml6+x4a9VUttbr2XjUs&#10;VFxNCibl5skFlnFm8V0PKZc0F/uYdT/BXOAwHq1NCpVRchE+Fhblj8qvf2oxNShaLrr3ovloOeWW&#10;+9Sw+I3q82V11T6jlKY2baUloydq8cTJmj1wmFKj7fnIWJ1zLtWezZuVdundqnd6CW1esVJ1y9+m&#10;XdHzc1KTThpYo442rVqjeudfGR1nGdU9rZSmd+muhZOnaniLNlq5YKkmVkpV/ai8AV9W1uRGzZR+&#10;/b9UP6qXGudeEv29l1fNIiWVUoBzKBEdb5kobzn1r5OiiY1bq0F0DDGoHasfqwt3rlEZeOrigZtS&#10;tIwD2HzMLOa9S3mH1inrCZOwfNHi3L/GPzasZer/CEeapft5adOZ8uM9HrR8L8APi2DPZ3604y0Y&#10;8sS/wcQzHohr/aOgoKCgoKCg46cAa4OCTmDRaTYgxpQOs3WcTcwDTfCo6Nmzp/NOBXgCQf14sgZp&#10;MR+mxsNa1vlQ1y/DB7FWlm9+uoFazM9jZnn9beLTLKQCxgfQgLp2PBwjEJe4uHzcrFu3bm4gZbFx&#10;x4wZ48JA2GAEjxLqCe9A8yI5Gtk1MPMHNL5I9/Pasimv7U4W+edj58c9iOcOoBZvHurcBor+4NGM&#10;ZQaaZgw02Yap5Q/26406ZUp9ch3sWlg8Q/4G8MDn74BwFaTTfpCP7SyesAEArg3LvwusjbSfeyyy&#10;7Nzp/pyY5SQAuL+XgLXErA2w9s9hBgrxJq1T4mrt27FT7Z99V32/raOtq9er+aMvqn5RPENLKLko&#10;3raxMAKEEwA6sh1epOkWBiCRJdjfIVATL9MieOKWVcYZMTCcVrSMCzXQ6LQkNQaSFiih+udUUOVz&#10;L1GDG+9RsgOnpRzc7fnWZ9o4b5Fm9xyozN17VO/WB7So3xB1+aS6ahS7TsnX3av6/7gq9rd7Whlt&#10;mDVXTa95VLVPOU+LR4zVyGpp6vzOp1oyfrJq3P6wVs6crbrnX6nlQ8ZpcKPWWjp8rPp+V8cB4oaX&#10;3KY6F16noZ/9oO/OKq/UqE7SCiWpSeGL1bhI6Wg5F95GaUyTi5ZysLvBOeVU7Zzo3MhbKKo3zj2q&#10;N+eRy/xBsF32Dw9rzQzSYokgrS3bc5h5gC3x4wkpBbQFzNInIi/1RDn8yGo/dlv/iPOkLv0+j7W1&#10;thwUFBQUFBSUPwqwNijoBJZ1lDE6z3iLMjUQSCwyvOOGDh3qwCVQE8Dpw1im5g0L5AR2MoCxNOZ9&#10;I80Pe+CDWls2AEvZpGMGWC0PRpql274NtvplsD/Lx9Qv08zPb1Obx1iP2b5JIwxE06ZN1bZtWzfI&#10;GjhwoEaNGuUGMPaKIIMT4BWDF17f51VBC63gD1CORmxj1+jXlnGiys7NxP3IAJABLK/UM/hjkOgP&#10;YJkyGLSBpQ8TfbP8wX69+XWNkcZ1IQY093n8V8BZxquK7fi7YBvfawvjWrJ83GBttAs7PjMHaA/k&#10;aH92jrJy9mtflJYT3Yc5+6P2MTLLl5dY5ZcX++/YKcDaP5fFYClAtLQaXnSNMnfsVNXzLlad/7tQ&#10;bZ57U1smz1JqwXJqcGYF1TythOoWKqX6RWPxXhsXBtYWV0qhJDX4+8VKK1xa9aJ1zQqUidbHPEkB&#10;ugdj4ZoVyYW1TN0x+BbzRnX5HMyMti+c5KAwQLdxNA/MbQg4jvbBvdr4jCTVvfBapRW7QW0ff03J&#10;Za5TnXMu0/yhY7R08gytnTRNP5xVRo2j46wWHf/CvoPV8eNKql6glBYMHKMBtRpoZlprLZ/1o6am&#10;t9WyqVMdpF47+UcNr5uuj0perJx9mapa7not6NhTg6o2UM2/lNDE1p3U+Ob71fb+p1XvmgfV5LoH&#10;VavkVdH5l1Ny0aitKAS4jerprKhObntQm1evUpUzi0fnlOtpm3t+vlEffwZYa89OA7HWXtvbEPbs&#10;JQ9prLdj40c4AC3tOMDWf26zDXn5YZt+ET/m0d/0n/Umzv2P1q8JCgoKCgo6ERVgbVDQCS46xQZr&#10;bZ5ONB1uOuvdu3d3oQLMA9WHpABPoCwDFiCuAU+MdQZJDXLGA1GMNCvH8loeg6pmpPnbxqeb+Wk2&#10;T7lWts1bHivLymUdxwv45bwMzlpZLJNu58x5Am6pJz62Rlzcli1bOoiLVy512K9fP+eRy8fO8DLE&#10;ywQYZQObw4VVsHlfDgjFrbO0k1n+OXFP4oXDgJVBJPXGwNBAH4M/GyzagNEGm6TbwJJ50oL9erM6&#10;tnpl3jxp8Z4FynK94u8/0vjBgtdibVvKs2uI0c6wfDxgLaVTth/2AM/abADtzl3RcrQ++nNy66I0&#10;B3AdrM0bHsTKjG2zn7/d3Lwuu0uPZXDb505JOhoFWPvnMhcGoRCeskmqW+wa7d6xS0ujv4OZrbpp&#10;46Klmty8vfq8/anmjZ+g9T/OV7uHn1Xzux/TiM++UeNrbldKweKq9v+eqz2r16humeuVUhQv2VgM&#10;3OZnAG3Lun0wtfAHgMr4EAD+R71ioRKSor+1mLeti6vrrTNLLxydQ1Q283irNirCNmWUXpAPeEV2&#10;eik1OAtwWl5NCpR2sLd+dHwNy92sNdNnaMmkaVqzcpUGNUhT8j2PavWMH/XNhVepWqlrVfkf5bVm&#10;6mz1ePwd1TzlQu1evVGN7nhcS9r30dDqDVXrryW0fNoMNX34FQ1v3FzbVqzWyIx22r5+o1oWu1Hf&#10;/j1JPd6tqBE10tTo2nuUUvgSVS13q2qfXSI6vjJqXqCsmhUor5QipVx4hoZR/XPO1MufAdZam3y4&#10;dfF5mPeftQBZ2m6e3fwozY/UFsuWvKyP/3HPl2tHo+e/1UFQUFBQUFBQ/ijA2qCgE1zAFB8O4gEK&#10;OAEuAh0BloQI8GGsTQ1wsmzGMmYgFItf55ufzzfKNjiayPJaR7p57vp52Jcdgx2Pv45t7JjM/HyJ&#10;yvXz+XDXwDZGGnlSUlJcCAk8cQmtQGxc4uIOGDBAI0aM0Pjx411YBQY7gC372BkDHgY0fNzszyIG&#10;aZwv3jfUA4M7gJ4Paxn4UVeYDRzx9LEBoRnLwX6bUY/UM/XPgJz7E6BgcQppP2xgzdQM0aZwHRmc&#10;UxbX0a6LXSPSWGbw7peTP7A2dmw5+7MdVOX4cqLpusnT1bjIFWp3w4Ma/MwHmlQlVfP7Dtb6eYuU&#10;k8UPWT+dU7ysTMIokC/WlkZpDvrGwiywnHUgqqeDkJjtjlwB1v65DNCZVrisGpyVpLQLr9be7buU&#10;ctW9annPf9TyrifVoOilGvzet1o7Z4G+K32Nmt39H+3dsEUdPvxGG+csVMPHn9bioeO1b88OTe7d&#10;W00uu0s1CyQp5fLb9EPh0tF9VDoqv4SDkA3OLKOMaF/1zyqjVqcBT0srvVBppZwR/c3d9pganHOJ&#10;8zYlVEC9wqVU+7RiSi4a3YseyPU9cC1swMHlOEuP9tmwaJmojDIutizwtykf/IrKq16ouOoWTFKN&#10;ktep8SV3qnE03/XdT7R6xmxtXbxSKRVu0pqZP6rj02/ph9Mu0Pb1G5R831Oa3aKTBlSrrx/+ep6W&#10;TZupjv96XiPSWmlIw6gPc1pJLRw8QoM++laDK36nLSvWKOO1D7Vi4HDVuPNhbVuzTtUKF1P6lfdr&#10;XLNWavvMG6pO3UT7rv6X4qr/f8XVsEDpPwWsteepedOSZu008zx77fnrH5Pl4Vhpz9kWD1pALc8I&#10;3ijivPiBz7bnuU4abxr5wDbWPsYsKCgoKCgoKP8UYG1Q0O+gRJ3c+M6vLRusxQCDdKYBiC1atHCe&#10;oniMmgEpgZLA26pVq7oYr8wDJIGXvrcpxkDGB6bxlgh82ryflsgSrbd9xpftG2mW39ISzdv2fjkG&#10;ZZlaHtvGzM493my9lUM9mceueebilYtHbufOndW/f3+NHj3aDQgZBDGwwTuFwQ2eioBcBkJcM+K5&#10;+sDs1+pw29v9kleeI1kfr7zyc08yuOP1eQZ25rHjmw0SzWxwSV3ZgJNteTWTqQ0m47dLZEeT92S3&#10;ROdJGnVIvRso4P4D0hKbkHvPXmH1rx/zMVAZM0vj/uSjM1wfu5ZWx9hxhbVR8Q6e0ubtx6OW6X61&#10;qnCrmhW8RBmFiM9ZUumnllL6aSWU/r/FtWjgMPf39ZPH7KH3LfPunHNiwHZfVG5ObsxbFws3mu7P&#10;joVVOJC9X1kOEseO5UgVYO2fywCdAFJCFqSUuFKZu3erfjQFrhJ6oGk07ffeN5rRZ6BST7tIg177&#10;SjN69VVykVJKve4uZe/Yqa//6x/au2u70u97WnVK36LVE6Zp8Zix2rZ8lRqW+6eqFi2pVg8+p6GV&#10;qij1kluUXqC86hZIUo3/uVCpBcqo1ukXafXEqWp6/xNqVhjP3PJq+eizWj5ipBqcUdxBVqAyADbm&#10;UQvAjZbdceeCWf+8LC13GrOfIC/bYHygLOXM6O+vcAU1KVBO9YHH0THV+0sx1SsS/Z1ff4fqXXxj&#10;dHzFNLfPEGXc9oha3v+MdmzaqHGNM7R363ZlPPC0hjZupQG1U6O/61Ka3nugBn5aWbO79NTISqku&#10;dm366aWVfNk9yt6bqSqnlVZWNK1315MaXLuRBn9ZWU2uvU8b5i3Uusi6vPvZnyZmLcYz06CqtdMs&#10;23PWnql+fnvWcrz2wx79Sdp+i2HOD3z2wx3rKYvnPG9nxH98zFd8m4vyyhsUFBQUFBR0ZAqwNijo&#10;OIsOrIESE2kGZK2Da0DFQYhoClABlixcuNB1tMeNG+dg4bBhw5yXLa/yt2vXznmGWugDg48+zCSN&#10;KSASM5hpy5aHbYCUmOWxKXmsPJu3dbatv02i9Va+5fXN1lt+LH5fvlk55LNzYNmPy2t5/TLNrGwz&#10;ygBw+xZfN3jiWlgF4gU3a9ZMrVu3VocOHdS1a1f16dPHxRKeNGmSA2kWHxeAa/FwMa632eHk54vP&#10;z7yVh8Urfr2/LbL1eZVpIo1jtwGdedQazGNwaKDPBolmDBKx+HSz+O2YN/Pz+evySs/L4vP/3pbo&#10;+KyerK78df52BlVZpk0AnALQuT6Jwh2YSDczcY25LymHsv1rwTz7YqB/XMIgRMVTNl6uOYQ5yMnW&#10;zEZt1eGK+zXk06+VcWYFNSuYpOaRNSuUpIzC5dT28juVtS/TAd4DxLbFOzYyU7QU89KNyqNuMqN6&#10;ynbgIbc+orwA20ygrVlUjl9Hv6QAa/9c1ij3g2H1i5ZRatGyyvjPa2p4TnmlFSnlwhbgvTrg8+/1&#10;Y99BqnfmBUr/58PavHKVvv/f4mp2yX3K2ZOpH/77HGVHf3cpFW5V2uW3a/uW7Wr30qeq9/ArmtNj&#10;gLo88Zqys7LV6eOvtXr2PNUvdbOG1U/X7iUrNKdPb9X5RwU1KHGjkguWVs3zyuiH/zpbawYMV7Xz&#10;rlJzIGrR6Djwri3MMRIrNzq26Ljrl7/tIKyNN3duudP0XFDLPZ3QC9eFWogBYcAwoRSYb14w2r5Q&#10;tM+oHmr+rYQaFMIbuKzqRcfa4PKb1P2Nikq74R4NqJmiETUaRsdXUrMGDlKfr6uoxxsfa8Xkmfru&#10;ryVU45SLovz3Kmdvpiqfe52yonZq3eAJmjlgqNbOmKNmL7+v2b0H6d3/31ka+s7XfypYe6TmP3Pt&#10;uUKbTh/Sfmim3ec8ALa8MWOxbPnxj3PDDOryFlGidpFniN9/ZWp9Ct+CgoKCgoKCjlwB1gYFHWdZ&#10;J9bMIC3zDiREnWXr9Pp58ZTD8wEgA1ihY808AIWO9pIlS1ynG08I4NmECRPcx7QGDRrkXucnNisw&#10;sXnz5g4yAiDxusUsJIDvTepDTIOXlo75oNWAKGZAlO0OB0h9s7x+eUx98Bqfx7Zl3sxfJh+WKN/R&#10;mpXBMWAcl4VTwHsZs5AKVn/UD2EVqO/27durW7du6tmzpwPrflgFBksMioCfGzZscNcUMG/XH7P7&#10;JpGZEq37JbN7y4w0k5+P+9HuP+41IC0DPgN5nAMwjwEh85gN8mw9ZoNGM0tjAOl7A/lm6y2PmeW1&#10;44jfDvP3dTIYx2zng5Fm9crgmr9r6pNz556xHwDsnrFr6F/HIxWDcEJaUDb7tjpnnn1yzfGusrKZ&#10;5g+s5fhz27zsA9q5dr3qnpakPdu2qm3JW9W0YAW1KsAHk0qpecFyGvLaR+r14KtaPmSUcqJ71HnJ&#10;xtUDUwdqc7KVnZWpBqWuU+PTS6tl0s3qet9zGvZ5ZU3v2E07lq9293p2tH0OIRFytz8SBVj7J7M4&#10;eNmkSHnnuco890HymRerwXlXqv5Vdym94AWqV7iMRnxbQ9ujNn7vjp0aUqmuGp5aXNtWr1XbF99X&#10;zTLXauf6zUq7+VF1eeVj9fvgW02JnhuL2vRQo0JlVOdv/1DaFXdrz9btUZkPqNntT6rx7Q9ry/KV&#10;qnrD3apf6gatmTBdiyaMVft7XlDdMyuocbQdMW+To2NNPSNJqQVLq8a5l2nvlm2qe0pxpRQtrQZn&#10;lXBwuWmhJDW84FLVuehKB3fdeeV64BKb1320rHAMzPqg1+rj4MfPnPl1wzZJbl3zwhVU/5wSziO3&#10;8ZnFVPPUC/V9QT5gVko1rrxDza+O6qpAWY1u3EI7N2zW7pVrVfn2h5S1e6e+K1BeWVEb9+E5l+qL&#10;00pG53uNqhcurWHf1tKeTVvUv2JVLV8YYG0iS/RMZN6ezyzzkTE8aHEI4DnP84QfZelXWl6euxY6&#10;gX7qIe1r1GYmane5DtafDQoKCgoKCjo6BVgbFHScZZ1ZM7+T68Na0li29YcT6/0OMcvANV7BB+bQ&#10;4Qb6AHsmTpzoYCGen126dHEgETOQ27hx44MhFYCPFkrBwioY1DV46kNMln1A6s9jiQCov478/nrK&#10;ZHq49ET7sPzx6fll8ftgnmM0eGuw2+qO4wOY45FLfFzCKgDU8cTFYxpAhicLYRUAaOvWrXMgl0ES&#10;8eUO5zmZSIny+veeGWm+mRi4AQQZmALwAIcYx8lAjjQGcv7A0AaClgfzB4rxaQYHE+Xx8x3peszK&#10;9Ms90Sz+POKNPNQjf7ssM6hmwMygOv5eYGptx9GK9oIyaSe4ZgbEmWffpHP/+fvKL1jLR8NysnOU&#10;lZ2lbs+8o7Gffafx9Zqoz+Nva8Tn36ploXJqXihJLUvfpObFbta6adPVssJdsdAPhDfAK3Z/dJy5&#10;t3CsXmgjszXhhzQ1+/ulalWwgvsqf4vTy6jpaaXU+K8l1SYqg9fZiZEb+2jZT38Dv6QAa//EBpw8&#10;BFb+ZE1YX7iMix+bHt1ntQuUUbVzr1Cd06N7rvB5anLZvVo0erx6PPOGhtRO1trpszSuUTMN+/Rb&#10;tX7yFe1Ytc55mVaNym9yzcNat3ixahYsFm1bXN+dfp62Llqm78rdGP0NzFSf6g1U67yrtHnBEqXf&#10;cJ+SXWzbsvq+aDkNqdJAi/r2V+V7HtWezVtUpUAJNSiQpNqFS6vRGUnOY73l/Y9p/459ql+wuJLP&#10;is4nOu60aH0aHx8rVFL1ilZQvVz4GgO2HpSNjs+WqYf4ujmY76BFZRSMgd8mBUurcbT/VtHfY52z&#10;Sqr+aSVV+3+LqV6BUqp/ziVq8+hLqle4nCpfHv2tz5mrDdFzcUbTNurz2qfq80VlVb7uXu3asl0r&#10;ly3L/WsMsNY3jo12HGPZnomJ0i3eOd61vKVBH5Jl2n+e+ZwrH1+15088iGUei+9bYEfTngYFBQUF&#10;BQUFWBsU9LvJOrW+0fE1QMsU+ED6bxFlUQ4QmM434M0+KAEANK9c4AzeuMAXPEB5nZ+4uADFhg0b&#10;utf+zZvWYKiBUvMyZd7SDKgyNbP1icIfsM7ML9ufxyjHPG79bf3yLb+lWb78MvZh+/bPjTQDtdSR&#10;gW+mLJsXLnnZBkhOXVtYBeofkA7IxUN6zJgxbkCFFy4AF3iGFwzXFeM6Y9w78YOoIxXb+AMrptwv&#10;gDkGcgZlbXDHgM/MBn5+Gmb5zfJaT3kGCRPlo2yDwJhtczizsk9Es3My43g5fwbGzHOOAAem5kmL&#10;J719odu/Ronmj0ZsYzGxORa7Dhwjg3Tm8bTy95NvsBbv2Oz9Wjtuihol3agdC5ar1n+fo81zl6hp&#10;yavU8sxL1bhwBfW96z+aWCddI7+urk73P6XFA0coOyuql+xD21UsK2e/tkTtXGqRsto8b75S/vs8&#10;B5WaFiqrxpE1LVRGrc+/QfN691VOZk60/6gcgO8RKsDaYPHGfQ/AjIe4bp2b58NdSaoa/e2kFiit&#10;NKBp+dvV8rHX1fDy25V6SklNrp+h9QsXacPcBapR/lbtWLlW3T7/QU1velg1z7tYWxYt12eX36Jd&#10;a9Yq7Z6n1KhgWY1u0EwjUhsq9XS8WJPU9vGXtHPTVtW+5QHN7thTezdvVZXTimnAZ1W0dvpMTe/S&#10;TcnnXaHWdz2uPdu2K/mMkkoumuQ+oNaUj4mdWUYNTjtPC/sN06A3PlNakWJKO7OUA9DuI2aR4cHr&#10;e9z65nshH1JHLi02PWTbaL9pDgiXjpaTorwVor+rsmpWsJzq/e8FaligrKoVLqH60X67v/6JZnXo&#10;qoFfVgthEPIw/znDvD1nWEeaPU/tHFhHH8M8aOljcM72Rg35LLQTb1vE91OZ9wGtPx8UFBQUFBR0&#10;5AqwNijodxAdVzrBmHnGkWaA1u/kmg7X6U20nChfIpGH/QKAALh44jIAobMOIDJoZB65fNwMr9xO&#10;nTo5b1xitpoHrkFUg7cGJM0MnvqA0gerZrbO8tl6pj4ItTSmVj6wFLM8TBPB4WNltn87FtunnZuZ&#10;5TWzbThu87r1Ya4Z6zl+PHGJR9ymTRvnEU1YBa7DkCFDXLgLPHItBh2wj+uH94u9Hn80ir9vKAOw&#10;D9Q3w7sGL0/2x/1hr+jboM8Gdf6A0TdL980GkUwTrcf8MmwAavvKq9wTzezY7Xg5XzM/j62nvhkU&#10;8zdKm+GLawWYwI72OiO/rQD48yqsf1xMzauXe8DuDabHBNZSXGQHcmcApJxL5q49an3dfVraZ5i6&#10;PvCMZtRqof4Vv9Gg5z/V0Lc+Vrd/Pqxu9z+jpYOGK73YNdowZbbSk25S9v5YPdg5uVi1UVpO1MZ1&#10;ffRFzaybpoHvfK3mF1ypFgWT1LIAH4MqqyanltDa4ePU4Zr7lLVnnzL3H533eoC1wY7GYhDTA5S5&#10;y85YX7is+2GhXqHSqnPeJfrhwsuUcXp5NSh7ncY2bK45/Ycp/dbHtXzqTFW/7HZ1//hrrZg8Sym3&#10;PuamfT6vrNQzyqjxmWXU763PtGDsNKWccpEq/7289mzeqjrnXqWd0fO+/j+fUPMX39bElq3U8vbH&#10;tHvb7uhvubT7SFrqmRerZvFrNeyzGmpy10Oa23+Een34ldIKl1GtAiVU/28lc/OVcjFpGxSp4P4G&#10;CKPQsHApNYzSXfiE3PNLaNRHND1YL7nLzhsX8/NGZaVE50O98JGzhoVKRctJSv5bcRdmYkWAtYeY&#10;/0zxn5O2jinL/jqb8hzmGW8fH+MHW55BAFr6F3bO/LjHD8f0Efz20rW9URvsP5uOpj0NCgoKCgoK&#10;CrA2KOh3ER1XoIvvBWmdWevQko4n266dOzXuq+oa9vJH2jhzjtqWvEHrp8zQyLcrqns0MOt+y6Pq&#10;+8ALWj9rnuZ17Kmtq9c4TwiM8n+LOBaOjXIARXj1MVABBALq6LDj7dm/f3/n/YlHLq/0t23b9qBX&#10;LmEViN0KcATeEk6hSpUqDkqy7IcHMODqw04fclp6PIw1+MnU1hkMJc0v61gb5dtxJFrGbP927Gb+&#10;cbGNHTP1YHVhy9QRZvOAXOqOcvyQCnxkjvjEgFzgOnFxGXgB3hcvXuwGWwyuGHjhScl9wrXlfstL&#10;3AcWCgFvG7YFBFOOgX2AIuUzwGMAh+eNee/YINCHuYkGjJZuaX6+RGaDTNvW3+ZENv84qSOrJ+rG&#10;oDcDYurUBsu0D3YtMGsvmPpm649UflncAwBZ+9vmGDk25qljfsixspkeC1hLcZRF6IEDHEdktDnT&#10;G7dUh7ue0MLu/dXkomu0e+VqpRRO0pa5y9TwvMvVqvQNWjBouLrf+x9Nb9BCo76pqR5PvqqVfYa6&#10;2LT790ftKpA2mvLhsQW9B6hFmdu0Ea/a00trx/IFavTXkmqGZ23h8hr0+Bsa9UUV9fz361pEGdn7&#10;tD86LjvfX1KAtcGOhblQAsz7kDKyn5aTovu3pBqcVkLJRUqo7rmXqu7Z0d9WoSR1e+49TenaS8Pr&#10;NVStcy9TRsFySitSWrVKXak9Udtd8+rb1fzfr2jPxq2qee7l2rF5i/p8W18TWrbRvK591fqWx7R7&#10;8041OaWUg7B1CiRpyaBRmtN/pIY3SNfm1evV5/1vVD36O57YqIVmd+iqZlffHeVNUlqUllwwSfX+&#10;Eh3TGaWUHh0PoLhRVA5esnx8jFAKqUVKurAKTQrGYDQeuf55mrm6cPYTyI2FVIilHZo/2n+UFjxr&#10;DzV7TjLvPyfj85nZcwmzZxHbE46J5z59AAuLYM8I3rrgGUE9EDqBZwmifnieWP/2SNvRoKCgoKCg&#10;oJ8UYG1Q0HEWnVYzOrZ0ZDGDLYBRPNwAaHv37tOOlauVUaC0Ns9ZoN53/Uej3qqoZX0Gq0XR8ppa&#10;PVUtz75EI177VB3K3aLVw8eqyxX3aM3kGer379e1IxqgOe/dqEzKpbNtcI5l2+eRyDrfbGdG2ZRJ&#10;J53OPKAHzzw68nTiR44cqWHDhrlX+Lt37+48cQG3hFTAgIwWH9eHmwywDFb64NKfJ4/BT4OeVo7l&#10;tXyYX/6xNjsOzE+3ffvmp/t57djzMjt3trOwCga4rTw7BspKTk529Ut94/0MzG3ZsqWD6XhHjx07&#10;1l0jBmYMtgCDXD+uJV40GPcJ9yLX3e4V37hv7Z4gH/cWYJEfGQC5gGHgLaCYewIDQgJyMebZN8dg&#10;g0kzA4S+2UDSlm0w6g9KMX/etsEs7UQw/5g5FwbGGMvUF7GK7TVU6toGu37dM0XxbYrlPRL522Bc&#10;d+4F7g2Oh2tk9ZcfnrVuv9H+8YjN2h/dR9n7tX3lKjUpcY3WT5qujJLXakXUrrW86g7NadtDg1/5&#10;SCM/r6KJVZM1vnZDdbr9Ma0cM1Gpf6+gTUuWi1eysw7kKDMnS9nEqY3K3rtjq5qXvUlLB4xU62vv&#10;1vzu/dT3uTfVtuTNalSorNJPT9KKYSPVvNSNWj1+qlpceoNrM/HytXpxlnvMiRRgbbD8tBjATQQq&#10;AblROvMFS6v+GaWUUijJxZslXm39s0orLUpvdu/TmjNkhEanZWjDwqWqdEYxze7XX0PrN1HjWx5W&#10;27ufVsY9T2jvui2qWai4265BwXLatmKtGl1zn+qfUkzLor+NQe/9oDGpGZrap7++u+xObV62QnWK&#10;XKGFQ0ZrYs8+WjtztgZ9XlmNTy+v1NseVKO/X6xmBYqrxl/OU+0iJZRaiA+KVYiOubwyouNLBvRG&#10;x96kUIlonyXdh85Szy4fzVfIM6xCDNgeWjdYgLU/N/9ZeDiz5xHnwfOIc7JnMOv5eC3PdJ7v9BHs&#10;Wwg8v8nDdiwDc61PS7+A/oHVVVBQUFBQUNDRKcDaoKDjLIMtdGDN64BlOrbAGYCXAwMuz371/Ocj&#10;GvSfN7V61Hi1POti7Vy5Rh0vvl3T6zXWzOQMtShaQXu3bVOLsy/W6hHj1fWqf2lBu+7qd/9z+jG9&#10;daws+sq5/WW8zNjv3n37tGTYaK2ZNeegZ+Vv7VTbOQFw6dTjfYkBeQA7eGjYK3SEVRg9erQDuQyA&#10;iM1KnFbgIrDRQgJYWADAq0FYYKXBS4x0H2paXpbjoWh+mkHTvMzy2fH5aYnM1vsQmLohPf4c/fOm&#10;fhIZ6yjLj4sLwDWPXEIr9O3b14VWGD58uMaPH+8GYXjOGsg1eJiX7B4gH/cVgzeM+wGPXMph0Mf9&#10;AJCkbAO6DAptoMjUjGPwzdJtgGlmA8/4/Ga2/kQwjofzBIgCRjkf6gDADey2v0mrU2snmPfbEFtm&#10;anlt/khk+W0b9gOMsOPy6zU/YC3eq+6DXoDVbCxbg1//RMNe+1xjv6+ngS+8r7md+yuj/D+1ZvJU&#10;NbzgcmVu26E96zerVblbtHTYWLW//iFNa9hKIz/4Xj2felULu/VXNh61UXlZUd1MqFpPfZ56Vwu7&#10;9lDbK+7R6kmzVO+MEto0eabST/mHZrfros63Parpqa009vPq6v7oC1rSf4gOZAGRs5yHrquj3GNO&#10;pABrg/0e5kBldN8d9LzNXfaNdQ0LJSkZ0HtGGdU4+1I1LVhS9c6+RD3er6TxrTup+1sfq92tDytz&#10;6041OaOk84RNO6O0lo4Yqx4fVtLXp5+rFROnqeuHX2p5z6GaMXiUZnXprZWzZ6rF/U9r6aRp6vNO&#10;JdUrdpN2b9qiby64UuunzVTLVz5QtXOStG7cZDW/6nb1fPp91b7uQTW75WHVLHaJg7QpRcqo6Skl&#10;1bBgabUsXEGpdz+sTQsXq+Y5/D2VViP3kTM+yFbG/RiTF8QNsPZQi3/2/dJz0k+3Z6wZ6fa2B88B&#10;+qk813mW89wiD9vxdg3reX7ZcyooKCgoKCjo1ynA2qCg4ywGEWYGSJni0eagSy4SIH1hp55qVqiM&#10;9kaDn47lbtWkSrU1r0UHtbngKveRkJZ/v0y9b3tCPW9+VMv7D1O3a+7VqiGj1emS27Vu/FS1Oe9K&#10;Ze+113ldsTHoENma0RPU/Mxy2jp/sXrd/oRGvfOVNkyZpQ5lb4nKeUAjP/lei8dMOAiQgclHKtuH&#10;mYl5ztHOl7IBPnTwGQzwyj4en8DC3r17O29cPEF5rR+Y2Lx5c+clitcooQAIp1C5cmUHdC2Ugs0D&#10;Jg1sAjINfOaH+fDUjDTzlrV927Kfx8qINyvTymFq+W3e1pHml+evtzTy+XmBt34YCoPi1BX1CzQH&#10;5vKhOUJcDBw40AFcPkLHwAzPWCArsJUBK9fR4qpybyeSf/3xxOUeAOJyHxBig1f+Abh4Z1toBTx6&#10;CKuAVy5ePP5g0mAnU99s4Ghmg9ATxTg+81xlmXPjnPlhg781axdM1Jm1GX46snWu7YjWxa8/WrE9&#10;14K65visrjlOjs/KZ2qwdtG4SUr+3/OUXsR7Zdmzw8HaqHGKjj1qC6Pjz8rcr1UTJrvYlC2LXavG&#10;fymm5qWuUetCFTT85Y/VstQdmpqcrpwdu6O8uzWuen1Nqd9E7W55VBumz472U177Nu5Uo/Muierk&#10;gHKyM7V13iKlnXu1Ni1aqoyovdzy42KllrhcK/oNV6eHn1e7kndoTLX66nz3E1o+ZJyalLlaG6ct&#10;dJ667l6Njm1/TqZyOM7DVG2AtcFOJDvogZvAE9cM6MkHwlILl1Ny4TLKOCNJ1c+9SmlnEmIhSi9S&#10;Wg0q3KLVs+Zr9Y/ztWvdFnX/qoZaPf2aVk6fpe8LlVT9operdvS3snjCFLV87HlV/1tJbVq8Qo0u&#10;uFFr5s9Th+c+VmrBi5UTbZt+96Oa0am3ti1bo9Et22jnxs2qXuoyVT+tjIZVrqeJjZup9g13KblQ&#10;eX1X+GI1LlhetQuVUnp0XK2i+ep/L6O6Z5VWo4JlVD86x4wC5aJziI6zaEmlFywdYG2cWdttz0OD&#10;tQZsSfPN8rEuHuzas5V5A7L8KM9zHC9bntP2XON5RhrrTb/1uRQUFBQUFPRnVIC1QUHHWXRaDbAw&#10;DwT1QShp9vpt09NKaEW/IRr9/tfqevW92jJvoZoXStKaMRM1/OVP1PnKu7U/2jb9/87Tvp07o3Vl&#10;tXHabLUrfWO03TB1u+5+Les7NFZmbl8ZcAsc6XLNvZr4dU0taNPVeeVmbt+hlmderAmfV3GhFVqc&#10;VV6dLr5da8ZNVvuyN2vjrLnqcee/tWfnLtcJB8oBlswDkPNhyrkdqawu2M4vA4hHfFTgHwAPcIdX&#10;B6AQkAs8JC4uH9wiJq4ZHqMMzoCReJASagH4SJxcgCRgkmXfCzUeav4as336ZZLuhyVg2YDpke7T&#10;Pz6/bN98AGvLfppvftlmdjzxYRWsHDPSKIN56jkjI8N55ALTuR7ELQa0M5gDsjJYA8ICY7lPuGdc&#10;SI7c62zXPnZvHmqst7AKlAEk5D7A6xTvbAaLflxczB+A+oNOjHU2IPXN1h8vs/1yfAx8uaeBtL4n&#10;rdWB/X3Y1E/3RZrVI1Ob/y3CY4q/OY6ZYzWoDMS1spkarF27bLnGf1tbPe59Ri1KXOcAUcrfLlKD&#10;/z1PqacWd2DocGEQnFdtdNz7ojrocOODmlGxuno9+aamVm2kXk+/qT5vfq4etz6mlqVuVsvyNyu5&#10;MDEqL1XDMrcoo2h5rR41Re2uvU+z2vRU3xc/UI/n3tX89l2UtSdTPR57RZPqNNSI975S31c+1OzU&#10;FmoD3J0yS2nFrtTuDZuVftFVWjFuqtpGbeLU5AyN/I5zeV5ze/VTThawlnpNXP+mAGuDnQx2aEzc&#10;OC9cfmxx9zDLSS6tcaFyqn5KMdU44zzVLnadUkteqYZnlFKXT77V+nmLtD1qA6qVvEzLo/ah60PP&#10;64fTimvD4qWqG/VBlk+crOYvvKmaBUsoa906tbj1Ec1s30uDazZS1b9cqLUzZivjP69qXqseWhdt&#10;U++ep7Ri8GjVuvMhbfxxgWpEfZ2BNepqTvuu6vDM62p8SjmlRMfz+X8XUer/XaDUAngHl1bLU0qr&#10;41vvafniJbl/jQHWYvas8Z+HPoS151EiIw/PJ56tLPMMoBxLB8jyTOa5Tn/NB7bUB89mng8HnRCi&#10;+jpc+xkUFBQUFBT0cwVYGxR0nGWdVjqwBq982foxH3yrtiWu076t29T0lBJaO3aS+j/8kgY9+bpW&#10;jx6vZmeU1u51G1w5KwaPVIcyN2nNyPHqfsMDWtJ9gLrf9LCW9Ruq1udd4V4tto/lYEv7DFGrv1+q&#10;vVu2qW3x6xywnVSpjlqff6VyMrPU7PRSmpPRTt2vu9958g549BUXUmHQU29p3GeVXVm+OA+gHDAH&#10;wMqy7SuRHY04P+oImGX7wKuDARNQkIEDg4NJkyY5z08GU3iD4o0L0MVDFAhpsNaArQFMBnMGIm3+&#10;SCweeDL111tafLqfP369n5ZXevy+LJ151sXvN37etrNl28ZPw6gP6snqyzxwfehNHmA0cYcB44RW&#10;4MNybdq0cfWPZ3S/fv1c3GJAO4M+BnT2kTOAPFA20T2Cce0N4HNP2Y8EDAAN5AI6DebilRsPctmn&#10;P2A9WvMHv4ezvPLGl8e9yoDXPGkJLRHfBvxa+XX3W8Tx8HdMPVJvFg6BuraymTIYJ4wJ6YnEDzyz&#10;m7bVgOffV8vLblfyRVfmrvHawcgAtTn7MjWzVWc1/WtppZ1SUk0LllZGwTJuvs/Nj6r2f12o9UsW&#10;u7YsG6/sDZu0Zvx09fz3qxpXp6laXnev1k+eox/+9ndtWbhaDYtfpZWDRqpt2Vu1afocNbjgMq2b&#10;vVB1CyZpx8ZtyjjzEi0dPlr7s3M04bvamtCghbrf8bhWjZus9MKllLlzuxqeWtaFUSCcwv4DeC/n&#10;Xa8B1gb7I5mB21g8XA/qAnILl1VKZHX/5yJVOr2E0vF0veQONSh+pWoWLqkpHXoqucLN6vTie9q3&#10;d5+mtx2oPTt2qekdD2pGhx4aVCNV6X8rpfWTZqr1Mx9q+7zF6vDCm2oZlZ/Cx8mifsem6Nle57SS&#10;6v7vd6Ky79XiWdHf+uNvq969/9a6BVEbP2CYFvcZqAZnXa7aF9+q7WvXa9XKVbl/jQHWmtlzx+b9&#10;ZyFptOtm9qOn5bPzIs3f3tIJf8AzgOcwP/DxzOBHPvJT9+Rlmec8DgnW5gcFBQUFBQUdmQKsDQo6&#10;hnLwIRrcH65DauuATocodxPW79263YUoaHXBVQ6ctjjnYvV76EXnVbu4W191veoejf+8qrKz8frK&#10;0YGc/WoWDZ74CFn7pJu0rPcg9bjlUS3u0ld9/vW05jZrHzu2yDK371Tb4te6eLcz6qRH+W92YRaa&#10;F62gdROmaMgz76jNRVepy5V3a+2YiepY7p9aP3mmg7s716xTRjSYyjmKjjd5AHJAKfOypOP+S/V0&#10;pDIvTP+jFwwigHUMMIiNO3ToUAcNLbQCIJFYrXjjAhmBlQBIwgCYGZgE9PogF0iJGeg0uGlGHsvv&#10;pyWaN1Bq6fHbxefDgKOWP94sPdF2lhaf319n8z6oNSDr58PYnnVm5plLnVlIBZbZDk9cQlhYXNye&#10;PXu668F1wRuXgZ0N/rh+wFygPPcKkPaX7hXWk4/8DAyBh9wLDKopy2LjAnIN5ppHLvs1ryEGocwz&#10;TTSgtQGrpfsD2ET5WaY8i0lLGvtmgM/glr8D7t+jkf3dcc5m8XVzNH9Xflkm0gDiAGXOh3PgR5Gj&#10;hbUmV36Uf2/uubKtv19s99Ztann+9WoWtXt8xb5ZwbLKKFQhsiQ1ObWUxnxZPcqXrexoO+LRZmdl&#10;KzNnn4uPmXreZdo4aaYyLr1dK3sO0MDXP9WwD79XswKltLjfUHW8/XH92Kqj+r/wvsZ/U1sTv2ug&#10;RhdepR1Ll2n32i3asXatmpf4p9aMm6qutzyhKQ1baMDHldTzhY80v2MPty+grZ17IgVYG+xPYQ7g&#10;Am4P9coF6jqv3MhqnVZcjU9PcmEValW4XrUuv1Vd3vxEqVfcqEl1m2jod7VV8/SLtGbKTLV++3ON&#10;+76OVk+ZoS/PLKlafy+nxjfcoy2Ll6ryORU0vfsALR0xQktGT9S8QQPU8MaHtGPDZtUsdqMGpTTT&#10;qJbtNbRiZW3btd2196YAa39uHKNvlm7PKzPS7HnI1PKwjT3rbFueoTxTeQbY2zDUCXn4AZ0pz3Se&#10;5zxT+CHQ6s6eA2YmeyagROuDgoKCgoL+LAqwNijoGIoOpXU0/c6lpVuaeQn6Yp3LFw0yul79Lw16&#10;4nUt7TlQLc+uoPFfVlPLsy5Rh6R/uji1hCkg5EHr86/SoH+/4cDroCdeU69bH3fbEP6AGLbtSl6v&#10;jTPnqFnBMq5cwh8MfeF99bnnKa2fPEPNo4EVYRMGPvaq+j34vLYvXa4mf71IW+ctVKtoH2vHT1bn&#10;S+9wZfa4+WEt6d5Pve94QtNrNYzKio6VY849/qMRdUEdxBudfYx5Blt+HR6J2CbeGBxQJhAPj1wG&#10;EkBBBnJ44gINzRsXgEucVsIrEBsXkEv8VqYAS6AkIJKwCoBIA5pMDX6Sh2WmPtw0yGpw0/JjAE2D&#10;n5YeD0fjjXzx5q9PBFfzymvLto2dg52XD4htG1uONzs/KyPROVk+ptQvnrnUd+vWrV1YBWDuyJEj&#10;3WAR6M5gD89ZPHfw4sEY+Nm9khf0tOvPlHwAUu4DPFoBuBhl80onEJX7AijJPpnaYJRlBqsMPH2Y&#10;6w9qbcBu6TZv+SnPD3nwawejltfaGbNfK78sE2m0T8BYzt2OPx7Wck0Ig3AksJZrZPnY1v0XTbk2&#10;rO/31pdqeVppNSmMAWzLui/DZ5yZpGbnXa2s7TuUHeV1nq4ubAJ/31G5URpvBUxJaalOtzykbZNn&#10;Ke38KzSlUn01LXG55rXorFZX362VoyYp/fzLtX3JatU7/SINf+cbdbzpQWWUul5Ni12rJlEb2e2h&#10;Z9X03LKa07yH6v332do6ZY6aFr9C2fsy3b6DZ22wYIntYGgFF0LhJ2scWQzuRn8bhcqo1qklVKdQ&#10;OffBsNRLblVquRuVUuBCjW/ZThsXLtOaaXOUfMuT2rR4iaqXvlaZ23fru3+U19jkdlrUe7Ca3PyE&#10;1i9ZriqFiqn9mx9o3rCRqv1f52rHyjVaHbXnJtqVAGvz1zhnzp15whPZs40fzqkjnquWj3met/xg&#10;779JQj3S/lt9Ipbtee6eFbkWFBQUFBT0Z1OAtUFBx1h0Kg1A2DKdU/81MKCTL9Jch3X/AS1o310t&#10;z6qgFkUiK1pBrc65TF2vuVet/n6Z5rfuqrYXXh1NO2vL3IVa1Km3Jn5VQ/0eekGdL7/L5ce7tk2x&#10;a1zYhE6X3alVw0ar85X3aGHHntqxfJUyziitTbPnqvdd/9bIt77U0h4Dou3Ka8/GzS4MwvR6TaLj&#10;2a/VI8aq29X3avnAYep27b1aOXiUWl94VQzonlIsOtb92h/lO9ZdaOoKEEeHH2DEsgE36sg3q88j&#10;FXkpB8hnr+0xwDCIywezAHYMLsaMGeO8Bvv06aOuXbu6V/sJqQBs9MMA2DwgEmNwaOt8M0hpAJQ0&#10;y2cgk3Tm/WXLa2Zpfl7Lb2aesLatX0b8tpbul2F5sPg02+5IjPz+PjHO2TxwzXPZ6oTjNsPrGW9c&#10;ADoQt0uXLu5aEBsXQIhHLteJ68VAkWtonjvx94rdJ7ZMHvuBwAaXFlLBwmzY/WBmwJbBqQFZ80Ky&#10;gbqtj/94GMdH2Af2w74T3bN2jPGWlxLli18+UsVvx5S6oT4IW2FhEKgbP8/ReNYeAmvddeB6RG1j&#10;TrbWz52v1KhNaVaovBqfmaSmhco5a1Yomv9LCS3o0keZ+3N0IOuAsqJteJMgO2p7CE+QE1nmtu1K&#10;//ul2vDjQjW46ArNbdNNaX+5UBlRGRkFL9Hy4aPU8sq7taBbP3W++9+aVqdxdI+wbdQuR23Mjg0b&#10;tXTkRDWP2t0R73ytRqeWUvtrH1DqaWXU6PSS+rF19+iYf2q/rQ58BVgbLNjPzcHbOIBrxgcJmTYu&#10;XEb1Ty+uWgVKqNrfyyj9rGjdPY+rfoGL1Ovdr7Ro/HjN7DdEC6N2P+P6RxysrRb1Yzq8+onmRv2b&#10;H04tqa3LV2t1CINwXM3OmR80mfKM4AdJ+lb2/ODZyfMSIx/r+cHUnstM/f4y8tvZvCwoKCgoKOjP&#10;oABrg4J+o+I7kEwNGPnLGB1SoJDfMUW2fdaevS7sAIC2ZWRMgbSx5UvU8uyL1e++Z2Nest7+zBa0&#10;7aa+/3pa89t0cd6zizv3UafL7tCGKTPV8u+Xqs9d/9Hgp97SquFj1CIqD3jb6dI7NL1OumYmN1PL&#10;cy935XB82ZlZ6nTJ7Vrcta/bDkDc/8HnNaN+ExcqYeLXNaK8v96j72jljimqQwNsvG7HFMsLgPmy&#10;Ojqc2AfXDUgMyAVGMbgAWDEQYfAHxOX1/YEDBx4CcvngFoART9H4kAoYQJJ04KSBS1s2WGrpwFHf&#10;m/VoLX47g6cYZdt6H6QalLX1eeW1dUdiVrZtZ+X76Rhpdr7UiUFcDE9mjHTyUb8WVqF9+/bOE9eP&#10;jTs+GtgDFxk84i1LGARCIuDRA6Tn+uZ1H3D97R7gvuJvlfsAwxsX4Mrg3MIq4JXLYJT9AGXxPjVv&#10;WvbP66F4n/r7RonuRZZt/5ifx+bzMlOitCMV2/j75W/KQiFYGAfqwMpm+mthLT/y0H5lA0xzstX6&#10;mofV7PTSanJKCTU5raRaFiqjjDPLq0Xhcur20PPKiurugAv5Qt3EIC/zANucnKjdjOZHV66j8VXq&#10;qfO/nlXPax5Q81PKqHm0fctyN2lag4bqeN8zWtF7pJok3ah9e/Hcz3TQl2PjumBjv6ujAc98oMbn&#10;X6alvYcq7ZTztWzwKDUpfp32RW1z/HXxFWBtsGBHZwehbe70EIvWN+QjZ6eVVr3TLlLTMy7W96Uu&#10;UZOoj9L8mVdVt1AJZTz6oiZmdFSdU8toRvsuWhPCIBxX83+ktOcez0Dqx0Je8QMfz0t+VGU92/BM&#10;IZ1nrLWp1g5bvVo7+0sWFBQUFBT0R1aAtUFBv1GJOpCADh/MWCeUKfDGl7/d1Oopalk05k1r1vrv&#10;l+fC2kvV8qyLtXHGj7kd3EM9EYAfwN42xa7WquFj1fmKe7Ss7xB1v+FBLe7SR50uuSMq51LtXLlG&#10;nS6+TZN/qOc+IoYXLl61bS68yn3QbNRbFTW9diMtHzBcPzZpqy5X3aNVQ8e4OLdb5y1S84JllLlr&#10;jzJOL6XsaH/sO/on90iOv6hTQBBGvWPAVkATHh7+6/LU25HK1WmU3wYRVjblUCYAD3gHsGOgMnr0&#10;aOfxCcDt1KmTWrVq5QzPUD68RWgFg7kYg0ggLiEVmBqkxAC7BjsN5MabgU7LE2+2jrwGSc1r1ba3&#10;fCxbur89y3mlHYmR34xlO474dX4e9mMex6QZ0GbKMuusfqwcfxvOA5gLPAfmEqcYuM4HzhhYAlUB&#10;rQBcBowARAaWeL0yuOQaJ7pPqGr8CwAA//RJREFU7H6w+417gO3YnrIAl4BhvGi5JxjEs4570f7+&#10;48thGp9uxrKl+fPxRvqxUPy+EMfIeTHIPpawlm0z90ftYdYB7cvO0rqpP2rxoOGaUr+Jhr3zpXrc&#10;+5zalv6nmpx3tTbPnudgLGXwITLauRjojaZRetb+qB6zo7/PnbuV9veLozZvtDLOuEhNC1UQX7Vv&#10;4UIplNe6GXPVrOwNWjVsrAudAKi1c+WNBkLE7NuyTRkXXqdmhUqr6V9LqPGZ5dQyahd5G2Fm1Fb6&#10;de7Me68gwNpgwY6ROWCb65XrAdzYx86iv7HCZdS4cJIaRNM6RYG6ZVU/ml+2eHHuX2OAtcfLDNJy&#10;/oBavGeBt/yASf/IflTn2UGavZnCmyrUo//MtWei387G62DbG2dBQUFBQUF/RAVYGxR0DERn0Ycv&#10;vlnHExm48RVlcfBh08w5LvQBH/JqfRDSXv4TrD3rYg197t2DsR4xX7F9HdC8Vp2cV+2izr2dV+3a&#10;cZPV5qJrnIcuwHf8p5XV/foHXBgFwi2sHjEuKvc9F4t2QbvuGvd5ZfW++z9qV/IGNT2luJoXKe/i&#10;1uKZO+g/b6rVuZdp8nd11PfeZzT2k++jY+f88u4sJzrWvESuI837S6IcBgFAImCtAVuDulwH/5r5&#10;y0ci24ZyfXCHAbHwqrR4qHzkDI9cYuQy2OO1fmK0AhYNogJwAY5ASaY+hCTNzKCkDz/jzco1+Okb&#10;5WK2vaUZ+LT9+enMW36mR2tWTiJjnX9spPn7Y94/Z+Zt2db5x+wb5Rm8BZQDzIlJjCc0HtFcCzxy&#10;R4wY4TxyGXACW/lBxUIW2H2B2b3J1P6uMdZxX3F/2Q8F8ZDWZNta2f79xjozK9csfr1ZfPpvUXw5&#10;HANA2wbgxwzWOjgaWfYBZeEdm23nGavPLH4Q2bhZ26LyCZNAqAPayIPHZ/9F8zEv3f3aF5Uxvn5z&#10;tS9YWumFK7iYty3OKKuMwmXV7OJ/auzn1dT58ReVtS9LOYQ0oM2KtnfHE00BwXw4cWyNZLWKtksn&#10;bi5WqKzz0G2WdJMyd+1WNrFyD2TnHo/b3CnA2mDB8tdi8PbnENds+aIAa4+n8UxgaufOcwIQS70D&#10;cHkjycIT8TzkB24Lq4NZHHfeYLEf0+PN6jkvHWm+oKCgoKCgk1EB1gYFHQO5wX40OLCOo58GpGAe&#10;OIOnZ7zoYgIb+t73rIOprf9+mVrnQtoYqL3UfVCsfdLNytq95xBo4YtlysncscsB1fVTZqp9mZu0&#10;cfpstS1+XQz4nn2pWpxZQWsnTNWgJ19zIRGAtc0KltHO1WtdLEkrOyczS/u2btf81l3U5qKrNfbD&#10;Si62bfty/4ymFyvj9BJqff4VysnOOnjOiWTHZeU6c//Fzj1K4F8nUn+W11t/rESZdq24RgwmLG4p&#10;14hr9Vvklw/MBVIBvfDAxKuTQQqDFQAhEBdYiFcuA0G8Qf0PnfFxM8IAVK5cWVWqVHHzfqxXg5Jm&#10;BkHNWG9A08/vQ10z8rPO8lgZNm95fo1Rhm9+Ovvzj8vPl2gd29m8v97KxEgziItRZ3gx28fh2J7z&#10;T0tLc57PBnHtA2cWFxfQzuCTgSkhDxicMwAl7h4D0MPd+77snrB7OgYnDwXA8fN2f2J2PyXan+XF&#10;rIwjlW1r2zH15/kRAoCNVxT3sb/u18Ja/vCzIsuJTuVA9gHtjcpyx7A/2ncO4DRqL4G5mZHhPRu1&#10;CbR7BxXNusXcKW8ZAHyzomtSs3A5pf6tmBr9z/lqcloJNTuzrNqceYnSi5bTloXLonxRmQdibbKJ&#10;ecogvEzm7l1qcvZlziO3GXFzc4FtegG8a9u40A0WhsYvI8DaYMF+J4v+7rAAa4+v8UykL4OxDKC1&#10;kDm23j4sZs9L+lj0gVhHPqb8qE3/iPWxtjhm/jMt3kx+nqCgoKCgoD+aAqwNCjpGsk4jhug8Av0M&#10;1gIDAXc/1wGtHjVRLQqXdUDVIO0hsPasi7WoY6/DdkpJt/3/2KiVBj76imalNneQt2XRi13Zrvzz&#10;rtTGGXMcoN26aInzsp3wVfWDZfvluzKjQU+3KE/ny+5U6+hYJkZ5e936qCZ8WV2Dn3pbkyrVivId&#10;Dtbm1ktu2SxH/+bO/9yWr1ilRUuXHfZc80tWf7Zv85rlVT0MkMuAgut6pMdGPrsHzGwflMMrgtwb&#10;eC0CxfBO8UEuMAyACEjEWrRo4V7xxzM3NTX1ILQERgJyDUj6QNcgbTzYNGDpG2m+kY/8Zj4QPRJL&#10;VIaVE7/OtvHz2fFilt/PZ1DWP0/Lb2Z5LY+l+fsnHahrIRdYZh2wHJjbtm1bFxuXWMV4SI8bN85d&#10;JwurALgE4gIkAZzcN9w/dq+YHU6J1tv9YtAWS5TPv2+PRuQ3GMy8ma3jfue8bMDtr+M1V6D2r4G1&#10;FBOz6PwiY2pmMWn3MsWrlo+LRel5yXnqAnWjfDu2bta6STM1p2MPjatcT/3+85ZaV7hNU2o1VFZO&#10;tguZkOnALKQ4d/toyj6z92c56DuyZppaRO2jwdpmzru2rNqWuVl7+DGHEAwcU7SNaUilampweokA&#10;a4MF+50swNrjb8BW+iycP7CWuiDNYKzVjQFZ+jv0pXh24GVLGay3sAmst2ec/0yLXzbZOj8tKCgo&#10;KCjoj6IAa4OCjpH8zqQtGwRBeFXm5bGZuX2H+8hX2+LXK/2/zlOropf8BGvPvkQdK9zmdVQTg9Gf&#10;Oq14mWWrY9mbtXb0BLUrEfOqdaDWTS9VxhklNeKdilrSvZ+an1lOezZvyS370A6vK2//AS3tPch5&#10;1bZyHzm7VC0iaxkdm0v7+6Xat217LG/udr5inrL7VbVOqt76+KtoP3acMdu7L9O9gkzdcAzU2cdf&#10;VdbK1Wtztz00/+/VJbf9c3w24GDKMXPsvge1AbojlZXNdsAxA8Tm8WvxcYmJyoc6gISjRo1yr/AD&#10;cvHEbdSokYOPDE4x5s18sJkIbhqoZD4eYprZtsyz7kgtUVlWhn98fh47DjPyGExm2Y6FZcJH+Glm&#10;tg8r0zfWJzp32w4jzbyYSWc/eOFSz4RVMCO8gn3szD50hqf05MmTD3oVAeLtC9n2d2b3ug1M87pf&#10;bJ1tY9v78tfHr/slkd/aKSvHymDKPcmxA1q5J/11nBfxgIG5hxNlHwJrI1HMTxbt0/1lxxLcsrPc&#10;dZEd4lkbJ9ZnH4jOAa/XfdHfY1ZUt7ntDPvOzs7Svmg9sBZPXvK6djS3TCbkJy9wOGv3XtUpmBQL&#10;g+A8ayMrWM597Gh2RhtlJgDIq+ct1Lgf6qrbv55W8xLXujiayX+9UA3+5zylnlY8IVwKFizYsbMA&#10;a4+vAWN9QGsxa1lHGmbAlilwln4w/SZ744g01lF/9G14XtLn4foh6tnMtc+5z6mgoKCgoKA/gwKs&#10;DQr6jfI7k7ZsU5tHvwQ08tKS7v3jQhTkrshDUQ4HOee26KjmDrBe7MIrmNeuA7fnXqGdy1epeaEy&#10;Wt5/uAMhBlF9xfYXgxIubu0h5cTKannWJRr38XeujFj++DL2a936DXrl3c9UpXaKg7AA4MVLl+v+&#10;/7ysNz76Us+98aHe/uRrl79+w+bqO3CYlkbHl5mZpexckOR31PO2n9f78RQDDLwPiXkKyMLDEkDn&#10;H89Px/rztCMR5Rk8w5vT4uIy4AEQ4pELyB0yZIj69u2rLl26uA+d4R2Klyjg0UICEFYBT1LzyuVD&#10;ZwYszcvUQCVg1ECmQdSjMdv2SMuIz59om7zWGwTGSOccMFtnaX45BoJ987c1qBvvwUydWT2xDXUM&#10;wMUD2gAu1wGoyUfoLLSCeRPhTQ2I9++VI70XTP7fx6+R7dP+vizNlgG2DLDtBwlbzzHj/U185sOJ&#10;cuJh7ZGIXf1ksf0mkjtWftjBG5f56O/Qeb3mGvOEV9gf2T6XF7CbWzDbR+tZzo6W+eEoM7IFDTuq&#10;8ZmXqOH/FlOj/yum5mckqdnZ5dW23C3as3mriKPr9pEr/u59rzBEDNwNM+dodtO2GvTKR+pwzb1q&#10;dtHVahi1u8l/uVCppxZz87GYm7GPJyWCUMGCBftlC7D2+BrnDazFWLbY5gZoLY264VrQPwHI0jfi&#10;h2j6McxbWAR+hGYb4tjybLHnjd/227KlxS8HBQUFBQX9kRRgbVDQb5R1FH3QYbJ07GhBxa+VO55o&#10;fzlZ2WpX8nrhSdvq7DhYe87FanH2Je5DZIe8gpxbRrxYN79VZxeO4WA5kbV0ZV2mNudfqX3bdsTg&#10;RZTXF0kduvZUy/ZdNW7iFGW06uDSgbeLFi89uG8670w/+Pw7tWzXRZVrNdCIsRM0auxEPfLs6wfr&#10;d+OmTdqxM+bhh+Xsz3FxJA1mWz7fTgQxeATGmeeshVTAw4QpA5NfKztvoJrBXAZBeKkAchkoAdUM&#10;4PJxLUAiYRX42BmeoXiNAhoJrQC4BEoSJxcYadDSDxFgEJN18ZDTjHVmv7Tez2dA1Td/X6xnynHY&#10;sdg6m/r5rAxL99dbHow8Vibztt7S7dxtn34Ztg/SyWfm5wV6Y3jnElaB69C7d293XQirwKAWTyOu&#10;G8CfH3h4ddRAIPcJ15drfazF/cn9Y2XbPWV/Q6xn2U/jmBhgc9yHE9v8Glh7pLLjibfoH2f8YEQ7&#10;lwmU3adoGiU7WBvb3v1YFeUB1Dpwmx3ljdJ2bt2i9XPma0n/4Zqa2lxDXv9MXW94VLN79ovqKhcI&#10;58piMvqwNi8Bk7cvWaHFPftrXKVa6vXwi2p7xV3KiNrR1NNKOIibVrC0GhZKUsPCSQHiBgt2BBZg&#10;7fE1ztnOm6l5yLJsoRBsnjoC1rKe2O8AWvuRkv4KdWohoMjPeuLbxrep1rYnsqCgoKCgoD+aAqwN&#10;CjoGoqPogwwT83Q06XDyCvHxkvMyi/6blZyhzpfdoRZFKrgvmsdgLSEM+GjZxdowZVZ0jIcecyKx&#10;Hut23f1u+0PB72Xug2PTaqY56GF5bbus7Gw999ZHevTZN/Xqe5/r5Xc+dVDo+Tc+1Jat25S5L1Pp&#10;LdpqyIgx0Qb79f7n32r4qPFav2Gj23bshCn6+OsqatG2c7Re6jtomPoPHuHqGviLR+6XP9TS+EnT&#10;3P6WLF9x8BgAuP51MaOg2DR2jAZtjrc4Lu4NBisYII77BQNusWwAzY73SEUZBm/Zh4VWYHBkMUjx&#10;iGRghDcusUcBucDDTp06uY+bGVzkdX+mBjR9MGnw0jd/vZkPNpmPL8vPz7zlBxz7MNTW+fPxZfrl&#10;YLbeln2z7fzt49Ms3db5x8V+OGd/n5aGAWwNcvsAl+0B41bHzANxiUcMRAfk9unTx8UsBrQzyAW8&#10;M9DFo9oALteXe4VrjXHdf+39YuWwrW8m5v2yyW8fyzuc2CY/Ya0vDs0dXuwfZ+6/aDlmHI+3OhLt&#10;lguNQAgE8mTxI1CUxt9ibrgDwCzxbLOj88iK6p1wCS6UQq6OBtYeTrs3bNKq0RM0M721hr71hbrd&#10;/R+1Kn+L87xNPb2Eg7hpBUqrYTRtVDgpIbQKFuzPaPkNa7/99tufwVqeo3iWAioNYv5ZjL6DhT3g&#10;/K0ODNJaGs8uS8NYxvCyBdjaD9b8QMnzhPokP2+dEDaBvhHX0/RTWx67Bv58UFBQUFDQH0kB1gYF&#10;HQPRUQRIGMiwZaZ0Ms1D4PdU1s5dWtpjgMZ98oOGv/KRxn78fe5xcry5mfKQO6fofFaPmuA8colT&#10;2/rvMWBrcXAJkbBjRWwQ49uSZcv14lsfu/ogHAJwdenyFfriuxqaNvNHB0OGjhqn/7z8jtvXB198&#10;r2+r19Pr73+h6bN+1NiJk9WsTUc99cp7Wr9xkwuRMHDIKBdG4fk3PtK0KM/S5SvVMKON29+/Hn/h&#10;4L4nT5uhdp17/Oy6xOynY0wYG/d37vtzjIAzIBdQzves5Ph+qyiDexOIy/0JwAUC4imEVwtgEG8Y&#10;XtknrAKv8QMPO3To4F7x51V/PHGBj3jhYnjhYgYkfWjJoDkv6GqQ0+YxH4oCM5naNom2M7N1BkbJ&#10;Qznx+zaz/fh5rAzbV15GHjte/1gOl4c02w/1YmEorO6s/shH/RrAxROXugekAwyIjYtH7siRI901&#10;YhCMVy5xjfGqNvif6F7x02L3euzvwu437guWmfqDZORvSx4G1MDkw4l8xwvW5iWOmkP3zRTVgDsv&#10;B2SjaczTNkoH6jqLlnOoD95YiNqOyPDS9eviWMHavJQZXc+Ns+ZoUfd+mlClvvo/+4463figml5w&#10;xUGAm3ZGqchKHgytkAhoBQv2R7X8gLVsy/SDDz5QpUqVXNvLc9L+xnlln/3wrLQwAAYjDU76drh1&#10;J5txrgZh/fOKT4tPp67MG9k+LGbfAOBNEn6QtPwAXeqb9TxHTNQ/y5jf3uaVbiLNLCgoKCgo6ERX&#10;gLVBQcdQfkfQOosYIAxYcbLKP692ZW5ycNZgrcWuJdQCsWt/iq0bq4PdUQd81Zp1B4EoHrSduvfR&#10;4iUx2Dpn3kJt2bpVjzzzmtvXe59/q2XLV+bWX8x7tnHLdlq0dJne/bSSBgwZqYFDR2royLGq0aBR&#10;brk/dc4fevoVN8UrFyD82vtfaN2GTQ7A0D1n3bOvve+mbLNnz14HlG3ZlZV7rL5FWzqLzf9+YhBq&#10;XpTcUwAi+wgZU5Y5j98qzpN94fUCiLKwCgxIgYPEXzWAS1xWC61AfFxgLjFy8cgFTFqcVz/WK5AS&#10;IAnAZB5w6YNM5s0AtZgPRH34actMyUeaD4n9ssysnPj1ifIbyLX1tu9f2t628fOTZl7Klj+R2TZ2&#10;HomM9ZRFXbdr185dh/79+7sPnE2YMMENiC0uLhAXzyU8lYCmDIzj7xOWfVhrnt2+uC9ifyexvwXu&#10;C6Dx4WTl/p6w9nCKtQuxf+y8WI6lMY2WAbnReRDX1v3QkxPLZ8pvWJuXcqJrtH3pCq0aNV4/tuio&#10;UZ98r54PPK9WZW92AMuB3NNLuvAKaQVKBYgb7A9r+Q1rv/nmG9fG+p61tKsGa82LNC9gaUb6n9Xi&#10;64A6o0/Bj8T8wEgbynOCWPzko17nzp3r+h7xHx7zn0P+MtP4daZEaUFBQUFBQSeqAqwNCjqG8juB&#10;NqXTCKwFjlhH8+STndN+rRwySs0KJsW8aj0D2LY8+xLtXr/xYD1Yp3n79h2x+Sht/foNDgABdTdt&#10;3qJho8aqc89+atelp9vHu59+q+TGLTR0xFht3bpNYydMVeOW7d32b374pVKbtHTAdvykqapcO9kd&#10;U8xi+zRYi/fuO59+oxGjx6lNp+4H15OXsAl45jI/dtIUfVW5dlT+AQeVP6j4nXbt3uOOleu1lVi8&#10;3rYcx0/LP1n0z0/Q53eQgVsDbCxjwFYzllln58D0SGR52ZZyuJctrAJeuXjD4B0DFGTgNWnSJOfx&#10;CTjs3Lmzg7eAWwOpTHntnzi5BmExg5eJoKSBS3+evL7XLRYPVn0oavO2jFl5mOWxMnxjH3b8tq2f&#10;15+3vHZs/ja23eHMz4vZ+frHybLvPcx2eOJSp3jjpqenuynhLFq2bOm8cglxQVgFPKV53RRwy3Xk&#10;vmFqbZRdbwuxYCKd9XYPIbYD2nNf5CXyUs6JCmsT6ZA/4+i8OfdD7dC/9d8L1uYl2tc9Gzdp0+x5&#10;Wj5whKbWSdeglz5Uh+vuU5N/XOa8bx3EPaWYUqNpCKkQ7GS3/IC1GNu+9957B2EtYNH+xnnuWSgA&#10;Xt+3mKuWBnD0wwGQZusxg7p/BuNcE8FagCzPI4As/QmeKTwr8LBlG+qVbezDY1xb5LfHPGOs7TWz&#10;PPasCgoKCgoKOtkUYG1Q0DFUfCcR0VGkQ89gno4mhocAXgT26hfw42TS3s1btXHqLK0YMEI/Nmql&#10;vvc8o4zTS0dWUlOrpxysBwzw2bZTDwdf5y9cok7d+2rCpGnavGWrg7EbcwEO9eRiR0Z1AcSdv3Cx&#10;i1uL12vXXv1dWStWrtYjz7yuQcNGaeOmzfr3y+9oW1SXLrZkbkcdWIvSW7TTl9/X0ITJ0/X6B18c&#10;XA+UXbl6rT7/tka0rxy988k3mjVnfrRuv5IbNdfXVWpr7ITJOrA/J7o2e/Xsax+47fgPj9uW7bto&#10;+OhYTF2XHqU5iMvU5YlZbF3Morshd/r7iH1z/hjQjMGQ3YukHQuxD64dZXN/M9gCBjIA4/V8Bl0M&#10;yvD4xPMTkNulS5eDHzhr1qyZg40WEoBpolivDL4NiDIPpGTZB5k+8LR5f51vts5fT9mUybJvts43&#10;0uK3N2hrZmmst3yW90jM8ts2VibLlGfg1uqLNKbxXswAcwyQS1xcvKK5FnzcDLABbAfQmrg3bKDL&#10;9XV/o5GRbm0W+dkegJGX2OZkg7V5yf01x/6kY5arEw3W5iWOLXPHTheyZuPMOZrfvrtGf1FF3e95&#10;Ss2KXxuLjXtGSSX/9SKlnFbCQd1EYCxYsBPNjscHxuJhLX/3POPs1X1gbbyXLWaQ0tJ4Hv6ZQC1m&#10;5+vXDVNgLAawJQQTP/7a20J4LpNOPrZnPXVuzyV7RpnFi+t0IrfHQUFBQUFBh1OAtUFB+STrINKB&#10;tA8C0QFNZPEQ10AuIORk6mjm7MvUng2bYh3kaJkp4QpmzJ6jfoOHa8q0merWe4Bmzp6rrj36ufiz&#10;xLEdM36Slq9YrQ1RJ31ttDx1+kzt3bvPhTLAQ+ynDnmONmyMOvJR/VD2lBmz9Np7X+i7GvVUK7mR&#10;S3voqVe0d98+PfXyu+o9YIiq1W+ox55/SytXxeLMAVYp75GnX4vK2uxCIrC8a/duPfPq+9q6dbue&#10;i9KAusBa0qAydj4vv/OJGjVvow+++E4zZs3RgKEj9P4X3+aWfUCbN289eLws78+JffQpBnVjeTAn&#10;prH/fxfZAMcMAMd9Z/ci3pKkH07++fjn55uVTz1QJt4zDMJ4vZEBNV+JxnidnnAKQFxis+INSqxW&#10;QK555gIhLbZrlSpVXGgFYKTBXQO6BlANeNpyPPDE/PzMY7aeNN+L1dbFw1ry+OVbOWY+YDVj+Ugs&#10;Pi9lmdn6+HKZxh8zxnFSZ9Qf6QBy4C3hK/jAHINie+XUl38dmedaIiAsHmJjx451y4nENn8UWJuX&#10;ThZYm5fcNY2eN/u2btPOVWtdWIVp9Zuo/9Nvq3X5W5R+9sUuLm7yXy5Qyt8ucvOJgFmwYL+X5Ses&#10;/fDDD/XDDz+4mLU+rKWPRlvJ21P2Zol52AIlAZLmQUvbmsgMZv5ZzGCtbwa4qSt+3CVkDz/80h+h&#10;boHh5CMP9QzIpe79ZxJiamnxOhnb5aCgoKCgP7cCrA0KyidZx5BOIzHOAFR06o/WDJzZPJYo3uSJ&#10;LOoC71fi127dtl0/zlugbdt3OJA7b+ESjZ881X0grGP33lq4ZJlWRIOhAUNHRnm2a8vWbaqb2kRj&#10;xk/WgkVLNHf+Qgdj8Xy1UAVA3cwswPZ+zZ4zX6tWr9FXP9SMddqjtA5de6ljt94O/AJ8iT/5deXa&#10;zuM3pXELd3wjR4/Xf159T1169NNzb7zvwKV51vp66Z1PtYYYvFFZlDNgyAi98u7nGjR8lNt/05bt&#10;nectZc6JzvP9z75V5VrJzhOYNCzmecv2sTJcelR2bD17if5xab/P4MKO0wzQZuEPGDwxiGKgRB25&#10;esjN58tPS7SO7QzeUhb74B4nBioeucBc88gdP368e30fryZe6edVf0IM2Gv/hFSwkAMGUA2w+vCW&#10;eTOWzWy9vwzYpCxbZ+DTtiXdwClTf1uDpZaGWV7LfzRmx3K47f31/r5tW6sX0jgH/3zsnMjDx8wA&#10;5oAOPJwstIZdT98Q15A3BwYMGODmE4lrHWDtySv3g1lmlrJ279G2xcs1v1NPjXj/G3W8/n41Pe9y&#10;Fxc3+f/OV/JfzncfOUsE0oIFy2/LT1j70UcfqXLlyu4ZxI9ZtGmIv3X2xd8+fTxALh/FSgRnDVYa&#10;dDRo6YPMP6pxngZkbdnOnbqy+vK9bHmuUK/0EQC29AfYnnL4ACppPJtMdi3ol8S3w8xbXyUoKCgo&#10;KOhkUYC1QUG/UXT+fIsXHUQ691u2bNTePT95LR5LM4gLSKOjerjjOZG1Zu16Fyrhh5oNNG7SVBdC&#10;AWDbuEVb9eg3WE1bdlSXnv00deZsTZsxWylNWmjMhMkO6NKp37hpS1TfOa4DD7Cl7l1Ygmi6fuNm&#10;B25j9bJfs+fO16PPv+li17JNxW9ravDw0erRf5De+uQrdes9MAZrXwXW/lSPr77/uV5862Pd+fAz&#10;Wh5dVzxrO/foqydfeEt7omNo0rK9Rower4WLl+jRZ1/XrB/nufi5n39TVZs2b3WhG+zaTJo+SyPH&#10;Toj2/xO8dDA59zgP+dAZ/7n53AM5AUQ9c/8xSOX+i7/3EtmRDpgo22LjUjbgEG8bXoNkMIwHDt64&#10;eHQSM7Vnz57q2LGjC6vAB7cAj8BIvG3NDFAapDSgCcT0QSgDfAOaTEkHBmMGPH0jzczgKFMfmjLv&#10;5ztWZsdt+/LPy46FfHY+8eksW53Y9qTjzUyYBOIPAyDs2nKPcm38a80yA2y8nxKJaw6s5Rr+UfVH&#10;hrVHosydu7Ry5DhNrNZAPR94Ti3L3Kj0syso5ZRiavB/57kPnDUsnKRGRcrFPnIWPnQW7BhbfsFa&#10;QC2etd9//726det2CKw1WdvIM4t2jjYTuAiMNE9bIKPBSQOWTP8MBmSlHjhn3qjh+c28wVurE+oI&#10;s3w886lT2lZ+xCWNuqQsW8866p9rYhbfBrNsFhQUFBQUdLIowNqgoN8ovxNoHUF/no4jXoL9WqXo&#10;1Xc/05ZtO7R502bnQbhjxzYN6DPgEPB6qO1MkHbkZhCXsAr2SnuijuyJLmLLTpg8TQOHjXSerGvW&#10;b1D7Lj3VuXsfF1Khe+/+Gj5qnBssEWahcYt26tSjt3bv3uNiy+LFyzrOHcgUg6C5IDRKAwrXSW3i&#10;8gN3+SDa48+96WDt06+8F/Pkzb2meNbGvGRjZQyMjocPpA0ZPsqVkdGmo4O1XXr0VZMWbXM9Z2N5&#10;idP74psfu3I4p4+/rqL/vPSuA5IcW7de/fTi25+49djK1euUuTfm1eiO2V0/rt2h95lvB9e5f38f&#10;cRwAPHuNkXvRvHE5zyPRT+eTtxikAckYsC1evNgN3hjkARj5iNbAgQMdcMQbig+dtW/f3nnm8tEt&#10;vHINVPpAFyOkglk84GQKzPRBrJkB2UR5fSPtaCx+ezPWsQ/M0gzWss4/BtJsnYFaMyuDdZwv+TDy&#10;ER6BuLYAChsUA14xH0wykKauGVjHizz83QVY++dTNl5xM37U7GbtNfTNz9T55ofUotT1DtoSTiHl&#10;1OIuLi4fOAPiOpAbB+GCBTsSy09Y+8EHHxwSs9Z/jvH3bn/z1tbx3KNNtFi2wEXMvGkxA5l/BuN8&#10;DcLiNQucpS4M1pJuy37YCH6Y5c002lf6EfSbedaTj+tLXtazLlH/gmVrk+MtKCgoKCjoRFeAtUFB&#10;v1GJOoD+PJ1FYO3bzz6prz94TpOWrNF/3qisWq/cpWXzxjuwOGrKHC2cNUVLlix2XqI7cgHr/L7J&#10;Wr5l30H4eqzMIC7zAAbAi4OYRwjSThStX79RCxcvc/B20ZKlWr5ytXr1G+zi406f9aOIP4sH7eDh&#10;Yxy03bJlm/oMHKpho8ZqyrRZznsXiJ2VlXkQ5roQBftjH+LKjKx52876pkodffJVFa1dt16vvPuZ&#10;Ro+fpGXLV2pf5j4NGDLSwdp9+zL14lufqF7Dpho+epy69e7vri2wNroZ3P3gw1qO6+OozA7dejvv&#10;WvL17DtI73/+nfPwBe7WSm7s4v2yPcfyfLStxeuN/s+dxswde2Q/pfnzh9rvJe4x6ts3BlhMzXuG&#10;ej+aYyQv184AIvuw/QCIiW0HzOVL0gwS8coB5BKflbi4wEi8SInbihEb10IrACsNYAJuifMKzDXo&#10;aev8NJv6ENSgqA9Zj8Zsu0Rmefx92bwtk89fZ2kcJ8uAa9IMVjNveVjXokULF+YAr2bqFlk92z1F&#10;fTPoxpssXqwnLx7Ytv0fTQHWHp325+zXtiXLtbjXQE2oXE99n3xdHa69V80uusqFUnCeuAXLOJDb&#10;sFAM5CYCdMGCmeUnrLUPjBGzFjjo/40zb89eE/s3L1v6fwsWLHDto3mOAhv/jMDW5jl/g7cGZq1u&#10;WM+z2vJiAFqeHzzj6RsTt9a2YXuWCbPDc8jvx3Id7DmFmJoFBQUFBQWd6AqwNijoGMnvAPodd+YB&#10;Rc17jlFO9nZ91qC7XnvpFVX/7FNN6pqqdyt+rR/qNFTKdx9q8oyJ+rp+J9Wo+JGaZjTV0rFdtG7r&#10;Tk2bOlWr1234GXTNDzOIC+ii40vn+GQDEIQjmLdgkXbu2u2gKp6uhCMAkHbrNcCFUug/ZIQGDRvl&#10;4sqOGjvBect269VfCxctiZYnauv2He7abd++09UBog6yc7K1YuVqB32BwxOnTNeAwSMcbCWu7qPP&#10;veH2t2TZCgdm2dbuB4O1qH6jZmrUvK37mNp7n38b5clRr76DNGrMBOdtu2vnLtVMbuyOm22B0D/U&#10;aKC0jNZuX6T51qJdF42fMuPgMt7ETNk3Fi3krrN786dtffu9RD1xz7XtOFIrV60/eN/hgWznYPV4&#10;tMdJOUBhBs8M9Bj0Ee8ODykGeQykGfDh+TRhwgSNHj3awUk+dIYnLgCXQb953RqMNeAJoDXAafCW&#10;Kevj4ShTy3s0ZuWYUVa8UbaVT37mOTY7Pn+9zQOkmfpl2D58wxt52LBhDlTY4Neuh7UPDJb79et3&#10;8O/FxDq2oV3B24z8fzQFWHvstDt61q0eM0mzM9ppxAffqMf9z6rNJbcrvWh5pZ1R0sXIBejykTM8&#10;chOBu2B/PssPWIuxrcFawu38Eqxlamm0hTxz7ANk9vaHeZH6APOPbjxjMQArz1ofzMan4zGLcQ2J&#10;WU9d8XYHHss8y3mW8PxmW9axPT8m+sDWrgFmsmuDBQUFBQUFnegKsDYo6BjJ7wD6HXfm6URu377N&#10;gdBl86br488r6uuP3tT8VSv00WffqGWnQWrw7Qdat3ODqtZvr9c/rqo9e/dpWuuKmrlim5o3baz/&#10;PPOWi3lrUPV4m3nj0lkGShjI9TvCJ7oAf8SyxasWj9Xxk6ep/5Dh6t5noBYsXqp16zeq94Ah7pym&#10;Tp+l6TOjwUI0Ja1Lz75atWadli5b4dav37BJWdl4gcYGAzn7c9wAcfK0mQ7ikt6qQzdVqlpHXXv1&#10;V5+BQw7CWsItEPc2tUlLffF9DT3y7GvuejtYO26i89ZtkN5ctVObaKaDtfv13Osfuo+z3fPoc+7e&#10;cvcX/0f7ptzXP/hCb3/yzUFY9MnXVfTFt9XdthwfZe7avVsro/PnupGHdFtvZbpyEWUzb8v5LMI7&#10;vPF+C11U7iMNHznHpe3bl6VrbvlO/3qktj78vK1S0wdp6PBZWrFynbsXga8c+28VZVAnlEe5DPgY&#10;CJo3FLFxAbhDhgxxHrl4VxFWoW3btmrevLkDmXjlEtMWUMuHaKpUqeLAru9xC8A9HBDNy8gfv42l&#10;YT5oNbM8to5lm48HvwZ0AbfxIRLIzzq2wQMZGMvHXQDryO4jxCCaQTN15Ys83JfmaUbd4u1MPfsh&#10;Wk5mBVib/9q3fYc2zZ6nxb0GaXLNVA166X11/ucjyrjgSjUE4BYo5WBu6uklnUduepHgjftnsvyC&#10;tWwHrP32229d2x8fs9baQKa+mVhH20gbsWbNGhcaweAkoNEHmn8G45z9c6cuMB9is8w64C3X0QDu&#10;kiVLXCgEnj/0RalPgC3r2cbW+30Dux7x1ygoKCgoKOhEV4C1QUH5IOsU2jyw1mJu7dqxRTXrpqvy&#10;N19q5updrsNJx3PtunXaGq0bM2GWJgzsqq8qVdKstl9q9LQJqtu+t1574W3t2bfnZxD19zaDuEAX&#10;zsNALoOlk0XWeR8/aZqWLV/lvGXxuB0zcbIDoXPnL1Rak1aaMm2m6qZlKCsrW206dtOkqdOj7eRC&#10;VxBqYfqsOc7zNjtab/dATna2W08YBuqmB2B40RJVr9fwYJ6a9Rs5cNyz72AHa6m/l97+VFXrprqY&#10;vAsWL9bjL7zlPrT2xgdfRtsvjsWwjf6jjLadujuY/H2N+s6TmDI//PIHfV2ljoPSeO2+9v4XWr1m&#10;nT7/trqefe19F3v3i+9qOEjZo+8gt00MPv80mKFsO8ZDzP47huOdrj0nqVj5j1W8wieHwNoK136p&#10;kpd8etCKV/hYFyR9qKv/+a3+9UhNte88NrpGO7Rp03b17j9Fg4bO0KQpC6M63+4GyBz/kcrOj224&#10;fzE8QjHzzAUw8lorwNK8fkaOHKlBgwa5gXyHDh1c2ICMjAxngNxGjRod9GDFgJ8WcsA3YC7rDK7G&#10;A1NLB5z65ufFbD/+Ot+Dlqmfz9KAzbYNU9LsmEizfJwj4Q6oF5PVG20C9cEg2mTrqEPaOwbTAFva&#10;RQbXlAUYZx4Qgvct3s/Ut7+PE1kB1v5+yt67T9uXrdSasZM1r103ja5YVb0eeVGtyt2s9KLl1LBA&#10;aaWeXkKppxZ33rjh42Z/TMsvWIsRs9ZgLe2//1yx54Y/n6gN4JjoI8V72SaCtqT/0bxuE52Tpfnp&#10;BmpJA9BaSATALUYcW54R9Dnpe/IsoS5te2D4uqg/TXvsXxfq/3D9gUTXLCgoKCgo6PdUgLVBQfkg&#10;v9NH55DOvcFaM0CEvxxvdER37op5+k2bOk3zos7ozl2/7YNjedm0Yf21dtOWhOt+rRnEZd6ANJ1n&#10;4MvJ0im2Dj6esOvWb3AQd+nylVq7boP6DR6mSVNnuHysA7I2a9NRQ0eMUesOXTVl+kytXLU6Oud9&#10;WrVmrbZH9eADVt+279gZlRUNWGbPdR69pI0cO1GPPPNalDZPyY1bqGW7zi5WblrTVi6GLscWO75s&#10;vfFBRTVq1kbtOvdUevO2Lv2Dit87QPzMq+9Hefbr9fcrOmhM2Z2691ar9l20eOkyZWZmOc9etmnX&#10;pYfL/84n3yijVYfoXFdpTLRP2872yXm45dxwDNE/sWkky3M0IvtdD9ZUiYs/+UVY6xv5GzQcqKdf&#10;aqhrb/1O/QbN0C33VHMwd9yEBdE5DFO12j3Ud8BUbd6yzd17HLfZrzvW2Cv9AHXua7vXgYt4jTJI&#10;BEKaVy5hFQYPHuy+It6uXTvniWthFQzAMjUDjvqw1F/PMuvMWLY0g6z+spWBGYi1fZCWaBumZqT7&#10;cJdtidsL+OXjbbwOzN8HYopRP3jN4oFs6xDpLPPjAPVGnRFPmDoDXlBvAF4G3rSXgFsG3YBcpsAN&#10;1gF6aRsBvyeSAqw98bQ/O0d7Nm7W5nkLtXLkOE1PbqrBr36sDtfdpybnXuq8b4G4KX8r5rxxA8Q9&#10;ue14edbSDvH8QEf7t852tBO0F7STPCcM1pqHKc8N8zA1iOmv882HnWbxeU4US3R8v3TcwFo7b+oJ&#10;WEte6o3nD/XI84DnAs8M8rKeH1MN2PrXKq/rRbr1CXwdbpugoKCgoKD8VoC1QUH5LDqAeIvFw9oT&#10;x3aqS51KWrhmheYtXqDFy1ZGnd/8C7fgQ1wHpCMD3gBfTqZOMR8UA+ISVgDwzqCAcAnN23RSz74D&#10;1avfIC1assxBamLZTp4aiyfbukO3aCC5X9Nm/qjho8Y6+EuMXfdhMwdBY94fDDZXrlqjnVHd9B04&#10;TNuiOlNUPVTRA/9+2ZWFLVi4RK++97n7qBqetf9+8W1lZWfrwy+/d9exYUZrdes9wIVJALqyDbC2&#10;Q9debn94CT/xwpvunIDMA4eO1IaNm7R6zVpNmDRVb3xYUe9++o3e+Oirg7CTad9Bw7QrOn93zXKP&#10;BbMBj0tPIPYXr7Xrtqn0ZTEA+2tg7RPPpeii8h+peetReuvDVnrqxYYuffnKzbqw7IeuzDsfqKX5&#10;C1ZrxOi5mjNvlUaOnqMqNbuq74BJzluWa+jDxd8izt3CKgBxgZB8IAWPIAaTQARCBRADFujZu3dv&#10;BwH44BleuYRUAI7aR82Y+l63ecFVWyaP5TPQSzrA1tbbNqyz8o7EOA68gJs0aeI8aBkQmye91R/3&#10;B3CVc/Jl9wfr+XtnO+rIoDdtJPVlEJcBOCAXqMHAnHYUEE5dMljHmCeNPGxLmb+HAqw9ecSPTJlR&#10;27hrzXptmb9IC7v20dgvq6n7v55W8+LXqFGRsg7eJv/lQueN26hQiIt7MtjxgrV+zNpf87dubSDt&#10;BW2dffzSAC1g0uYN2Prmw0yz+Dy+Jcp/shjHb3Xgp2E8TwHntPsGwPlhz+qQH/p49tLftGcT18ue&#10;Vcz719Hvu/jpNh8UFBQUFHS8FWBtUFA+iw4gkGHrCQ5rl62erxe+76SRnStr1pwh6jF5jdLqVNfs&#10;cQPUtddA7dy9W7t37dKeaEr83Z17tujjr5omKO/Xmw9yzYAv1OHJIuvw796zR+s3bnTL4yZO1YQp&#10;05xHLh6whFgYMWaCG2Dw0bPe/YdowJARGjhspIOrc+YvcCB00+YtByE2MHf/gRztjeqDa5aVFUvv&#10;O2Co+g0acXBQ8er7n2nj5q36sOL37gNrxLkl7AHLeJeiTt37qEO33lH+GDw1WEtoh9oNGmvGrDkO&#10;RE+cPE1V66S5gWV6i3bq3meAi5E7d/4iPfz0ay4ObrRXt+2TL7wdO85o/cZNWxJCWUTc4AGDZ+mL&#10;bzvrsadT9Pgzqfq2aje9/E6Gkq743HnFHoS1mVm6+6FaKndlRZ2f9IELkxAPa+unDVSXHhM1YtQ8&#10;fV+th9t+9Lj5uu6275XWeLDz2L2o3MdRXe505bMN25a+7DM3X+rST1Xuqi906fVf6593VtQjj32t&#10;199OVpfWyWrYdJCmTl/kgCLw9UjvQ/KZ2XXx0zDua+5vQDEDSgbswEfi4w4dOlTdu3dXmzZtDsbE&#10;TU1NdeDBYKkBVx/Q2jLz5GMKjDXQy3q8YsljYREsH+uOxKxMDLBMGAiAg50rU8T5Aaa7du3qln35&#10;dcKgmfuL+jWAy98Fdc4PHfHey9SXQVzzxgWe4I1rH4tjEM9AHZBLOvkpi33mlwKsPfnFdcvhPtwZ&#10;Pec2Rn+X46doenIz9X/mbbWucIsan3Wxi4nb4P/OV/JfL1TDgsTFTQwOgx1/O5FhbaJ8pNEG0tbZ&#10;q/w+pDUzYGkeuD64xGhnzfsUs/yJ8p5Mlug8mJqxTJ3hUcsziPaXtp7nAPDb8vBjngFbe+bYfF7X&#10;5Uiva1BQUFBQUH4qwNqgoHwWHUJgbdbu3cphMB9ZNiBiZyykQTycPP62Ux2qf65lqxfo7foDNXNA&#10;I83fvEUvvllRlZI76PXH79SjD9yptu3b6oeMAeo1arqevusWjf1xobp0H6FtG1dpc9RR3rP75964&#10;O7du0L49h6b9GvMhrs0zwKHDfbLIBmZMOW48aglZkNGmo1q066Je/Ydo+cpV+vKHWho/aapWrFqj&#10;ISPGaMTo8WrftZf6DRnhtslo1cmB2z179jpwincsHzdjavvYumWr+g4cmuv5ul/tu/TUky++7WAt&#10;YxDnWdutlysHqPr487mwtkM3B4vrN8pQz36DNGHSND0Rrfvoq8p64ImXNG/BIrePit/X1LQZs53X&#10;LfA1Ojvd98SLsf1Hhicvx/xLIj82ccpinVf6A93/WF39+4W0g7AWWZl4I7OvqTOWqWa9vod41v77&#10;+VQ3j/FBsrXrtkb3yB6tXLVZ02cucx8tw3v3/DIfHAJ7fStx8acqf/lH+vC1R/TMk0+r1CUfq0SU&#10;fkHSJ+o/cIYDigYRmQIWSaO+7TiPRnYvYNwPlEWZlM99jmcpoBHwSCgFvG8JowC4BbYCWc0AqEAJ&#10;YCpTm48PfWD5MIO8zB8NrDXQCzCm3I4dO7rBsv0tWj0wBWACGAgBkUh2/tSFb5RldeKD3MNB3PiQ&#10;CnjaWlgFBu8WF5f6xDhm8lCGHftvUYC1f2y5e5X7M7q+O1au1sKufTXig2/U8br71eS8y11c3Ab/&#10;e54DuWlnlEoIE4Plr52osNZv4xLlJ91AIz8wAV4BlAYtMZZpSw3YGsA0IOkDW9L8PH45J5PldR5+&#10;OkYa7bl52DJl2T5Oxnp+DKWNth9d7Vr4ZopfHxQUFBQU9HspwNqgoHwWnT5gLZD2AF6SubYfj9E4&#10;I8++3bu1c8cO7QBKMs0FEjafn5aTvUebN67X6u07lfrdO5q5drcyan6pfgMHadWaNdq4fK6e/CxN&#10;L/3rVmXt26JX3qyljz/7TsM6NNT0lRvVsGGyfqjTVOtXzlffPr0dQFmwcpN2bd+ielUruZAHifZ7&#10;LMwgLvuwDvnJ1tnmWHfv2evi1NZOaaIx4yY5mDppynT3UTI8YvfvP+Dm+wwYov6Dh6tF286av3Cx&#10;lixd5s6ZuogNNmKwK4fQCgZyc6dA4K49+7l8lP/Yc2+wdxeiYdiocQ7+sm7C5GmqXrehxk6cqtrJ&#10;6S4Nr1k8dYH8H39dRatWr3Xb3vv487n7iMHadl17unM6Eq3fsM15uAJN/TAIlJeVnfijIBdf86Ue&#10;eaqB7ry/hu5+uJbzlL2w7EcO3n5Usb2Klf9E5xR/V7v3Zuofpd7TsuUbnYduPKT1DWBbPLKSl3ys&#10;m255Q9fe/JZefe4JlajwvuYt5DzzFvec3d+ARI6Z4/+tolwGnww2AY4MPAmf0Lp1awciCJMAOAWi&#10;Yub5yjqgKoDVB7LMm2cs8z6IPVKjXLZn32lpaRoxYoT74Es89KQOqA8gKbD510BR6tCM8jDKwXyQ&#10;ax65gFy7DgZy8cY1kMtxAnMBLtQpcIR6NYjLa7S01+apxX5+6VqyDhBgbwEcLm/QH1f7tm3XyuHj&#10;NLlGino//KJaX3ybmp57mYuLm/yXC5R2ekk1LJzkYuM2SgAbg/02OxFgLctmJuat7fLN8jDleGnH&#10;aLdoo2iHgK/xkNLMAGZe61n2vW1PRos/fgPSVi+Y1QNT2nLabX7QM2BL+tSpU10eA7rUtS+7XnZN&#10;EllQUFBQUNDvoQBrg4LyWXQAGfwDY5WVdQiwTWTxABcD4mbu3u28cR3IzTUALkDClvPL6Nzu3LFd&#10;rZs3U9+Ji9S57kdqP2ikXn8/WW1rf6SX3/tas0f31sc/pOmpZ95XxQ/e1O59WcpePlE1u83SMw8/&#10;qgY1q2jxms0Jy89PM4jLPPDFAcwjADAnmnbs3KVt23eoXsNmDlD1GzTMed127z1Qa/n42dSY92f1&#10;+o3c+aU0bqGho8aqS4++WrFqtVauXutAMB8Us/N3HwqLLDMqjykfNZs0bQajF1c34yZNVdXaKVHe&#10;A3rm1Q+ietyhAYOH6+W3P9Vbn3wVpb2ndl1iUNZgLfEgu/bCs/bIYS265V/VnGfsITFrM7NV5vLP&#10;dP0dP+jtj1qrZbvRmjB5kVat3uLCFlS4uqJee7e5Sx81dr7GjF+oZq1G6q0PW+rWqLxrb/1eH33R&#10;Xv9+Pk033V1Fk6Yu0Q13VHZgt4wLg/BzYGtWrMKneuKRZ3VhuU/10lP/0R3/qujq7GhFXXPfMYDE&#10;ALnmGcp1PJJ70L9XmQc+MggFgBImAXgKjDVQi/lw1qCsedr6+Y4W2JKf7fHUZXv23bJlSxe+gfNK&#10;JCAEA2w+OgY0PRZ/d+5eyzV3L0dGXWOJIK7VvbUJeUFcvHFpr/HGBZj4YRWAu+SlDMplP+yXebx0&#10;2Q/LQUG+svdlasP02fqxRQcNe/dLdb3jCbUq90+ln1VBKacUU+ppJdzHzhoWSlIjQG740NmvshMN&#10;1vrrmLd2yszyMG/9EsQ80BG4yAe2AJWJ4KwPL1m29ZiffrKaf/z+OfnpNk/94HVMe00bzbOIdppr&#10;RUgE+zAZIRFI5/lAvZvsOvjXDPnXKigoKCgo6HgrwNqgoHwWHT0f1uZlicCtb/EA1ywLCLRrl3ZF&#10;HdCDHmXYcYC4e7Zv0quvf6Dq332p3iPHq+LnX+iDj3/QgJa11LZzB21dPF51us3Qq5/V1sqZI5Ta&#10;Y9whsPn3NB/iAnLovNuA6WTqmOPhun7jJgdW+wwcqgWLlroPhLVo38XdB4ROGDxspNp36RVdk57q&#10;1X9wlLZCnbv3djFx+YjZwsXLHAgGbmXnZMcGLrmDl/XrN7jXfy1sw7fV67mYtuTho2fPv/GRq7d7&#10;Hn1eObkDm07d+6pDtL+j0cDBs1S8wseHwNrMzGxddsPXPwOpfEwMsGvLbNemwxg98HhdXZAUC3Xw&#10;6FPJqpc6QN16TdGAIbPUpedkVarSTR990U7tO49Xrfp93b6Ig2shFKw8DFj7wn+e0pOPPqc77nzV&#10;fahs7fpYzN/fKu41uwcZVHLP2aDQYKOlJRLp3LMAQryGiG/bqFEjByYs3IF52vqg1U8jj9nRAFsD&#10;tZiVxTyhDvyvpCPuETOOl7AOw4cPdxCFc8wP+fv069TqNRHEzcsb12LjAnKpa86PwT4QBZALwAXq&#10;0r77nrVBQUci7tFti5drSZ/BmlQ9RQOeeVudbnpIzYtfq7SCpZ1HLlMMmBsg7uHtRIa1eYk81k5Z&#10;fqa0U7RFtDn8WGTAEvNBJTAXM2jp5/Gh5slqdj7+efvpdv7MA2uZzps3z/3oRttOm0z7DbBlPXlp&#10;v/mRjvaf+8SvdzNT/LUJCgoKCgo6ngqwNigon0VH70hgbV6WCNzGWzzAxYiLS0gFB3JzPXLzA+L2&#10;aN1YaSkNNGX+Ki99pwMiWzZv1Lgf12jcoC6q9O33mr8q/zxr6ZhznonWHa1RRwbS6Ow7iJn9U3zS&#10;k0Ec65KlK1zs2snTZroPnPUdMES9I5s240eX3rlHXxcSYcbsOe7jZ206dnehFcZPmqb5CxZrw6bN&#10;2rVrd8wDN/fcYwOX2DIet+0699COqN67dO+nr3+orZ79B+nFtz6Oeegepe55uLaDp78Ea30Dsl5+&#10;4zcaO2Gh2nYc6+LTlrj4Yzc/auw89e4/XZ993dGVfeeDNXXrvdX0/qdtlJI+WB27TlD33lPUuMVw&#10;ffJVBz37SmPd+UBN9yEyyil1yUfR8XyqW297PSrzU31btbs7rvwW95zdgwwmE4nBI+uAjEDQsWPH&#10;upi2eLvWqFHDQQpgKt60eL+ybN60AFbWkWbmA9nDmZVDmZQNvK1WrZqaNGniYutyPIj7wwCpnQPz&#10;DJwnTZqk/v37u0Gz3Vf5LX8gjtnx2TECR+JBbiKIa7FxDeQyJZ28bE/ZQUG/Vbui9njNuMma07KT&#10;Rn36g3o9/KLaXnaH88ZNK1AqBnFPL+nmGxFaIQG8/LPZiQhrzfKSrY89V3/KxzLtCe0KPxzxIxHw&#10;1SClGWlmh4ObJ6P55+KfD/N40mIs2/lbOlCWD4/xAxttOfVImw30Ng9bnj203fQb/WdQ/PWyZT8t&#10;KCgoKCjoeCnA2qCgfBYdwd8Ca/OyRNA23uIBLkZIBbxx93og9yCg9IDlyWR7o/N66Mnn9MYrb2jb&#10;3tgHmvLDDKABcOjkA3SAOwajTgYx6Fi1Zq0WLVmmmT/O06y58zVn/gLnLUtIg7nzF2rDxs2aMHm6&#10;uvTo42zrtu1as269uvXq77YB7OKJy3Rf5r6ozGigGd3nfHxn8+Yt2rhps0s7Wi1fsckB2KOBtcUv&#10;/kTV6/bRg0/Wc2C2zOWf660PWznPWcAvVvKST/R5pU6a9eNKFavwscpe9YU6dB2vi8rhyfuxi3V7&#10;1c2V9PRLDR3YTU4fpE7dJkR5Jqhe2gB9/GUHPfFcqouNe7xF+wFM5F7j3mPgifwBJFOAIQNRPvgF&#10;SCWeLAasYBnQSmxbvGBJM6/YowG1ZgaBmfpetl27dnWhAvh74LgNhGLIAAR/S3iMAXeHDh3qXl3l&#10;3H4PWT2acYxmPsg1iGsg1zxyzXuLPOSnjKCg/NK+qN3dPGe+lvYfpqn1m2jIa5+o622PKeOCK10Y&#10;BT50RlgFvHLxxk0ENf+odqJ9YMzalMOZ5eN4Mdodlq0NsnXWZtJWAiYNSmI+tPQhp8HNk9XsPOLP&#10;hWWDtRjLBmz9esGb1jxsab8BttSf1RcxbvnBjfW083Y9goKCgoKCThQFWBsUlM+iww2sHTF8uCZP&#10;nKjZUSdxbbQMMI1W4m6WEMb+WksEbeMtL4iLNy6xcffu2nUwPu7JAHGBtY8/87LefeZRzV0xX19+&#10;9Z2mzV+kIQP7a9X6mPcb3r47dibe/reaQVzmiYtpIPdkGwBwvJs3b9We3GPHI3fAkJHq0rOf1q5b&#10;7z5AxsfNuvUZ4Dxyp06fpT4DhmpKlC8ryg/IJazC9ujeiYaiuaUenXr1naohw2e7eWDtVTd/q/NK&#10;f+Cgal6wdsmyDerSY5LmzF2lV99ppmatRui+x+ocDG3A9ItKnZ1nbMVoiuds34HTHayNLw8PWguL&#10;gHdtuau+1D2P1NbzrzXWN5W7qXLNnvrw8/b68rsuatBwkEaNme+O9XiItgQoaGb3FlOAIcCWwSix&#10;YVNSUlS1atVDgC1TPGENutry0QJbH/SyPZ62gOCMjAwXloEfMzgmzKCDL0vnb4Q4sWwzZMgQDR48&#10;2MHeE0V2Dv55YAZWfMCCkS8o6PdQdvS3tGPFaq2bPF0LOvfWuG9qqc9jr6hV+X8qvWh5NSxYWimn&#10;Fo+smBoWKJUQdp7sdqLBWmTth5nfjvjb+u2Jnx+Rl3TaeOAioVfstX7aTvMWNWDpg82T3eyc4s/N&#10;IG48sLU06oZ5PGx584S+GcDWffQ2ekZShoVE4BnEM4s+T1BQUFBQ0ImkAGuDgvJZdLSBtcR0NOvS&#10;pYs6dOjg5jtG02FDh7ovqk+POt7bNm3KF4iLJQK3viWCuPsBd5EBlzOBkLnxcU8kiAusfbdK4+h4&#10;dmrDiolKGTRdM4Z21SNPv6SnX3pH3/1QW4vGdtXgsVNUKzVD/UZN0+rl87VhzYpDYugunz1UE2Yv&#10;OQhej4VZWQwG7ONSDBr8gdqJLsDg8pWrXNzades3RvOrNWjYKA0ZOUYDh4xU4xZtNXz0eHXs1kuj&#10;x01Uq/Zd3Dn+Wm3fscdNqaNdu/dp9Zotmj5zubp0n6TvqvXQY8+k6JLrvnZA9bb7qqtd53EO5t5w&#10;+w/q1W+qXnyjqb76vouLSWuwtuK3nXX3w7XVoct43f1QrTxhrW8XlvtMjz/yrAO4LP/r0druuFBO&#10;zv6oLrZr8ZL1uSnHV9Qv95PdR0xpa/ihgPaG2LCEJiAkAiDVh6w+aD1aUEv++G0oBygMIMZTltdP&#10;ORYTx+ZbvDhmXvUF1AIfRo8erZEjRzqAO2rUKBcblnPiR5cTQfHnk+icgoJOBO2P+hF7N2/V1kVL&#10;XViFmY1aasjrn6nD9fer6bmXOe/b1FOLK/mvFyntjJIndVzcEwXWkkb7h1n7kJeZmLdtMMCh/djL&#10;solnMfGxaQ+BjYBa2kwApQ80DWYa3DwZzYezmIFYOy/Wx8Pa+LzmYYtXMn0xfiAE2BJznPXkBd7y&#10;zOI5ZPKvh3+dgoKCgoKCjqcCrA0KymfR2YuHtZ07d1anTp2cNWvWTO3bt3dfVK9SpYq++eYbpaWl&#10;uVeK+/Xrp/bt2ql1tG7h3LkxiEvH0QOwx8ISgVvf8oK4zhvXQO7u3TGI6wHK42Xsc+mKNW5+w4qp&#10;ajBoqlYvnKIvqjbUj7PmaEDHxvrgtVc1d2wbVfyhlm66+WGN7FFdwxcs1WeffqW+LWrq60rVNXX6&#10;aP24eJW2LJ2g5oNnxzyLt2zQF1/Xi0Hdzeu0aOGCn+3/15gPcc3wnPEHZie6sqMBMV64wPL1GzZp&#10;y9Ztati0tSZNnRnZ0cesjdfhBkmZWdnO4/bia79yIQyAqRcR73bUHCVd8YXGTVyoZ15ppAvKfuRA&#10;LrD2X4/U0ZU3fqP+g2aoW6/JeXrW8nGxa258W99/+C/N6VZc5yd94YBv4+bDcvd+Yoj6YYAJtDWR&#10;BqgAbAI9AbbAWoOsGNAWYx7Qivnw9XBm2zBPGeaxCxRmnnaLwa/vpeQPfG3w65vlwTh2tuW8iG9L&#10;nEFgBCETALcA3AEDBriYt8OGDdPkyZNdHjzOrKygoKDDi7+VrN17tGfjZm1bvEyLew3UuG9qqMe9&#10;T7sPnDU6s5wLp5D8lwucN+7JEBf3eMBa2jf6c9bW+G2aiXlLP1qxrbWBBmst3eZZT/8BaEzbB5gE&#10;Svogk2miecwHuv42J5rFg2eO1T9e1ts6P78Zec3DlnrCw9bii/O8sJAIGPDWYthSvyjRtQ0KCgoK&#10;CjqeCrA2KCifRWcvHtbiVQuw5YNALVq0UOvWrR2srVy5sr7++msXDxJPtUcffVT33HOP3n33Xd13&#10;333uNWMGHq1atdJnn3+uXj16aObUqfTe6c0nBLG/xRKB23hLBHKBuGZZxHXc+VNcXB9Y5q/xQaAt&#10;DiBu37xKaR0GaveeHbrvwadUp1YdDetURYu27lCVrz9TctXK2hp10udP6qwBY4boy+Se6pvyhVbt&#10;5IvMG5Sa1s7F9u2S8rUGTVqkHbt2J9jfsTHqyOrJpgwubABxMsgNOH/FQDVeeK++9FaGbrqrsj77&#10;ppNGjJ6rffuiezMStzuwNh62lr7sMzctdemnevzZFHXvNVlfVOqkD79o52Bt8fIfq05KPw0aNvtn&#10;sBZIe8W17+nN5x9z8x+/9pA043S99twTKntlRReW4UQU3lbcJ/6gknaHAal52AItCFdgoBWwCmw9&#10;Wlhr5m9nAJfymjdv7ry94u9Xgw3+MfrzicR6yrGwD3gT4xnFDxsMunl9Fa9bBuaA6V69ejmAy/7x&#10;0vWBcVBQ0JFpf3aO+xF237btWj95pmY0bKH+z7yt1hVuUfrZFdyHzRr87/lK+duFanQCxcXNL1iL&#10;ffjhh/ruu+/cW1FAP2u7rH1iGt+2/VL7lpds2/jt/WXad37cJQ4rsVdpA31g60NMppYO0MTTFK9c&#10;ltkGI1887DzRzD+neIsHu/H5WD9v3jwXQoLnBn0ri2FreXmWEOOW54uB8vhrgCw90bqgoKCgoKBj&#10;qQBrg4LyWQZr8cgww5MWWAt0Bdg2bdpUP/zwgx588EHdeuutDs4CaYG4Dz30kBskvPTSS275iy++&#10;cJ63r776qvOY+89//uNezXv22Wedpy7QN7lBA82fO9fFnWX/+3PBKgD2WFs8vE1keQHdfbtjX1v3&#10;Ia6Dlbnz+WWA1917s92+enbvoUXThumuW25X1x7NNHDKdH1UpaXWDG2qAbOj49m6Tu99VD2qy10a&#10;1SlZE+ev05NPPK9PXnlSa3duU/uugzUmGtDiBbh3z27t4Pi98/nJtrvXF3+efvTm6igy6o6Boj94&#10;+CMOIAYMnq3zy3zgvFsJbRD7aNihkPZoDJD71EuNXFmxEAex6StPP6FNw8/Wwp4X6eWn/61Xo+WL&#10;r/xAH792ryZOXpJ7NCemuO683ulDUv728RYiNIF5vwJXaTcsNIJ9KIz1BmJ/yXzI62/HcsOGDTV2&#10;7NhfHQbjSO9hy8egmn3x98CrrEBa4hCaRy7HQogZ3lKwH8rGjBlzMFTDkewrKCjoUO1cuUYLu/fT&#10;iA8rqdMNDyrjwquc922D/7vAeeOmFSztQio0KlLuuIVWyC9Yy7Z41laqVEndu3f/WRgE2iADtvkt&#10;15+LDLFvgC3tPgCZNg/oaN6iBiEBlcxbug9ubZ0PbU9Gi4e1eaUBqnk+8EMmfSnC7wC7rV6AtwBb&#10;nid2Palnq3ere1+sNwsKCgoKCjqWCrA2KCifRecOWItHhlnbtm3dV9vxnn3mmWccpL333nv11ltv&#10;uSkw5PPPP3dg4bnnnnOv373yyisO6uLhgYcc6WzPAAQI8cgjjzhYS9xIBidt2rRxXrqdo/29/PLL&#10;uvPOO/X8889r5PDhWhR1SIE4O6MOKR8V8+HrsbRE4Na3vCAuIRUAzYDPQwBl7nx+2p6dO7Rl8ya1&#10;7j5Se3bFYO1nX9ZzsHZkh/qauGCdKtZsqI0rJqjVpKl67MVa2rlltV7/OlW1PnlJ39SoowbNe+jH&#10;icPUpWsPbd62I6rrDdq8Zat++PxdZe7ZrS0b10Xpxwbc+mYQl3kLqYD9EQYSeNm+8UFLlbw49vGv&#10;RBD26O1jlb38I7Wufp2LT1uswmea1KGU1g87RxWuAA5/6j4yltpk6ElRfxwjPwjEewUBMGlvABdA&#10;2lq1ajkDsOJhy/RoYC2WCNbSLlEecJh78NfUmX/cNu+nIea5r+O92eLFOv4OCBOBFxWQhYE6XmXj&#10;x4/XwIEDHXzBBg0a5NLwvuJHEABwooF5UFBQ3tq3ZZtWjhirKbUbqu8Tr6rtFXc5kJt6Rikl//XC&#10;aFrSQd1GhcvGYO4xBLn5CWvfeecd1w/j4438MOu3O+zreMFa9mtmy+ybNgsAae2bAVgAJJDSoCVp&#10;vHlgYJa8TP/osNZgLMvmYcszgXozYGt1wHqeFazzga1f78iW/X5WUFBQUFDQsVSAtUFB+Sw6ccBa&#10;YEl6errzbnv99dcdoH3hhRf0+OOP6/vvv9dHH33kBgYvvviiGjdurK+++spB3X//+9/68ssvXV5g&#10;LQAWL1zgLXmAupR99913O7gLQKE8wivghYsXL4CX9Pvvv99BmieeeMKVS5gFjoPByJcVK2rB3Lnu&#10;67lbos7r7m3bYh85wzwAeywsEbj17XAQd8+uXS5+rH0Y7PjFyCWswjZt2LJDU4Z00Qsvvql1e3bp&#10;mTeStX3zMn1aq616NqqtpVs2qnL9JurVrJbqfPe5Bi5dogdf/VqdO/bW95+8pfWLpyu5QYpmLYh9&#10;ofh4mA9xicnG4A6gdzIOMHbs3Ks3P2ipq27+NgF8PTq7qNxnGtL0Eh2YUkhzuxfTHXe+qmtvfEd3&#10;3/Oyrrn+LV176/fq1H1i7p5PDjG45FoztWtL6AAG5bQnAFUABh61TP3QCEdjbGvGMj8wURbtC57+&#10;eCcdC3hhA+JE96m/DrP72TcT6zgezLxxqRdCjPB3wcAdqM3AnpAKxMQF4OKFC/Rh8E7oBeqW7Wx/&#10;QUFBvyzCKmyYPltzW3fWyI++Vfd/Pa02l9yuxudc7D5wlnp6STUsWEaNImtYKOlXQdz8hrX0qwYP&#10;HuzgnrUtTK1NYeq3Ofkpf/82pU3Dy5b+Jl62wEkDswYwMQOXPtj0509GywvWYizbOWOsA8gCtgmJ&#10;QPtP2w6wtQ+20Q/mo2QA20TtPPVNum/H69oHBQUFBf15FGBtUFA+i04cnecnn3zShTSg8//BBx84&#10;D9hq1aq5EAeENeA1O9bhaQvUJRQCwJVlgOzbb7/ttgHQko8wCJTDq3lA3LvuusuFVgDmEvu2UaNG&#10;DgADaN544w0Xt5IQC4AZ4t8Cax944AEHcNnmpptuUtWqVXXzzTe7AQ6euOzzveg4WkXHMWrkSNfR&#10;3Rx1bg+cQBAXwzuYkAq7d+1yIQ4OgtzjAHH37t2tbdu2a+nKNZo6aqhWb92sZp16qtpXn6lJnUoa&#10;sGSlnv6wllZH98DHrz+nIS0qa8XWHH3/5Zfalo+xb4/UDOTifYgXooHck2HgsX3HHjXMGKoHnqin&#10;kpfGvGBjYQ2OzIpX+FRfvP2ApnYtodeefdJtS4iFm++qoq49J0V/uyfn4Is2ByjvX0Ou76RJk5zH&#10;Pe2IhTIArh4trDVAa/O2DKzlxyh+NCL+H/dSfotztIEz961BEzPSfR3uviYvIJa/C4AMoRKAtEBc&#10;YDfwZ+LEiQ7i4pWLEWZh2bJlDvay76CgoCPX/uhvdOuiZVrWb6im1E3XwBc/UOdbHlWLUterYaEy&#10;zhM3rUDpyEqpYW5ohUSgFsvPmLX0x/iRfGTUD+J5ae2I386YHS9Zu4fZ8dAG0X5ZPG/6bAZsmQde&#10;mjcty366Ac+T2QzWGrC1c/WBrS0zBWpTVzwfeSsFj1vqiw9XAmz50ZF1/nW1evev/eGeK0FBQUFB&#10;Qb9WAdYGBeWz6MgBa4nlyGABaAooAWowBbiyDs9Z4CqetSzjFQtUIf29995z3rHA1G+++cZ5eeCd&#10;i3ctYJZBBJ61eNiSDgQGngB5Ab6AWcq8/vrrHZgB0j722GNuinct64G17B+gS3iFf/7zn678f/3r&#10;Xy5+LlAXe/PNNx0wZl8D8T4bMMANijYSAzIzk9FLQhD7WywRuI23RBA3Z8+eg964hFXAS8IApcHK&#10;/LJd0X737t2jTdu2a/6koWrQuL1aN07RynmTVfGrSvrsu2Tt3L0r4bYnghnEpc4AWAZy/UHLiSQ8&#10;bgcMnqnKNXvp8WdSVP6qiipeIRbbNgZxY/Fumf40zwfF3tI5JT9RtYrP6b1P22n02PnRgDf/X2fN&#10;bwFrfXjIYJLQJwBGoCrhEAhZ4MPWIzHyGtyl/bJlpgZrAcIM/LlvjqU4B998sRwPTvyBtJmtM/PX&#10;HU7kpT75G2BQz6vQxIkkBiKeWOPGjdOAqC3kg24AXJYZ8DP4x2vr18bwDQr6M+pA9Pe2e90GrZ0w&#10;RfPad9fYL6upz+OvqN2Vd6nx2Rc7cAvExSMXkEtohfyCtWxPn6tKlSruxxraVpO1OX7bkl+K34ct&#10;2zFYOvO0vfyAhPcobbF5jAIrAZi0W8BKH2D+ESwRrPWBraUz5byZ4mVLe04fh/4OP77ZOoAt/XeA&#10;Le0/dRxf7/6zg3l/OSgoKCgo6LcowNqgoHwWnTo6e3wlHagBJMET1oe0NsV7A49ZvN2Atbx2BzAl&#10;1iyhEPC+Bcw+9dRTLr4tHxcDjjAPUOVjZYQ4ALYCcRlk8MExvHMJrYC3LIMXgCyevnjjAm0JhXDd&#10;ddc5T1ry4K17yy23qGLFigdjtVEmHr+pqalumePDOC6WsUrffOMgTs8ePTRuzBg3QFgRDRYAplGv&#10;NiGI/S2WCNrGW0KIGw1ksnK9cffmgtyDgDIOWuaHmffeju0/X3csbFCL+qrfoJ7mrNgUnVPiPL/W&#10;DOIyzyvkBnJPRK/CvXuzNGfuKg0bOUf9B81U916T1bPvNHWLpt17T1H7zuM1cOhsLVm6PrqdTn5A&#10;Gy8D7CauEX+TePIDVgmF4IPYIzGDs4Bag72URRpG28WHEPHY4v44lrKBsD8gTjQfb4h22Aba8bJ1&#10;8Xn87RPNk9cALjDWBvtAcV6hxWsLYEsM3yFDhrgPneGZB0TiQzbAXiAB21jZQUFBeYu/k33RM23L&#10;vIVaMWSUZqS10LC3K6rrHU9oRT7AWrZlSt+IPhDgz3/W+W2GzeeX2IcBQpOlcUwGDs1ol+zjYwBJ&#10;2n7M4KxBTAO2ln4ymwFZzNI4z0Rew35e2mPabUA87TFvVAC0qS+2pw/Pj3S08Sa/rk3xy0FBQUFB&#10;Qb9FAdYGBeWz6LzT0QNi4CmL92qrVq1caAJCFeBJCzx59tlnHZgFvOK5igct8Jblhx9+2MFQoCte&#10;s3i4MnggnAHQBM9YYC2QBNgKwAWk4lkLJCb8AmXiPcuAAw9bPGpvu+02B2v5qNnVV1/t9g8IJg/H&#10;ClQGzgKNKQ8ATNkcA9AY47hIB/wAc9kG+AzAYTtgLufCcudOnTR08GCNGztWi+bP1+7t22MQF8sF&#10;sMfCEkHbeEsEcffv3etCKmTmgtw9UaedkArHC+IeG9upjE9e1pq9u5RW7SOt275Tc6dO1LqNW7Rz&#10;1y7nIXIw706mx87L2CAugx1AncXHDYOX30fUO95VVv9Meb1/1KhR7u+UH474uwRoJAKziSwvWOsD&#10;W9o3ICX32tGKYzSLl7/O1senGTDxLVE+s0TrTP780YjtACcAXOoAz1rqHRjAK7fAE+AAEABvN64H&#10;QBcDcvPq7Yn440dQ0Iks/m5M/P0dC1jLNhazlvaOkCjWTtC2JJrPT9k+/P0wz/45Z8xv83j+8kwm&#10;pAthEYCUtDGYAU2mFg7Bh5kno/kA1ixRPozzZb2BXIA29cQP0PRduJ9oo6kb8nDtgd+hbQ4KCgoK&#10;Ol4KsDYoKJ9FxxlYyyt0GRkZLowAMR2fe+65g5AWwIGXLDAWj1v7mAUetcwDYlkmbAGA9Pbbb3ew&#10;llAFQFU8YwGuhFjAQxbYCgwGDLMPoCxeucBavGbJw75uvPFGB3yffvppB13JC8QBvABYyUtZHB+Q&#10;1nnPRmksA5o5H/YJxGE92wCFyUPIBoAOALdZs2YO4GDAY/ZDHgZBhHgA6NaMtk9JTVX/vn21esUK&#10;Ki5mHoQ9FpYI3MZbIoiLNy4gF49cvHGJjesAZS6oPHEsBms3HcjWuJ61NGx4Dz33xsf66uvv1Kbe&#10;N6qblq6GHYeqb8dOmjBqpJauWacd0bnsic7vpzJ2aeb4odq0ZauX9uvNh7jAK0AuHio2qAzKPzHo&#10;tFfwGbwzmGfQiRc+f6MA22MFa5nHCL0yYcIEd72PVgYifDMlSo9P456KN8uL4vOb+WLZ3/aXzFde&#10;6fFiPeXzd8DfBx62vH4LHCC2MB85wxOXsArDhg1zHzaiToEKvNrsv4odFBSUP7CWPhTGD9/E/+cH&#10;F8TfroFRDIDH9HjJ37/JT/PbIdJoL/jhjjYGj1EDtgZofwlsnixm55HI/Dz+udPmWhphD/hBjfqi&#10;n8I9ZfVFPn5os7A2fhtvdR0UFBQUFHQsFWBtUFA+i44zsBYgiecrXrCAEjxbASVAWyAo6Y888ogb&#10;IBCiAO9VACywFjgLpMVrFiCKZyzwFQgLLKUsYCnw5KqrrnKAFfjLAAWPXrYH3gJnSQPOsm+AKx6x&#10;eMYCg5nywTNgDGAGwMz+gDoAVuAs4NXi7rKeUAkMhtiesoC9wBoMOEv4BUAOAx7zFMY4L5vn2Ii1&#10;C8hmmXz2wbUfonKpi/ZRnS2IOtLRqIiecUIQ+1ssEbSNt59B3MiAuA7kRubi4xrEzQWUv4f1bVxV&#10;d/3rTr34aS2tXTxLlVI6avXa9cqo+aUWr9+mj76or4ovvKyc6N58/NNG+urVR6Lr1UTp3cdqaJdm&#10;6tC5j5Yvnq+t27Y7mJRoH8fCnMdyXD3h1cLgMujYCcBgA0mmGzZsUL9+/dwPPeYRGw9lj9QM3hqo&#10;ZZ42gritvwbWIhv4msXLTz9cPpTXej89fp0PPQx85DWP4qdHIvKyDzOWMSubNPPM5W+E13IBCUCD&#10;MWPGuI+c9erVywFdQAMQhtd02TYo6M+o/IC1/HjO9wLoRxHCxNo0+xs1szAE+S1rJ2y/1g75Zm2I&#10;tQWWhpctbQQhWvAipS3Bs58pnqOJQgWc7GagFvPTOGdgLeccn4fwNXjYAmtpf7mvaHtZB7AlDnm8&#10;h63VMdOgoKCgoKBjpQBrg4LyWXTggLVASOAlIQ0AmoBZAC5hEPAuBdYCY0kDrgIogatAzRtuuMEt&#10;87EvYCqetoBNPGQBrqxne0IWXH311W5gQVkMTvBgxXuWKeEJOAa2Aa4yiAHQkg7oJQ04C+zFIxYv&#10;WIzjBexQLuvxMiEsAvkM4pLPIC3lsT8DsgZjX3vtNReT9+WXX9ZLL73kzp3QC6Sxjjzk5dzYlnqx&#10;wZI/2GL/lP/1118rIzq2GdGAI2ffPnrMCUHsb7FE0Dbe4gEuZhDXPHJ/D4gb29d2ZUbnsXz1BvXp&#10;3FpL12/TG+9VVaOPn9CMScP06MeN9O07z2jnxuWqVrOhvqnW0AHTltXe04o1mzVu5o96/LW6Pys7&#10;P82HuDbPoCm8fvjrBJy1WHsMJpnnNfzu3bu7H10AtolAbF7GNvGQlnSmtBH8mMOr/Vy/3yKONdHg&#10;Nz49r3zI1tn6+Lz+et8MdiRaTrTOnyaSbePnse2PRIAZi4vL3wLQBU85C6sAYABAAMkBuZ06dXJQ&#10;F2DFOv6mg4L+yMovWGuhqxYvXvyztxQMmJrlt/x9xZvfrliaL9J5htIu248/FscWUPlHgLUGnc18&#10;EGtplo8p6X44BAwgC8wGatPW0nYCby2GLfl5OwVwH1/nthwUFBQUFHQsFGBtUFA+iw4csBZvViAm&#10;HwBjAIHnK9ASL1LmWU+YAsIIAFzxlL3iiiuchylwFqjKB8EYdOBZC+wkH+Dk2muvdeAT79trrrnG&#10;ec3efPPNbpABmLXQBoBeICvrgbOkAT0xIAv5+CAZnnFAWI6B42HQAhhlXwZmGbwAZskL2AXc4GUL&#10;YCVEA8AVEItxbIR0IOQD4Rcw5kn3gS1mHrbAWvOwBdZyLpw7Ay+OCajN/pji4cs5AZvxUmaaFtX1&#10;6JEjtXndOtfZzooMsJoIyP5Wi4e3iSwR0CW8ArFxCangoKQPK3Pn89O4N7du26bBfbtr+4Zlqlyn&#10;tap8/JbatO+qppXfU6c6X2rYwq3RPfum9iTY/vc2A7oALBsomQUdKmKmWr0wBfbhKYY3PH87BmEN&#10;ujJvy/xtG5i1dObNyGP5aFOAtZTN9TnRlOj+sLRE60zx62ze0n1LpKPJ82uF5xwAAYiL9xfAAQNK&#10;EEKBcAp9+/Z1kB4DqBNSge3iwU5Q0MkmgJoJiEo4Edokftyl/4ABbOlDMLX+BP0b1jGlf0Sa5cfY&#10;nr8bg3O+HW9AZ/v1ZWm/dBy2nroBQvIjHu0EcNKHtgYxDWSaB6qZDzjJezIa58zUzpN5zs1PA2YD&#10;tbnuhEVgnvV4I1tIBJ5x9iMy9cv9YG2pvxx/nzBvFhQUFBQUlJcCrA0KymfRSQPW8uEuYCowEggJ&#10;kMTjlYHB3Xff7WAtEBbYiGct0OPWW291AJN0Bhe33HKL8/QA3jKoANbiccsUz1TKuvzyy53HK/Ft&#10;gTBAUfYLjGWZdcBNQhv4YQsIVwDABQpTNoDUQhuY16wBWmAMZXIsgFnOh6l5xgKSDc5y3sBozJ8H&#10;2BICwmAtZt61Bms5BhtMYcwDjYHLePhiFkfXgC31BkDCExjgbAa0xoDNgwcN0tJFixzA2klnm/iP&#10;Hnw9lpYI3PqWF8S1kAp84GxHLpQE4BqgzE9j8MF+dm5frxff/FQfflpVuxPkO2YW7WvXrpjn8bEw&#10;qyMGWJyLeT/9mQdGNuA0AbgZdPJDiw9rDcAyT3tAOn9T8bDWAK1vBnVpU05UWPtnFn8DeAZyXSwW&#10;48SJE92HzQipgEcuAJcPEeGxy6u+QB3uG/PMDgo6URXvWQuspc0CttoPvj6stWV/3tZhbMOUMgCZ&#10;9gyhbMzXifps8Y+Led/4kYa2AOgIqDSvUR/C+jDTTzvZYW1eZudmgBpgi4ctbSBtoYVEsPUWfob7&#10;werV7hOmvpFmsrx+WlBQUFBQULwCrA3Kd+VEHcL9ke3dFA38+JjR8pXavnhZNF2lfdu2az+d3j9w&#10;x4VOGrAWcGlep0BLQCcwFuBIaARg7R133OHAJ+EPGCQQ3gCgaZAWqMt68gE1H3/8cQclgaOATkAp&#10;nrWAy0svvdSVwTr2h5csQBbwCrAE0jAIAXYaAAXOAnPxALaPguFpC5wlLx6thDUwqMrUwhoAXV94&#10;4YVDAC1exBjHyZRYvIRrMHBLXrZhe8qibOrIvGk5Z86BwRaDKAO39hEzwDKgCUAEWKIuCAVhgJbz&#10;MDNY66dZOnVB3fTo3t2FVFgeDV7wOsGbVHhNYLnw9VhZInAbb4lALmDZPnAGyHUw1wOUJ5vNG99P&#10;zz3zrF55r5K2bo99gCxRvmNh1BFGLDqgFYNVG2T9GcQ9baJdWrRokdq3b+/+tg3GmgFfDdb661gO&#10;sPbkF9efvwEgPrAB48M5QFq8bQmTAbwglAIeub1793YgF6ADvOBvKICGoBNJeD6aaNcJg0BbRZ/B&#10;h7UsM8Wz1g+PwDz5mPLGDvP0Nfr37++81RH3PD8AYnb/M42HcSeCOB7/mBIt8yMMP1rTR8UL34ez&#10;wEjf29Qg5h8B0tp5+cuWZudp6bSFQFr7MCptJHVFHn7wygvYmsXXO0qUFhQUFBQUFK8Aa4OOuQCw&#10;G2f8qPltu2jkW5+r34PPq03xq9W+3E1qdd5lzlpfdNXB+XZlblCf+57RmA+/0ey0Flo1bLS2LVyi&#10;7D1/jBh7dNboCAMz8TZlIIBXKd6rQEygI+EPHnroIQdlAa58OAyoC5wFijLF0xSgiUcsYASQAhgB&#10;zFpIAD40BugFwFaoUMHti4+UAUSBmuY5S372T1gE0sy7lg+gAXMBnuRjAAM85ZiAsni/GpgFImMA&#10;V87H95rFgLKcH7F5gdGcH1OOkXS2ozyDvuahy/7Mo4XBlRmgloETx8yx4VGMx595AGK+Ny0gNh7Y&#10;Hs4M5hq8NYALqCb+4+hRozT3xx9jHfNo4MYPECcaxCWkwp5du7TbPHJzAWU8tDxRbGd0rE2rfaVF&#10;m6Lj3blbvVunqmWLZpo8f51GDhmqH2f/qC2bNziItOP/z959wO9Rlvn+P/v/n372/HfPOe6urgUP&#10;CEgRkBaKCIIFRBBFFNvade1ldV3LFte2u3bXjkrvCb2GBBJ67yU9IQnpvVH1/j/vSb7xzuT5hZAC&#10;CZnr9bpeM3P3ued+nrnuz1xzT++c+pextLddv3MMxAWuLJkBYpmM++0+m0Q/1mIC6vVev/c89Kih&#10;bDTHHazdfCVwYG0hgbHvd+D3AeYYK+A+SJG1cYcNG9aALB65PnTG4wzUikd7J508neIhQgQ482CB&#10;XcAOyoPftopj53ggbD/H7A1h7v8eXtTQTdk5Tl2b4v2i/VtvHxNtByD9zkFI6/ICkDWwdByIWX+Y&#10;qw08N3dtw9oaXPvfs8yGvgqwzfIR8mVJBP1J0tft/o6sKa6TTjrppJNOIh2s7WSDyLJZc8r4IReX&#10;qz70N+XsvV+3EsSul269dznvVW8u13/hn8vUEdeVJx59bEVtm5cw4MFaABI0BVvBV5MBa9KaGIC1&#10;wGWg7FFHHdWk5YkKwuajPYAI71fQkkcucAlaKhvkVKZ98HO33XZrJiMAsOUWpAdo5QUxa0DL09ak&#10;RpxytCVryNrnnas9gbO8gOMha5+CtaAtr1gwWN0AbDx7nYu8FLTOMgjqsOyBNgO38a7NhElZOVdL&#10;L+g/YEmfgEeBtZZrqD1rbUHYwNta23A2wDZxQG0NbkHbWl2LX/f6D9i++KKLyk033FDu7hn303vX&#10;uVlSgcHeB8Suj/aDtm3tB3F94OyxpUsbb1zLKvDIXQkoV8DKZ1JvuvSUctwZl5SZs+eWv/3sZ8rS&#10;R39X3vLXXyvHHnxMue26c8vffPuX5V++/q1y+4jzy32TZ5fLLx9eHhz/QHlw3Kgyf8HCctMFvykz&#10;Fy+HShtaa4gLQAXkZkK2uYl215NJr7mDbsY0j3qgNeC1H7SNdrB205c2DMix+1ENngbSiP3kqfPa&#10;ghY8ymbOnNkALZ6MI0aMKEOHDm1Arv1bb721gRlgh4/yzJ49u/kNddLJhhSwtO1Za5kX/1UALLuI&#10;TdEGtRSUZRuJp8LYIP7TlMGj0nhXpm0tfgv5X23HbYrS/n0T7dZ/7nEezFjHFqT0ewZn/X6BSWHP&#10;Flhbg9hozidx0YDbAFt2gDeAPByQXp9kuQThucfWoo/79X37uJNOOumkk05q6WBtJ+sl8x4YW677&#10;m38qZ+352v7AdQPqWbu/ulzz2b8vcx8Ys6L2zUMYaWAt71AfAgNbLVEAau67774N0ARUAUyep4Gu&#10;wCFYaLIBVIKWvHBrYAmmgIkmGpmQgL0mIkAobxJA1QREHh63vFHBlHjTKVce7QBN+3nRArXap0yQ&#10;tVZhNEsXAKuAjbbZgqq8f9UNBmeSZCuP+lKvdmizeO2yPIN8+kwZgJLlHKjzMJkKrI1nbWBt1HE0&#10;x7YBtDWoreMCamsFtepjadVJweLUA+YOPvvsZm1crxGPGzOmLAOuTOZ4nPWBseuq/aBtW/tBXPr4&#10;irVxgdx44z7dEHfx4kXl2quGlrPOubyMuWV4+dxnPlWOu+j28tbXvLvMePCWcsZV95aff/Mfy5Xn&#10;/6bcNG5m+ejH/64M+cmXyqXX3d4bf58qw37192XiuAfKv//0V+XOByaUMffeWabNmNWUvcS5Pbq4&#10;/PT0Yc25xYMoawCvqwbi2s+aniZwJryb8uRL27Q5k0ZtHj16dPPAJp7qbfCaByIJz2+uPo4mTwdr&#10;n3lx3+kHj1x34QFMxiy1n3FR60DlkJRjG9jjwYbfhC1PbgAN/DHOgC/jYvjw4c06uUAujzQwrJNO&#10;1kdARt6OEeMyHxhjT+TtHLYQOMv+YGsIzzJL9tlf7BK2Fo9x/5F+B8a3+4dyI+3fCt3UZU3tdWxp&#10;IH3Jwxag5DkKRtZQ89mgNYyN9ktH42mrL3gZe8vAfx31/wZki/cf59h/X9239o2baOJs/XfWaTvp&#10;pJNOOumklg7WdvLUpWdYzBs1rlzxro+XU16yT1+wurH1wsPeXsYNvrDxGtzUhTEG1powgLMmAXvt&#10;tVcDQ8FbEwSAM9APVAUpgU1padaSBT5BQTCQNyx4CJJIS9VhAgK8ZmkBnqpAaECq8k1O1GtSApDW&#10;sFa+eNWCtTxjbSloGw/bwFvesMCqepUNLGsz8KO9trUCxM5FWudF5QFlab2vnfpCGksf1MBWWfH8&#10;A4/iWUsDTfupeJA1mvD2foBtrTWopdLGq7euv90G5SWMN/O555xTLr300nL7bbeVebNnL/fEBURa&#10;IHZ9tR+4betAEPex3kTk0Z4+smRJWRJAuQJWbkwFbmwfnDi5zJ87o0x8aGYZfvFFZdKYW8r7P/TR&#10;8vq3frwM+elXy9RFy8oHjn17ufQHnyiXnHtGueOheWX+gvnlgtOPL//4xb8pt1x2Uvnuz35dbpo6&#10;rQy+/MYyd8ro8m8/Pr6Bw5Zf+MH3f1DmLdrw6+MG4gZaOR+ehJvChEwb/BcFKps48oocPHhwA2vj&#10;rR7wmt+YMR4gm99bfRztYO2mI+47/UCAY5r4AISkbWtdTr1fl7UmST5jzm+BJy6oBtJaCxIkufHG&#10;G5v1cK+99tpm3AC5PHN59ll6we+pk07WJCAZr+2IMX3TTTc1tgK7iAK1oGzgbB1e205sEN7h9Rrf&#10;ygMyjeX2b4ZknK/Nb+KZlLRPW+v2Rxy7X/nv5ikKTnrIUnvZ0nib9oObm4PWkLbWgdI6X+cfL1pj&#10;Qz/5T3NPjeex/jIWhec+m/7OuEmf22YcddJJJ5100kk/6WBtJ09JHlu8pIz46BfLqdv9Yc3ZNelJ&#10;L96znPCXuzb7x/3pduWsPV9XztztkDJk39eXi97wzjJ40GHlxBfu3kBf69ietNUe5YQX7Nbka5fV&#10;TwfvfVgZdeKZK1q3aQpDLLB27733braAZwAjuAGimkCAnICkyQKYCZQAfeAsMAsgAipAJjgrHU/b&#10;eNOCprbWfgVdLTkAugK1JieWVFAusAJ+xhMX0DVJCbAFYAFeW1C5H8AV7lxAX20Be2q4GngD+ATa&#10;ZvkCwLX2kpXXsXjHgUb6xQQqwFrbpZVOecpXj76sPWtrYJr9WgNRa9XPgaqBtTWwrfcDa6VVfw1s&#10;A21reKu8dpocJ41yfdDtzDPPLFcNH16mTppUfg+6MuwrALshtB+0bWs/iOvhyEqQ25uM8MYNoHw6&#10;QK4lHGbNml1mTX+oLFi0sAy77LIy4uR/K6PGjinv/eBflzNP/GX5+s9PL1/7wkfLaf/ypTJp/sLy&#10;2BPzyye+eUJ534e+Uu6+7opy1oh7y5Ily8rPfvLjBtbOfnB0mfLgciC0aFH/dXEXLlzUeNH0i1tb&#10;bfqoArmU15bJ2tMp1lyuX0PXHh+Pym/T787vKb/dDtZunhJIEDDQT/rFO65BTjSwYaA4WkudXhpS&#10;54kmnTEJhnnA4X7plWOgBHCznAJv3Msvv7zxdrzhhhsaKMJjlxdgJ51YYqMeC8aUccLOYaNQ9kq8&#10;awNu84YPO4O94b/OOsy8wo3PSD1mjdOA2zq8Pd43BUnbanGsndGIfeeQeL9FwBacBWx5lgZobu6w&#10;lmp/W4UHSNN2euct3EMkDzrzcNl/lnBQ29axcMA2Uvcvsc2Y6aSTTjrppJN+0sHaTtZapl1zYznt&#10;pfv3haa1gq8nbbV7OWuP15Y7v/+LMuPG28qjixaXxx9+pDwBBPUMk98/0TMSVxgtjoU/tmRpWTpz&#10;Vnlw6IhyzWf+vinr13+6XTnhL3dZrY62nr3PYU09vQJXtHbTEYYYww0MAeeAQUAS4DRZMEEAI0FX&#10;aYA7cBbw4D0rD5AJxEpv8qEM66WedNJJ5bTTTmsAqQkHuJqJCdjK8xVcdQzsBr7Yqi9gl8bD1j54&#10;C9pGs0SBcrTBFtjNerrabyIUj1pwMmAzcDNb0DNg1MQI+JGHOv+AXFBW+yzxACrHCxfMFheoCxK1&#10;YS2tQWjC6+NcC6otCbN1nHYG2ubYeeRYWnWn/rYqL2Vmvz6u07TzBojZJv2pp55a7rj11gacNmN9&#10;BXzdUNoP2ra1DXApiBt9vDd5efhphrjU5Hre/AWNd+39991fFsybXQ57zcHl5Bsnlo9/88TyiXe8&#10;s0y4bVj57pnXlGXLHi5f7k3W5y1aWiaNPKWcf8v08oX3v7XMnza+/PS4n5WLr7mn3DjyinLPvfeU&#10;E3/y47L40SXln757+vK6euc08ZZLyoOzV2/DumgNcbONV87GEB6NNawFjcEJ/wt+T2CrMVfDWse2&#10;GY8Zm23tYO2mKc19doVG7Ls30YTbgge11mmijuu4pE05JOF12NqKfMY/IGas0jws4dHmgQNYy8vN&#10;OLvwwgvLVVdd1QAlr2/L18mWJa69NbgjxhBvbTYJEMtmYaPEi9Yxu0KcLXvorLPOakCb/0Tjty0Z&#10;+zWsrce5bb98z5SkvbT9O6zjIvbr36x9fWGd1rFjxzZ9A1ZGAzc3R3Uu9fFAwLadxpYXrW2WRHC/&#10;1k/urdJY3kW843os6df2deh3bTrppJNOOukk0sHaTp5UwNSrP/mlvpA0yhP2xBe+vJyx2yFl8mVX&#10;rsi5XGKgLIe0T5RHFy4qv/NK5Kw5ZenM2c1+A27bRktvnyfvpEuHl/MOPrr89s93Kie+aPc1et1e&#10;eNg7yqNLlm5Sxg9jDKzldQpuxmsWcAQ2AMAsadB8uKqnYB0oC1TKA0wCIF6h531pjUmgFjjkZQvW&#10;BpjGEzZesiYimZiAsPlAmLKVCwICwWBv1LptmeAEzjqmoC0oDN6oVzm2QI/2OCdhwKpzlE4d4Ga9&#10;5msNPWvVHxSgzDlpg3bpC+XqG0C3hkn6TJ6oOgfal9a2n0pTQ9w1qbQgVQBWVDkBrqmrjk9c9vtp&#10;4gPB9K/r5dwBftcEWHdd9dOlF11UFsyZ00CO360ArwDshtY2vO2n/YDu7x5evj5ue13cen9j6pJl&#10;j5Y5c+f3JlZLyuIly8pne+OYZ+3ka88oPz/v9vKdT76r/Oyr7ym/HXxJ+cbPzyxf++LnyiO/+335&#10;yqe+UBY8Pq984JM/KBf++Cvlu70xN3vqxLJgwcKytPdfw/to9fp659T77wp8XV9t+qinJn7A1cr/&#10;1BX6VMQrmtZejIDcvBaN5cBW487vyn5+X7bZz7hsa/J3sHbTkCcbJwEFtL1fH9fhAVLt8FrruH66&#10;IcT/HM90yyqASQCuj5xZN5J3mw/n8cgFckE4Y1w478sN2Y5ONg0BD/0/RowPS2mwRdgz7AgPfylg&#10;a+veSdkR0vLOrR9kGcvGew1h63FMxTX33Cp+UxFtqX+TTybtc8p5u18A4fqHxzsgGWAbkLm5ag1l&#10;A2sDZROXc7UP0IrPWr76w7IuAbb+h4R7eJAlEdzDc9+OpK876aSTTjrpZE3SwdpO1iiPL11Wzj3g&#10;qL5glAKnJ/W2V3/6K+WxXtoI8Pr4kqVlzj33lTt/8Kty3quOLmfv9bpy3J9sW45/3i7Ncge/+T87&#10;NPsnb713+c1zdii/+uNtymk7vKJc+cHPlYnnX1aWzZhVnqigwiMLFpYHTjijnPPKo9YIbZUx4bxL&#10;G+/dTUEYu2BtPEaBO6AS0KCgHwgHuJlYgLnSALiBs9QxyAnaAb/AazxhgUyTkXjrgrU+LEaPPvro&#10;Zgu0An3HHntsk18dAIs2CZdXOM1rgtSxOPs8bAFT3q3qAQ15pICwzolnLPALFJsgSafsGmyCOSZH&#10;8eILAAokBWyVRaXRLyZU8QJ2HOCtHGWCm87nyTQgNPvtMG2wbcPaHNdhOSft14YALNuUV2viotLU&#10;+7UmXJ5AMn0Vz2N9CpC7Jq69/o5HdJa0ANQ/17vmJx5/fBnVm2SAFIsXLiyPL+v9TvtA2A2h/cBt&#10;WweCuFlSIR//erog7qSRJ5dL715QRt4xvky464ry9vd+tPzbb88r3/z7L5Uljz5Rvvrpvy3zHp1X&#10;PvjZn5aj3/Op8ujDi8tt5/+sDLv+nvLOz32nfOmznyhTHhxffvWLn5ZbHphY5syYWmbPmlWmjr2r&#10;DL1/Slkwf06ZOPHB9f6o2UAaIJyP32RiPtBEcM6cOQ3kioBdoJbfW2CrsZcxl/Fd/1YzNtua/B2s&#10;3TQk46A9Htph7eNahNVjqt9+0hl/NGHiQR+aPInrJ3WafvpkYzuiDeAIgOJVZQDF+rgAjHVxrRd+&#10;zjnnNMt/+AAk+GJJBeM1HpOdbD7ievH8rEGr/8NLLrlkpd1gy2ZhSzhmL7EfvK1iuYRAfJIxRjOm&#10;22Mv+8Iz5uv4TUHqNrW1lnac8wmsTVq/C/cKtixAmfVbAz03J+0HZZ8sPLDWcc5duDBjD7AFa/UR&#10;qC29NNa3zZII+jNi3HT/M5100kknnTyZdLC2kwHl4TnzyuB9Xt8XiJ4M0m61R7ni3Z8oS6bNbNI3&#10;Rl7PWJ523c1l+Hs/1UuzVzn+L3dt0vUtYw3KS1cd6r/xq98us++4pzzxyB8M8Tl331fOO+QtDejt&#10;l59e9eHPN7D5mRYGGWMNbA1wBTuATBAUdAPgQEpw1uSB56xlDkA+QNTkIh/6sm4sGAvG0cC5fMU4&#10;HiPSvvvd726ArjJ4uYJ973znO8tb3/rWlR6x4Kd4bQFegVDH8ZoFeVMur1bwNlAZoHE+2umYl68y&#10;wGflAbvKqYFPQC3YKq1zF0/Bz8Ba26RLH2iDfXU5H2UFILWBpzZlW2u/tLUmXT8424a20qXtzi8g&#10;qy4nGqCVNPX+QJo8yk+/UddR3+kLfaxfXP/2MhbgetYb5nFtTNg6VsaIYcOaicY0H8ToTTIa6Nqb&#10;pAW+bijtB23b2g/iWhv34SXLvyzPI7cNKDeEznjgxnLN6NXLe/iRh3vbheXBMfeUU4feWL7yjePL&#10;+T/8UvnFL39Ubjnv5+WK6+8pn/n2CeWi33y/DDn3lPKB97+/HPOZ75XPvf2IMnni+HLP3ZeX8+8e&#10;W376/X8rp551Tpm3YOPA2oE0fQRYmWjH+wuorWEtz2DAikd/YGvGXsY1FZ7fWj02a03+DtZuWhII&#10;E7FvLNRhbUke6QKrahGX8JTjuAY84mpY+2QiTbQWx8pqa9LV+WpNXNrgdwDiGf/GPa9yrzFbOgFc&#10;8dr8xRdf3HhZeoAB7HqVmVeh35I88qu7k01HAHkfF6uvuWsGyOcNFFvKNvKQ0/+VpTPkrb0ebdvj&#10;i9Rh/dLUYZuqpO1pc6RfeI7rc/Qb8jtgz4KQgZgUxIzWwHNT1Ha7nwzWZj/52mkogM2LNsu15D+F&#10;B248bP1/ZHzY1vA2/R2NtI876aSTTjrZsqSDtZ30FQD27L0P7QtBQdQzd391mXLFyBWpS3l43oJy&#10;/29OK6fvfODKD4ptMF0Bhs8edGi58we/LA/P+cNHJB68/KpyzgFHNh8l65d38H6Hl0WTpqxI/cwI&#10;o4xxCy4CbOAjUAvgASSWMwBngVrgUzz4BsR+8IMfbADb+9///mb9WWoZA8fgbcAtKAfOmZQAq1mu&#10;gIJ5gKwtr1dp3/jGN5ZDDz20CeOlCcICrYGt2iCt8nigOA6klQaM1FZb5wKeAjhgjrJMhKQFENUh&#10;XBvSB2CurbqBT+WDkfalPf7448vZZ5/dpBenPPCXKidLLACXgUs1RMq+Pg6EjdZpaTueyhdP3zVp&#10;PGupemuty1denS5b8XXagY6TVx/VsFs/6A/9wmvItXLN42GbNYeNkcBa44b6yF3Glf2Mo2/1rssF&#10;555b7rj99jJ2zJiyeP785dC1N1ELfN1Q2g/atnU1iNtTHzlrvHF7k58lvYlRQO6GhLgDKdCzaMnS&#10;Mn3sneXjX/1u+cYPfltG3zS0fPd73y/v/PR3y/e/8Fdl7LhR5b5bLyun33Bz+fZPB5fbrjq9XHLd&#10;A33Le7oVoDKhjNi/+eabm4dDGWPG3Jo047KtHazdfGRtAUBgQb/07fB+x+5/ARTrIym71lr6ha2t&#10;gCZ+17ziQD/LKlAfV/IwC5S55ZZbGpg7dOjQ5kNnPnwm3hivPTo7efrFGqIgegRUBMvYVu6JbCLK&#10;HnG/PLd3f7NcBqBbj5mMoX5jqR22NmmeDeK3m3Oy9cADdAS5eavXXqYBmwGhwlybGnpuKloD17XR&#10;wNo6j/36/PVHPGyNLWMw6cBt/xcenqZP2w+28rAr/5fi7NfXoJNOOumkky1LOljbyWry8Lz5DQDt&#10;Bz9B02Hv/VQDZ4n1Ziecf1k5e+/XNUsT9MuzIZXH7QnP37Xc8vXvlcWTpzZtsFTCvb88uZy24wF9&#10;8/C+nXrVdU3aZ0IYWmCtpQJqz1mgFuAA3ABNkwmwDFALSHvPe97TeMfyhrWl1psFbKWRFrANrAXo&#10;wLp4jwCmlHdrvGilO/zww8see+zRwGDembxbKVBjm9frAVVwNkse8MYEaXmVClceEAmcAj3yOh91&#10;KgNEBGYdB+gqM0stqC9LJcivfHkuuOCCcvrppzdAUnoTg3jUmgSoQ7nyg0P6Udnakv02gBUWyJT9&#10;Wut0WQ6hH7R1HBWv/sBUqvxoXX5AVp2una/erzXhKcN566v0j36JJ3Re9WxDW/A/HrauuzFEjbEo&#10;cAvkNkso9K4/TyTX46e98x589tllxFVXlbt8Ebp3DR7sTUSaJRV6k4s2hN0Q2g/c1toP4vrAGYjL&#10;G9eyCkt6ClBuDIg7d+rYcvz51/UmZsuPl3vdPVwWLZhXBg8eUsaNu7/cMHFq+cm//XP528//Tbnv&#10;wdmrlbEh9KkuFQFI1bAWpLKWJ7BhjA0Ea43hfvu1Znx2sLaTZ5sAsiCM1+Xdz8EbwBbA5YlrTVyv&#10;0wvLB4a8Dg3adLLxRP+CZLWXov85axb7TwqkZT+4Z/uYIm9qAoDVECzH7bAtRepzz34dRtizYLh7&#10;iI/9jRs3rhnrgCXbLGC2BpvCNkVg+1Q151Mf85ylzh2Y9nDHg57cay3BIk7/iGPLshX0YSAstR9Q&#10;S9PX0X7XopNOOumkk2e/dLC2k1XEh76Gvv0jfaEnUHvrN3+4ImUpi6dOK5cd/f7l69b2tF+ejaXa&#10;Ym3auj0LJ0wuF7/xPcuXUGjn2WbvMua0c1akfHqFoWVyB4bEcxasNIHguRrPRwANiH3HO95Rjjnm&#10;mEYtV0Df9ra3lbe//e0NtLX+bLwh5QHgADnlgXQ8SQA7ABjAM0kBVSmwF1h74IEHNpBXewJpgLl4&#10;wwKo4J99cBSYtDwBIKv9YCkwo0z1KEcaHrngobakDNu8wh+4CPYGTKpbOmUqn/Frnd7EeTVVeh+L&#10;MdHSnsDlgExpQSQeDI4DSWsIK0008e008toPrB1IA2u1IZAq7ajrp8KSJvG0zldr2lgf29Z1gbUU&#10;KNe/+tS1dg1dM97Z9QfhXGvbLIXgYUAeAGR94zwUCLS1vIYyAm1BeuMYjNMG40z4SSeeWK4dObLx&#10;xp08cWJ5uDdRaSDuM+CNOxDEtaTCIxXIXfmhs40Actv6cK/ufuEbQh9fMr383T/8W/nhz0/oTQL7&#10;p6m1g7WddPLUxD0cXIknnC14G+XVyWMOOORZB9AAN8AtkOt1e0sqgDvWxgVspK29QTtZN/H6uf4M&#10;0CKOzzzzzMam8FDYf9KQIUMawJZX0ev0kcCwOryd5tks9blnvw4j9vN7MPbdT3zYD5Bkt+ljr/2D&#10;s8KosGcDsA2ArqGt/ZwndY4eHhiD7rMe7vDilla/ALb1kgi11v1MEh5pX4tOOumkk06e/dLB2k5W&#10;CiPgtm//aHXQ2VMw1jIHkWnX3NgseXDSVk8vpG1rszzCPq8vU4Zf07Trd489Xu747s967V19ndxT&#10;XjKo3P2T3zbpnk5hbIG14CVgFmgWD0dgLOvI+hjYm9/85vKmN71ppQrzUTCwFsgF2eQH0gLTlA3O&#10;gWcBrKApeAfkAanAnklLYO1rXvOaJn+8YimgC4Sa4MgfAGv9WBBHeVR4AA3AGmgIxAbgyZ80wKa6&#10;wVrQFWjlpSotQA3+SC+NcJNdYFublKtNyrZ+4BVXXNFAQ3kYxuAsrwWAVV3i5BPfhko5Fq9NdZrA&#10;Whp469yz3z4OsK0BalT5db2O2/Ht47YmX1S61GUb+K3/9REPZX3k+rj+4K3r6RhcN0aMm3jXGnfx&#10;sDX+osZY9sWBux4GGGfUdXLevMR5h7v2xos6tdO6zML1I2/yM08/vZxxxhnlzt5EbhEvM5MPILcP&#10;iF0f7Qdua+0HcaklFRqQ25s8LXuaIe6G0MeXTitHf+ifyrc//bby0MxJ5awzzyzjp84sc2fNbCaE&#10;s6dN7E2oq3NZ3MHaTjp5KhJAtbagRFq/K78/y44ANwCN16JBXF+K5/nJGxfMvfLKK5v7mCUY/GZq&#10;QEMcT39oSnlk2dIVIZ0QgBwIAw31Ubxr9bV7lAfX/ouAMl6grkmk3cckMKy+zmt7zZ8NUp979uuw&#10;SB1mWQRAErDVz4AlgBkw2w9wbq5ag1nHfst1OFjNFgVl2bB+937/PurJAzl9A9hmPOpHY7Eej+nf&#10;gbSTTjrppJMtRzpY28lKmX79LX0/2HXiC3cvo08dvCJVKQ+ccGYDPp9ub9qBVDtO7Ok1n/37xjOY&#10;gMmnbrff6ul75/d0A1tGGFgLetVLG4BiPGZpPGkDaI844ojyhje8odGjjjqqyZOlDnjhgme8HU1G&#10;4vkYUAuUAnUgLSgK6AEoYArIAtYddthhjXpFEGxLnK18PGUdB5gqFzAFUpUpjXqAQGWnrsBdddqX&#10;NxAHlFUXT0+AUTrlBSSDicowuWLMBoSKdz7WDDTJtV6gpSR80fu8885rPGZ89Vl5vG4Z0Oeff345&#10;7bTTmrXpeDWJC/DUHvuWWQAc08ZanXugbI7rsFqdq3bWIJXW9dkmzjZxCavDa5W33tZp1Kvf9Bl1&#10;fQB7Y8H1c02EuUYAq+sVT2vAXJ8CrMaAccVTO2PRgwMPCIxRCtpmeQTXTx7jznW0vjDVpoB6+66j&#10;8SONdgDG2vHrXvjPe9f9K71j53XKySeXyb2JniVVej+W1SDs+mo/cNvWfhCXN65lHgJyeeOCnZsa&#10;xAVrP/7di8q4iVPK9YN/WW6aNrd8s3ddf/udL5fjz7+y/PTLHysj7hhXbhl+bjn/osvKw8vmdrC2&#10;k07WUsCRwJSAkoTV4CSvMK8JpiRfXiMHuTyA5IkH9PDEBXFHjhzZAFz3LmvkHv/Ln5V//863yw++&#10;+vnys+//W5k5c/lr/Fu6uNfrQ1L3K3Do3m/dexAcUIzkOvUT12dN129LlDX1ScYzWA5KApTgZdZw&#10;fTYBW+ei/YG1Ob+cozDnTYXx+Pa7tiSChzaAbX7n4j24AWwzNtPP+jOafq/DO+mkk0462bKkg7Wd&#10;NPLY0mXl9JcdtDrc7Okt//y9FalKueenxzferP3SPdPKy3fIK44oS6bNaNr68Oy55YTn9//w2Jgz&#10;zmvSPB3CwAJreTIClhSsjRcjSAmgAW6AFigGlkkHoOUVdV6QoFo8cwFb0AygA8GAuCx1EAAK6AEw&#10;QAqwaAsY+7gYEKxuaYTXQJJ3Km9aqrzAwJQHBALF9nl0xrvWMS/LQDtgGXQFS8FB+XmBSissX2mW&#10;z7kpywTL2oCMWl6awrSPB402AKyALSDE4BXOg9NElwfnWWed1cAn6wcqA9gFetXhFVQGslckTYiF&#10;gVO1d3E0/SEPqJy+qVWYc1eGcwt4jQJX2p561qQBXdJmW2vCkr4Gta6/a6nPqTERBdrrsZE89uN5&#10;S10ffU3BXPlcH+POODVejVvjx4MH49CSGVQfWLbCtTF2jGPjQz2WztB/ytXPAf+un7Yq23hx/Y0F&#10;8P3c884rI0eMKA/2Jt1P9CaCvdnKahB2fbUftG3rQBC3Abk9BXJ544KmwORTXT92Q+iSRfPKz869&#10;vdmfNuHO8oXe//Vff+RT5bc//FqZNHNx+c0/fapMnruknP6DL5d3Hn1ouW788tczIx2s7aSTgSWQ&#10;pIZ8gSeBKaTeJzVgacdF6jRAI3CjHr9JyyS4VwFggCM45Dd1bu//0frhIK57nnvhGw59Xdlxu63L&#10;S1/w5+Xg/fcpN994w4oanr3iY03gl6Uk9CPVh/5zAHDAVh/qWyJe30pj28n6ST120/cBtjxLAzkD&#10;aaMJ39w0XrQ1rHUcWEvb5+h3axz6HbNpAVuOCNIog/2qz/RdxrCxmf8ax+nrhHXSSSeddLJlSQdr&#10;O2nkrh8d1xdqXvT6d6w0EHxI7MQX9FkPdlNS3r7bDCqz7rinafPjSx8up750/75pp113c5NmY4v+&#10;A2uz7EHWmgVlQausqQZogaPgJhAI/oGiQByQxbsWwK1fS8/r5/GWDKgFxQIRARggRZn2eUm+7nWv&#10;K0ceeWQD1NTTBpHaEmCrDdqnXPBNXMoE3uRVJkCXtssjXNmOtQNwdgwAKkt+4Tl/5+n8nIt2gYfO&#10;B+TjraBu56g88NUX7OVXJnBpgub1e21THkNYWl6fPvjiQzA8caXXN9YWtM8IN8FgPJv4BlYpRzuV&#10;5dj5tFW4dqlfvrQn+/LShNdxtdZxyTOQJp06XWdt1PeuBY0Hq3PUd/rROLPVt8Ct+KR3HIirXFvH&#10;+hrMFe968LTNg4M8SDCmAXnj05Ia8oO2J5xwQtM/WTpBO4wbEE+7tVnZYC1oD9aCwX4TPr4HsCsn&#10;H+Ozz1OaN7SPz93fmwg9umSJWUxfELs+2g/atnVNEDceuQ8/ExBXXQsXlGVLF/d+D1PKrHmLyujr&#10;zynv+PQ3yxuOeGc5+WvvLdeN62BtJ52srQAl7uHRiP0Aln5S5xsozZok+UAanot+p1lWwXIJXrF2&#10;z/OwEjByPxw69PJyzpAh5bjjflX+qfffajmAyLy5c8sD99zfePwtXvroitDNU8AvQFCf6KeALJq+&#10;Ar7T7+nHgNr0ba2drFna/UXT9/aJPvefz5uU/QVYemDOtgrA3Fw1UDZAtoaytUoXoAvWeqAA2PrN&#10;Gpd+v8LjYcsZwEMF4zZ9mvEZST/bdtJJJ510smVJB2s7KY8sWNgXZp689V7lscVLmjQLxk0qJ71o&#10;9/7pNkH97Z/vVGbcdPtyo7Jn5Jyxy6v6pls4cUpzfhtTGFhgLcAKbPFI5PGYdUXBK0AsAJMGBgJZ&#10;USAlgA5Ikx/kiherMFAugFM6YK+GKfKDbdartRYusBc4kzoBTsBFOcoD9myVL15+abQJoFOHeMdg&#10;LQCY9jhn7ZZPXfIBuermCcrDFzS27IPlH97ylrc0npo8h/PBtLQjXqC2wJ9Jp3XAgFbnwCOXscxr&#10;Vn2+xO18ff1ZGKNY/dIKdwzkMpiBTXkBq8BQyyy4brwhnAPjGoBynnV/gZv6WpnR1KGsHGffNnVk&#10;W+8HeNWaNElHtVl5xo3+0Vf6WH8JB9sD3WtPaX2g/crQbmNFHtfFeDQWa5Arja2+z/rKgbYeIHjw&#10;4AGC5TXibaudgC14rp3CjHnhQJ7lETJGA+e10fgRD9BGgVoaiJttFMS1HTJ4cLnpxhvLnBkzmonP&#10;4ysgag1iN5T2A7htbcPc6KPLlpUlixc3ADcQ9+kCur/rtX3BgvkdrO2kk7WUxoZoaTu8loTV0AVo&#10;acOWpKM5TvrkfSrid2xJAEsBgUMeQvpd+7CZdXF9nPOcc84pZ551Vjnz3IvK0KvvKIuWLl/rdXMR&#10;fQN0AdT5D2v3W8R+DWZt63hhtbZlTXHPVqnPuX3e7bho+jV9q8+NRUCdF6kH7QG2AwHOzUFrQBtw&#10;246L5lzzoTXqN+l+yBO8XhJBWnF+uwG2kfRr+jl93kknnXTSyZYjHazdwsWN//q/+8bqIPPFe5aH&#10;Rl7fpHn84Uc2K1Bb6+QrRjbnwAvvlD5r2J6y7b7N68wbUxhZoB/oCXqBrGAmUAWSgY/2gTSQIzAr&#10;r48HnoIotqBIAChQl/VsA9cCbcXJk7QBi15lB0kttSCPNImn6tMmZWgfqAa4AbPigUBbbQMItQms&#10;k1bbhDkf8C/QFuTjfQneArM+cGbrY2q2gK193pqgnuUdgG19ppwa1lJr0lruQNsZvPoLfNQWSyI4&#10;Z7BIu3kcib/uuusaoGsfmAJxrWtHlQP6ArEBobyYXAMGtzSWVXDsOuUaWENXnfoVMNQ3woXZrzXl&#10;2uY4mmPteDKt81Bl6m995Fppi3DXp4a1risYWoNbWo815+/aqsf40ffGlLKBXNfAdTGGsvYyr2rX&#10;17Wroa1rqB8ynpUnzPhXvuukXm2mrjUva220/IVrFFBbA9tsa2ib44TxwKXqNsZ/3ivzpuuvb75c&#10;7QNijy5d2hfCbgjtB27b2g/iWlKBN67XJXnIBrBuaIirDzpY20knaycBJG2N2K9BSgBLrf1gLanT&#10;t8usj+syElfHtyVlZh8E8r/Cg4+3LYjmbRMfOPOmgvVx/QdYWsD/g9+t+5//Cd6om4poN29i/dAW&#10;/VF7zvLypPb79VfC+sWRNcU9W6U+5/Z5DxRnP+Mt4faNHd7fee0ftAUma8i5uWgAbCBsAGwd308D&#10;qu1zLjB2/baMS8CWbZl49qffXpZESD/SSLvvO+mkk046efZLB2u3cHni0cdWA5j08mM+uCJFKRe+&#10;/h1902wOas3aSRcPa85j0YNTyynb7btamsvf9uGNagAxtgJrgUggLR6MIBVgBZLYBzwANCCLVyLo&#10;AVw5BrzEgWrSgSoAKTAGknkl3Zqf4BSgqTxQT9ngClgnPcDGs/btb3/7gLCWBvKBL8rRXmDQB6jE&#10;a4M6la8+MDavs3v1HdQDZekb3/jG8vrXv76BxPYBWt61Pmjl9XrAD+zjUet8lMVz0/qoyg4o1AYA&#10;GETkuWmSCbrqU+dBAzPr4+ybmFqr1lZ/6mPeucJcI+VID3gyrME/10cfWHoBtHXezllaXkwgpDCG&#10;PE9dRrdXAC27oBz1AIhph3ypp5/Wbe4Xnv2U4ZqoJ9ATuBUnHHx1DY0ZYfoReNV/2i2NtgOkNdw1&#10;zgKmlaff9b889i1lAdAG1FLXKsDWuMh1NBbSD1T9gL7fg7pdA+0McOZlC9oKBxCjAbbZrwFt+9g4&#10;BoaNIePEWrqOwXr7ztf+RRdeWK4cNqy5Zq7/st5E6vegK0BhuwG1H7Rtaz+I2yypsHRp84GzJYsW&#10;NbAZdDXpWxeQ28HaTjpZNwksqe0F9/cAQuEBLHXaOqwW+cCZQMZ2fETe1EHqsuvjNYl4+YEi3n1L&#10;e/8p/g+8lg0cuZe5FwJIHkJ6uMkj9+KLLy433nhj4wkI9vq/eLK6NrSAze6vQHP6qd1fObcA2mjO&#10;O/sR+/VxJOEDxW8Jsqbz7xdep4/q79rDFtQM7Azk3FxUm2tYK6wGtsJqTZj7Khibcvy2PBDx4ETf&#10;WBohvzee8GyQwNy6LyPt40466aSTTp790sHaLVzu/vGvV4OXJ714zzJ/1LgmfspV1zbH7TSbkx7/&#10;l7uWGTfc1pzP9BtuKSdvvfdqacafc0kTvzGE0coIizctz8IsKQBqgBxeXwe3pAHcADNACcQKQAPP&#10;KHAbr0R5QVFwjEcjWAaQAWHKAV4AGOnUB7iBtK9+9aubdUfVJ03gqzT2a2gH8oG86gFilAGqffrT&#10;n27AGnjnI1FZBxeIBWZtjzrqqGZpA/HALJDLIzMfqVKm81aWdoN+zkU66Q877LAG7KlPPc4LcAQN&#10;40EKWGZbaw0322F1euetry2VAF6Ks2VUm6ha59ar9vox6+CmT11X4JOnLwAMHPNWEubVNv1pEgzW&#10;mmgChdqtfHHKdi2FUeMjbVCP/tfnvgqe9kbrtlJ9EljrOMtjKFdZzlG4MaU/5aXOQ3nyKUPblSOt&#10;cOltjdkAW2PYg4eswUxdU2vO0njYur48ssFdSyG4hhnDaaNrqnznqo2uEVCrrwJnB9I2wLUFZz3g&#10;UIb6HLt+xo1rzOPWeOaZbd9vT5uckw/UacePe31y8UUXlVG9iVR59NG+8HVDaT9o29Z+ENfauJZU&#10;WLZkyUqQC748GcTtYG0nnaybBPjVwERYQGri2iouSuoweWut4+y30ye83o8mbbZJk+PErUmkB3P9&#10;T4BJ7oMgLtjkLZURI0Y0Hzdzr/OQMyAXlAN+QeANJfrDsgfqsMZ82i8c4M752wZ60/rc6zT1+duv&#10;jyMJHyh+S5GBzr8O77evn+txHChpDAGYgGfg5eaiNYgdSOv0IK6wLHMAxArjaWufLegerG/Yh+Kk&#10;BW7ZlO7T+i79Gkkfd9JJJ510suVIB2u3cGlDSzr8/Z9ZEVvKWbu/um+azU1P3XbfsnDi5Oac7vnZ&#10;CX0B9CMLFzXxG1oYXQwwoAuYAsXiZRg4JgxA41HIkxQsraGp+IBU8AxcApWAFcAL7ATMAFiQDHiq&#10;Ya28VP2WPzj44IMbMApm1XAmEAY0o+rXRgBV2wA7EPWVr3xlA2N56L72ta9t9qmlDHje8prNmqbq&#10;Ae8CZUE7QE85vG4POuig8opXvKLst99+jdcveCYdL1ttBRyBNlvnZT/AE+TTftDRfq11WMBkHd9W&#10;8SmTKjfrrgKxDGressIBKf3EI9PWxFY/S+P6UIb5FVdc0Xhwun4+uqHcgFnr7omztq5jExoeFvlw&#10;mrJ88Ey7lGdrkpzzsI3K7zpRdTkP4caS66bvtNlYyzVOv9nmfHPdMy6NF97X8mgDyGkcG1vGjjhA&#10;1vUNoI0Kt3UdLX8RYEtdw3iLa2vW29UekHYgBRTrbR0edc3AQtctYB2sdT7CAFt1AbODBw9u6tYW&#10;7bOmo77wm3O+F/aue2/23xeyPh3aD9zWOhDEtaTCI0uXlmUgbk9N/gBc2sHaTjpZN2kDPxIotaZw&#10;WwDLth2XY/E15GrHt8Pr/WgtdZp+UueLRuzXZaccIJSXq/8MYJZdA9TGExe8dc8DdOMt6D5nfXiw&#10;FQR+MrH8gnJBL0sPeUDaz9MwbXKcvnNM6janT+u8pH0c6Zf26ZKB6nacpSziBa2PvP1D7QOAwtkZ&#10;lh+Qzv+vaxWwvTaSuut2ZL/WOryW9Hnqs3Xd2TfxsKUDedn2C4sGjLbTrE2egcJrbacZSKXt52lr&#10;vAfMJq39KCDLLvSbcY2aJY969+SMd/HSeUDiHt3u20466aSTTrY86WDtFizLZs1eDVietNUeZeYt&#10;dzbxo08Z3Kxd206zueqQ/Y8oTzyy/CvIlj5ox5//mrc2cRtaGKuMMVAKZKX2KTAGDgEcQCiwBoYF&#10;uIFaAEo8cYXLA3IF4gJPgBMgBo557Vx6+ZUrX+CK8nm6HnLIIQ3clQ6cSZqkC9gDR5UHmgK0++yz&#10;TwNVAVZetD4KBtCK5z0LzlKvx4N0oCvPSnWpV75999237LXXXmXvvfcub3jDGxqIq0ywF1wD7IDr&#10;Sy65pFlWAGDTD/oFdAQK9Vn6UPps16R1+oE0aZQfgBmYWR/rH1uesQAqzx+AE7y1BQG1H9x1rfQp&#10;jyOwUzzQblJlGQfGOTBoMqMOEwDlK0v5FCxmyAO74KR4eQJ+eZXqp3jWChNPtVP/qRdgdV2NIW2h&#10;ztdWHn2gbP0vT/b1vXTarXzlCFeW8QfAut4BtfZplkJow1pLEhhX2psHDwBfG8K2FYil/eKS15jh&#10;WUuVa2kQns1+R84HpDWulQOWa4d+4inM09YYU4a2Xdu7fs8krB1I+4HbWvtBXGpJBQC3g7WddPLU&#10;5anCkzbUqvO3y6rj22kja5OmlrVJsz4CygGp/kPc3ygABeSCUeweYAqIAnPdK70l4r/B8fXXX98A&#10;WVvH7pe2PAzdD5UFNEba55LjnGcd3y/smZR+banDbNmKNGH6Nx+k4plqKSYPcNkX7vn+Z3PfdO/y&#10;tsiQIUPKRRdd1EBzfQsesiWAXB+x8t8P/Ebjjaxe9QVu15J2tsP7Sb+09p0H72vg3vWt13MNzDRO&#10;aghag9A6jtbhdbpaE/dkZfUrs63tcus8/dJE1Stdux1+Fx5g+M14gMq2E+4hh/5hH7o+GQ91f9aS&#10;uIHiO+mkk0462bylg7VbsFzz2b9fDVied8jR5fc944AM2e8Nq8Vvzsqb9soPfa45t2Wz55bTdnrl&#10;ammyvu2GlMBa8AgIAcbAMmAMIANIeCiCRYFqgBEYC4jxbgx8FcfbVT7lCOdZm49yAWLglHzKVzYN&#10;XAHKQFOetTwhA2vFBdZSZSsLbOMh6RV3683ygD3wwAMbj1pLHFhvNt680vKYBW4tgyCNtIMGDVoJ&#10;Z22jwK926Jd46mq38zQpMRnRFh4j+sVkRb9YmgAABTZNVGwDW6n8+seWJqydpo4fKEzftDVAKgpY&#10;ui4gpjz2tc811q/ab9LkAxP6Vbxra6KiLsfOyWQLIOQp45x4VyjTBFZfmNCCjoC2SY/JGKPeBM1k&#10;zuui6pdHmerWBiDSmNGXwLk+s2yDa59xp7+cm35Wvi1VlryBvNqv7erhtUuFKwO0BWZrVR+NR3VA&#10;bWAttZSG9rr2yq5hbHs/Wh8nPmHGk3MEXHnMGpsms66J3xIvW/AZJAZunYPzcr7OVTuU5XxuuO66&#10;TRLWDqT9wG2tgO1jPG47WNtJJ508DQIEAlIALjgFHAJ2lNes+7qtY3aSdXEB4M1dwLPA11prqFaD&#10;tmjE/zKAd9NNNzUPfj1YZAfk4a97s/uW+y87wv+2/29xeaDvPsZmkNc9XzkeELMp2CRsEDaE/k/f&#10;A4R1O9Yk7bavKZ84ZRsHzgvIVD9oG4Bp6xjctE1cDTmzX8PQOs62n7bjAluTv611WjpQGm3ol0Y4&#10;UC489SRtzpunMVsuwNZvIOdUw9z0X7/+TXi/uE466aSTTjZ/6WDtFiynv+yg1WDl3f/+6yZu+g23&#10;Pqu8aqM8h8cPuag5x7Fnnr/acghn7nZIE7chhYHOEGZUM7AZ0gxrgAx8BMdAJCCL0Q2iCQs4lC8Q&#10;JFBLOYAZaAK4AbSBYCATIx7wk4fxHmgLoIGpr3rVqxqIBVC14YwytQFgA2zBYGBXPsDW0gVgrGUO&#10;eNPyrgVlAdjddtut0V133bXssssu5eUvf3nZfffdy5577ln22GOPBtjaD6y1D+zIbx3deBWbPIB4&#10;zsNkRX/wLnWujF39wJi98MILm7TpKwrWgXD6J2E1vM1+ACWopLw6XF4aECyd/WgdD7BSZdRah9lX&#10;hmvp2DmqF2Q1gWKgK0v9IC3AymCXFuQVZ4KjDK+aArTaaVy5ria8rl3KBx150egbnkrGHNUOnjnG&#10;m3EUKKv8jC9plG1saqd9abRJ+wI11Qt0uibyuV6uHzhrnPGmzTZjqfaqpcaqMtSlPY6Vb6IJttYw&#10;Nsdr0oBaXsa2gbXyOrZvwuvaqQ+4dU5+P8LUrR9AY3109YgRmxWsHUhrYNt413awtpNOOnkapPbW&#10;pAGWbe0HMzdncS45d5rzq8+z1ghQzasYzGPfuBfGNqj/m/3POqb2Ex5bL/GxU5LWfzdbwFsn7qts&#10;CSCXXXDttdc2INGD3wBcHp6AIphoiQr3i3jlrovoC2V5iK0OwNJSGeoM3GT71MCWtykVF/hZp7Mf&#10;EJpt9qMJi8pL63hlBaw6TnjS0nZ8lj2giW+3qU5rXx87H+mcPzswDzQCsp0324+HegB6e6x00kkn&#10;nXTy7JcO1m7BcspLBq0CKuniKdOauCs/8NnV4p4tesr2+5fHly3/ovGFh759tfg7vvPTpg82lDDM&#10;Gb2MZFArQC3LIQCjQJgtSGQfZALEvErOqJaH1yp4KZwBLw2I6ZVuno3gl+UQHINsDHNGu3pjwINV&#10;oCuPVvuAVdLF0LcF3sT70BdQqx2WMgBnQVrr0L7sZS8rO+ywQ3nBC15QXvjCF5btttuu7L///qvA&#10;2uyDttTxzjvvvDJsm222ac7DsgyAbcAfIxXo43EKvPpol/MA0MBMfcIjhNcI4xZQpPrUJEAfMoBt&#10;vTLIYwTkBC55lkirnksvvbSBfI5dC5r9ANlMdmj7mIKbro8tVS617zrYz7adJqrfpVEej1l1WMvM&#10;K40mMcp33tqmb7RPfwgz8TJJUK50xogJFsjuWuofEJPR71y9DmmcmSCZLKnT8hj6Vr+qwz6IyqOW&#10;d4fxoE4TQG0FZfWtNkgnv3y2gCdAC8wG1tbA1hjVNh7bwK02a6f8rr8x6bdga6xrc2AtdS40x+Lr&#10;uMBa6ncCxAYg+iCac3eexrTxo/+MdecDNIt3TZzj5Zdd9qyAtbVa07aDtZ100kknG0fYlv3ArP16&#10;2YEavDkGQz14ZQP4D/Wf6v+4tjv8vwrPf7D/7Gj+h+3HPrGftLl/2yo3ZbEj3WttpXV/dF9le9Ug&#10;N6/oe1DOQ5pdZXkDCigCzTWcznlHI+KkdR9i57DV2CXeKuJd6uOs+oGtw/4JCAU7aYCpLfBpPzDU&#10;NulpYOlA6nyovCkz+ZRj2z5ua+rMcV1OtE4XWEvFscP0pXuxvtCeW2+9tYnTF+B9gG09bvr1bfu4&#10;k0466aSTzVs6WLuFyoxb7lwNUp574FFNnBv9GbsdvFr8s0lv+Mq3eydayiPzF64WZ3mELAWxIYRx&#10;BdYyihncvAcZyYxioBJQApbEgViAIxgK3lFGdAASmGSbdT4Z3vKAafFYBM+U1Tbe1QlWWb6AF6tl&#10;C4C9wNpapbW8Aa9ZIBVsA7cAYx8bA96y9iyPWdAWeN1vv/0aGBsFdOt9ALfe8tAFy7THh8pAQtDR&#10;R6BARga08wR+tMsHoBivwJwPcUlnQgIk6hfGrb7Rb/pcv/FcEAcievXPcgMmJWClusBb10IZ+iqw&#10;ttZMlnKciZAwZehHCjxG+0FZYbW243PNqXhtUYctLxvnbhLH0wWQZdCbVPmgi/TqBTlNfJwveGmi&#10;5RyVA0DqF2DSsgr63hh0bLIgn32vSQLZyjCmbIFh18B561cgVzuVIT4ffzO+1WM8BtAat7ZUmvQR&#10;OAuUqkP7lKV84elP++r1G3GubTib/RxL55yMG6otHmYIB49dP/GW9tCXfn9+b8aE9ZaVod1+A6ee&#10;ckoHa1doJvzt/Vr1Ge1gbSedbJnCfmTzRBPWhni29XHSJTxhm5tod60Jc1611nHAJVDpPu7ND/dg&#10;/6MBqv5vaWwz24DV/GfXaeu4WmtbL3lobBl2RuwfYcrzvx47wT3C2yjsLh653naKfeFBuPsI0Ai4&#10;ejgMxDq39EVbI6434Mu7NB/d4mUKXAKVbB32hwfx7EKwGMgFQLOkQA1AE0ZrUGofRKXt+Gj7OCp/&#10;YLBj6fppym/DWppy+qUDv3kc6wN2WNKlP9tLVNi2xxJp920nnXTSSSebt3SwdguV277149Ug5VUf&#10;/nwTN/uue1dbHuBZp73zmz9mQnO+F73hXaud750/+GUTtyGEMQWQAUfAEPjKkAaOwC7HwBaj2b50&#10;wB3jmXci+Ag2OQbEGNPSMMiBr8BaaW15JTK2Y9QztmOgv/vd727WhrWeLAAbWCttnZ6CvrxqwV31&#10;Sg/wgrbqtM5sgK2lDgBZsHbrrbduvGxf8pKXlJe+9KVN+I477tgoQLvTTjs1nrVUmPPwoTEfH1Nu&#10;DTJ5V+gbHptp57nnntv0AXDJ2wMYciy9CY+tMhm/JhSWGRCmTGH65pRTTmnKEQbaJi+Yy5MDGM3E&#10;hboG+kbeWl0TeQMfqTL1a30e2QZA5riOa+/X4LbWul2uky0gDUIrG6w1yVGGrUmXfnLtwVKTHHFg&#10;7WWXXdaUaTLkXMBK5TjW16AsIKwPef0A5PoBGDWhVI5zMplTjjFjrAgzZoFSnrS2xqb6bXm7OlfX&#10;VL0gvd+DPMKMb1ug1jkZ58aA8wVTqeue/VoDarXdVn7jGKwFhQNuwVrjxG/SB/HUYWz7bdqKO653&#10;3TtYu1z1S7/9WvM/0sHaTjp5dkugUBsMOQ5Eov3Cki/7kYQ9G2Bt+1yjtTgGJtkgoCc7wz0193b3&#10;1UDX/Mfap8ITl/9dKk3ikl64/3VqP2XQdvrst/OxI6Lu2bFBHEuv7d6AsT6uD5wBuOwpQJTNwZYD&#10;HcFW9gXbxLm7/6zpegvniSyd+5Z7iiWewGDwlk0XT1z9GG/c2ss2gBUYBXJrmBsVFzDbhrF1OK3L&#10;TdlU2gDYpKvj2uUlXph9fZPlJrzR5FyU5XzMIYSnn2xrjbSPO+mkk0462bylg7VbqFx8xLtXgZP0&#10;gRPOaOLu/vffrBb3bNSh7/54Y9Q81jOATv6/q8Las/Z8bfkdSLMBhMHO0AKbYijbZ5SDSQxdXoqg&#10;FtgFMgGUwnkpglq8DwEwsMkyBCAW6ESlEc4bEASrYS3jOwY7g9syBsAoWMvbUdmM7dqQTxuVoV55&#10;wDbpqXoAOcsW+OAYz1qw1vZ1r3tdA2u33377lR61FLwFbsFZx6At5ZHrPAFk6+g6F9BP3+gLhqq+&#10;0U5xwFugpTCAzYQhYcAb6AowgkUAFG8V5yieYS+f+HhxMvJNMsBL5TPytSnl8jJlzAvXHpASvKSA&#10;XtK6PuoHRmvvUfWJcx1s6/Ba22Hq1g8050czSYomTcqgJlOgZUA/eJZX7njGGCMApcmOtCY7zst1&#10;1n6vPhqPJl7grdchedEom4eL5QP0pSUm1Ks8Dxqk0SbXzrlmnPOEAeKzBIKtsWpfmRl31q71UMD4&#10;duwaGYdgrnTaZ9/4dH4BtrY0XrXOW16/Jed39NFHN2HKBWldJ17mjuW3b5z5HTkXUFm9v+mlW1tY&#10;6+NdS3oTrcU9fWTp0vJ4b3IprF/aZ1I7WNtJJ52sr7Cd2rB1bSVAqa2khpybq2h7ziPnUp+PMP/B&#10;3pDJG0Jswfz/5j/Y/yyNjZZj6ep46lg4zf9wnSZ5kqZffnlSl/2krfMkTR5W26/rYhOxJdx/2QTu&#10;u+7JHvCyG9gMlrdil/mQLEgZT1z3C/2SpRXqJSOiAbvZFy+t+xiYqQwgGBDOsgr1kgrsOJp9NlEN&#10;WHNcQ93EU/EBrfJnCYU6r21ArG32+5WRfOpxrM3OQz+wtRKv/frIuW7Ov41OOumkk06emnSwdguV&#10;81519Cpwkqfp3PtHN3FXfeTzq8Y9S/XEF+1e5o8d35zzeQe/ZbX4iRcObeLWVxiVYC2jFjwC3Bi5&#10;1uxkAAsHohi/4BXPQ1AKEPUxLyDzjW98Y7NkgGUJeEiCucASwBRwCzABYCCZ8hncymdIU2HHHnts&#10;Uw6oCrqqV/0xuGOkZx9U0051KF8e9YJqYO0BBxzQeNMCtbaHHXZY2XbbbRtYC8QG0Nb7FLwVJq02&#10;vuUtb2k8a/Nqvb5InQF6trxG2wAzx7UCiNk3OWDsmjyAho4ZwOCUV/1BzPPOO28leAzADAz1Spo+&#10;NaGy7i2AaQJgcmJCAPwyogFaAJe3KtipbdpNtZtRb9sGttmn7bj6nKJpV1SYtCkrkPTNb35z4ymr&#10;D11DQBJ4F6atN954Y9PeI488spls8CaW1+QRbHNdhOt3AFef8FR2fvZNdkww1Q9w8u61TIX+oMaO&#10;8sT7SJw6jSltNl6Nb+NVW/OQQZ+a4KlbvcCssRjo6li/SmvfpBCgrWEtECu9603V6fejf/S/sWZS&#10;qQy/NXk8hOBNKyxtMhZPOuGEtYa1S3qTROOr+WBKb8vLxyQR1J7eG1PzehPIpYsWlUeXLm2AqY99&#10;9StnY2sHazvppJMNIYGQ0bUR6UA2WgM3+lTL2pSlPpf6nGz9L7q3sj/8V+a/038vW8z/cPs/1nGt&#10;CQ8ctXUsr7Jsky9p6/zJk/jUT9v5aepJevHR+lh+92o2nHu9bcCuOPnZDc7bQ3L3HQ+Q2V88cn2f&#10;wL2DHaKP3EPZYJZF4IlrKQDjpu5PxwmzNZakqwGuZQSyrAJIHq9c9+uAXDYaYAqoBtb2A7a1BqZG&#10;hbX3A2brfMKF2aZ8+9rgfLXdkhDaKJ5qJ49bcc41fTCQrE2aTjrppJNONm3pYO0WKue84shV4eTW&#10;e5cnQImenP+aY1aNexbrlR/8HIumLJ05a7W4oe/4aNMf6yuMR7AWGGLUgkYMX7AKFPLhLvDTq9pA&#10;qmUHeL8CtYDb2972tsabFmizjqzlDqh1NkFbHqfKtm8L2MUwrg1qhvMxxxzTrA2r7MBaaSkDPdBW&#10;erAN6MuHogJrhWs3UGspBB8VsxyCj5bts88+K2EtD1tg1j6wO2jQoGYLOMerFsBVHw9e/QDogXuA&#10;HGAN2AJ+IBt4Jz5gsoaUOU7efuFUOc7ZPi9QkwVqEsJYv+qqq5prJZ/+0i8AnDw8QQBb4NK6qeJ4&#10;QSgT8FUvo3zo0KEN0AVCA1/FAbgmLfH8VIc4Kp00IKf9xLXPwb509m3rfem1heo744MXqX4FaH0s&#10;zsfljAEKYBpr1DUxiQI6TSBBTuPJhEb5JjQmVPos527CYxyoy3mZRBjHzl1f8a4FZXnlUuds4mHC&#10;Yd9rkiCuOo1h19r4zaTEJA1ANv48INAvfj/qAlX1hbrVGWhLlQ3WCnMexrJz1RbHPIqVo059YuJo&#10;eQ8PQZSpv2yNt3N6E8i1hbXLehOrwNqBVDyIa3/ihAmN58xsa/v1JqIP9yaVjy9bttEhbgdrO+mk&#10;kw0lAUI1FKrDojVQq2Ft4NqzCdY6p5xjxDkFvnmLhy3hf5Sdwe5q/4fW0DRQ1b409pMux7bik8dx&#10;nS9hia/zJLxfebUKp8ql7fh+qpyUpXznRZ0zO8L9PFBXuPu2e7I3XvSR5aosEeF+4i0n3rhsNfaB&#10;ZQPcQyl7RP/yPK37vRbXIOPNPTAQF8D1wB0kZf+5Rt428uEv6n4dT1w2HoCb9XFpDXQB12jC7QfM&#10;tmGt8hzbpnx2gvOx3i/YrA3qcZ9mP2iv9uc3k3Nr/276hXXSSSeddLJ5SQdrt1AZPOiwVcDkGbsc&#10;tCKmlNN2PGCVuJO3evauX3vSVnuURxYsBwqnbLfvavFLZ8xq4tZHGIcMQJATQAOObHnM8moEZAEz&#10;Hn+gLLAGzL797W9vABKgZAvU+rgXcApuOj700EMbCBXPWoApxn+gCyPZPtjFs9bHvNQLxoFSjGRG&#10;cwxoWwqIAVo8DOWVngeiOngfWgIBsAVq7SuTZ619MNCyBl4/Txzo7Fx5eIJ8FNADGrVZWwIaHedV&#10;+sDMNqxtaw03AzHreCos6er4hMsH9CWMMtIBWga8iQSQqH+81scLRJsZ+tptAuHYhMbEQnsdDxky&#10;pJl4AJ7GAg8Shrw+9kogQzwTE+1ot5OmrXVYrcL1k/rkNR58EM51s7W2MO9n18A4C7jN+ANs7VNe&#10;q6679jlX48AHRHi9On+TBpMK4w4sNXHjbaz+9BPVLn1nXIl3/iaqPJlNsPS3MWosqBM4B8wd6zvX&#10;wsRNG5wHcOv8QFd9rH2Onbt9Y1n62rPWBNFvD/CVx3lnTMfL1vn5zQnzu7LVZ5f2rs3awlqw9clg&#10;LZUm6YyXcSsmhCaH+mjylMnNpHFOb7K2cP68smzxkhVLKmwYiNvB2k466WRjCkAUEBtgFHiZY9pO&#10;S+p8m6toP9AGpjln/7Hgm/9ZHqTujYGUbK/A2tw3/YeKF15DTtsAUMd1WNLVaQJV7SdMmTRp6UD/&#10;7e1yacpJuqQZSFNW0iojbaft9ElDU48+cS93LmwQthdbwps87CcPmNlbACiYCeICmu4/AC7g6Rrw&#10;tqWuTT0WM+Zcryyp4ENf8skP6Hpw7eE8+8a9mx0Ub9wshRB1HKjrmtsG1NZQNwBXWvs03r1sBOvX&#10;apOtOpUjL7uBzamN7d9R/bvJ+XXSSSeddLL5Sgdrt1A5e6/XrQIlz977dU34Y4tXX7/1zP1fXyac&#10;f1m55es/KOcceNQqcSe/uNrfTHX8ORc35z7q5LNXixtz+jlN3PoIAwqgAy/BTbAWqA2MBYXAM1DW&#10;lmefV7Kt3QlsgpzWmOW5CnzuvffeDVADbZUDaoGnQBYI1TbEGb+MYjBLWbxhwTnwCuTKpECa9jbQ&#10;DnRTPuURLK9y1K9Mr9lTMBgQtKQB72Dtj7eveqiyHEeBsUBN+7bSgLV1GFhrK492Z5v9HEtfH9fp&#10;ov3i6636KZgozITKRMHkymRLGjAKGLQfb1wAUrvBWEAy58VAF5+vPctjUsETlPGtHhML14tnrjgG&#10;u3TKksekRRnUOdqmndlXlzrlA/R5QruG+o5Xs+UqeD/bByo9GADU7bt2xpXxKQzINWZMjoBMHqv6&#10;QFv1h3GrP9RlTPCSNfEwmTF2AlRNMpRj8sSrmIoHp01kjE/lSOOcxfGyDcwHMH2oxETFeep//Q6A&#10;87IxcQPK5dc28FhfaHcmePoBpNUevzO/LX3tPDPG/B7Va8yqV9+c15sMbnhY29PRgG3veNzYFbB2&#10;wgpYO6lMenBSmTzpwTK5N6am9MaTSSJ4O3PGzDKn14fz5s4ti3tjpfHE7U0qn+q6uB2s7aSTTtZX&#10;AoL6ASHHAWCJbx/XWsfZBqRtrpLzcR7+A93Pr7jiiuZhpP9Y98+o/9v8b9oX77+03ibefrQ+ls5/&#10;cv2/nPD6WLw68h+fcur9uq52/loTNlBcrQlP++o0CUu76vNih0b1FfvRNmkCbz2cZVfoX+visi2A&#10;XG/mWLbJA+Asq+A+y06zJALY6RrVknFIbMFSgDcQlwK4AGq8cr1VxAZkq8Qb1zVnD7Fb2H+ALFsv&#10;Gkhrm/2k8fBemHIs/6B+9YG07tXUvvrTfm21325/9jvppJNOOtk8pYO1W6ictcdrV4GSQ/Z7QxO+&#10;dPrMVcIb3XafJo7MeWD0KnGDDz6qjBtyUbn+i18vp+/6qlXiNhc9fecDG4Pm0QZUrxp3yVHvXXHm&#10;6y6MJ4YcuMmrFdwEv8AxQAjk5AUJvvK45Z0KePpo16677lp22WWX8vKXv7zsueeejXck4AaS8gZU&#10;BjAFngKpoFNt7NpnADN2AbV4uoJyAC/QFlhLk9aWUSxeuqwvSsEwIBDcApW9Qs7jlveiNgFqmYSA&#10;ZzVQDGRUJ0DnWB4wTTnArrqkAeDEUwCSF2dgLU1Zdbk0cUkXTXytdVy2KSttTvtp+3yydb7iQFUe&#10;FyYHAacgIkPb+TDgpTPJABrBW8sKgIMmD8oyVrTFpMJExJePpTHBEM+jBMCzjID6TVICwdVJ9ZVr&#10;pA71AsDGmCUwAmsznnjUWhrA9TQ+jE8qHLj1AEFe19p4Um7q0z5eL1nvFRh23alzFOccTca8ymiC&#10;YUJiWQTjjLeu/YxX56yOlAV461PgFsgFjK0T7Hy0Qd8ol1cNSGzf9dPHALU02mDf0h+OLTcC2GqT&#10;cxOnTv0IMqqLF690p/bqXmdY29u/76qR5c4Tzyij7rm3jAmsbYBtL92oB8rVh727jO+1e3zvvJfD&#10;2gkNrJ304HJY65oH1jrvGTNmNh5aJohz5swuc+fM7U3m5jUTOlBgiddATUB7E8vftdqX5RU6WNtJ&#10;J52srwQE9QNCjgMs23GkztdOu6Z8z4TU7YwCeDTtpHVaIs5/a9a15wHqXueDnRRY9NDRf6l7oXtW&#10;7BH7/of9lwZO1v+z/qfb+8pxz6UJl89WXP6zHfcLkzZ11vlSZjt/rcJpyqw1eRLfLitbdcf2TLp2&#10;+bWmvfJQ/eT+Tu3HBlWWftbfIC6bgicueO4e5doAo7xkwVHes+6x1scFaF3nXNO2CHedeepmWQX3&#10;YuoeHW9cNp17uX11sBHjQQvOArrxmrXN0gqUrQDKAra22ul+zY5SnjrVn7ZkTNb70Vr6hfdL15Z+&#10;+TrppJNOOtl40sHaLVTasPacA97YhC+aNHmV8Gjk8Z7xUoff9cuTVsSUsmze/FXizn3tMWXUiWeW&#10;K9//mXLq9vuVk160R/n1n27XbOt0m4I+8ehjjWHTbymELJOwrqJcxhrAyrsWKOLl5xi8BWZ32223&#10;svPOO5eddtqpgbPWdAVrwTRb8fYpgGtZARCOdyN4mte8wTwGaozfGN6MWV6DYJw1ZnlSAqPSx7iN&#10;0RuVH5BTD3Cm/Lz2DgiCrdKZWNi3VV6gJxWW8uXRTmAPCAOXtQlcSz2gbTxDGeTKEA/eaa+tOGGB&#10;qqnTsW3qb2/rtDRl1Md1vDY5zjb79TGVT9ujwKt2Og/qvK31agsoird+Lc9QSwTwCtFHjG79ycBn&#10;jJ9yyimN1yjYKS/j3rUEKNXDUNdHQDBY6dU/bTE5MQEBwXmSgKuujwmLNWw9EDBujD/w1lrCAC6Y&#10;Cdp6kMCrNtA23rbgrXEDZhpftupQn3Y5V5BTuPHiXLIUQSaQ4G4+AOZjbZZEyOTNljcML5RMtgBp&#10;Y0ifmbQ4b8AbgJWeZ4xxpG+co/7SFt7guabgv7Z4GKAcXrW814UBwdrkmqpPG6UR5nx+c9xx6+VZ&#10;e/epZ5dr3/rhctNnv1queNE+ZfR995fbf/Tzctfxp5b7hw4ro667qYwfN75MGD+hTJwwvkx6cGJ5&#10;sDdGXMsG1vbUeJi+AtZOn7kqrJ3TGwvz5tHlwNZYoMaSyWa0Wcvv4YfL73vnAuR2sLaTTjrZVGVT&#10;AkHa0gZf4Bh4lrB4NNbphHmN3uvqHsS5N+TVeVDOvc/DRbYAiOj/10NZDw3df2zdK/Nf63/VPY72&#10;s9dowGadh7pXumfaj30oPvdex1R89lOONNRxNOW300bruDpNna5uS/I4dh7223W2tV0+zfm2NfHt&#10;vPb1i4fA+t4HVEF1Nhcbil0BrgKt7rHuZ9R1dQ81BgJz25qxkLEC/Mrn/mxMmBOwB+OFa1xkfFC2&#10;W7xupZHPvVrejCFplOHeH2BLUrcxmLYkLtIv3H47XVuS5snSddJJJ510smGkg7VbqLSXQThn/yOa&#10;8IFg7ZSbbm3iyZWf+LuV4fMnTloR2jMQHn9ilTy3//hXK2JKuevE08o5rz+2gaKP9YycO37ym1XS&#10;nvTC3csJz9ulnPziZ2Z93MnDr23aees3f7ha3Mybbm/i1lUYRAwzkBYE8xExH9by8a3nP//55XnP&#10;e17zMS5hNbCtvWptA3HF8wgELylAxuM1sJaxy0Bl+MZQtS+d5Q/AYR65wCtIBRTKU08A7MsDjkln&#10;gsC7EogLjAO11JcJBAXW5AHQAgbBWe2ULwBTvcCt/tAvPIyVBf7JL57hyoPSJAd8C6wF4KI1MK2h&#10;a/YHUnls67Ki7TS22hNNnYkHUvWFdke1U3igrX1lJ8z5SOeY94SPcoGX0hor6UuTORM5eXhXmlQA&#10;lGAd711QzOt9ytFPrqVX8uRlyIPE8ppggLvWY5WGFzdoaQ1kS2xYWsOWt60+BzN52gK1WR4hsNYY&#10;ci2Uk8mWMSIswFM/uZZUH2WCJm32a82EkJoweZ0wIBucNjHxOqNjW2MpABeENrEFR4FZ9UlnHBun&#10;2iLMQwbtC+jNtTUxll4610V50om77uqr1xvW3vL175Vxc2aWkQceXe4feW25/fu/KHf0/ht53o66&#10;+dZyzRveXSb0ro2woVvvXm79h2+XydMfWu6NM316mTZnVpk+bXqZMX1GM1GbNaunDayd08Daub1J&#10;JG08esDa+T1twdqocWDS18HaTjrppJO1kxpQURCsBmFAGa2hrX0gL6/P2wba+f/1f+ze5j/dA7m8&#10;Qg8QAoU33nhjc4/3ANNDRfel2k6LbZf/3By3/4+F5d4qX+7Z4nP/rfMMpPK0NflpOy5tUl+t4pRX&#10;tzntS3pha9uuNWndFuWm/2plx9iKVyd7gJ1liSoA10NzNhhbKh65Ho6zu3i3AvEeoHog6pr3E+Mk&#10;YyHjgBoXxoK87pXu6cYCOMzeY7OxKSi7ju1n3IhnH6vfePFw1/1fmRmjGYepv9Z2WC2Ok5f2i2+H&#10;ddJJJ510svGkg7VbqAze5/WrAMmzBx3WhPddBqGn57z66CaejD6tZzwK33afBr7WcuY+hzZxJ714&#10;zzLrgdErQku54PXvaD7m9bsVxsyyufOaNCn/4rd/qAl/bNHicuWnv7QyvCmrl2+l9vLU+TaUnnfQ&#10;m5v6548et1rcPT/7bRO3rsLgAV54k1oPkzetpQwoIAvQvuQlLynbbrttA2x32GGHBuTW+9IE3FJw&#10;E6wCnBiZwCcF6WIExxCOkWqpAsANmAPivP4NSMVYrQ1XKk+ArHD5ecKqA0wEtwBHENhSDsArj01p&#10;UlagHWhrzV1lCANwwWWvA1pjLMpQViaPEl6VAZ/OM4AO0GyD1RzXmrjEA5q11ulyXIcHxtpGU169&#10;L492Ue2NCh8I1ia8rSkLPHTdgFwGuckADxzX09qw6pceuNSH2mGyZ2LBK0T/gp0mQAx919L6bdrA&#10;E8M6uLwzAFvgVpnijU9rDfO05QWeD9sZN8YMT1vez7xvedtKG3CftWKBevXxqNUu48H5ZkIWrSd6&#10;UeFgaj815kBAYFZ9xi9v09SlfyyroB3Gma0JmzL1K9UW4cawOGNUXyoj0Fc9+sk1uKjXJ+sDa+86&#10;9exy5a6vLldsvVcZvu0ry6henzew9kdg7egy6uZbyrWHvqOMvuXWMnyH/cqkKZPLvacNKVcf8rZy&#10;7y9PLCP2PKxc9Ef/p1zyP19Ubnj/h8vkm24tD40eW2b2JnImdib7c1d61i4HtQv7eNbW2sHaTjrp&#10;pJO1kxpckYCqGmoFzEaFBWo9VbAFuPmf9p8O0IGBHrwCuO5vPmrqvs8D1Cv9Hm6Cuf5z3cPc79zP&#10;3OPcj2PT2bq3ifNf7T88/9e5HwdsUvtJl7ho/Z9Pk6+OT746vi434fVx0thP3qdL08bYy3Wf2ea+&#10;yBaJJ64lqXwU1vVwvwNwLWHg7SD2FVuL7Za3XXjWGh8DjQnjxr1ZukB940AZtu7VHgqAu8YGuK8e&#10;tgZbqA2MM0afbCxmHEf7pa/D2mk76aSTTjrZeNLB2i1UzjngyFWA5Bm7HtyEP7bs4d7x6jD01B1f&#10;0cSTBVOmNsB0+Ke+tCLkDwbsXSec3qQfctBRzTF57JFHm/zCrQtLft+7yZ+68ytXln/fSWc24ZGE&#10;04uP+UBT/rz7x5ThH/pcueCwtzftPakXt6HArXLIstlzV4u78PB3NnHrKgwasBYYA7pAMN6tYK1l&#10;DXgz2ucxu8022zRetsBtQK0tQAugWcJg3333bbxcGeMAFFiWtWQZlDF4ozE+eVHyilQfz1zgCqiK&#10;MR/jVNooT0Np1AXq8aAEWdXPkzKei8AheKY90vLA9Hq9tjtH7dZ+EE15gB7PBcYuSAsy2mqD8+DB&#10;AHyZoAhjrJqQZA1W9QBq4K4JijakP4BB21oDStdWpQ+MpdpcH9Okkb6GtdlqR7YBsbZ1WLQ+rtvB&#10;ELfNOalTv5m86Q+QzTXTD8Au4MYTR3+Y8LlWJgk8NIYNG9YsiQD+Wu5AfteBoe/agbL6njev66fv&#10;eW/of7A269oaw6CuMMtxqJMnrraZ9LnGxlwmayY3mXj1m4AJy2Sx3rel8mdfeudr3HkIoF/sm7Ty&#10;RJJGX0jnnLTFGM6E0PXifSufNoK8oKwxZN/v5be//W0DbfXhBb1y1wfW8qy96Qv/3HxI7PafH19u&#10;/NgXy+0/+lW5499/VUb3+nbUTTeXaw59RxnfSzvsBb3/wcHnlQn337/842IPTi5Te+N+6HNeVqbP&#10;m1umTZ1SJt14Sxn2/L3KmFMGN161s3r/xVe/+sgG3DYetTxrFyx/VXPRwkVlUW/yVoNa2sHaTjrp&#10;pJO1E/YbAEYDpwKsEl6H2a6PtMslKV8YkOchHTjnAW1Aroez7vEeunpTx/0dUKRsBve5+l7qfxqI&#10;pPYDKG3dA6jwNlCtNXG1Ji738373CmHS5n6RvDkWn/v9xtK6vQO1s25TrbWN7Fg67WVDsD84G7Bn&#10;PUDmHe0Dqa6RJQ3YBbxm3bMBWOqezGs2HtptoJvrH7EP5sqrLOptqzYMNpbqMRtth2fMDZSe1MdJ&#10;X4/RTjrppJNONo50sHYLlfMPOXoVIHnKSwatvOmevtMfIGqtC6Y+1MSTM/Z4dRl95nnN/hM942Lp&#10;rDnN/pIZyz1zh7/v080xGXvx0JVl3PKT41aElnLbj3/ZhAGl88ZPXBG6XGpgfPdvTl4RWsrtvTzT&#10;b/7DsgRDWucxeP83lMGDDiun73jAUwa55Hc9QwcEbscJX1dh2IC1PF95hwKXNGuFgqfU2rTgJmib&#10;5Q4o79sA3ShoykgMTAVrbYXVhrZtjHCAjTckeArM5UNebVhbH6d84AqsBWiFWe/0oIMOaj5UZevj&#10;adY/BSqlBfGcm7V2s96u8wusVZa+CKilYBEgqXyvvYN/oBoVD/4oXxpQ0wQEzDQpAddMXMBcnifa&#10;zuPUuQeAgqRtGDqQ1rDWPtXudph96dcEa3McGGs/8VRY9pWVdK6Dde0SXmvqzlafm1zYB215eHid&#10;zvXympz+4QEtL08QsB6ItVSFV+h4avN+NuHgNQL4gt/77bdfMwEwVo27Qw89tJkcym/dZWsgOxcP&#10;AXjbgr8eAlBjT3mBtZkY0XpilIkZ7befCaZtXZZJJlAbb1lwFsA1fox9Eydt8FsBmIXX41ucc3R9&#10;lKOflak8/WRye2Vv8rs+sPauM88pV+7y6nLLP/xLGbHPG8otX/tuufeyK8o1R/xVGT1qdLl/xf6E&#10;ByeVMXfeVW78q0+V4VvvV+45/rQyZerUMmXGjOWwds7sZhmE6ZOnlCu33r/M6k30Zs2eVe7715+U&#10;q3Y6pIwfckGZv2LS13jxLFlc7vnHfy13fe4fy4Qzzinze+mB04WLumUQOumkk07WVgKnQDAgzX4d&#10;HmhVh0Ucx64eSJJmbdLWos68Su8ezavSfzuQy+vSfd39yP06HzO95JJLyuDBgxt7ClD0n537sv99&#10;/93utQmPDRnN/3visi997gnCapgpX9LY1vvtMrKNDWD/6dS0r5+Kr8/RecW2jl0RFS5dHgazqfQ3&#10;m9W6+mxTNpY3nDwcZ7OCuVkf1/VzLV1f4y5jLGqMGSsZA9EsxZFx1B5TyZMyokkXreNoW+q0nXTS&#10;SSedbFzpYO0WKhe/8T2rAskX71kWT53exF3w2reuGrdCr/nS15t4cu3f/nOZP2lys3//2eeWW3/2&#10;m2bfB8hOfNHuZewlVzTH5LJjP7yyjJNeMmhFaCkzb7uzCTtjr9eU3z2xqkEw9GNfWJ5n673L0tnL&#10;QTC54Mh3lau+8I8rjkqZOOLalWWf/OK9yuxRf1h64dyDjvpDXE+HvPKNZcj+R5TTdnhFX5D7yIJF&#10;Tb4LDjt2tbiH58xr4tZFGDtgLZAFKAFgvGMBW/uWJQBjQU1LHwTS0ix9IA7slE5eYAmgA5kAJmWD&#10;ibVxHAM7BiUgZ71c0M2+vPLIHyPTfo5tQTAAkPpAE/AlDKSNly9Ye8ghh5TXve51DbjTLq/HOzft&#10;jVew8wQMlQXWApI1rGXEWr9WGTxBGevaB5wBy+J5UAZ4moBI4xhw432rzQAmTwNf//XhBmX46q6J&#10;i3XHtE+Z8tnXl8oTVmuAbK3aXu/nWJ+AgdrRT5WvPuXap6k3cY5rzXm22xVttyHH8tq6VsAjIGkd&#10;WhMG/aVMyxuYEFjWwGuWQC1wazKnrwFfYN3SHePGjWugrHVrXVOvYvIOB2zl0bfgPM8QEw+AWf08&#10;fIw7dfYDtv1UGipPPw24jUprfOsr7QZrbT0IcE2Mf+mMZw9LQFvhxr60tgHdgLYxBjRKr+/OHTJk&#10;3WFtb3/MmNFlzAP3l/tHXF3uvfjyMmbc2DJ6/Lhy/bs/WUYc8MYy9Dm7lLuHXFBGjby23PT5vy8T&#10;xo0vY2++tQzf/oDmP2PKjOkNrJ3c25rETe+FgbUzZs8ucxctLFfteHCZPnpMGbHba8v8BctBLF20&#10;ZHG57X2fLVOGjSjjfn1qGfrc3cq83u9j8eOPleE7HNDB2k466aSTtRRQCggDxAaCVwAYsLaukjI2&#10;JABTHg9M/8PsI/cQ93MPcL2uzxvX/zTvT28zsY88zD3jjDOaN0zcb91f2RDuk7EN3ddpbW/m3m6b&#10;+0C0jst+7vXR3EOSJuk2hiq73b5+dWpX7Ix2WB1e5095tvqntqtp+lL/ye+tHiCXveqjs66BJS4s&#10;A8Yj172ZRy5bln3BKcG1BOiNyScbL+KjpIawdVy0X/hAsqa4TjrppJNONox0sHYLlVu//ePVgOSE&#10;8y9r4kZ89G9Xi6O8ViMz7rh7xV4pF7zubeXUHVYsk9C7eV/+wc+Uh1dM0h9/5NFyWrXcAbUEAnmk&#10;Z2yAxFd98g/LKTz28MPNdsZd9zZph7zyyOaYLLVEwTaDGhjMm5dYViHlDq7Sktt/8duVcXTJCujb&#10;Mz/KOa95yypxdPIVI5r46z7/tdXiFj04pYlbF2H8AC9eSefpCHC+4hWvaBTwBDHBTFAzHx4LrHUs&#10;Dc9FgM2asJYgYAAy+gBCBh9YywBkHMaAjsa4tqYsoMrLFZwDrQA+5dTGZG1UShOPUuug1rBWm+Nx&#10;SQ844IAGBErLA7MNaylgBqxp78knn9zA2gBbxirvTHDTMfBnIsHoBQTz6n/AptfeTSYcM5gZtsJB&#10;SV6lDFyeCzxKfCAC4OR1EtgpH+PXhMXSANotHGjSh/aVFxCafDRgNOH6hLoeVD9kP8fqo/YDcGtV&#10;F8351SpMPdmmDdlPW6iybF03W/ldT9fOcgVAPc9qwBxsBS29PmnCwCOXB7Y+U6b18FwHSyDIA956&#10;rTLjk6c2rxDLI/jABaBr/VteI64nuO766Wde0OoxkTFBUXa/yU4mRVEQMZOjfsp7RTnGuP4BYGkN&#10;b/WRPtAX8f7VP9oWzxd1OWf7zhG8vXg91qwds0LHzZi2/HjFZKvR0T0d9UAzcR47fnwZO2p0ue2b&#10;PywjX3VkuWrXQ8qdP/l141n7ULMMws5lynQfGJtepvXG9fCt9y8z58wpk2+8tQx73p7lwfOHlkv/&#10;89ZlwaMPL//A2IL5K2GttxAWzJtXpo68rtz05g+UxY89WoZutWcHazvppJNO1kIAKdATGGt7LpKA&#10;r40pgWZpS/s1+SeTOr+2pgz//R6y+p/OsgreuPFmE3vKx7SyLi47zT3CA00eou6TXvl3D85/fyAu&#10;dR8R5p6S+0J9LI/7SFtT1kD3oQ2hsTXSlvo4baD22Zj26/Ynrm5zv7DkoYm3nz6yn7TON/a7cP0a&#10;kAucA+jsKg/B2Wc8cUF314y96+G7pRDYYZY7co/Px8zWdrxkLK/t2FrbdJ100kknnay7dLB2C5WZ&#10;t921GpC84UvfbOLu+tFxq8U1+pJ9ymM9w46svEn3tme8/NVNvH0yZ8z4ZksmX3fjal6sE4ZfvSK2&#10;lIvf9sEy5ryLmv0ls+aUySOua/Z9iEzaKz7wmeaYPHD6kJVlWG6BSHfSi/Zowq786883YZGlc+as&#10;XNLgjF1ftSK0lEeXLC2nbLfvyrKid/zgF038PT87YbW4eQ+MbeLWRRg/YC1ABLSCmEAtuBnvWgDX&#10;EgiWPzj88MMbMMsLF2hlxMWQY+CBTvaBOPvirIcrbQy9GH3ihFPrkFqqADQF6UBEcKofrJU+sFYa&#10;sItnLdgqzLIHaXe2PGzBMu0Cc3kC+zBazgvcC6zltQnmBdSCsNRyDtolTT4oRoWBjfYDLBm4vA18&#10;zCFrtIFxJhA8SaWTD4h1Ls7JRCTwUzt5mojjyQDQMYJBJp656gIYeZ1oY8Co/Mq1rwzbwNqo+GjA&#10;bOq1n/MKqI1KU2vCspU/5z+QSmvrulH5sq+9gbbHHntsA//jVQvG8pYFZkFZ40hdYKc4kBfANAbB&#10;WcsgKMt1VC6PEHm9yuc6muCZYADl+lA/e1VTuSYW0vsAh3SAL5DLm8R1BfvijTty5MiVk6gAWvvW&#10;O85+NJMe7amhrd8SdT1AWg82bPWNMGPNudhS522idE2v7nWFtdQHxq4++Jhy4ye+VG78678ro+6+&#10;pwG4o3vbcbNnlrGTJq6EtuN64eMnTCiTev8VvJ15l0/tTcLu+Ob3y/S5cxpv2tu//I0y9H/vUsae&#10;c0G56Z0fK2PPOLfMeGB0uftr3ytjTjyzmahZx25Rry2BtYt6E/FFvf/toc/ZtSzp/RcNfcFeHazt&#10;pJNOOlkLYb+BXTT7gVq0DawA3adD1FvXneOB2rUmkVa7wT0aiOstDWurZlkF9lM8ct2vvYkD5nqt&#10;33++B6e5F7TvybFN7bMhahuVinM/DxwNFH0mVN007aUJS7vq4zq8Pu+B0kWT3jmrK3ZqXZ99/ZV0&#10;WRcXLAdx3bf1v+Ut2LFsWG+dcXBgH7OxZs6c2QBc1zYPHaL1WMl+tJY6vF98J5100kknG0c6WLuF&#10;Cu9WXqo1kLzkqPc0cbOA3H7rvfbCRp1zYZMmMnf8hJXxD92yfC3Z+iY+4lNfWbWMng4+4IgVsaU8&#10;cOKZZencuc3+bT/6ZRn2ib9t9pv29dJa5iBy6Ts/urKM+84YsiK0lGu++s0mbMyFl64I+YOcuuMB&#10;TVzKJZOuvHplObWO/OSXm/gJ5166Wtycex5o4tZFGEBgLTAEkr361a9u1nz1yj8I5sNfeR07BloM&#10;WYZbDFvGHOMuHrSAlHhwFaxNHsadrXyJp15lf81rXtPAWt6TYCFgxUCsNenVA2SBfOAVz9rAWrA5&#10;a9UGPCvbOWoXCM2D1/INgK3lHCiIpyyvo7dhLaOT16M6lQOe2aeAG9BtX34aOKm+eJEGeoJPoCEA&#10;e8011xSvl4G29pVNGb48SZUpXP1AF48FsEy4yQrjWF+oS708R0E5Xru8TIQH0gLy2mpf/yojYFad&#10;2pbjWtPuxNfH8qk32/b5RxOefPoksDb94zigUjt51wKsxgNoa5/aB2epBwfGLYBrGQt5fKgM6AXJ&#10;jQtwXNniTBBcRwBWf1gWIeMRrPXRDd66wvSjSQfvEB4j+tokw2TQpFBcvHFdQ+MkE0Kg3Vh3rYVJ&#10;k4mS34ry62vjN2ZMGYPGMU93ap8Kr5UX/OCzzlovWHv3qWeVmz7/tTKmNxbv/O0pZeSh7yxjJk0s&#10;w7bet9zx41+VW7/2vXLLP/5rGdfrs1u++u0ypjdG5Zsw/aEG1k4YN64Btrd/5Zvlrq9/r0zrnfOU&#10;+x4o00aNKeN7/8Uze3HG7OxZM8vwbfYtC5cuadauXbgC1s7o/Sfzpp1w+jnlugOPKYufeLxc0XnW&#10;dtJJJ52slbDfeKLaRtrHkenTppV3HntsGbTn8m8gPJOyoWGa8+Wl6R4O4Hqg7R6ctXE9NGcbsaU8&#10;nGUTeCDrgS07KR84c39gl0Zjb7pfu4fk/h1g2b7HbAhVbu5V9lNP7Ic6XTu+X1xUPOAsXtkDpRVW&#10;1yWPcH1gmzLsx563r0z77f6zFa+P3XvZSQCuvmc3geogLluMfWuZq/pjZx7ysgnA2w7CdtJJJ51s&#10;WtLB2i1YTt/5wFWApLVcye97huhpO75ilbjo4Fe+sTw8b0GTjtzy/Z+tjLv0fR9fEbpceL2evtur&#10;VslPT33p/itSlPLwosUr9kq56Mh3N/FP9AxCcvtxJ5bfASE9eXj+gnLyS/4Al8/c+3UrjYpZd97X&#10;eNAumze/OZ44bPlyBmTIIW9uPHsfuu2OFSGljPj0l1eWU+uV71/uxTvlymod3BU65+77mrh1kcBa&#10;AA0oixHGwApQjUFmm33h0oNt4BFQBiopRxpgTjqQjKdqDF4aA5gCsECddWR5vAKrwBsoqPyksR9Y&#10;m+NAZG0A5bQD5Ntvv/3KwQcf3Kxdamt5Bd6WgYaAsKURwFoetbaWQwDAxAOvgbUBtZT3LsCpvtqz&#10;1uvs+UiUuGjAZB0WTVuce15r90pZ4hmzICEDl+eI8zbhCNg0sQAN67Lk4f2pTpMU11E4KGlyAnop&#10;U7jrwhjXf84h4NY2Wh/nXKk6bfudn/q0p9aEJR91Ds5FflvX3PWrrzWVD8TkXRtQG2ibJRPEAbS1&#10;ArOWQbAOsjKMC+XoT7AWbAV0eY3yAOH1oX/0qeugj7x66fcgjS2PERMIY9jE5LLLLismG+AubxGT&#10;DhNEeS1p4TdigmgsgcSgbT3RUYY0+tc1Mo542PotaaNxaD8qzDgTTk/tjcn1g7Vnl5u/8M/N/pje&#10;OQ7b/sAyetQDZdjW+5WxvfMY/xCdUsbecVcZ+he7lhvf95kyefbMctUurylTe5Oo6456T5nSS3Pn&#10;t39cps2bW2bOn1cemjK1zHxoWpk5c1azdt3cefOayfPc6TPLvF489SGxB374y3LNPkeUYb3/v2Fb&#10;7VPmPTS9LH70kXJF7/+sg7WddNJJJ2snsTVteSf2A1rCPvDe95UHHri/7Lbzy1aEDiy33nxz+emP&#10;/33F0dMr2hpln/Y7n4EkedrK41jfWEvV/z5vTraQh+QeintDho3koax7ujduvB3j3s028yaL+797&#10;C1uMzWLr/k3jtOD+5B7jXkX73YeeTGMbpJxsxam/nyZv+5imLcLbsDZpk6ZdT+LSnsTVYUmbsJRD&#10;k7+uQxr9VDt6aJc+toRFbG/rE7smIC57zVJjHBXYWCBuY1/07CzXk6f1QGs2d9JJJ510svGkg7Vb&#10;sFz+tj98+IuCmjNuWu4dO/TYj6wSV6c5aas9yok9Pf65L2vWj10Zt/VevRv58q/ikum337XaEgjR&#10;ueMnrki1QnoG4GkvWw6PH56/HLo+/vDy9WvJxCuuWrWMXrm/A1F68vCCBWXIq97U7JPL3/WxZkkF&#10;Mn7YiHJyr10xRq2Je9JW/ds09J0fbdI8NOK61eLm3LX+sBZIA8cYUAyqGF+MKmAP7OIhSwElAIwB&#10;xlAFTXngek2dl6N8ymOIgXHAEsM2xpk8jmP0SmsdWR6vgK2y5FMvcFerNspnX5tAP/APoAP7tE0b&#10;xUsXuJPzkDbLOABfICEACNyBitqivSBtDWsBVecmvzRtz9ong7UpO8ftsDqcAlSuAc9e/SYeEAQO&#10;AUWv9zFslZFywEPgUTusD6ZvxAGBPCH1nWsD6PImAYFNTKS3zwDWV85ZWNZUte+8+6k4cLPfeRkj&#10;NG2kyeNa5Hq4VsaBfddDX9bXmhoz6gDlXQeAlsbD1vU3bmxBdWPAeDSu5ItnsTGifrD3ox/9aONp&#10;Y2yYmBmbJg08li0xAbCaqJkoSGMf5LNPrZ0HwPKSBs/FexXT1sRCX7perpPfGK9drwPyNuX1m6UY&#10;eJM4X+00Lj00AGeNQ31Rqwcf1Pmd0LuGGwzWjh9Xrtz+lWX0ffeXYS95RbnuHR8rw3Y4sAzdcfcy&#10;tjfBv/rVbytX7fn6Mr43wR3+kv3LlJkzylU7H1we6o2Zh3pj546/+0YZe96lZeLwq5sPhk0fO77M&#10;6U2kFixbVubMmduc81xr1vW2ixYtLAutX9v7LzXRWjBv+XbhokXl7r//tw7WdtJJJ52shdQg038l&#10;r9p+ws7bb+9BZU7vP3jXnV9WpvTsgRtvuLGJa8NQH+n8h698tXzofe9fEfLMSrt9jmt9qiKP/tBX&#10;AB+I657DK9d9ykNar+e7X7rH6w9v0HhbyT3b/TwPXt33bXPPcY/Kfaafiq+1fY/qp+08ba3T2G/f&#10;/+q0tSZe+mi/+Hq/DnM+9p1/nS9alyudezcbK/MAaZRhn6Y8Kk/6N8sqsDPZ4exydpTrwUva9yFc&#10;J9fL+rjsN/CWJy5I7zrTdRkrnXTSSSedrFk6WLsFi3VY21Dyhi9/q4kbc9o5q8WtjYKzv/7f25df&#10;/retyokvfHnfNPTqr36jqScy/e7lHxSj95w2eEXoH2TYR7+wSn468777l0f2DIRbv/fTZveJnuFw&#10;8rb7lMlXX98ciwOXI9Nuvm21cqIjPvKFJs2U4desFjf7jnubuHWRwFqGESMqXoiAEcAFHjGkGKcM&#10;KMANMGN4gV9bbbVVs8QAD1ZejF5ZZ3RJJ58ygE1lRwPgKCAH9lqv1tqyvGGVD1xpC6AH5NEAPFvh&#10;8tmqA6Tjecjj1RIO6nQM/sU4BC+l5XWZupWrDGUCjOoFysAhRqGtJ/0gKFgG9EmT/qFtz1rxbQ3I&#10;jCasXzrnBZ4quw4HM+3rW32s3YGg4kFWINcr/sCrMHHaxRtBn4C0vEgZuLmGrr/+ABB5MvAGFe6V&#10;f30nzJpi0ihTu4yL9IU+StvE1yp/2mcrTSA7dewauNbGgHqFA+jGgXN0naKuo3a4hqBtYC3wCtIG&#10;1Lr2tta+1U7laqM+0A751a0vMj5qFaZdxr3zy0TDddG/vEAAcRMO3h7iwVgg3EQCTAdtfQTFODLh&#10;UxZo7ndkcuGDHGCxa2aMqdM41F7t5Kkeb1rn4ty0W78439/2Jo3rCmutTXvXaWeXK3d9Xbn9R8eV&#10;Gz7+d+WqPV5XxkycWIZts18ZM258GTe+p71J6wO33lauPuSYcsf3flHu/tGvyvDtXlGm9vrhyp1e&#10;VSZPnVIe6k1ub//i18vY8y8p4y8dXq59dS/tZ/+h8aq9Zp8jexPg+WX8GeeWK563exm+1d5l3Aln&#10;lvlz55aHe/89AK3J1cIFC5sxNq8X3sHaTjrppJPlErjYhk05tvU/CTquSUaPGlVu7t3bd9lpp3Jf&#10;797+sb/+aDnisNeXFz73eeWxRx8tZ55+Rtlhu+2btOcMHlJec/Ah5a1vOaYsWbx4tbo3B9Hmtq6t&#10;BOSCfl7D58XJpgrE5ZHr4TmvT8CQHeHBt/sUsMiedq9iq1APm2v7QlxgZbbUfSr3L+HZRuvj5K3j&#10;5E1cytMWal9YfQ+t66rzJDxhdT00ebKfPLTOkzia8HZcyomK10b9VDt2pB/ZSfKxp/KBM/3uzTI2&#10;lTec2Ky8pXlNeyPNw3c2sGvJu9q17Tc+ao3U+09VBiqzLeL8xgf6na8pfztvjgdK35Z2/k466aST&#10;pyIdrN3CpQ0lz9rrdc16seTU7fdfLX6D6bb7lJu/9t0y7eoby9IZs8qIz311ZdzpLz+4qT/yyOIl&#10;fcHvBce8b0WK3s1wRZun33lPEzfyi//sDtmE3frL45stuf5r31mtnOit3/hBk2bCuRevFrchPGvB&#10;MoYQUARWAkKgGqPomGOOadZ4pYMGDWrWg2WUAaM+1AXWCrPcAIjEyFIeowoko/b7GWAAHNgJ9u69&#10;997NmrkBaf1gLbUP6AX62aoX1NImSxrst99+TXt56qpT/cqSFvhSt7LkT9nqBPSsFcr4qz1rgTce&#10;jfpHGuUow7461V3D1VoDMiloWcdR8TRlC1NW9pMn6ezXALTWGLsmDnW4V9H1Py9Q/WDCIVzfM1wB&#10;SMBQmSYiPHoZvbaAojwgH9gLOIKNgJc2g40As2upzLTXVjv0b9qq/caDaxtYa6t8nrCWwzjyyCMb&#10;SCmfPgdlU77rpN9dU1v9Ds7zqjVmbY2feKXyolaf89QGW2UZA66z8oyNaMZKJgX6LJpJhLbqZ54d&#10;0vC68RsykTNhMDkIEOSxq2+90icOtFWONPoS6OU5otz8Npy3629c8QTWF4G2+gO0bWBtr451hrW9&#10;/TFjx5TRd9xV7r3w4nLfyGuatWvH9NozbKeDylWDDi+3/t23ywPDR5TRYO1r3lrGThhfrtzt1c0y&#10;CVNmTC/Dd3pVc848kW79238uY8+/tIy59Ipy1z/+axn+0gPLzKkPlWv2PbLMe3hZufi/vLDMnTun&#10;zF+woEy76dYy5apry7iTzy43HvXeMm/6tHLrBz5Tbn/PZ8vU3n9uB2s76aSTLVkCXbLfBil1vDgP&#10;vNZGvP6/y447l3t79/iDXnFAufSSS8sO227Xu0U8Vn7+s5+X7/zrvzXpzjrzzPI3vXsOedubjy47&#10;bf/ScvihhzV1+k8e3rvnAZnqdhwbd1OVfn24vsJuAv7YVpad8iaOexV7iU0A4IKHHt56g4YtxTOU&#10;Z67lmNyn3M9iD7NvbGOLxOaI5th9sL7HObYVRmMDUseBtfYTXueL1nEpP2HS1ukT30/baQcKX1MZ&#10;A2ndnhynD6OOxYO57vVseB7Rlqtif3FGYH+xgyyFwYbhkQvIewAP6GZsr8t4kWdNqtxopJ2mX1jC&#10;2yI85a1N2nZ8HbY24Z100kkntXSwdguX8w5+86pg0lIIN9zSxF321g+tGreR9KQX7V5OfOEfllOg&#10;d3z/F2XmLXeUBeMmllGDL1glLlp7zEZu/ZcfLY/fbt/yBIjSk8cfXb597JFHVi610E/Hnn1Bk+7u&#10;n/12tbg5d6/w4l0HcYMHmoAh67cCnJYjsHYs70lGD4C25557Np6vPtjFg5bxBxy97GUva8KsA+uD&#10;XkASQxOAs81r54xQRlSAVG2g8lJVhzK8tq5cYA0UC0ylgXWBf/GsBeB41oJZ6gNqtVFZyk19ynJO&#10;YLS6lSV/ylYmmKgMBl48a6n8YLR4+57S86hgiDMIve7ugxXiA5nBSTCS6oPs00BXCsyJD6xta50n&#10;qq1tDSjNvnbYBjwDzoxboBlstaXAnWvlWmuDV/ipeniO3H///Y2BqyxbRrKyed66nrwXxJm0eKWf&#10;Ea69wqwBZz9tUqaxJj8Vnv4CVq1BC87avvnNb27WGtY/YCUQy+NU2owd7XY9AFljj0dulkhQxlvf&#10;+tbGQ1Wd6ne+QK7xAuqqW37lRB3XYc4xYzeaiVO2VB5bY8JW/9heeumlzQTONbjhhhsar1yTa3kD&#10;0aVL2c7NWNU3xri2A8v6wNgFmukJv/3tei2DsBLatnTspN7E8977yqiR15S7Tjy9jO5N7G/4wGfK&#10;OGv8HXdSGfqXuzf/GTd96PPlgbPOKw9NmFhu+uDnyvhLhpaxYO2Xv1nu+94vyqhfnFiu2e+NZfbC&#10;hWXYC/csCx9e1kyEmqUPeuf/4OVXlXu+/K2ycMnicuu7PlnmjJvQfISsg7WddNLJliw1IGkDE9u8&#10;1k3r/8snE2+GWAbh7jvvKls9/wXNUjRbv2ir3i3isfKh3n33S717zcknnVxOOuHE8qXevRa82nev&#10;vRswKb363uFtld49efdddi2XXHRxOXD/V5SLLriwTH7wwSb+9t7/tXxpH91cRFuf6ivzbGiv22dd&#10;XNcja+PqB33uIbmH4OwjD7ctWcVOcF8Db9kEeXvNvcq9zj47O/c99gXbgI2Qe5q43NfsJ5+4On/i&#10;k89x7A7H0iU8adv30ZQXdZw0qTv52nnbmrKeLF1blZ8213XHdqLOS1jKzznpX5A8yypwTgDRvVHm&#10;rSjXxIN1QJftxikhnrjxXPc78FvJ0gprGiv9xn7GV5ZnSJo6XfZrAPtUpC4zGrHfhrr9tE67Lm3o&#10;pJNOthzpYO0WLgsnTF4NTI782BebuPmjxg245uzToeo+/nm7NGvj9ounM+64u2kr4Xlw8TEfWBm3&#10;ePqMFTHLZf64iavkbeuiB6c26a797D+uFjf3vlFN3LqIGzHwAoKBnEAt+GofuGMggpQ8aoXzVH3b&#10;297WGEmWPNh1112bcCAXrAWWQDRADegCl1JOG4YxPCkQdcQRRzQesbwqwTRgTRm0DWspAAi8gVra&#10;Hs9a9WmHV+p5/AbWqheYA4bBu8A+5QYAB4iCtbwgKGjLoGbkvelNb2rOhUHHwI73K89CoNAr8AxC&#10;BiB4yziX31N9XpjqVI88tSqzrWtK4zgAdCDVf1Q6YMoW1AY19Vs8TKnz0D6eII69MsYTVDqv8/vY&#10;husgLy8EaRjCYDVvUd6j+kP+9AllIAO52qx+7XHMm4ERHcNaWfoFXOUlC7ha2sD4Egasqt91ci21&#10;HWi1FV6PJ/UDmcaDfPKD/9KqX9udlzDl88ZNuW3NeKXamm3U+Wl/Jj1tzeQl+34zwK1X9CxDoQzQ&#10;X/8qoy47Y8W11H/ab1z6rWi7sf5UYO2yxYtXA7UD6Zgxqx6PnzChTOzp2DFjlm9vvrVM5kk8dUq5&#10;4R0fL1ft/upy/dEfLDNmzypjLr683Pl33yhzFswvV25/UPMRsXlLl5RL/njrsujRR5rJD+9a28lD&#10;R5R7vvLtsqg3GbrtvZ8tNx71vvLAv/+qg7WddNLJFi01NGkLmw3sEQ8gOV5bAVSPPPwNzZq173r7&#10;O5q8e+z28vLRj/x1ue7a68qE8ePLzi/doXz0wx8uX+zdb6xry6NWuh23277ZPv8vntuU9U9//w8N&#10;rP3wBz9UftK7h7/tLceU++65t+y9xx7l43/90fKKffbp1TOl/EPvnsvDlFfvfffe07R9U5ZAqlpy&#10;PaJPRaQH+ayJ655jXVx9we4Gca1zf/fddzcg10Nd9oH+im3lNX+AMXYB2yQ2ReyT2n6o7Q33QnHS&#10;CM+9MOltpQ3YrMOlE548UenXpP3S9QtLO+v4J9M6vfZG67i6PPvOXb/Z6jt2Fa37hN2edXH1t353&#10;DTgbeMPMclZsBteI8wIbljcuEB9P3DZ8HWicCJfWGKv3E5dw2+wPJO046VOebV12RJ66/H6aNNFO&#10;Oumkk4Gkg7VbuPy+d6M5eeu9VwGTIOmSactB5+B9Dl8lblPTE563Szl9pwPLxUe+u1z54c83nsGJ&#10;u/PXJzfnELn1R79YJW9bI+e/5q2rxS2Y8OCK2KcubsyMRl571ou1nAEFYIFQCqSCn4cffnjzhX2g&#10;jBEErO28884rPWttwSWGkHyMIeAMqIuhFAjGeIqCpyDtLrvs0gBRx8qpQW1gXcAqgAXMqQfEAt3y&#10;mng+VGZJBe1lfKoXrFU2YBtQSwOBtVO5gbVZBoF6fQ0oE887UrvV7wMIwKY+AWVBJSBOHvG8KKRX&#10;fmAukAnmartlAsBd/Sk9DZx1zp74J4zBKJ19bdVH2SYsx7UC6GAfBVxrDbyk9qlwx9kCjIzUtFt5&#10;2q2PGLCMXeepL7Q7arKhT3I+JiHOAdi13hu469VBHg3SiQPCedbqX+3Vr8CrvtAW1xDcBJddOx+G&#10;c83F12MKmAXufUgMlJVXmL7URwA/NWZcf+Mjeetxmm2txlO2JjVRhn+trlU0E4d6EmErnf5IHmWm&#10;fHU7r7TbOeh7Y9gDjacCax/tTSZcu8ZztgKxq2m8a8eNbdKPHz+uWaphwsQJK18ZdAzWPvjg8tcH&#10;fWBs8tSpvQnojDJl9Jgy+fqbyqw5c8roE88sNx79geZDY2N+fWq56e0fKpMvGlYevPDyMmfig2Xq&#10;8KvLvStgLc/amXfdU6bfdW8HazvppJMtWgaCJMLYbAExoN9TEenbeaZOntysFz582PDynne+q3yj&#10;ZzNIc9ArX1n+7dv/UgbtsWeZMH5Cee5z/qw8/tjjK2HtJz/6sfLT3n/t8b3/01NOOrn8yzd79+gv&#10;f6VccN75ZVHvv/XAnj3oXjFor73LQa94Zfnpv/972WPXlzfxm7Pk2gx0jfpJrls/Eedautd548TD&#10;/wBcb0CxlQJx2T0eoPPKDcgFGcFc90d2Q+3UUNtE7Ar3v9wLY7/ItyZYGyCa+2ruo9HYMol3nPA6&#10;rh0fmylp1kbrMqN1ubUqW3jqSprYWInPPk0cTV9Q+ThssEP0fdbFtdwFW8I14pzBdgLgLYsB5ALz&#10;IL2HKnnAsibJmMp4aYPTtrTT1YA2++18KavWlFGX1UknnXSyNtLB2k7Kvb84aTU4ecs3ftjEWYrg&#10;mfSuXV8dPOiwculbPlCu/+I3mnVy+6WhWVLh8d4Nv1/8spmzm/h1ETdmsNYr5uAruBpIx1gBibIc&#10;AhgXo0scEAZ4SQPygUrCATUgkoHI49Sx/RqK2c8WTANXLalw9NFHN2WCjEBVQG32Y4SqDwBUDyin&#10;HtAO2AONedeCy7yAtYkRq32gNOCVdijTVpkgnjLB3MDaeNgy0rRJPAOWMc1Ik88rUwAv8Oh8QC5p&#10;QUoATB3a67UqYfIwxPUnw9zTfBBMPzIC5VF2+lm4MlwD+9oQMMtgbIPa7OcY9HQNA2vb0Na1ptkf&#10;KJ1zyLXWn64J7wP1M1TTP1Q6Ewx9pR2OLa3AGxdslUY/6Xtxd9xxR/MqII9aEBfAtlWuJQ0AbxDc&#10;+bqGgC4P3IBM+8awNgRy6mfXI22S1lZfyOOc9GvGAm3vR+vjgNpaXadsY/hT16ytJgiZONT7db7A&#10;Wu13Ln5DGVP29enZvX5cW1hLH1mypCzoTR7m+FjKQw81XlSjwdl+sLa338DaceOXw9qeTuyN0QdX&#10;qP+MqVOmloemPdR8eGVabxyDtTNnzWwmKSb7IO28hQuapR7mz59XHrr1znL/t/+93PutH5bZEx4s&#10;1xxwVLlq5wPL3KkPlVv/6tPlwSEXl3kzZ3WwtpNOOumkj9SAxevZ7IaNJfN79wqA6e677iq/+sUv&#10;G5vl05/4ZPmHno3wxS/8bfMBsve++68ar9Hzzz2vWe/2qz2b4crhw5v//IMPPKi5b/zF/3lOOfGE&#10;E8rrX3doL9/ny7lDzllRw7NXXJ9AM7q2knz6NK/dU/dB1xv8c3/Vr64Hm4hNxW7kNJC3nABccJFz&#10;QDT3RfdRtgobg7onxv5wf6WxTbKVt86f8Frb8e28bMGo44HKWV9VZu71OU49iYsdoR1JK054bdfV&#10;Nl3K1379mXOxz3bV75ZWMG/gzGCNXE4MbFtzAw+72UquoYcjWV6BvROY2w+ukn5hJOMlYy1b4W1N&#10;+nb8mqRO30knnXTSTzpY20l5dOGi/oBy9pwm/uy9Du0b/2zSc15xRHOuS2fM7Bv/eO+Gv67iRgy8&#10;8GBkcABDvBUtfcAwASF5z2633XZlhx12KHvssUcDihgxH/7wh5sn+hR4pIwa8QG0PF7tA2c0sEsc&#10;ECXM6+o8anfcccfGE1adwJq2tBVcC/wErsBaXoban1fbedaCtTyCATxtUq8ypQmI1g5lpW2BimBu&#10;YC0PWfuMMGnF03jngn/On2HGONZGhrRw521JAeVqLyMbIGRQW98WtAQ7QVFwjOEnvfbJ76m9PmX4&#10;CVdu2hAo67xsHVPnmP2oOp0TVVcUtBSXY/uBtTnup86FaqOt9thP39h3bXiBqF/7hPHQ5RWij9TD&#10;cE0cbwTX0UfGQN13vOMdTRplWGuX9y1jWh7jTl9Iw9gGznnlqlufG0/GkL7KuNGOwNqMGZBfeuPA&#10;taQBtRmftvq41kxy2gZ9tjHu64lBjqP1xCH7OU5Z6k779af+0N/Owzmc15ucPRVY209/35sIPmaN&#10;vYULy8LeJGJmb4xOmjhpBawdW8HaiX+AtZMnL4e1U5fD2um9azJ9OkA7q8xe8ZEOnrUNrJ0/r8zt&#10;ldssf9BTaySCpPMXzC/zpLEuXC9+6tU3lHv/6Tvllvd9poO1nXTSSScrpIYqNThxLwTynm7RhqtH&#10;Xl1esc++5aKeHUMe6bWDV+6Pe//R+w0aVD7Rs/v23O3l5fJLLysvfcm25f7ePf3/vvBF5bSeLTX4&#10;rLOekXY/ExLYtSFFmdZNdZ90D5vbu896OGo8gPfsJw+53TfBwpEjR658e4kdy06t7ZTa5qDus7mH&#10;xs5JeipenDRRx7Fh+oXR1NUOk+6paL+yaeJSLm2nTXjqTXz2+4Fkx1Fh+oMdWNuLjtN38rDbzad4&#10;PptD5C0z9q9rEY9cy4J5ay1r5HrI4bo+lTGT/4eMNVsC3BonILDwJ9O2pLwA4E466aSTftLB2k6a&#10;G8Yt//z91QDljV/+dhP/8Oy5q8U923TiRcOac5129Q2rxZ138NFN3LqKm3Bgra/T81jMMgIMF7B1&#10;++23L9tuu20DbWlALG/WwFpPl20ZQcASwASWAWfxsqWgaPYZO455w4K0PnB2zDHHrPSsVY9y5I8q&#10;k4KGQJ94AFb7ATiemVl3l2ctQMmAYnQqk+ew9sU4lZ+hpT3CwbDAWpplEMAibQX7KBgIDkpvX7mB&#10;rNppq/3AUPJ4su4DXSCXNjGm9bk2AGL5YrAylWVtLGUAmfIzshl64p27c2DoBdY6DwYhGKyPnI+4&#10;gNooSBt1DMyqrwa0AbZ1mDSJCzgMoLWf45yvfW2o1WQhSzsA0MKcI29Oy0wAsPqFR7RXy5TJoNX3&#10;riFvErB2xIgRTdtNRvLBOx4m+idf/AXUQXFeufoD5FSfvnLuxgyvZstTKD/A1mtu2plxQe3XGmBb&#10;T2bqbfYzMbBPXfeBNOnkVa621Ncn/ewcnMu5Q4asN6xdkz7x8MPlkaVLm/VugVxQ1mTwwQeXw9qH&#10;euN4WgNrpzcPImbMmllmz55V5sye3Uw65sydV+bOn9d4kjSgdgFdUBYuWthMMmv12qztgp52sLaT&#10;TjrpZLkExBD2WvbZE8+ETO3997/z2GPLCT3bxZsukbTNvWDpkiW9e/Vd5cphw8vHPvLXDTD6ds8u&#10;cg95/3veW77Qu9d3slz0mb5bHyBWjw99Td1HgdxZs2Y192sPte+8887GPvJwm63EI5c9xvZk87g3&#10;UnYRmyo2Ueyg2ELsk9g3tf2SY/fbOrwdX2v7Pv1kmvt7v3Lacf3SJVxaWoe3YW20Lts5xE5LH1Bx&#10;qc9x7MDaVhQO5Jov6WN9zrZht3NmYIv6qC9vXPYxuzjr47qO8cp1bUHUNUk9FjLG5LFfj7lowilp&#10;p+mkk0466ScdrO2kkYfnzFsNUtJls5Z7117z6a/0jX+26BOPLPdCuOJdH18t7vZ/+0kTt67iJsyQ&#10;AzoZDowPgBboZFCAt5ZHAD/33HPP5kNiDDaAEVwDaD1BtgUTGSOAEvgFwgGxQFk/o8+xOJ68gBvP&#10;Wl//B6jAqH6wVrmBtaCbsKxXqz3y77fffo3yDga2GFDqAy4BOmU7TyqcEWULMCoXLM4SCIG1+iYQ&#10;lgKB4Bm1D9Y6b3Hq7KeBy8pxzPvBa2yMMEYiww6MdN7K8Rq6tkqnXfrZ5Ai4k5+BDcwq17E2Muqc&#10;lzWztMcTfAYeA1w+detfWkPbGsImzHkFFooXZ1trDW5p+iT9RLUvKk4eW9cvYa6RcLDeJIJnJw8R&#10;4ycwFWBj0Np3rl4705/Gqj7jmWAcM6r1C6NYHyrfdVdXwLD+0bcmKzycA2uNX+vEGc/C6rFqm4lK&#10;DWyzH+M8mjFG62N10Bj19aTAsTT1mDQe9XH6LGVccuGFGxXWDqS8cYFcHv0PL15c5s+Zu3zpg1kz&#10;y8zZyz1r586Z05sozivz5s+vYO2CFbB2UTPh6KfiO1jbSSeddLJcaoASqGLrAa//SuqVav/BHqbZ&#10;eq16Y4llES4477zy6U98qnmQ/FTFvdcHmTp5csm1r8cAqfcHEmMEqItnJI23pf53//NQlf0PDGZt&#10;XA+9vSlmWQV2MFuLU0GWV8gSALW9wgaKrdQP5rr/ui/XGjDavk8/mSZPbKZo4qJJU7chadSd+mMX&#10;JF3y1NrvXFJ+P63zsf3SH3W8rTLs27JX0yb2JzvFHMSbdexeDgocD9hDbGO/fx7VbCu2k7VxKZsp&#10;gHYgbYuwjBFap+mXvpNOOukk0sHaTlbK3T/5zWqgcsj+b2huJE88+lg54S93WS3+2aBnD3pd+T0j&#10;65FH+8bPuOG2FT20buLGzFgD5wARhoI1QS1LwHjwWrr1QA8++OAGploGgTEGIgFIbVjLIBEOdIFj&#10;QGo/WJtj8BAQBmt9YAwYBgGBNHHy0kDOHAN7yhcWWOvDS295y1tWetb6KJq0DCF1Al3gnzwxppwL&#10;Y0q8cwqAZCRlGQSqb7RXGtAMQLMPUPKsBQOFCwuYtY0Kr1VbgFn1yUeVpW0MM21mPLsu1rsCH03E&#10;xAfcMdq0P+WDnNqp/dbCdS0ZdYArw871ZNgx+tQLxjoP5+raCaOBuQx056E8qt6kqVWcrfg2sM2W&#10;pi+SXh9Q+UBUW9ePHnvsseWtb31rM/5sTSBMHkwUeCGA4647z1kfkjNeQFhjCdA2HnzJF7y3JIb6&#10;nJM+M+HgPWuJBR64+sV4pfpNH6lHOuUaQ/XYrVX/Z3ISzbHfQoz1WoVl/MV4jwGf9PKrM78j41+5&#10;4rVX24ZfccUzAmsHUhC30d7+7x55pCxbsrjxprXMQQ1r24C21g7WdtJJJ50sF/ZtPwVnPdAE3tqa&#10;dU5z7L+X7cAG8CDtyTzynkzUD/KNHT2m2e/k6ZMN3d/KMx7cZ3P/pVlawQPwPDi//fbbV3rl8sb1&#10;aj8bkf3v/hrbp7Zxcu+tbZyEu08PdK9eG02Z0TWlqfdrbaevNW2TLu1OnkBVWpdXa8ppHyuntgX1&#10;W71f25bSxt5jt1hWgfrgsfnJ2WefvXJpBctdgLnmFR6I+K27pvWSI2saP+La2kknnXTyZNLB2k5W&#10;CiB76kv3Xw1WTrjg8iZ+zr0PlBNfuPtq8Zu1vnjPMuu2u5rzm9s7v35pHlmwfsAhsBYsYwwwEIAy&#10;a78yMHzwy9ICgBhYO2jQoMagANyAQ0aE13kCbOUH6EAmgA7EBJ2ER2OISAOGKZ8X7Mtf/vLyV3/1&#10;VyvhnfJBqsDael/98oJ9Nay1nAJYe8ABB5TXvOY1TT0MKm2Q1iv06nduMY4YRNJpt3IBR4ZQvGuz&#10;lS8gEuh0ftqaD5wFTAZKRoUF3tpXvrrjJes42+zXEDTercpwTKVhTAtPmaAuY1C/mZyBlSZVPG14&#10;RVgf17mAyyCtraf2PFf1qfJSn3hQ19a1cG6pu1btqNue/qk1fWLrWD4Quoa1rqU0xhvvWpDVvmUR&#10;jjzyyCZOGstqAPqguw+PyW8pBFsGqj6wzIR2WwfM+PMhPOn1lXXdgDqwNl62xqHz12/yuM7guL4z&#10;MQFu/UZMXHgqG4PGTBvgGkO8dAFk+8YWQ9vvKgZ5baQrI2o82grPuKTKDSxOXmn97oZtYrB2bRTI&#10;faw3MeTZs2jx4lVAbSaLHaztpJNOtnRhm8UrsoYnwtzTebXWkPapqDJ437rne/vEvc3/r7qiHazZ&#10;PMV1c/02lCjPmMkHzthQXs3PsgreDgMK2UYcDYBc9hVbyH3b/CA2eGx6NhfbJnZR7CH3+H737qj4&#10;pGnf5xMXbZfX3k98ykm8bZ2WShNNfDtNre221Zq8qb9fOcJiC0qXff3FttR3+jP9p74A3Xyc1/yC&#10;bQ/geluMbWtpNf8bbGV2MhuXjbUhx0snnXSyZUkHaztZRSZecPlqsPKE5+9aHl2wqIm//bs/Wy1+&#10;c9Yzdj6oPLHiqejgfV6/Wvzlx364iVsfcZMGohgEgCsj6pBDDmmWFGAEvPnNb25gV2AtECrcOrEM&#10;BR6ZjDEKajEkQDmGBCjntfQaZsXQoOoC4cC3V73qVWXvvfdu6gL9algrHWAVdaxs8I6CtYAp+PiG&#10;N7yhWQLBOfAGZuAwZLRHXQCfumMoxVAUpl5AD1DsB2ulFyddlkEAGvUVKGjfuddwstaESZe8tglT&#10;rm1AaGBtrYmXB/BM2WAl7wcGmQmYtgK0DGj9CMAyrKWLR612M9rsq4vnjX1p9b/1cNXHy8I+I92y&#10;AVlD1/koj6ZtAbY5F/2qf3OeVFptkB+Alk4Z9gFaCtYae4G1gbuutThLZwDkxqH1bW2dpzSgPXjP&#10;60A6eTx80Cbeysat/jEGeItkXBlLJiPOnQeJsS3cMhSMYOl5Kxh/lptQH5hrfBhfNA8sYlSbuNAY&#10;1dEY38psa+Kky+9F2bbCMn43R1g7oPb+557gjbt4cQdrO+mkky1e2Gb9YC1w5h4MsNYAdkNo1rj0&#10;OrV7nIe+lmnynxxv3Q7sbL6ScVTrukjyGp/GhYevxgxbMQ/N2aK+NwAYchzgicsjlF3qo7Fx8vBA&#10;2z3b/Z2dVGvbXqK5j7uny8fL1b78tSadfelqTR7l9Uvf1tRV2xF1XOJrFZY0Sb+2advtSFjdD2l7&#10;ynSsz2yVKb2+s6+/eUGbx3DQcD0sdcHRgScu+G7ekCWrPLgB5/3uPdRxndd1rPQTZdX/a3XZ/cI6&#10;6aSTTVc6WNvJKuLP+4q/+sRq0PKMXV618s996Ns/0nikttNsbnrSVnuWiRdf0Zz3owsX9U0z8cI/&#10;fNxhXSWw1lNZsBXQ4pVqCxQBZZZBsKQAWGvLGADA8npOYC0DKAAWXAJPAUFwKapMcbbSgnd5Vd3S&#10;BeoC9gJrpYkCZ4G3AJ80AB+vSfWo77DDDmtgLa9abWXMaKc6tctr8gyaGEExerRHvWClNgXWUmt2&#10;MXYAQwCRF7APsKnn//7f/1sOPfTQpg3aVENJ+1Qb6zDpqD6uVVgNZPvB2mhdj7z61hP0lJ26PWUH&#10;KANf9RNQSgFuEzL9xpBmVMerVp8x6Bh78kvDmNNXXsOyFIHlIRh5ntrzqNA/PCy0T386b+GM87SH&#10;ile/tgfWBtzyqg2stbUMwlFHHdUAWGks0cHzmze2MQjS8pY2bowPsNYDAgqgi7PvgYD6AFnLH1hW&#10;AbTjBZtxZQtYG3fOy5gRxvtW/xoD+tiEw2tn4kxIjKOk9cogI9n5UzAYwJWGsVwb0TRGeFT/ZpvJ&#10;inKUrw3CbJ3LORv5A2PPhFoLt4O1nXTSyZYqsWVrrQU8AVjcj9uwdWMqiGsL5rAbqH3/12AdaNeB&#10;3GePZOwFqq2NSBeA694N+GVZBUtMAbnxyGVXssPYYLEn890L93n3e/vu3e7pwhKefXEBr7m/i09e&#10;2+SXLnHsW+GBm/ZTRtInrWPbhKUNsTPqdAlra92WOr020ZSdc0j6WlNWnU6+wG7HsSupc4sdmjZT&#10;9ZnrAeVsWvYsiMsTOiB3+PDhKz1ygXdzRNfQ7zzrIOdBUjRjJOOmLQmn8qacdn77KT9hdd5OOulk&#10;05IO1naymiybObucsevBq4HLER/92yb+saXLyjkHvLGctJkD23MPOqpZ+oFcfOS7V4s/fadXlscW&#10;r/9HGtwY3YjdvN3cP/KRjzQfEQOeQCvLCgCcoO1LX/rS5mNObvzSudmDtW74gByDAUgF1WzBQPAP&#10;XKIBTowHW2lAJ56RQC1IzBNSfnARQIsG1lL7gF9grbaAkCAjj1rev2DtQQcd1BgmjJm0y7nEcIkR&#10;5VjbwEaADwQEBbXLWrq77rpr+e///b83nr/64T/9p//UgGAA8P/9f//f8id/8idlm222aeoMhKzh&#10;ZLQNZmkb0gK0VFuyH5WG2m+X6xy9eqYMYXUb5AE7XQ9bCr5S4IrnqCfsoKLr5Rw8ddd3DGnXWN/y&#10;sBHnFStpGdrArXLATdfUK3HabqtPAWJ9Ly0DUJj2a7PrAa5qY/aBWGvWgrWWPHj3u9/dQFswXBrX&#10;WRrxwrJ2rTDjBIx17ShIK02upfzqco7SSa/OjDHjwdIP2shLWRrjzT6DFsjlrSuNMc8gNmGVJmMc&#10;2JXfGFem35bfldfP9IGybIXJb+zF8I4KozG4acqk0uj/Sy+55CnB2kd6E6clCxeWx8DQPvGbgnaw&#10;tpNOOtmS5cmghP9EDwG9wtwGqs+UAi/aFSiX9TIpj0vwrgMtT6+4Luvb/082FtdFQDj3ePdfDxx4&#10;b7Ob2EjsRfdmNhbnAQ/WvZlkCS8wl93F1mUHsYnYXOyj2Ebsg9j2gZP1sfu/LdtWWGwwNoMwcfZp&#10;0sZ+EOY4daSM2BVJ2z6m2U8d/eLr8DqOpn007UiahNXp25r0ytf+WvVB+k9fSgeac1Lh7KHvvVFn&#10;WQXXxXce/P94YATk8vJnBxtn5pMR46aGsAG0NEA28fUYS77EtdN20kknm5Z0sLaTvjL58qvKyVvv&#10;vQq8BGfv+tFxTTyge/agQzdbYKvds++4tzmXheMn9T2Pm//pO038+oobIKDEAAJngTEeo27iwJ9l&#10;BSxNAIb5ABhPR3GgakAtBUAYBcAVKMaQAsuAOUYAoyrbqLSgIm9Ka+ECrYFy2kID0qTNliq3H6zl&#10;oQs2W1bBPqhFgTeQzseqvD4PtALPwKCPpu25557Nef+P//E/GsirrP/8n/9zUy4gaV8/KOM5z3lO&#10;k0/bt91222adXXX90R/9UQO0AV2ANHAQmMw2GkBbA1iQ07467LdVmqTrV15AbVvlCaANtAVdqTBb&#10;56le6tx5FCvXa2zK0H9gq3hGtTJ5SICd1L6n86Cm9hlT8vnKsPECuCmDMcgLOx65lhtwDUFQQI6H&#10;LO9l/WviB7JaPxZk15/a4BzEg7ngOpXHuDBmAqKdp2sN1hpj2qmPtE9ZxpM2yeNhAy9ZbRNejz2G&#10;MGOV0cowdo7O64477mjySGO8e3jBkM0kgpqI+H3wIgGtr7/++saDQT9kokBjRNtmX3yArbwBto49&#10;XBnWM57XFtYu7RnSvH5NiujonoLP06ZOLbNnzSoL5s0rD/fS+EBYv/xPl3awtpNOOulkYAmsBUTb&#10;0HRTU2DGlocluEzzsUn3d4BHmk42vOjjwLH0vzGj/9371rf/A9miAWprK/JIX6u2xFNbG9mR1lQG&#10;BYFcsHJCNTYAAP/0SURBVNDbWhwT2KjsAm8ssd/YbuYk7DA2v3s+eyl2E3uM7RQ7qwaYttLHdogN&#10;ZpvwNiit09ZlJD7HCbNVRvK009fp2jZM6o/W7ajzP5m28ySfbc45mnh1mR9KJ4369TM7mEe0D/8C&#10;uew0ntPGmLFFXceI6+uhgf8DY8X1j7THQsZUwjtY20knm650sLaTAeXGr3x7NYB50lZ7lLFnnd/E&#10;L546rQze57DV0mwOeuu3fticw+97N6dzDjhytWUdTt1uv7J05uwmzfqKGyCDyM0Z4HrTm97UeLm6&#10;ITv2yj+ABlT6ABiY6oYNlDGQKPgBSLmZB4AxjEA0QJOhFMgkPAYUIAaeqXOvvfZqvFXBNfBOXA3M&#10;7AfGOZbPPmCrTSAigAjUgq/K22GHHRrY7Fj4S17ykgbGWs/0z/7szxpvWG1+wQte0IDowFev1gNq&#10;+oGhAhaC2PFWtdQCEOips3qATvUoRzv+5//8n035IG4NU2s4G0Ab+JptNOC0vZ90yusHahOW8GwD&#10;awNp6+NsQdrUlWNxjpWhv+3zrNV+wBV8tDUmgFfXmLFsfVvXCdCUFqzUX9rP80b9DEFGuLwMOzCU&#10;l6y+BlcBUcf638OCjB2gHbz0MMC1ZLiDteozHtJ2W2NQOp64AG363rV0PsYqiGtsAaAZX7bC7NvW&#10;++oOSGW0JsxSEs7B2KbGjsmFyYSttvuoQzxDUgatjeRaxdWwNn1gMnLFU4C11oIFaQHbNak048aN&#10;L1MmTy4ze9dpzqxZZWlv0mQ92bWta320g7WddNJJJ6tLQEX+EzcHWLsmBebAG96f1soEF2mgIsDY&#10;wZl1l8Dafn1P+/U/kKvvKZD7VPu/X3ph9KnCNmm1z7If1Hhwz9ZGb3nx5mR7chTwe7jmmmuaN8LO&#10;O++85uE/T9xAWxrwaG7DDrDPFrPPxmJrxcaIfSZOWPLbyhdNeMpWXmBqreJTVlReaeuyY/clfV1/&#10;P01Za0rTT9t5tDHh6kw7YpsKt88OZYMKkyfnS9lV4C1PaNchcwP2XOCsMRD4WgNb24xV28DZjJlo&#10;J510sulJB2s7GVCAzAsPf8cqELPRlwwqD14yvEmzdMasZsmEzcXD1jq1l7/tQys/KnbrN3/UN931&#10;X/x6E78hxM0QrGWc8FAFHa3B6iYMnPJ2BWo/+MEPNkATpHSzFgfQBtZSN3vgCzADlgJeA5lqFQaI&#10;AY/WJN1tt92ausG3wNpAMwYCdQy0AcWWHABgd9ppp/K//tf/ajxpX/ziF5f/8l/+SwNp/+t//a/N&#10;Grs8M//Df/gPzTkAgH/+53/eGB4+XOWjac7Tq/Q8hsE83rbqB2vBVqCQyg/KAaKgMnjpNSD16xOe&#10;LvoIjFSec+Kta01b7QU5A1rjcSysHyCN1gC1TkfVH62Bbfs4cBJQjgbU0npfudqXulO/sDrOPuPW&#10;a2r6yvV2PrZe87d0AjhpfICXICg4CsxKw8jm7WrM+AAaj1xrwCqLxzZYq52e2LsG+t54YZTzsrDP&#10;aLd0g3PV/66z/MZf2qutwLsxZY1b/aCd6RdjS3r5jK2Mt3pLA2tpjtvhGaPaFnXe+oBhy+OAJzFv&#10;VsZwJgfRGMe0bSz7bSovvx31OO/zev3Ts2z7Qs+2Ptyb6KwdrF0ObO3r63Hjx5fx4yc07Z40cVJ5&#10;aOrUMnPG9DLHZBrEfXjDQtwO1nbSSSed/EHasOLZAmufTJ1nllKgIK6HwM4bvOtkzfJksPbJVB8D&#10;thuq/9vjeH1FOeYvAc4ArrkMQMh28bDf2rg8cq2/yl5lZ4KJQK6H6GwBoDFzkthabCy2V2wGdkds&#10;ttgT7AzKLonWdkaOqf2E1WnlT/nCYvclfV1Ov7CBbJ210bS/X1w/rdspX0CzfonNm/7JMgrmApZE&#10;Y1OC7Ln2rpsxFmBL7QfU1rA2Yj/hnXTSyaYjHaztZI3y+LKHyxm7vWo1mHnKNoPKhPMubdI8umRp&#10;uejwd276wLbXPks3PLpocdPumbfesdpSD/S0nQ8sjy1e0qTZEOLGx8ABt7xa7nV+gAxoArgOPvjg&#10;BkICr8AkSAROgWBeO2LsALbxrAU8A1bl4bnYBk0MImofJAQ2gWDr44J0ICGYB6j6kNf222/frBf7&#10;3Oc+t/Fa5W1p3VjelO9///ubdWOBZmn+4i/+ooF9L3zhCxuPWjBu9913b+Ccc4y3LGCnHAaH+njn&#10;AopHHHFE0y5PiNXPGxSs1SfOWz5r6zoXAMmSCM4TONQexgpDkZelY6DYuQG3IK3zYkw6z0BS9Wtb&#10;ACkFUetjCj5GA2FpG8zad53sB9wqLxpoq+46PCDWNvVlKzxxtl5Bc472AdBawVJ1Ggv6VB/nYxLa&#10;xLsUxOVhy6hjSDP4XKuAbuHaCKJbtzYf/oqnLuPP0gie4DtWl8mEZQe0wfgD1o0L3rWupb7XtvQN&#10;cGx8aiMPWcaoOqLKqKFt1Dhob40ZGqM1mnFvvDtHfZHx75jxa8xEc2yrPfalVZZ6qPLUe87gwRsH&#10;1o5eka4Fa43bSQ9OKg9OerD5z3AdH3poWu86TmvWntP/PHSW9CZOj/cm2v3a8WTawdpOOumkkz9I&#10;YEZAx5YCa9ek+sAr1hSUBBEnT57c3H8An07WH9auSdP/7tXqYcvpf29IrUv/12M8UG5ty6nz9VNl&#10;gcvGhnHCPvf74fnJDgBwfViLgwZ7P0sreM3fvIZ3LrsjNl4/+82+bYBm7LfYHmyXaGyRQM/kqdMk&#10;POlThrA6nD05kL2zJpVH3oHyC4s6Tr32k89+2huVJuduK7/5obff9De7kYe0a9K+ZrmOuaZ1OLEf&#10;mNtJJ51sOtLB2k6eVHxQrB/UPPEFLy9jzzivSfO7xx4vV3/iS6ul2ZTUB8OWzZnbtPfhefPLGbu8&#10;arXlD+h9x53SpNlQ4gboBgpWgotgJjgL1lrfFSz1RX3QDHQEi3gi8lYEa63nGmDrZg2QSQNygaG2&#10;MWwoAOeVdEsJAJiWJuAF+x//439sPGJ5xgJ2YCv4Cshl7VhLMvCMZTBJy2MVdOO9Kt45AKkgM09d&#10;HrDaIkybgUbwmaEhPXjKmHAu2qrt1ptldIG1PIwBSbCWFy+oB/RZl9arVs79RS96UQMDAUb9Zz1X&#10;r+nzLNUeT/F5VTJU5BcGJmp34K22BJiCo4G4jsUH1tYAVf6Uk20b2Aba2qqjrqfW1GVbA9qouOwH&#10;2tLa4zbabov604Yc21eX6wiY8kqWF6xVF2gPuupHahkO3rg8I3hEyMvAtjSCjxu43mChdhtvDGze&#10;FACnCYQ+NH6NY0/6hWsHUKt+CvraagOwbF9ZVJhtYG0/Nc76wdpooG0b3kaNuRj9MXapMGnlUb56&#10;lGesnnZK77/AhKY3eXoyXWtYSyvPWv07fkJg7YQG1k7qjefJK2HtQ80EaPr0GWXmjJmNd8vs2dYm&#10;nFvm9iZH8+bPK/N7W2DUUgyP9SZ5/doX7WBtJ5100snqEmjRwdqBlZel/rF1H9FHHjKyA3hfbkmy&#10;MWHtQFr3v60HuOn/p3K/rcFdLQnvF/dkIo/5jnZqW2C/dmVZBe30BhiPXN8f8OYXW9/bX1kL19wo&#10;kJMGVLbtDGGxRRzHrnOcPMkvPOWJDwx1HDhap01+aTak1m1IXdpNHdftiM3abru0sWPrNnLAAG05&#10;XATquybgK3Vtasl1DrC1TdpOOulk05EO1nayVvJ4zyhrQ81GX7xnuf4Lf1gyYPad95Vf/6/t+qd9&#10;hpTH71l7vKY8unC5R+0Tjzxahux3eN+0577yqCbNhpTAWt6o4CYgCmy6KYNmu+66awNNhfNQdQMG&#10;uoBSRgsDBmjjuQiaAZLgEsAFTOZJdKAUGPzf//t/b8r8kz/5kwaC/p//83+atWTV98d//MdNGeAa&#10;GMcAUC9YpV3qAdJ4wAYOaiPIx4tS+dJsvfXWTXnqBmi1B+SzXAKjQfvlsQyCdNruvLSLAcKokA+s&#10;9cQdiAXKgEZtNllSNlgLuuo/EBqYfdnLXtYAP+dh4X39AOJqHxAGNDIIwUWQ0BN8dQemZstbVD1e&#10;85dW+6l9560t0fo4wDRw1PbJYG0UkFW+8ABamnppDW1zDXJct0Pd2YKL9tMu5dm6pjSwVhnAt/Hn&#10;YYE+5Vl7zz33NN64PB7ixS0ORDQW9K9+VpblBlwT/Q04AvGWUnCNGee8J1wH10//GmNgLBAMvLo2&#10;+j4gl3GpPdZEkyeANjA3sDbANtsa3hq/tsICbP0ebPP7iPEb45gRnDTypl79CDyf2Bs36wtrR48d&#10;U27+26+X0b0+G5t4256uhLU9nThhYpk0aUJvfE8qk3tjvPGsnbIc1k6fNr3MmD69TJ8J1i5f784k&#10;jUHOm2X+vPkrPyqzYOGCla9VRnlaBOJaG7eDtZ100kkn/SX/iR2sfeoa2OOe42Gj+5172LNxWYVn&#10;AtY+mcYzkh2m/9kY69P/AXobSpQFNFv+Qf9xAmDraKePybIFfXSXLci2v/DCC5u5AocOdrz5EFuD&#10;3Ra7rt5nf4hny7Q1dkq/cDZNQGnSJW19vLbariPlKD/aTtdugzDnYys8ZbeVzebc2bDSmk95mw4Y&#10;19e5hjTjNUBWmP0A22gnnXSy6UgHaztZa1k85aFy2g6vWA1wgqEXH/Hu8tiS5V+lfHjevHLZ2z60&#10;PL6P5+rTqT6Idsmb3te0izwyf0E571Vv7pv21O33L49bH3IDS2AtmAWOAWOgGYgJ0AKWlhqwbw1Y&#10;IHSfffYp//t//++V68VKA1Dyjt1vv/0a71RAj8dpQFUUOPOhMgBS+r/8y79slivwcS71+2AXIAW0&#10;SQNeqQ8AA/QsRwCkAcsBmGCutNqundam3WqrrZq2ys/LFji1XIH2eTrOY5dHLSPDOqngLQh20EEH&#10;NWEMMOA2r0ZZHgJoAyOdN4Alzc4779x4AltvlzcnY0S7GHbqsIarJRJ8lEsbPLFXBuOPAcdQ1SeO&#10;eYDyHp0xY0ZjEKpPHuBUnpwv1RcBn576q0NYwqVPvH2gVh9FA29pyqQBsjXIdex6ZlursEBbqq6o&#10;umtoGxWuXPlcS2rfuBMPjFuD1vUDZEHW17/+9U1djD79zVsDSL3kkkuadYZ5dwp3vfW9vADx8OHD&#10;m/zgPy9dcdrGyOYZbl0zwFW5I0eObAxR18Q1APR430pj/Lle8bhtw9poDW2N/ajjdlj9u1A2ZdgG&#10;2GqTrXBpUq7+9Dv49XHHrResdXzX6YPL8O0OKNe962NlzPhxPR1b7jzuxHLdUX9Vrn79u8v9l19Z&#10;xvXSTRg7rox/YFSZNOnBxsj2nzEFrJ22Atb2+mvmrJll9mwK1i7/IjDP2gbYzp9f5i9YDmxB0jaw&#10;jYrvYG0nnXTSSX/pYO3GUaCIuld56O7tHvewxIFGmxMoerphrXEJvvWLWxtNW/U/G2ND9H8N+J5K&#10;3oHSaoPzZKsAudro4T4HAZ643qjLurjmB+YOlgyzfisnA44i5lbsEXZe2/5j8wm3jb0Se5D9w7ap&#10;7Rth2V9XVUY/rdPU9WqTbRvQCq/z1emF2zoP+ThdXHHFFc3vzPWN2AfuXe9csxrWdtJJJ5uedLC2&#10;k6cki6dOL4P3PrQv7PzNc3Yos++6d0XKUqZceW05/WUHlRNftPvTvp6tD4mduu2+5d5fnLSiNaUs&#10;eWhGGbxff49aOv36W1ak3LASWAtygqK8VPfff/9m6QDLC1gDlvcob1hx1owFdq0TCxr50Jf1awEw&#10;Hqfg1fbbb994y/qAF4DHGAmwAtDAM/vKB+ae97znNR61PFyVAUqBa0CifNqlXDATOOY9CfgCeyCr&#10;ZQkASN6tPGuBvuc///lNO8E15wMIgnmWXwBrvVoPEDIcePACtiAi8OvpuDWs7DO2qDaAcSDjNtts&#10;07SFgs2WjQBmlavNzh+UZagkDBhmqICqylMOAMWA4xEKnDlvkzCQG1j2CpYwSzIAhpYLoMoLIHV+&#10;vnwbKCu8hqW20slTg1pb7bdPaw/bwNqEt6FtVF0Btm1oSwNnaw9bW+1KWWC0cOldI/vGAXAProK1&#10;wKT1lLVDGn0JzIszTux7QKBfeccC7CA5LwgGor40FsBgfaoNjGue4fpVmZZH4B0B/gLr0jLEjT9e&#10;vaAtQGzsgbrgME9f18c1ZFxLWwNbGkgblSbaNtQpwzzGevaFS1eXayyf0hs/Pat2NTDbT1eDtb19&#10;Sx5c+5YPlLtPG1yG73BQGdXri/uuua5c8aJBZezkB8u4qZPLAyOvLnefeHq5+9cnl6tefmgZMejI&#10;cvWr3lomW8f2plvK5N5EZRrv2hWwdjmwndXA2jm9idbc+Su8a+cvKAt6urCDtZ100kknT1kCKzpY&#10;+/RrIJ0+B5is0cr7UlgNlzYleTph7ZSpU8qVV40sw3uqPxK+YM7Mnm0wa5W066L6X7l1/7MX1rX/&#10;67TmQLXn5tqKPOqlWfaBx7BxwebRRm1ld/kYMZDLSSDr48YTN8srmIuwScFcNoxj9gpbMHaiY7ZM&#10;DT/bYHVttbaTUl5bhdfl26/rrONtlUnlFZZzSVnC7LNr2WGcU9jZrmH637WmOV7X69NJJ508PdLB&#10;2k6esvBOPf/Vx/QFnidtvVcZ8ZEvlGWz5rhbN9629/3q5HL2Xq9t1rh9OqAtOHz5sX9dlk6bsfLm&#10;M+26m8tpOx7QNz2979enrji7DS9ugmDtoEGDGjDLm3S77bZrQCtYaU1ZEJT3K4gIfPJ6BVrdeEE8&#10;N2EQC0ACvnivepXdq9qgLkAK/AFUQBmwyfgAZgE39VmrlvckKCwMLAYUpecZC0rylgRrQS8esMCv&#10;Nln7VlpAD7gTrt0gMoOHt652aY9X5hlHvG8BQ4aEtgKuwCYgzeMSiOMtHFirDG0AOK2nCxiCh9bT&#10;lZfnLW9f56lvtMdrUgwSYFBefeXLqMAfUAn6BT7yygX9GG3a7bx4gUoHEqrLU3lPo9UhnPHG0GEI&#10;Wj8XcLSsgusSWEuFWRZAm6j8ziP7VPmJ107HNPFJIy7gNsA1+7QGtjU0DqTNvnyuh2vOC1rfyQPe&#10;Gm/U9aZgLQCvzWCueuItS4FY1xP4B/WBVmXLB/jqT2MOhL3uuuvKqFGjGu8H0BOINQYY1/LycDZO&#10;xfHu0OeMbH0KtDOwrT/suqlH33slzjIMwsHa2ts2cHVtgW0NaaMx1uVVtn3X6ayewd+bKfSFs21t&#10;w1r7o+67vwz9893KnSeeWka88s3l3kuGlrvPPLdc/65PNDB39H33lbGjRpdxvfF3z29OLrf903fK&#10;g73xNrk3CZk6a2a5cqeDytDn7FpmzJld7vjC18rEkdeVKXfdW8aeOqQ8eNnIMnvatDJ3XmDtiqUQ&#10;ev/Pixb2B7W0g7WddNJJJ3+Q2IkBFflP7GDtM6+BdQAdT0sPcXmDWmZBmHsZ8PRMSOrv1+4NrXfc&#10;dXeztV79xInLvSUf6/XLmPsfKL9/fF55aO4fAO6G1PS//t4Q/Z/fWFvq8IHS9BN1A7kgrqWhLP0Q&#10;r212aBwwzAu8BRavXHMONj14ywaM3Wg/dkzsQ/vsG/bRQNq2hYTJ146r8/RTaVJf9oWzuZKm3k+Z&#10;AbzxKo6da67FQYI9Wtt96WNbfWiemuNOOulk05IO1nayTgLCjvRBsT4fHjvpRXuUk7cZVO7/9WnN&#10;x8kiY888v5x74JvKKdvus8GhLUCrLZe88T1l6ojryu9X3HisT3vTP323AcX98tFbv/GD9bpByZun&#10;khH7ORbHeADDtt122wZ28lYF9wBaUJTXLY9V3qjAJgj2Z3/2Z81NFzQDtHgvAkhgGnAG7IGQ1qIV&#10;BuDygAXhADbA0jEPSp61L37xixsP1z/6oz9qPuwF4PI4BdoOOeSQBgYrFxAGPsFRYSAcmKs+IBZg&#10;Bof/9E//tGkPo0A90gK9vDbBWmlBPzAXmHZuIKS0oKmPCvAozpq1Pq4WsApqg6na9p/+039qYKHz&#10;8zE2dVrSAbRkfIGRDBXl6SOgG5RUzi9/+cumHIYY71kgjueneOfJgAE1wV7plQE0gZbOl+eoD7sx&#10;8MQBhuoF/UBR5SiPgcgoUo/XscBS5wrAam8b3NqXFmitga391E1rcFtD23jc2gbYqlN79IHxpI+A&#10;edfxv/23/9ZcL9eRBzNw61obJ4G1tpaLAHOVFxBr/EkL1BubxgaI6lqD6PpbPscMeXmdX9rm2l56&#10;6aXNGlquryUQXDd9C9iLs8wEEG4sMKqNGfXoZ9fIWAbmvfbmGtawtg1sGdzZBtS2YW0M2WxpYK3y&#10;jGXXYX0+MGb/juNOLNcc8Z5y53Enleve9fFy09/8Y7nvqpFl5IFvLmMnTCjXHP72MmzbQeWek88u&#10;9/z2lHLlyw4qVw16dRl5wOENtB3+kn3KHV/9Vhlz3qXlzi99q0wceW2ZMPTKctvHvlgmDb+63HjU&#10;+8vYE89YCWunjryuTDrzgrKwD6SNdrC2k0466eQPEnstNpv/RA93O1i7aWs8Lt1nln94c3Zzf3Oc&#10;+1yu6cYSHovgpfqbh6W9et2PtcE40sZ+bX+qqqxrr7uhDL9yZHlo2vTl4b2y77x2WLli5MiycNlj&#10;ZfLk2eXhZQvKpIljyoQpM8uieTPKQ9N53S5f4qBd5vpqzm1N/R8IuLbiemU+tb7XTjnGBwWWLSXF&#10;QYB9xomArVkvq8AeZWOyQ4Fc85h44rJr4gAQWzL2JPuR7RS7yL70AagBruxaKl1tQ4mj9hNuK61w&#10;5aSMxFFhCW/XYV/btJGDykUXXdQ4ShivkfSxftpQfd5JJ51seOlgbSfrJaNOOLOc8pJ9+kJQOnjf&#10;w8voU4aUJ3o3y8icu+8vN3/tu+Xcg95UTt1uv2Zd2XWBtw2A3XrvcvrOB5brv/j1MvvOe1feaNQ3&#10;6ZJhTf0nAbl98tM7v/eLlWB3XcVNrn4ySXLjyz5YC9ICjiAY+AhoAZ9eLwdRLXcAjPF6fdOb3tQA&#10;VgAJSAU3pQN4gSsgFFwE8kA0kEm8tV7VAwCL32GHHZqyeKoG5PKwBaJ43QJ70gN6YB8YKh+oxpvW&#10;Vnu0U3t544KKDBgwkBckQ4aXLWDsPLQDuLTOLngorbrUowxesSAqw8gH0IA6QA9MBvfAVev0AoGW&#10;TrDuLpDII1k5AC6QLY6Hr7K86qNdgbXyAtGgeK2BkeA3mMgw0yawSh+DjfpXGHUMImqjc/F6FQil&#10;nVFP6PUDeMsYYiTZMqoARvl5hoKs+gJkVTZDUVvsB9a6LiCmtgXiiq+BbgCuNI5BUl7b1vYF4Hki&#10;62vjx7rHrqtrb0xoLxCu340JH4PzEMF4BGaBeX0qT8JsQV3XFojXZiBVX/OuzXUSrx+dQ0CtrbT6&#10;VLm2lDFpjIC+XltjVPKgZfSC6vrNPgOUNy04azkFRmcb0No3/mtgG1jbBrZUXTGws6WM2sBabdTn&#10;Jx5//HrBWp60D9x0cxkzenQZPXpUGTHoDWX0qFHlmjf8Vbnjp78pY+66u9z02b8vd//q5HLPr08u&#10;d3zrh2VS77/iwYmTypSZ0xtYO33B/HLltgeUO//xO2XSyGsaWHvH5/6hzLFW7eJF5fL/vVOZ39vO&#10;X7SoDN9qUBmx22vL/N7ksR+opZlERTpY20knnXTyB3k2w1qAzf8/z0hwEVgEG6ljUCuvvffLv7mo&#10;9ruOzonHZUBq9mtotTGE3c/bMw9SU7cx5T6cNrbb/WQKPI4dO275cS//3TddVx55dFEZPWN2GT1+&#10;Wlm2ZFYZPeb+Mnn63HLfmEll/sIlZfrkcT076qbyaKusjanpf+ftnDekrAtUlN410a70uzGQ34Lx&#10;b1kFb9mxRb3l5Y05kBPIBXDZrFlSgS1P2bJsn2xjT7ItY0vZ0ixZEHtpTXaUbcqXV5nC6jzsNZr9&#10;hNfxyWue5K1BzhLmq+kPYps57FPt10466WTjSwdrO1lvmffA2HLhocf2haE+MHbC83crZ+352nL7&#10;d39WFk6cvPJm4GNe80ePL+POvqBc/cmvlHMOOLJJ++v/tX2z5uxJL96rHP/cnXu6S1PWb/58x3Lq&#10;9vuVM3Y9uAx7zyfLXT86rsy69c7Gezby+9/9vkweOqJc0GsPALwmCDz6lMHrDWqJG1x9k8tNMMf2&#10;LYMAOPEwBYFsgVcwFYgEcUFVr5kDYz7o9NznPrfx8OMlabF4EBTcUg5oyjMUGAPmQCrej4AgIBuA&#10;BtLxogTngFwetbwtAUNr0soP1oG1wBroB9aCddqWV+YtUSAtIAjKMli0zxbc8po9WKmNgB7wCfaq&#10;h2GjbuelDBCRAQLKaQsQak1Y+8Ak2Pr//X//XwMO5QFrAWnLJ4DGgbkgpT7jkQvMgodgLIAob2Ct&#10;8gJrk04Z2Qd/QU8wEVi0r52uE5jLo9b5ANfigGHtD4z00QNxYBeDTv9ZzxXcnTBhQgMBPaXnlcv4&#10;stau8gFdHqbKV5dzd20ZWcZG2uGpv+sRb08Go2ug7YCr68j7GIzlvWxffu1z3ZyXa6xf5LP0hHFh&#10;rEn753/+500f8poFZqV33QNpbY0xZfDS1hbtdJ7K1I/63XgzBvWnczceAmtpYG2O2+r8bKXxwQge&#10;y/YZzwC2Bx7GubrbsLaGtAkPrK0VrLWNR0QNa+2Lk9fvTN1DeuOyZ9n3hbNt7Qdro836tT0dff8D&#10;DbgdM2ZsufPks8pNn/v7css//EsZff3N5e7jTm48bu875ewy7ubby9QZYO2+ZfqCueX6o95XbnjL&#10;B8ukEdeWiYG1vUngvN6kb8RLDypze5PAmeMnlpGDXl/u+9YPy4Qzz2tAaRvU0g7WdtJJJ50MLM82&#10;WAtKeYU9r4d7CO04ENH/NAUWAUUeiNJSAAvMWhewuCkrkJrzDkh13vad68YU5etTdYPjAYW8U9PX&#10;a9vfy5YuKRN68yr7kyeMKXfefXe59+6byjU33NazQ+8vjz+6rNxz573l7utvKoufoWvo3J4JyVys&#10;no+tSaTTXtcg44H6vbBD2fDsd44WHDCuuuqqZokBziZsHjC2tifZUrGV2Fb2bbMvvblEDVXZT7ax&#10;w6SJfSVP4uVJ+JpUupTLrrYkhDGePrEFagNwO+mkk01POljbyQaRx5cuK3f95Dd9oWjU8ginbDOo&#10;nP+aY8r9vzm1LJ42fTVYCrwumzm7LBg7ocy9d1SZcfPtZe59oxsgvOjBqc1auL/zBLCntYi743s/&#10;L4P3ff2TeuryxPUxsQ11Y1JOP424CTJWeNTyQAUSeTSCiI55oPKItAwCmAq0AbQAKg9KYNar9TxL&#10;wSwg7Q1veEMDHHk+UgCLBy44agtMgmzbb799A/F4WwKt6vABM+UCdiAhuCoNwAbagW1AGw9YdfH4&#10;BXGBQu0VxggAgHmoKsNHwOSXFvQDN+WXh9EC5vK8DGgF+sBJsBCYBhktz+BcgOb/+l//a9NfQLFl&#10;CIDJHXfcsQGNwKBzEK+fnEdgbGAtcJgwCigGKgbqOtYeqj3OW3tBUm2L92oNFM8999zmabs+cL7g&#10;uMmP9ICzc5VHmHJAO9eTQSfO9bFOLnDpCTegCpTJw/gDgn35Nu2gXtdSD0MxbbSkgPGjT53r1ltv&#10;3Vx3MBa8VZ42Aubq0r+At/oAVVDd1kfqjCtxYLnxwpMaOHUdQFp59bWHCmCtthhvrru604/25dUu&#10;fQPqakcArXakH4VFEzaQAqeALOPVcQ1rbWtwmzDbtodtFLAFa6OuS4xrx/JKo+3nnnPOOsPalcC2&#10;t73vmuvLmHHjGkjbQFvbUdKOKeMmjC/jx/e0Fz7u9jvK/RdeVu78/k/L5N5E+drD3lamz5tTpowe&#10;Uy79j/+3TBq5HNbe/tl/KHMWzC/zenVe9mc7l7m9Sfadn/9auf3DXyiThlxcbnrzB8rC3iSwg7Wd&#10;dNJJJ09Nni2wFnwFmdga8Zjtl24glT7eoV4fp0BWv7TPFs36p/rLuTp3sI66f9a2/YYWZWuD+7M2&#10;qA8s5OwBHroe5hPtNq+uy6HssiWLy7RZc8vcWdPLuNETytIV4U+3PhOwNvMwMBL4fqrXLfkj9tP3&#10;GRfgut8E2/zmm29u7HeeuN4azFIKnFXYVLE12UfsrGhsKWnEObYfYJs0FNiVZl1grbq1xRzGHMT4&#10;Sv84rxre0k466WTTkQ7WdrJBZcm0GWX4+z/TF5LW2ni9brVHOX2nA8uw936qjDv7wrKI1+1a3CR4&#10;5P6uZ1BNvGhoufYz/1DOecURywGttXL71FXr5cd+pDy6YMMbXPVNrl02Q4GhBWBY5sAWiAVtAVRw&#10;yfIDbqzWXwXBwFzgDFS0PqzX7HmnglUgIm/ZwDowEvSyHinAZB1cQFIckMlr10fIeFmqD+gEEAE+&#10;ZQG1gDFA+8d//McNuBRvPVlh8lnnlCevpQ9AQDd+a+WCYVkTV93SqRO0FQ8cKhOIBV6BVMfPec5z&#10;GhjIaxbI9cRXGrAPIJTX8gEMDV6VIDZQzNtXnwCL0oGO4Gnt4Wlf2folXrUDwVr7QCMImvNuw1oK&#10;PtL6OFtetVkGwVNra2DZgpOAlfJ52Crf9eMxysOWR636PKUHIKUBUxl/6qf6mhEIkOpzY4OhZWkA&#10;bXduICng7nprEyBvC9xaWgI0BVwBfuE8kgFyXslgri2wD9y6dmCwMWK5BGOnXtOW6ivtVZb+1ZfG&#10;hn53TZQPSqtf/8RL1bkEwEbXFtjWGlhbaw1po/GybQPbLIcQ45nGmBWe9PptyODB6wxr7Y+6594y&#10;bJv9yzVveX8ZceCbyvUf/lwTfu8lV5Sre2F3n3Z2GTdpQhk/bkKZ0JtUT+pNyiZOmFQmWQaht28t&#10;ZBPtadMeKlPuu69MmzCxTLntznLDm95XrtzhgDJs60FlzG/PKAseWVYue86OZfK115f7f/iLctUO&#10;B5b5C+avAmmjHaztpJNOOhlYNndYy1PTPSiv+9dx/vuFg02BgsKlo8Lkd+6gFHgp3la/AFQeLspf&#10;l7slaOC1PgJzeSd7MA9G6puNKeYV5hKug3a4Rjyf2Qmup/atrTfu063PlGftmiTzNNvomkR8IGad&#10;RxjYqe+NDXM91wTA9bFd85iTTz65AaWxMwNms439BMaaG9iXlsamSrqBbK+BNDZd7Fz5Letg3Lo2&#10;/c6FdtJJJ5uOdLC2kw0ugOuCcRPL2YMO6wtM2wrcnvjCl5cTXrBbOWW7fZtlDk7Zbr9y2k6vLJe+&#10;+f3lsqM/UM58+SHlvIPe3HjmSnviVrs3a9Y2HrRr8KKNnvbSV5TJV4zYIMse9BM3uvrpZC1u4gw7&#10;N2tgzc14//33b6AWSOvpKzjLGxVwBbrAXFDMKzDAGu9SnqpAFTgG1gKSllMAyoAwIBYc82o8kAfg&#10;CQNMgVDgDfAE5QA5kBT8A4GzvqwPUYGLygZgtQXAA2HBTcsTbLPNNk25yrQvzJIIgCIPYVAQYP4P&#10;/+E/NG21Ru7/8//8P81r986Z12yWgwCRgULgWnletQcdvfoPtAF5lgvQH4wfIBNIUyYvXGVYTiHQ&#10;kOrjLIMgnAbUUn0TYFvDWuBUvwSUtmFtv232QVZtSRnArK1wZTsH14n3revs6btXp6Th+QI0gtIM&#10;O0Ay5TDQGFbK0FbrtsZj1fIL2shgV4Zwr2UZM8YJeGwsuC5AqvGjrfpCf/KANg49IPAQAeR13bTZ&#10;GOFlzXOZ9zOwbzyBsQCxNoLR+lb/aZt919J1UYb2qC+wFrytoSsNqK2hbbbtNFHnFq2BbVtB11qN&#10;m2wDbeNdG8OYQStNxt4Zp522Xp61d516dvNhsbG96z+6F3fdOz9R7h58frnv0qHlhg99rtx30aXl&#10;0j/etoy77/5y/8WXl4v+x3PKlbsfUu787k/KgxMmlKkzZpTpC+aVaXNmNxOemb3j5kMevQnBnNk9&#10;XTHpnusL0RddVhY0MHZhufvL3yrjjj+jLFq4+lIIHaztpJNOOhlYNldYq91sjXa7QaS83l/DmScT&#10;aeQBA907Uh5g6L9dXcqt69pSNVCb6hMwDNQG7zY2/HKdzD2oMcALWN0e9Lr2zzTE3RRh7cYS18L1&#10;BtT9RgB99jkHi9N69iT7iJ3JXmJHsbmEsbvs12G2satqsDuQ/dVPlRFl47J9rV8LJLMd81+Q8RPt&#10;pJNONh3pYG0nG03cAHz06/Jj/7qcvM2gvhB1Y+up2+5bbv7691e0aONJbtBucvZrEcaQs74ruAZi&#10;gWDgJWAGxPJuBfHAT4C0fpUd/AR4eaMCSF5f98o7b0mekfHA5AkrjzVIATSAFYilwClAZ7kC8UDl&#10;85///MaLFMRTnv2sdwqYBtaCusoKaLWOKSBqHxTbfvvtGy9M+aVVn9fqAVoetsCv+p0r2Meb1jnw&#10;6ARogUKQz758zgs8snW+YLaPeAGw6vXxKeVJq1+cizabOMinLHBTe6UHKgHGeNhKn21ALY1nbYAt&#10;+Or8KejYT+s411ZeqhzlBdpGU48xABYymPShOAYdsEqT1pq5DCugV/uBWW1Xhn3AkmcuyG0MGEvO&#10;yVb7eet6jQ78NsYYecoF23k6g/SuvWtgC9haQ5gncz525yNllp+wXjCvaOlcF0sl6N/AcOpauy5A&#10;MWBrPPI8ll775LFPawC7NlpD2n5hUaA1wNY+4zQetm1YG2Bry4Cm4pRj/+ILL1w/WHva4HLDR75Q&#10;xo4b2yyHcOt3flJu+afvlPsuubwMe/6e5eYvfbMM/bNdy7h77yujLhtern/Xx8pESyLccmuZ3Nte&#10;c+g7ytAX7Fku+p9/Uabe/0CZfNNtZfKNt5RZ06Y3Sx/MXby4Z3DPLfPm+jjMvLJg/oJmorhw8aKy&#10;cNnyNfk6WNtJJ510svayucFa9iVPS4Aw0NAWZAXrNpSwbcFH/ZN6Ui84Vbep01XV/ECfgXdAKscD&#10;98fAMX3bnjtsaHHvZ2eq39h2zYBc21zPjaHPFljr+qwtyGxfS33P4eTiiy9ubC3fnmAz1fZW4Gy2&#10;7CzetraxzWqIu7ZalwPYys9ZhI36VB/gdNJJJ0+/dLC2k6dFfte7Idz67R81HrIbHdz2yh+y7+Hl&#10;7n//dXlsyZIVLdi4kpt4vxt54qxnFJhl6QAA1Gvlbr7WhAWSAFmgEHgFtoAw0BLo4u0oDGDjmSp8&#10;2223bdLzcgRf7UsHRFoyAGTbfvvtG7jJexds4wULxNmCikArqAryAaZAIW9eYBfwA3e1FRC09q1z&#10;kB7YVR9vXWmUpUxroAK3oCxvTOXyoAWn5bWEgX3gVnnAsP6wli0g65wt4g9QgkjAtmNGBgAon/MR&#10;bp3Xfffdt/EkADlHjhzZeHLyKLjwwgsbo0Sd8QYFEUFVYFFY7VkbsOo8nJdzAGMBx2j7mLZhrfzU&#10;flTZCVO2rfNLvDhtcX7KEqZNPkCmzdKCzgx8bQcULf9g+QhGGPitH3nsygM2MsaklddrWR4EmFTx&#10;vrW0gqUNeGjznDaWlM+z1iTV9RFGXVtjFtzl0WxZDJ62wK4xkWUUjDnwVl5tTt/Eoxa0NY7XBtQO&#10;lMZ51dvs1+GBtNF4yrZhbQ1sA20BWvvKsb2k15/rCmvt33/TLeXKlx1cRvcmR2PGjyvXf+jz5dZ/&#10;/ffCs/bGT3253H/t9eWqvQ8vd/701+WBy4eVy/542176A8sNf/XJMumBUeWaV72lTOlNrqbNmlmG&#10;bz2omfSMO/+Scu0rjy4j9zi0XPSXW5W5c2aXcacNKRPPu7Qs6E3OF4K1LUBbawdrO+mkk04Gls0J&#10;1oJs7B0PZRMG0G5ISNtP/Lfrp9TJttgSl0ZYXwXLqCUn2LH6EdB1jw5AXVtAuK6ifhBe3caSawvg&#10;ur71NV5X3RI8azPPGwh4Cgfs/U69Rcd+54jC5gp8raGq43ac/dhYsbnWRlMGVb5j3xtho3nYUo+v&#10;gdrfSSedPHPSwdpOnnaZP2psuf6L3yjnHvimctoOr+gPXJ+invKSQWXwvoeXqz7yhTLjxts22nIH&#10;axI3udzo6n1iHzAD9HgmAmVeUQfQvG5ujVDejmAniGjNVssWWFYATN1+++0bkAvW2gdrAddAUuXK&#10;C/iBocoAby2roA5wU70AKgjLy1W5AJtlDIBPoC2wFgAN/NU2sBawkx9QBX7tqwcQtpatNvD0BWsB&#10;VZ65QJ5zVZby5f2zP/uzBgJqQ8rgwWlf2iOOOKIBj7fccktj0IDOgX7aCyqCv8Ai6KhuxqD01o7l&#10;+eujXMAc71qwVt0gJuPEwv+WG1AWj1OeqQGL8ZTVBwBrDWXpQLDWNjC2DWrbGhBcp6fgbPYDd4FW&#10;Cii7tvrYmrfAvzBwWv2WHgDZwEbpeGPznjCG9K+Pllm/FkRUhr7Rj9IZd8C2fgHZLLXgeoC9PJrB&#10;WdcFUDfejBVAnWe1sSjMAwTXlrqu+kNfgbYUSAVgA24B9cDWp6JrgrR1GI13bRveDgRr9R1gK1x+&#10;2/WBtQ2w7elNX/zHcs1R7y+3fO07Zeif71IeuOnmcu+ll5ebPv2VJs3oG28pI/c5soy6YkS54T2f&#10;LJNnTi/j776nTJ40sVxzyNvKXf/03XLHP/5rufZVby0zexOqWXPnlFve+5kypZdv7oIFZf6SpWXY&#10;i/csVzx397LwkYfLgoUL+kLaaAdrO+mkk04Gls0F1oJ51jUHXHLs/31jw72IegL21A/4eaDcedlu&#10;GAVRbXlIg6g03tLU9d7Y15qtAB4bZ34P+fAaXdvrvCUtg9AWcz/XKNfJ1rWznJWlzKxny+7ijMJ2&#10;sm8pMzYWW0x4bLIa4tZ215Np7LLkU559Nj5vX9eIpK313LWTTjp55qWDtZ08owKqLpo0pUy8cGi5&#10;7ds/LsPe86ly0eHvLGft9bo/wNit916uvf1Tt9+vp/uXs/c+tFx46NvLNZ/5+3L/caeUufePWVHi&#10;MyducLnJ1fsRhixQx5MR1PrTP/3TBoQBmQAmb1rLCICNQBgvRt6mvGGBVWl4J4KgYC1AB+oCfmAk&#10;aMbDEawFKUFYyymAs/GsBWOz7AG4C7pJb91SZVi6QHk8a0E8nrWAMW9J0E9ZQCsvS/BPfuVK69y2&#10;33775hX6wDxA2fkoFwAEB7VFOO9c7YlHJwDL01h+6eUDgqX3Cj5gyDNTO9N2ywR4TZ9HADgIcopX&#10;/qhRoxogq68BW8fAp/OwhABgC1ABvL6QeumllzYfBgN1AdG77rqrieOxC94BnP0gbfZB0MDWQFjb&#10;9j5Qq1/bccnrHKiw7AfYDqTq5lXr42ae1vN6ta/PLL8BZFsfGUBTLsirr4FVsNsEyzV1bGkGa+t6&#10;8m68AZiuP+9dhh6AqxzlGQuAvLG34447Ng8ehDtHfcJTmAKpAC1Ym2UQooGv66IBs/VxAK19cLaG&#10;tfGujWYJBGDWfjR51xfWrtTeeBt12x1lzNhePI/bq68tI17xpnLjBz9fRgw6vNz65W+VBy4fXm58&#10;9yfLg7NmlslTppSpD01tPGvHXzGiDHvh3mXqmP+fvb8As+M607Xhc33fOWfOueZ8Z/7JzAQchokz&#10;sWOOIYmdOIljjJkxBplZsmRZli3JYmZmZmZusdRi6JaamZl37939/HWv1pJLu7dktSzJ3dJ6ktdF&#10;q1attapa9da933or3jw05XkP5tHA2u27VFhQqIzovdry58d06PPeDdG13sN6JEhrzcFaJycnp1Or&#10;pcBaAJqNZgWcAdK+CdBi4SHtYOxIv8Q9xt9WZ+fWALmcc0A9Eblcq/Yez3UAyD2f1wJ1cyx8EgyI&#10;zP0e/8Ie38LmSxnWnkqMH8+EAFsCJfCpbBABfpiNgA2HtazDwn2v05l/H+oiMIF5UjHwnMDfrG2T&#10;g7VOTs1PDtY6NSsBb415N4vaikqVxCUpe9su5e3er6KjCSqKjVdteYXZ1txuKLQnUpvsOn6JBlYB&#10;aYk8BVQSdQiEBZ4CVklrABgDdBLJCKQFcgJ4AWKAQSJdeX2dcqQRAJKSbgCIC3ADvgJy+VjY1Vdf&#10;bSJyAZ4AXgAw8NWCUGAmr7QDeQGFHA84CTwlxy3bgaFEu2KkPgD2kfqAeoFybAcAA105JvtRP/2j&#10;7UA+P4hlPcezsBaYSn9sGdYDawGNRAbTdiJ2OaaNymU/6gIUE/ULqCUKl4+NzZ8/3zggwFmbRxVA&#10;S1QCgBcnaOHChSbH7ZYtW0xUKX06fPiwqQcwinNJXllAH9Dy4MGDpiwQEzAK2J00aZLJM2yBLeeB&#10;eqyx7F/H+Np1jJt/vYW0dtkCWgtriboFyhI1S5/slDLMA1AB4UBqPmTAtcE223+cPAA+OX45v0Ta&#10;3n///aYc5w/ISOQ0wBNox9gBrZlyLQFguR6JZMaZBHTyqzxQkxxojAvtmzdvntlu0zKQX9jCVMAv&#10;Y2oB7ZnA2vDtkcpTvz2Gfxmz4NYCW6Z+WGudY3+ELcuUY/9zBmvDLC6OaYIS09OU4I1xYmqK4vcf&#10;0O62X2jbI69q+1NvKvnQYW26/VFlJCYqeecurf/1H5Wbl6e8ggZYmwasLSnWrqff0p6XPlTcsIkm&#10;+ra0ovzEQ1skc7DWycnJ6dRqCbCWtgHJmAfa4V9+k+IVb+4vtj38IE6b/G12dv4NQIox9sBArhNA&#10;Kvd9wD7niO3nU9TPvd9/7EtJ+HiRZKNrrRgnYDtvAvIcQmCFDSLAx+JZBb8Kv8z6XNbH8vtdX2Xs&#10;a+sD/gJrbX0ErXB+7PPrqZ5jnZycvjk5WOvkdI4U6SbHsr1Bc2MG+hHxCmADOALOiKwl9yfRkESo&#10;so1oWsDWv/zLvxi4B1DFmAeYAjeBlcBX4CH7EvUKjCQ6F9AJOCXakShUgCcfmGJfoDARvcBagBrl&#10;OD6vstMmIiEBv0RJAv8Ap8BbgB3zgENSONBu5ukPqRaAgkBmwDNgj7qAr0ReAmKBfhbKUi/toV1E&#10;wgKSSYNAGT+stZG1119/vTkGwJp9WUefLcTm2PY1fGAu48A4skz9RHnyCzYRpjhSbANGAuaAmowr&#10;sBZQCjClPNEKQFjSAjAmdp7oXmDu8OHDTfQtwB0nCwAK0AXEEpHLq0zMW0DrN47FuedYLPshrTXa&#10;xfhizFsDoNN+QCyAlO30l1/Jgan0C7BNfb///e8NzKYdRGkzzvSNa4BzCtwnOnv58uUmIvfIkSMm&#10;/zFToq1tugrGHwBL/4HxwEy+bEtEAAasX7NmjQGcAHYgL+edBzbGhnaTbgLH0EJV6iDa1kJbjGVg&#10;s13PGAMRI0Faaxwz0nqMY2AW1Prn/bA2HNhShnqb8oGxSu8hyA9kT2lxcSegbkKCZ4kJSkxKUnIy&#10;lmzGLDU7y6RNST5wUBlpad71lqXDQ8bp2OTZyiey9sX3lb51h4rKSrTyW1coY1u0jo2arLU/+K1K&#10;KytU5j0o+QGt3xysdXJycjq1mjusJXKR+wPzzQHU+mUBLe2ijTbi1lnzMCJeuX4AtxakWqjLuXOg&#10;7uzFsx5+JTCUVGWnkv9ZkR85+BshmIRvcPBxYPYHquJTWdDKPP4Z/hVTv991pkY97G+jdTkOgR74&#10;nfy9hsNkJyen5iEHa52czpH8N2Ar/zpuhDhHADByzwI5AX3keAUqAjiBZ0RAXnHFFQZw8Yo6MI6U&#10;A8AvoB7RpQA0oBlRtLxSD5QFoAJhAa1EwQI/qZvjMA+gA3JSBqALCCUiF4ALrAXIUR/RpURbku8U&#10;2Ap0JWoTOApoBSQChqmDttncpfSLeYAsYI/9iCBmX/Yj2tZCWcoCf2kPUa+AYtpBefZnX8pTr4W1&#10;AEGieYG4FtaynUhjYC2RvYBZ6qaMBbiMJyASeArk9INOonCJ/iTqE7jEmOPUAPqIEmUfwBpAnDLA&#10;WRwe4CbjTr4noDrOLpAPmDlhwgTjqAEzAZ+cM2ApsJfoX+qnHMdi/NhuYS1TxteCW7ZjlLWRtf4I&#10;W8At2+gv4wDIBngD+9mfa4RriOMzdowj7eBHAMaf88Q543phPyAv1yGwFKeTSGWio4n4ZsrDF9cm&#10;48Z1Qj8B2VyfOJyMNbCWfLmcV8ArxyZygI/oAbSph7QVpGIgQpnxBKQTWQBEJZKZ8acNfFiOcT0d&#10;rLUGXLUWvt4PajH65jcLaS20ZR3HXLJo0RnDWqzc+/vOzc5Wktf/Y6eKsrWwFlCbkKDEhETz2mhS&#10;UmIDrPXGBktPSzevuWZmZSorO8uzbOXl5ykvL1c53vY8bzk/J0fxU+Z6D17eQ5d37D2vt1N61DYD&#10;SSOBWszBWicnJ6dTq7nDWu4fQDeMf9PD/c5vUrTFpkAAAJFiyQHblmFc935fwZ9igW1OpxbQFZ8X&#10;3x7xHIDfeyqFg1GWGW98Znxg/FSgKv6U9bdYxpoKa215G6lr68HX4+1AAjyI0m9O/444OTl9KQdr&#10;nZwuoGx0LXCNiFCAGhGqwDciR3k1HagFHAN8ATaBcUSaAslwBoCywFWgJtG2RGhSF9tJcQCUIz0A&#10;+5AGgchJ4ByRskBOAC6wlW1E5wJJAaNspxxgEmhLHQBi9mFqYS4gkePx4S9AItG9HBvQyjwRmxbW&#10;ku6A/LfAWtYBWFnPB8xoO3UTHcsY2Ghe+g+8BewyDpSxOXvpG8dhHVGj9BdICZQFzmIAS8aXddYA&#10;dcBVIlAZQ0AnU2CnjU6lXxjjCbgiByzzNmoW0MY8KRRGjRpl6sPBYbyAk9OmTTOAkbqInMUxAlRa&#10;EEtZYCARqPyCDuTEsaNu6qJuyvshrZ3nGsC4TmgzZvvBPGPCuWOM7XmgPOPImNEGpowXfSIVB9cB&#10;Pw7YiFuirInCBq4Tfcv54LpgPNkX8EzqByKBieLl3AJZOT7nCTAHKOe6JPcv0cWLFi0yYw/MJtoW&#10;KEh9OI+cP/rH2BFBi+PIxxYAwfziT4Qp23gl7FQwNnzZb/7ymAW2mIW2FtxaUItZgEsdi71z3RRY&#10;67d6z4LeA06N96BaVV6uwrw80ycg7peRtX5Ym6Tk46CWcn5Ym52VreycbOXm5XoPTnmeFSi/oFAF&#10;nnNfWFSoIs/4IajIe6gqyslxsNbJycnpLNWcYS1v9fDvOPNESDbHaDigjwW0AFsbuefvh7OWZfxN&#10;cE4x7utch4B4AOP5TqvQ3MXfIAEPRCtb8TeAr5nj+WOnkv9vl/IYvjLBIPhTNsIWvwyfiyn+lYWv&#10;Z2q2vP1wmR/68pwydepU4486OTk1TzlY6+R0AcXNGEeHX04BkAA1YCNTlolqJIIUMAo8IyctgBE4&#10;SUQs64CwFuoCxgCBgDXAKwAU8El0I4CUiFsiazGbUgCYCnzjGP5IVyAw64Fx7Es6Ao7DPFGXQFUi&#10;bgFswD4+iAbYA74CUknhACQk4pZ20C8iLgGEQFjgHNGcpEkANgPtAKlAR/poo2FZtpGjgEoiMTk+&#10;wBgoSIQwrwoR+csyx6H9wG32ByICGS3AJdqWOq1RrzWO44eijGV4pCsGkAVWAjqBkMyzDuhG/TZi&#10;2l8HoJEyAFhs37595jjkd+VXd1INAMaIMGVKtOmGDRsM5MKBwlGjHNcG25lyLAtrmWfcmKe/nA+i&#10;UxlHrhH6zzUBrAdIc31htA1AC6wH1gLeGUuuLa4d0lPYXMqMPePJGNNvxgugy7gyT85b5oHCtGHZ&#10;smUmiplzS1Qur1gBPvmAGxG9NmKXKdHhXDPsw3XPmJIqAYcSgA2kpd8AbaJccXxPBWat2e1+SOs3&#10;C2r9wNbCWWsW2FJ+4fz5Zw1rT2d1gYBC3sNPrWflJcXKzspSkvdAm5RyPLIWWJueroz0L2EtTn9O&#10;HqAWy1e+59QXFhapsLio4ZVGrx5AbCkWBmj95mCtk5OT06nVXGGtBZ/ME1XLcnMVvq5NicD9Bv+G&#10;Nvv746zlG+eUvxc7BTZyrgG53P+5Di52cX0TERsuYCxv/DEup1L4+BChyw/3BDrwHIA/ZgEtvrGN&#10;jm2K+WGtrdPWi+Gz85bgpXCunJxaohysdXK6wOIGDuQDpALWAKmAQ6YAL4AaUJOcocBT1gFZeaWd&#10;tAUAUUAX8BRAZ+Eb8I6IWdYBZikHzGTKdhulCvTk1XeiWwGorCMakzIYqQ9YB3TFgLGsB/oBhS+/&#10;/HID9CxwBdYBKukDUJWIW+qmXYBfACeRo8BGGyXKlHUYIBOQB9jk1XqmFmoyVjgtgB/WcSzqI/ry&#10;3/7t3wxcBCTSDgts6QvtAFayjn38sBa4SVuZt5G2OFTsSz2MN+ASA1SynrosJKW8BaW2LFCT6Eza&#10;tnLlSgPFSJlAX2w/yZfLeJCbiry3PHSRBgDnCZgKRGMKiAaMsg1wyFgBdjk2EI/9AJj0i3ZzDGAn&#10;54goZtoMrKVdLAPjaS9jxTm0PwxwbRERzRSgzvnkfNtUCVxLRAswhqRVYMq1YX9UoE9cP+xHxDTX&#10;LGWuu+46A4mJziVanLqAo+TTJSqZsedBmLHgWmGe9Au0H2jIdQN8JFUIMBXHFbgbDmZPZ4BWO/Ub&#10;7bBmQa2d2shajHXsv2DevPMCa09l9d4DjzFvvqaiUsXeg08WaRAys47D2lzlGWCbr4L8BlhbRESt&#10;L/+cAbZhgNZvDtY6OTk5nVrNFdbySrqNWOXf8eYu4A/Rv7SXKfcuf3+cXdxm4TyRt4B7fF8iOHlj&#10;6HQAs6UJf2r79u1mHj8T35XnF4RfRb9PJ/5O/KCUH2F4A5O39QCs+FT4Zfhnp/K9Tmfsz748a2DM&#10;W1+NoBDeFORtOM6Xk5NT85ODtU5OF1jclHl1iBskkalAMYAgr7EzBVoR0QrwBGZRBngKAAOIAc4A&#10;rkSvAmCBncA5ohvZRo5SgC1AlrqJzsWol3oAaEA6oBpGdC7wDdAGfGMfgCdwEMhn54kY5Vi8vk/k&#10;JQCNPK4ASqIiWWaKdezY0UA3CzTpA0CPCE4+eMX01ltvNeuA0MxbeEwfgdE4D8DpWbNmmWNTB1Ne&#10;wSfPElCSnKm0hWPRTvpgwSlpB3jYInLTAle2s5+NuiU6FHiJAT5ZRz2ATs4BY8O40k4im4nqxYgU&#10;JjKV8SOdAG2n3UBHIDz9AHQ++uijpj6OA6wlPQJOGACTSFuAIOAWI6UAAJP8UYwrgJaxBR7aj3cB&#10;gjkn1EOfKMP4YJwjxp3+2UhhxtEfOQ14Z57riuhofhDgmiG6lvMC0CWym/MMuOW8ALAB4pSlP8Bd&#10;+gaM5TpivO31St033HCDmee88IMCMBnATaQ26ziPtI1+ce6JvmVsaDNpAfjgHa/YEbVLBPrWrVtN&#10;ZC39tzA23CyMjVSGdX5Ia5cBshbUWvMDW/a90LD2TIyo3ErvwRc4W1zcAGnDYW0kSGvNwVonJyen&#10;U6s5wlpAChGLzNuUAmcqC4PCodDZif15fZuptVOL41lg6z445sxvQFwMn4Rrm0AEInO51llPlOnX&#10;v17Pvyyspa34kYhvWSBSe30VrEX2b5MAFaaMA2+asT++lY2GPZV/djqzsBa/DVjLFGM9b7ABhIkM&#10;xj90cnJqfnKw1snpAgsHBANIEVlrPx4GEOO1dOAZsAtwBkTjdXQgG2V4bZwIXCAmsA1YSKQieWeB&#10;YZTlNXX2w4C5RE0CG4GmREEC9IBfwFUgIRGSADWcC7sNWEiUK5GeGGCQfYF1TDFAIDATWAnos/lm&#10;AZUYOW9JuUB0J3APSAfwIw0C6ReYAkIpxzJ1AaQBf0BK8igxT2oAgCHHI6KXX6yBnThHtJVfsYk0&#10;JZqWPgIrGVsANPtz3DvvvNMYIJExs7CVZQwQS0Qp6SNYpj+ASo7HfrSbc0P/OYYFw5w/ljkWcJGy&#10;9IO6gJ6AcfpJ2ygLJAbcMt6Ay7lz55oUAcOGDTMRtcBoIg+Az4BL+gnIBE4vXrzYQGhgLREqjBHR&#10;t4BQzgcgl+NTnmMBzRkXriMA8ZYtWwyABMRShn7SDsaCa4/zANAHxgKvAbFcUxyH9VyT9BOYD2Sl&#10;/fSRY3N+udY4Ltca1wTXD2Cb64v6gNgcm3EEjHP9Mb5MOQZ1cz4ZM8aL/gJWOQ9E9FIPZS2A9U+t&#10;+ZfD5zE/tLWwNhzaAmqZUqY5wtpTGRG5tVXVqqqoUIX3cMwDcjioxRysdXJycjq1miOs5d9tAA7z&#10;/DB3JrKgCwBkzQIhO990sQ+wNtxOXZd9RZ62kx7K3y9nziIZz0j8KMHfIG+U2VzNrMOAuWd3/Z57&#10;0V78HnxsglkQ/jF/Y2cKa5EF1Yh9WSYghQAV6rd+Fn6a3+/6KmPfcFjLlG3AWpZ5ziKIqLmMqZOT&#10;05dysNbJ6QLLOsnc4HkgAMICsGxKAaAU8AoICZwiOhWYSAQjIAuYBljjY19AUfYFsgKXAFJAV+oA&#10;+AHFgHkAQiIviV5kmeMAwICZwFQMcAo8A8QB3IBkQFTWcTzAHSDSwlZrAFZbB2brBODZvgH0OB4g&#10;lWPTLtoEnKRNRJRiwEPaDrQjspaIUYAPEJC6OBbRpMBTtjMujNv06dNNegaAIf0D0LEMLAQg4/BY&#10;YMm+Nv0BDhUf5aJuYDBtBjBboyxTjmsjbIkKxmwUMOuBpPQZoEkKCtrFODFmQGGiWllPPbQXaAsA&#10;pw2234BM+s55Zx0Al2hb2k5/AK9sZ7xIDUBkK0CTOrg2+PIs8JR8r4BYxmz16tUGfBKdylgAdDk2&#10;ES44cPyavn//fgMnuT4AtPwIwA8AAGeOBXQl9QGwFaBK1DZQm2uUHwc4r5xjgC/H5Jogcpfrjzo4&#10;z/SNfTivHIcxZZ6yXK8YY8M1zHngRwRgMz9ccBzGkIhx6qMNnDc/jLXGOurFwrfZ7aeCtX5gewLW&#10;nqectRfaQjzgVFUZkFvm/T05WOvk5OQUWc0R1nLP5t9tCz6/SgbKhjxfs67esy/hrDWWAWJMz0Ts&#10;c3zOs3BQi50e8vDjIW1n2pzG1VnLMhuNS1oF3p4DhAI1Weba4m+E6/qbkj02MBTfFd+e4IozFc88&#10;VtQFqCagw/pW1GtB65kafp2FtXYd8xiwlmWeFUi19U2OnZOTU2Q5WOvkdIFlnV6mREts3LjR/BoL&#10;GANe8oq4hZlAM0CnBXusB44RuWg/RAZgBKYBuwCsAETgIbCQqFIbWWrngakAMSJBrQHbMLsMECMV&#10;ABGkADgAI6CV9tAuIiWJuKXNtt0YgM72AaMc5Wm7hbSAUpvzlX5RN30kahXgCRAGDtMGjg08IorV&#10;7gespZ88TNEXUgIAIIGyjAtOCeUAqxj7zZs3z8wzpZ/kvCXdAK/gsw5YxZT6cIgAnLQXoy7aTd/p&#10;B2ZzrwIe6R9jQd9pB/tyTiy4pV2cC84LkdFEUgMuOQd2HDgOUwtumVIfUzvGwFmOw/gShUt5gDXX&#10;D9sA0cDqo0ePmuhXfikHeAIegZQAZMoA3/naLKkz+KgAfQDEUi/XCcAWsA1sAxbTTmAp54h9qZvj&#10;0DZyGHPOuCapz6a8YD19ojzXEcCXFBFEbHOtA7EBqhyP4wOoGR+AKtcDbQGeMl60n3PGmPGjBLmK&#10;aSMRwVw/pwKzdn041A0Htn5wa0GtXX++PjD2TRofNnOw1snJySmymhusBXICbZgnjcCX4PTUqqur&#10;V7AmoHqvL3n7D+nozEXK3xat6oxM1ZWUKVRZpVBt8IxhrRXHrq/n9fQv7UxgLbIpEHjdnT75+/iN&#10;m3efP7Zvk2bPmKYd++Mjl/EsGAppw5ZoBb35jGObNHzuLrN+7azRGjV+tiq9MQ/fx9mFMSAuU/wO&#10;mwaNKHSW7RtFTb3eL7Twjf1tJIqYtwiHDx+ufv36Gf8KPy2S/3UmZsEt8/hx5KxlfunSpeajcIyh&#10;k5NT85KDtU5OF1gNzm6DY8tNmV9dAYX8CgvYsgb0Y0p0JxGIAEzgFlGggDNAKpAMKEi0LRGxAE/2&#10;AXICDgFmFvAB/4BmvFrPsZi3U9bZZcoBWS1oBboyxQCUgEub1xWwC+AEFAMkiTYl6hSIDFwDql1+&#10;+eUmIph0DDYtAxAOkAlwAxSyjhy85DglKhNjO/vyGj/9A/zRL+AeIJd2TpgwQbNnzzbAkP5Thm1A&#10;TNbRPlIH8Es06wGYQEbGnH7hqBBdCoAFArOOCFYgKnmcMHILcxzgLv3mXFA3EJZfo4HmGH2g3UBH&#10;onWB2xZeco4AnuxjI5jpO/sAUTmPjC37cN6YJxoVcEs/OX8AW9pnzwGwFmM755l2Ed06adIk81E2&#10;UiQwVkTfkjaDutnGNcJrVaTWYEzoL+MMEOXaIjUDTiH14bxRBx8HY3/gLbmVOSdcD7TLpmb4f//f&#10;/9c4mlwLpE3gXFEf1wMwmXPPNUa0OP0GptJvygFruV6Ycr2yDljK2FCevjNujCVpQBg/4C8fTKMe&#10;yjA9FbjFLLRl6ge2flgbDmybCmsBoVikbc3FHKx1cnJyOrWaG6wlapDXwJkHOp0JrCWittorV1tR&#10;pSF/eUxdf3Ctev/oGnX/+fUa8us/aPg9jymqxxDVBmtVQ3VeeWPU7a/eW8ZP5ZgNU6J0gbxfWgO0&#10;9e8UWTYyGABFRGR4P79R8+7z23bvV3mgVhsXjtfWuCKlbl+mfnwjYdwkjZs6TwGvzMFdm9Xqw27e&#10;+IbMfkFv/EKV+eoxdKoBXYHwep01C+PccN0Bb4nEtTn+mSfnP9vOhUJl5aoYM0n13nV0NrIpHqyI&#10;dCUlGgEm+F2k6eK5panA1vpsfliL4eszJQCF4zBWTk5OzUsO1jo5XWDh8PpfNeHGjOPKa+wh70ZZ&#10;VlioA/v3m49KLfJu0H16926Imr3tNhN1igGrgJPAMQAur5UD14hA5VV5DADL1L5iD3wF9AHWbDQr&#10;EaDUR9QpQNF+dAzoCDwDKAJWmfoBrAWqgFagKlNAK0CO8pRjHfuxjlfniSgFyJISgEhgcuoSJYkB&#10;C4GZHIP6iMxkO6++86o98I+0D9/61rcM/AM4AiDpM32nHwBUGz3Ma/VRUVHmtX/6eeDAAQNcN2/e&#10;bNrEgw/AkHVsZyxJN0A9rOOY7AsQBMgCJTkujg1wGqBFOSJEiBQF0AJ8aTMfdgMSA1CBs0SmAkdZ&#10;Zj3Q3X6UjHnGnrFinDivAEwAKQaMBYoCZDFgLTDTAlvOpYW8jC3HBigDt4GqXA+cC/rBvmzj2IBp&#10;5gGS/KJOHYwncBmnjSlglV/0AW/k0WXsALmcK+ompzCg0/54wPVKlC/7k74AKM51B8TnOuT8EgkL&#10;WOVaIMqW/nH+SHtAnmCuWfoF/CZtA1G8jDfnH3BLm/lYHvCWvlvo64e1mAWykeAtbQ4HtoyDXW9B&#10;bVNhbXVZmVK86wGHl7x8qSkpysrIUEFursq9h4JgdbXJKxtp3wtpDtY6OTk5nVrNDdYClgBKzANu&#10;TycLTZmGakLaPH6Gxt38oMb86CZN+berNPPfrtbkb1+ryd+5QZ/95HoFUvK8ekMK1pMSwdvXAFsq&#10;8CwQUhlwNlSnWu/eVRcIevePWm85aCxU580fh7UNO3y17MfG+CHY38dv3IIhxayfae5/PTq1VY9J&#10;UcrYuVCfTVjtuQC1yovfoJk7k1VSVKjHnn9b8xcuUV7qQS3bmqYJA7vqiRde0+79R4w/T10Rj3FG&#10;5o2zN6bNLvL4IjeivoG3+CwYEJe0AKxj+5mqrqxcxa3eV6ig8Piapou/XY7JFONvBh+NN+qAtTyH&#10;NBXWWjsVrAUGx8XFNamvTk5OF0YO1jo5XWABazErbsb8mkpOssOHDingOQ3eHfNkwwH01qclJYmP&#10;Q61fu1Zdv/jCgD4gKZAPoAsYJKoT8GWhKVCQtAFMAWBAM3Kasi/7YQBMtgFVAaLAVD5UZgEs+zAP&#10;HAP8AdtstCxgjWXgLdsox7GpC/AKgKVuIDDLzLOO4wPygMVED2MAVwxoavsCvATKAomJ6ATcASV/&#10;/OMfmzYAKZm3H1Yj8vJ//+//rX/6p38y0Z5EkLKNqF+2A2KBSUA/AC3LAEGAH9ATgMgxAFpASdIs&#10;kMeVtgDziD4GKPJKPkCTfgDbAYkAd1IPkDeWFANEq9JnygLL6dP48eNNjl0ikwGVnBcAKuAd6GnH&#10;mT4DeAGTFrQDcJm3IJd2sB74znH+23/7byYim/Pw3//7fzdAE3BKv2k/qQqA40Tv0jeAKg4gZYDR&#10;1EU08YwZM0z7yWdF5CyvYDFOlKfN7EuqBM4pY0v/ALNcK6RYoP1MAd1AbKZE+hLZTBQ5fWTsqI9r&#10;C3DLNUq7APFcH4w57WZ/omq5vhh/rm32w2nl+rEQ1g9rLaT9KliLWTBroa2NrGV50YIFZw5rvYdo&#10;nF3AdiRjGyA3OSnZPKhmZ2Wp1HsAD3j7mSiMCHWeD3Ow1snJyenUam6wlle6LeQE4p1OFvDUhUKq&#10;yyzSe1fdpuLlWzT657/TuG9fpXHfuVJDvn+VRn/rSu39pKfGvPyOQsFqVQe9uuuJnKWSBqupD6km&#10;FFSQ3LfBOk19tY1G3PGYZj/7ltZ17au02YsUOHxU9aRmqDuz16e599APpvTL389v0mpyjmrQwgPG&#10;Fy/MTlb/yWuVtn2p5u+MMykP6uoq9cGAlV4P6vX6Rz1V741LVsI2jV+WoLqqAvUYMlnp2QWa3Old&#10;z+/opMWz53j7VWvHkgkaOGiIisqrzbkLHY/IPZWFKvPUY/CkBugbYbuzC2ucM0Auf38YP5xkeb4b&#10;hn/D39r5EOff1s2U50OCJfDR8LEi+V+nsnBA6zcLa/HLeW6hz05OTs1LDtY6OV1gWWfaysJbom1x&#10;XnnlvLSwMCJoiWRE65UUFCglJUUxR45ozKhRuunGGw2sBFoCMy+//HID8ICbwFXWAWiJVrQgFrDL&#10;MvAWUEiEKnARgAgwxZgHaAIBifgkyhN4CDQELPL6OrCQCFKgKwDWAlmMKGCM+gFwRKQS1QpI5diA&#10;OOAlU6JSmQJDqYtX9gGF9AUYSPQo/QNAAiaBskBc1pMOAChJNC7Qj3UAZSC0je7FAMCMB20hQpTo&#10;UpwiokgBbMBWQBZ9x5kBKu7YscNEqTIlapmoWXLfsg6QTvsAVUBp2kn/gJBAXoAjQNdG4gLGGDfG&#10;DDBK9CznhTGgDHXQRuYZY7Yz7uwLrGWKMe4AeGAtbaYOxoNIVvoMfGb8GSvGBLDMmDHmnD/SCRDd&#10;yzzjxnkn2pXjMzbARVIgADs5/0Q8E53LuWHM6T9tBtySVoJrCZgL/OVckGqB9nMMopqpl75QluuD&#10;KGjm+XAY48S54jrheiPKlzGiThzOVatWmXWAVeoBqvphLIA2UloEwKy/nIW1FtIy9c8zXbxw4TmD&#10;tSfMK2PLJSQkKiExUYkJSUpLTVV6WrpysjJV4v3913gPCHU8mEc41tcxB2udnJycTq3mBmsBQ/yb&#10;DTjyvyJt5XmUOJbMqK7++IfDamo1/a22WvZRJy1r31kz73tGI352o8Z95yqN/OF1GvqjG5Qxfq4+&#10;+uX1qj6eq7Kq1qvfq8+EEnh1lTOpCam6PqDMDdvV87Jrvf1v0Lh/v16jvuPNf/+36vW9azXz5XdV&#10;5+1b6/mxVUFvbyqoo1VfBiVY4fsSHUxf+FBqc4GSdYEKPdl2hJnfNX+wPh+/8cxhbWW+eg2b6o17&#10;naa3e0LxxQ1Aurq6UslZ+aqsKNfwPr0NDB82cLCqAg3HzD84X4XH54OhenPeSKnQ26vLwdrmb4B9&#10;QC7/XtgPnpFbGh/X72Odjfg78b+BSYQv35zAtwKwNgXY+mEtvpvff8PfY9nBWien5isHa52cLrAs&#10;rMUsqGUe4aBxowcWxh45EhG2nKnVe0Y0rv1VeOfWrerXt69eevll83o8AAyYB4gE8BHRCKAlwhOw&#10;Z9MKAM0AdkQ+AucsSMWIxrSAFfBnAatd5wevtjxmc9sypU6mgDmgo4XBwFPW2/0pT1sAqqwHfBJR&#10;C3QFAtpj0w7AJZAUuEu/nnrqKQNEgZQYsM9OOR7jAVBlShtYb3MGA2GZ7tu3zwBGYCtliZIk6pU8&#10;sEBbwDVpEWgfIBdISZQv8JM2EcEKAMRpos84RrSRBxYLLoGbtIuoUbYRLUtfGXv6RLQygJK22Ry2&#10;QFXaS/+BtRyfyFTmgdSAWgC1jVqmTsaO7cB7olRpJ4CUdA8AV8A+/SHilnrpH5HIXBccm3YAdjMy&#10;MrR//34TTcyPDIw3KQD4AYAUClxf/BAAuGVsidomXzB9I33EtGnTzHgsW7bMnH+ieYnSZRyBw6Ro&#10;ALxyPVAn4wfc5Vpgnn4wtQDWwln28S9HMgtqw436MKJrzwesjYtriLJlPiGhAdgyZsmJyabfKakp&#10;SktJNT8apHvjm5WVrZycLOV741ZaXPK1Ie65gLXW+bfr7DL78iBB9DgPFg7WOjk5tTQ1N1jLfZY2&#10;4cv538pqUL2CCvGrv+pD9aqsC6kmUK28PfvU9j+vUfm2fWp/5e9Uunabhl12o6b++zUa8e9XKXfq&#10;ErW//GYVL1iryU+9ovqaBsgLrDWICPDr3TLqAp6PGqzRJzf/WQVjZ2vc/+8KTfjOtZr4rSs19VtX&#10;aex3r1eny65WZVKGAZgB2ncc1taZ2hrLvlpuv+If3t9vwsg1G6iu1L79h5Sdk6YhMzcqefMCzdlx&#10;rBGsfe61T04Jayd9+pbKqhvqDIUCmjakq3p1+lCP3n+f4gulAb37qSrQAGIzo/rrSHW9ygqO6sEn&#10;39eWndvUpXN39R4+zTwLkH7BPiP423ohzUHjszN+jLDzXO9AXHx9/k1hTM9E4c+G/DuwYMEC87Yb&#10;vpb1u6x/5vfHgLlMw3005q2x7CJrnZyavxysdXK6wPLDWsz8mn7cEDdogBYfyQJi5WZmRoQuX9tw&#10;Ajw7cuCA2n/8sXkVHwMO+kGrf+o3C0ftdsyuY2rn/duo37/M1O5PxCjgEDBoUw0AHonCpQyQktfu&#10;KWshLgCTeog8xWzb2M6x7DHsFMjHdqYAUKKILQwFoAIC7QfTOC7bKMv+7MfxMNbRNhwcADLwi0hT&#10;8rZSJ6/8sy/zgGRe5ycFALlzqYtUA8BCIC6wk0hVUinQZiAeYwC4BAoTrYuTR920kzYSZUpEMG1i&#10;zGxqBNoOwASG2ry5Nu8tIJbcscBdcvpyDMoDvIlQJgIXaAzYJWcwsJZ0B8Bw9iMilyhf6gHiMt5A&#10;VFJTkIaB4wPYSW/A8Yi2pQ7ay0fOKAsUZgxIc0G/aQt5bvkAGaAaiEnkLP0GkDN+pKGgPn7AIK8W&#10;EJNcv4wf54l9bRQtkNZG1Vooezpga80Pbi2sxb4OrGXeb3a93cbU5rfl/CZjx2Etjj39xDnnuiCy&#10;Kjs7Rzm5uebfBhx+HnQLiwpPfO044F2DdTU1JtLeWqR2nktYa5dtRC2G80/0x9atWx2sdXJyanFq&#10;brCW+wFRfPzo3hjWAlfrGgyfMhBSfUmNOv71ASXNmq9ef35QO4dN1sinX1H0mx006KdXa86dj2r8&#10;K29p0psfKX7OIn184+3KP5Ko+hpSHgBs61VHXdV1qq8KafOwCRp+/7M6Mmm6enz/ao347m806dtX&#10;a8xlV2vgr25R4tApGvSP10y+zlp8Wq9N3p4NEDmC6AMwi3Fudh8aO43tOcpH3gLaMfVzfdGpo7IT&#10;dh2HtXnq6Y2BgbUd31a5gbUhTe7ayvQV0LZx4WjFFTWGtTHe+RrW/g0DuVlXVRSjj7pN9AapQs+8&#10;/KGyq4JaPvgdHcht3B5j3jhybUTcdhqrLGvwIfxQ0W+cG3wLnksA6vgi+CtM/Sk5TrW/s9Mb48rY&#10;4c+Zbxx4f+NAXdZbSMs859aKc8IbS/hi1t/y+2GRYK3dZn228HUW1rqctU5OzVcO1jo5XWBxE/Y7&#10;3MxzU8bYhphyI8eZIipx144dykpLM/ktvbvp+TXa4FleVpZGDh9uoB/gEgN4+iNoLeBlHdGcFmZi&#10;rLPzQFa7nWl4WbYD53j9nmheIBxTIkbJtQpUtNCWyFCiNQGH5MbFWGeN9QBSIjExIK8fEgNRAY2A&#10;TyKGqZeIUSKKmQcusszUfsCN9rCO7ewDDGV/6rHzGMcF5BI1SrQp6Qguv/xy0z/OL2MJ6AQosi+R&#10;qMBI6gfUMS5M+dorEbyAUVIIAEMt5ASsEZFKJC7RtQBGImGBtsBWICxglKhWIoo5Bm2kXRZY0w7K&#10;Am2BncBeYDX1EFlLflrSKwBqSSNBO4gUJvqW/dhOWwHB9If2c0zKckxgKnVRliljBrglhzAOIX0j&#10;Uhmwi5NKG6ZMmaKRI0caZ5RzTh1AbPoLOCVak+sAQE70s424pe0WyEaa2nkbbRvJgLXhkbZfO7I2&#10;Ll5H9x9QzM5dikuMV9xxSMuUVAhYggG2iUoisjYpSSmpSebDZFgasDa9AdZmZ2WbiPuTYW2+CgsL&#10;VVRUqMKiohNfN8bKyspU5j1QVVVWqsZz8IOew080LtH2waqqrw1rMb/T739wYEoUOXCddjg5OTm1&#10;JLU0WFtfxwfCPJ+Rj4FVBbR79DQNu+tJZc1drW5/fFBpyzaq9+/uU8bcJRr4/et1pP9odfvt31S6&#10;/ZDa/PwG5S1br7FPvKrqED/y1as2VG+idGsDQVXFpev9X/1eoV2x+ugXv1PuzJUa+t3faMq/X6Mx&#10;37lG025/TEeGTtPHN/1NlXEpBkw2wFrv1mn+21j4t9wb8HHpW6Q+txTDr6sNVGvnwTjzYbHpXVsf&#10;h7W1OrRylI6kZau8OFMfvvSkEoqlAZ91UElVw/akpV0MrB3UrrVCx2GtTYOQummGorZEGzhaVlGu&#10;N15p6537sGMHa/XyM8+qV7/Ber5Nb2/sA1qxctuJ7dVV3v0/EkwNVOn9NzuoNqw+v/E3EGm9NRtx&#10;i99BmizOI88rNi0A5kDu2RljCyDH5/P/4M16ghwmTpx4wu+yPpjf8MP8Fr7ev+xgrZNT85eDtU5O&#10;F1jhsJblSGaF88NNG8C1dcsWpSYlqaywUNWe436q6LnzYp5T6jVcVd5xFy9YYEDhE48/rgcfeMDA&#10;W5vzFojHNJLZbX5oa2EvUBRASlQlIJMpxuvzpGogahMoCHgE0FoYy3GBooBaO2U9gNTCZCAvBqi1&#10;BpzELGxlSiQnkJB5ICdQk+OSL5c2kAIAA0gCkjGbYgGASDoJUg1QB2CUfnIM6mUemEufgdJAWD68&#10;heNFewGEtJFoaiAx5UgJAHxlfGzaBcAaqR0YLyIYiZ4lFQMwE8OZI1cukZkLFy40EJL6GDv6Qr9o&#10;I2PMcQGp9INoZqApkJfjEaELlCXqFugKuAXkMk80Lh8TI5oWQAsABhaTJ5d0BvSPstTLWGKkbPgf&#10;/+N/GAgPfKbujz/+2PQXEEjeWtI2AFdtCgXOIRAXqMxHzmgX/ed82bEhwtlCVz+ctfPhZsv6jTHy&#10;z1tw+3XTIBycMVdRtz2s9df/RTve76j4lGRtf7219g4coYMLliju4CElxCUo8Vickr2HnRRvewOs&#10;/TINQmZWA6zNiRBZW+D9OwCotbC2+DisxcE3wNZndl2F9+/JuYC1/sgNC2uZZ92YMWNMxLSLrHVy&#10;cmppam6wlnvBaWEtwLAuaF7Xr8rI1ds33qqqDbv18a9vU/7qrep989+VPGmZBt7+iA4Pma6uv/u7&#10;UiYv0aQHW2neBx10cPgEdfvzgyreE2OAI6C2PuhZoEYTX/tImzsO0NRXP9TCDzpqU4e+GvTLWzTq&#10;e9ep32XXKG/mKrW75W7lTlum3k+8oPqq6i/92K+AtfQN3/arwGDLtYBiDu7X+PkbtTtqqZKLa1V8&#10;bIu6D56gfdFb9ebTf1VMdb02zOintOKGMQgUp6hL/0nK3D5Xh5KzVOTd4/mBuv1nwxrAcPgxaqpV&#10;Vlyo/PgtWhpboRm926gmCPgNauHY7tqfXq6YnavVr3cPrV6z3uyTeGSH57t1966l4CmB6tc5J7ST&#10;/fn74drlHOOXACAx/I9I+zlrbP7IWsb16NGjmj17toYMGWJ8Ln80rTXro/nXh8/bZQdrnZyavxys&#10;dXK6wDrhyPrMinkbacvUOuasx8EB0PDKNHBl7dq12rB+vQ7u36+ivDzVeI68d6f9ZsxrJ9F70Tt2&#10;aKDnQADuXnn5ZQNfLTS1ka3MA3ctSLVRugBFQB9QlAhSQKnNN8syUyAgoBHYCqQlahaz8wBOoKit&#10;G6gHjCQqFrjJB8+AlURoUhfHwDgu9XNsa0T68vo9RvQmsBFQSd9sFGvr1q0NMCRNgH39H3BL3lna&#10;Trs5Nv0DNNIewC1jAiilraynDPCUD32NGjXKgEvA4pIlS0xdjA2RikBPtlMH7SavK9uJuqVu2kzK&#10;AfrHq/PUSe5QzgNgmOuGdAxAXvrPeABxqY92AF2pj74ASImu5djAZ+AtaREAtJdffrnJW0u0LICV&#10;ZcaBj5bRF/IAA3kZV+rm3FAWmE7ULOPJdiKQgaKkXmA8ye/L+FEX54vxow5gOWkgcFKB0eS+ZayJ&#10;Xubc+2GrTYXQuXPnE9G0pwO2fjjLMlNrXxvWTpujXW2/UHxamtb98jYdO3RIa394ow4tWKZ9fYYq&#10;+rPuOhq1RWt+er02P/CcYhYuVUpqqolSST0ar/TUNGXl5ZqHnezsLOXkZCsvP/dEZK2Btd6DGtG1&#10;FtaWAmwjwFprPDSda1jLPv4HBz66x3XGsZycnJxakpobrOXtCtrED/dEYJJP9oR5Iqq2pj4klQc0&#10;993PteKtDtr0YWfNaNVGW/oO07hnX9PewRM0+uk3FSqv0tw23RU1Zqr6XH+vqqMP6rNf/0HpC9Zq&#10;4uNvqsa734UMsA0pbe0mdbzpDpWt3qGO/3mLSrcdVMerb1P+3OXq9qPrdbDrYM174k0ta9tVB0ZP&#10;Vseb/6Lio4mqC3ltJGctbTqFLLCzb4SE9/liNs5hVVW1AkXJyqoJqramSv26d9KihXM1uHcPte83&#10;2RvDSn3UeZiqqmtMRGU5KSbC6qnIiVGnTt3Vre8IzZs1WXO3ZysnZafm7c1RoDJPXfuM8p4lgiou&#10;rTbR11XZhzXrQJbKS/P02KNvevfsMabu8HqxSLD2VGXP1NgfA9jyozN+DW8Hcf4xftzluF/3OBeT&#10;AdN5HkQ8DxLFvHz5cpNKzYJW/DD7g7n1ycIhbvi8XXaw1smp+cvBWienb0gWzGIW2PphrTX/eruN&#10;GyrODTducpuS35YPPO31HjD2REcbgJsYH6/s9HQV5OSorKjom4G5XlvrPccr2XMC5s6Zoz59+6rD&#10;J5/okYcfNqASUGujWgGLdmrhIVCTKZAP+IkBKQGCRKEStQq4BTJaEApcBE4C+4i6tB9PA/gBAon2&#10;tB8yI3qTyF2mNpKXSFXy5WIARFIAAGUxoCwgkShUDKiJAR2JSmU7+5EeAGOe+jkuUa20iT4Cb2k3&#10;bWYcALesIyoY8En+WNIOkA+WKePA8ek3EbkjRowwoJVUAoBUzj/9XLlypWkHr/AThUsZIrLpB9cH&#10;EHrdunUmzQLwGeBJ3wG3QFvK0yZSSTCmgFX616lTJwNNGU/OGVG2gFtgLm1kmfEANgPJAbr/63/9&#10;LwONgetE3zIe9AMAyxiSUoGx5rwAaWkPeXg5PnXRbwAxbeE8My58EA2ITNQudQNZyQfM1A9jLbDF&#10;7LKdWngbDmz9kNYun4vI2nU/v1Wb/vaE1l99h+KSErX2Bzdqh/cwvXfIOMVu36XYjZu17YnXlBAb&#10;o3X/9Ucl7jtgImtX/vsvFHXbfd6+jyopaqv2fvaF4uYvUa73gJOXnWNAAg86DbCWyFrvgQczDz2R&#10;QS3G9q8La5mPBGvtdgdrnZycWqqaG6wFagFqibIjp6yBtDBbzy80eWq9W1BFXVD5W/eo5+W3avS1&#10;f1OPH16rHU+01he/vFGpfUap369vVe7araovrVZNUo663HSnMuYs05j7XtDadj20qdcQDbrjSeXs&#10;OKDamkoFi4s14E8P6OjCxRp46/06NmG+xv/tOW0bOE6znnpTw2/8u7b3HqYhf31C2fPX6d3rblHh&#10;iigNfuRl1dV6Pm1dvaq8RpL7NpLwYwFRgDu+oh+p35eaMSaAypIKQHZAVcXZGjNugsYN7ael246a&#10;yGl/+aQN07TnWLqZr0pYrlnbs1VbXaaOHXvryJb5WrE73auvWrMmjta4kUM0ZNhAtR692aun3PMP&#10;+3nPEyfX57eTYW1QG6f11Tsffa79iVlmXeLWRaoMlCq/5Nx8II5+cz0AbPm7w3eIVO5SNM4Ff+sY&#10;48MHjHnTjA+NWQAbCdZidjvr/PN22cFaJ6fmLwdrnZwusCx49c/bG7Hf/OstpLX7WeHg4MDj8PKK&#10;HDdywE1OTo6JzgMY8eErYB4Rlls2b9buXbuUnpysUq8cHxvy7s4X3gBgXn+KPCedNk2fMUPDhw7V&#10;G6+/buDjnzwDbAL+AHyAOiJiAYbAWkAdEbPAWWssAxyBgxhwFNhItKmNdgXQhkNZICIftwI8MgU0&#10;Yiz7I2ktrMX8sJZX+QGkGBCSOtkfEMqUOjkG+VUx2kG7AKP01aZssGkhrBGNCqwEYBK9ao319J+x&#10;oH1EpQJnyWELdKOvRNoCdinDh54oB6AFCFMGeM022gWMJtKV/vqhsoXJtIXzQDsBpYBOxoDzQSoE&#10;oO0//dM/mb6Tn5YUCYwVAJY6gOOUIXKZ8/Sv//qvpiypLFjHsekD7QBWMw/8pq+AYJtygX7zkTPK&#10;s46yffr0MVG2HTp0OAnIYjayFtBslzHK+C0c2vrB7aKvHVk7Wzs++Eyx0bt1LDZW8akpWvujGxW7&#10;K1qHFyzV/rGTTGTtxlvu15F5i7XWe9BOiN6jtJRUbbjyz0pLTlGm96Ce6U33te+hnd5Dck5WlrY9&#10;+IKyYo+qsLBAxSdgbbFKPCstK1e5929CWfmXqQ/OJ6y183aZqYO1Tk5OLVXNDdbyoxz/lttlFFK9&#10;alWnas9IXRAqr9SI+59V3Ie9NPlPD+rgx7017Fd/0IrH3lLPn9yowdffpY5/vE8d/3K/hj3ZSoOu&#10;uF0x/ceq0+/vUWnUXn36W+9+M2ulhj/9hlRerU0jRmvMYy9p75jJ6nfXY0qYt0J9/vCQEhetU9fb&#10;H1LV/nj1+OMDSpy4SFMefl2rPu6iXYNHq/ufHlb+7sOqI2I0GDD+ayThy+K7Yi3pI2PflAFq929d&#10;bfx8C3WDwRoN7NVdXbp208RxkzRjSwNIXT97mOcT9lVVKKjKjC2avOGAt09Q9aESvTc86qxg7ebZ&#10;Q/TGBx0Vl56jUZ6P0OPdR5QbKNDmo3laMLqvQl57/Pt/XcOnibT+UjT+9u3fEeeeAB0CNviWg4Wv&#10;1vdiatf5fTZbxm6zyw7WOjk1fzlY6+R0gWXBa7gsmLWy5SyktfNYg6PmOV+ncIQR+9hfq4nKwOHn&#10;YwUW4PI6Ob/QAvl4nT561y6lJCY2ROJ6Zas8B8G7c19489pMFDBwi1f3Z82YoZdfesmAPqJSAZVE&#10;ggIUAbTWWCZqk+hPDCBJJClwlBypFtQCTIGUfjjL1MJVu4wBOQGP4bAW2GijaoG0AFuMMrZOWx/T&#10;cHAL0AUWA0z5aBnQ1kbZErlKJCmRrTa62IJbctECQUlBABhlHfta6AvUJi8ukcNsZz3OGFMcPHKf&#10;HTt2zEBU6iYCGagL3GacSFUADGWMbKQt4w44tdHA1EX95Iz9/PPPTeQw4JZ2Ug4wyxjRRtpHX4ms&#10;JeIZSE36A8aC4xNdyzEpyxgBi+kH6Q3oJxHGRM4CZ6mfaFvqANRyHGAtdTCm4aAWA9RaWGvX2/lw&#10;UBsJ2C5asOCsYS0fEjswdbZ2fvhZwzLb0oC1Nyne+zuMi/PKeeuObtysTbc+pC33Pqc9HXspJS3V&#10;wNq1P75Ju9/poK0PPKvsgnwdGTJOh7oNVl5hgbb//XllxcSav2kDawuP56z1bP0v/qCoP9yrPW+2&#10;NelRcPRLvAefstJyVXjtLCkrP+dpECysxdjffmCMYzs5OTm1JDU3WMuPbKTAYp5/u/H6gvV15oNi&#10;VfVAshrFTpmvAd+/QSN+cL2G/OS3mv6bv2jQD6/RmsffUveb/qZgYpaq0vNUeCxJidt2ade4mepz&#10;+Z9UsH6rBt31mDZ0GaS1Pbx/4x/+h9JnLVW3W+5Q5pqt6nz1X1S2Plof/NdNylu+Uf1+/4CSF62R&#10;Ksu1sWN/bek9XP3++qiK1u7Qu7+8QTlrtmiId3+iTXzQkgjbSMJ3JcgA/5S8puF9dhZm3jjl52Sb&#10;oIsVK1Zo4YJFissqMBAXP59I3ILShtQSJXlpWr7lqAJm33J1+LSLdy1nadzw7mo/YevZRdbOGqYt&#10;R3JUEbtKo9Yf07z2TymvOlm9Fx3R20/+XQdiE7z6B2rxln1av3ax52emmH15XvmynjA7zbbTwVr6&#10;y98E33vg2SZSmYvJGAue56wSvec0fhAnSMP6YEzDze+vRVrPvIO1Tk7NXw7WOjldYPlhrQW0GOst&#10;fLXLOCWUtdvsvji4GPOR9rfyL9sytg5bD04PkIdoXNIqcMMG5AJxcQzJixu1YYNJsQBAJSqXtAre&#10;Xf3CmjcWfNE+PzvbAMfd0dEaNmSIAbc33nSTAYY27QHRt0TU2mham/IAQBoJ1lqoCqi0y35YC3wE&#10;2FpY60+B4Ie1QFzqtnUBIjFbH1OW7bFpD0AZaEu7+fgW0BlwC7QFaDKPATEBsaSEAMoCKYk8tdGn&#10;gFygLpGpgE7WAzVZD/SkDsAwQBTwaXMFUwYIzvgBZoG0wG3aRl8A3NRpI4EpB+AF3AJgGU8ibgGh&#10;jBHngGhcPiBGu+gnsJa0FdRLegSibamDdjEmpFGgfZwnjsWYkg6DFAhE4pL2gL4BaGkDdVEnkQW/&#10;+tWvzNgBWi2IBdACfO3UD2/90NZG1zLP/hbg2unXgbUG0Hp/L0f37jPg1qxLStSGG+/W2stv1tqr&#10;b1X0Fz10NGqztj35uhKPHtOaH92oxIOHTFT8hqv+qvSsLGVmZJro2pih432w9gVlHyGytlBFxUUn&#10;ImuxdT+5RaVeWzLWb9KGX92mYq985s7d2njd37Tx2tu1/pbbzgms9Tv+dgqsxfmfMGGC+QGIKCAn&#10;JyenlqTmBmv90ae8rWBgbZ3nv9U2RDNWZmVr+HV3atJ/XKMx371aY793jab+29Ua/Z0rNeCHN+jo&#10;rCWqCTREsdbXBBWsrJEqAlr4WW/t6T9S/f72kHKXb1a739+hjCmL1fXy32lNh85a8/anWv6BN/24&#10;p2a/0lrRPYaq/y9+rwNDJipj61aVb9+rLt4+2fOXa+i9T2t7+77a1nWAxvzxUaV59726Ku945K+N&#10;IPxRGy3sYO35taqKMsXGHlN5ZZX2Hc1WbaBcbT4a7D0LRC6PnQxra5WXnqDx4ydq/paDeuTp5/Th&#10;XbcorzpFA5YfU/e3nlVeyh61ev0NPdW6q95+7SNlF5Fjt15dH7hDqzes1NSoFG2dN1QTFqzznjsq&#10;zXPIgmHttHFfkp5/b7iW9efDaF9G554K1uKf4Cviz+NH46NyXUcqe7EYfh7jZZXsPYPxMWHelvP7&#10;X9b8vpn12+w6f1nmHax1cmr+crDWyekCCyfVQlQ/OLXg1coPV205P7y1Rjm7r3//psgei3oAuDhq&#10;RD3gTPPAwseqiMrlF92DBw8akLtxwwbt37tXyQkJ3wy8DbPqsjIVFhQoJztbq1esUNuPPjLQ9uln&#10;njHRnzbtAQ4egNBGuzK1UNWaXcer+RbSWmgLkD0VrGU78DJSvSzbdYBc5nE0LUwGZAKXSQ1AVDBR&#10;wsBQQKr9YBrAkikRuEStAlqBuKQUIF0C0BPASaQqMBdgyjYgL+WAnMBtgC31AFNZB+y0+WqpGyDK&#10;sQCzwGSAKO2mvYwlQJaygGXgLuAW0EvfAaLAUHLmsg24TDQtbWVcgLWkWqAd/+f//B9zTkhzQLup&#10;HzjLGACuv/e975k+AKc51v/9v//XtIV2AaRpE1HIwGcLWf1glshfprZNdr2dhpdhnvNI24HUgz1n&#10;9mvBWm8ZUGvs6NHj6+N07OgxHdt/UMf27VfcwUM6OHqiklOSFTN/qTbeco9S09IMrM3wHtCzMGDt&#10;yEk69MVAA2u3AWtjwmBtyfHI2p/+TuXe3y8fGovpPkiJE2cpe9ce7f/gc5VXVaooL/9rw1rr8Pud&#10;f7azLw8QU6ZMMfmUiXpxcnJyaklqbrAW4wc8pvhlxl/DD6wJqr62Tmvbd9Xw716jyd+7VuO+e5Wm&#10;/sfVmv5vV2viZddqyr3Pqr4iqPL6OtV4+wW8/gXqPAvVm3vWOz+6WsWbdqrPnY9rV9chWvbgaxr0&#10;g98qo+8YfXHNn1W2MVrv/eomBfck68Nf3Kw9I6Zp+bufavC9z+jj625Xjx/+ViN/cat6/fh3WvVa&#10;e/X/3vWK7zdeI+95zrsveu2r+zKYwC/W2bykBAn4++rsm7dwWBtuVZ4vEQjUqKSyRmnHDmvOilW6&#10;909/1eMfdtZbb3ysavNDQr0+eeg+hWqr9NLzn5gf6Dt9+LqG9O2iJVEx6v/RK1q4N1VPvDFYkz98&#10;WNXeNWHrjwRreT7BLyOHM8s8q/CMgj+L7x1e/mKx8Mha/l6mTZtmfC/8Ln4k9/th1i+z2/2+Gsay&#10;XedgrZNT85eDtU5OF1jWcfUDUgtgWec3f3nKWFgbabtd59+Gwtf77UzkL8+xAT04DzhMAFweIpKS&#10;ksyHr4A+W4nG3bDBpDDYtXOniS6sIHclTsA3YPWeQ2cebLwxiouJ0cD+/U1kJ7/MA0wBpxgfuGIK&#10;qLNwFUAbCdIyD9Rj3q6zOWsBluxr66Mua/Z4/mXKY7QHA9ySZgAH1IJbwCUpCwCswE/AK1GxAFOb&#10;IsFG0TJv897afLNE0QJl2QcYC9wkahcQTLQtH+6iHBAVuAusZV8grIW/NorW9gvwyjJA1kbmAsep&#10;jxQORDYTcUtKASKUOT5tBdaStoI+2ly2tA9wTL3AWZuWgbQKQFmMtpCzFjgL2AbcciwgM/v6I2bt&#10;vIWwzPuhrAWzGJG3dp720j8La1995ZWzhrUG1B49prU/v0kr/9cvtNp7iI7ZusOkPiAFQmJFqRJS&#10;kpWQmKCkhETvbyjZREwkp6QqJSVFidG7lZGebmBtprdtyf/zf7T6B1cpNyNL2x54QVmHY1XqXdPF&#10;lRUNsPZ4ZK2BtTXV3kNMiY6NmKjDnfoqO3qvom68R2u+f4NW/scVXwvWUoaHAzuPDRkyxBiOP7B2&#10;+vTpOnz48EnHcXJycmoJao6wFn+Lf08BVMHqoGrx+bz1RQfi1P2n12nsf1ylkd//jcZ+7wrN+Lff&#10;aPx3r1Hvy65SxbFEb/+APE9InvfomTcF1nrGR8k2fdpfW7oNUN97n1DGpEUa+bM/aNz3blS//7hS&#10;CVPmaPwD/9CxcbM16pFW2tF1uPnOQW2wRnU1VaqvqlZ9drH6XPknFQ+bpz7/ebMW/vkx9fnFzer0&#10;kxuUvX2PakOkQmgILPALf9LCWguinTUf4zrjmmtIsRC5TCQLBJgGjqdgqFfHx+7TK3/9m7bnVumL&#10;d19XytF9mjy6r6KTSzSy/evKKqnRw60GasoZwFo+oMuP+zyH+NfTRvxx/7qLyQDS/r8fouznzp2r&#10;YcOGGb8Ln836bZH8NL+vhvnXOVjr5NT85WCtk9MFFjddC1fDxTq73d6cw8v6t4fXYff3r/fXGb7e&#10;Tv3bw8s1VTa1Al/4TUhIMNCGB5+oqCiTawuIu3P7dh2NiVG656STnzboPYTU1dREhGDn1Tynz+us&#10;ydM7b84ctW3XzoA6ommBqUBGC2otrI1kNsqWskTw+iGwhbN2PhziEumLA4pZcAsopB7gLWASsPn4&#10;44+baFubuxezQNamTCDqFFgLcCUaFQPsAmcttAXYsi/RtABY9qMOQCr7A24BwpRnG3WxHYDKsQGx&#10;RMXSNtpv4TZwFQgLTAUuk1sY6AsctlG3RL7yMTD2v+aaa0xkLWWBroBZgC4RwRyPcQLSAm+ZkruW&#10;qFvmAdr/83/+TwOMifQF4jL+flAbHj3rNz+0BdaSfxejbRbA4/yPHT367GGtZzs/+lzb32inuMRE&#10;xWema/ubbRXv/U2s/u712vDbe7TGmx4YPcn82HFw/HTFLFyhFO9vIjU5SSnJKUr39snKylZmVpay&#10;vWs0Ny9Pebl5Sl65VvvbdVPUTXdr0+0PmJy1RcXFJsp23U9uVllRsYpz8rTx6j8rY8tOZRFZ++Hn&#10;xukv8f42vy6sxXhIsMt2O44/eYRnz55txoJ/C5ycnJxakpojrCWljM1bW1FabqJkQzVVGvTMyxr6&#10;o+s07rJrNMaz0d+9WuO+d60GevOrP/xC1XWeP0bihDrPt1PA4No64+d5FgiprrxG71xxswpXbFbX&#10;n/5WQ793g0Z/51oN9+rZ1r67Bt/6dxWv2KQuP7tVoeoa1QZqVB0KqIKPV+E31tRqeVfvHvHLP3jt&#10;uEGHW32sQV570vqO18gHn1edN5akXqgL1subM8c3n0fz2oCfSH+aRWStd6/K93zWkvIqVVc15NKN&#10;WO4SNKA654gfk/M8H8T+aMDfyVeN08opk8wzhV3mQ2fBYJ3JtRu9foUKKwJ66JWBmvbRY961+mW5&#10;SLAWOIl/Er7ewtqjR4822nYxGH8nAGorUtYtWrRIw4cPN34XUNaCWfwy1uGX+SNu/b6bf9nBWien&#10;5i8Ha52cvgF9HRiKvu7+p9O5qts6aOSTwrnj9T2cDh6AiMjl12Gg1t69e82D0fbt27V/3z7zuniu&#10;t63UezAp9xy2SvKaVVZeeJjrjUPAa/OWqCjj/BAhCgjEKbSpESzEtSCXdUBM8rT6o2iZ2mULa+02&#10;Xv3HLKz1TwG2GPAWQElEMBGrpCEgopSoVuAoBhQFrNrUCKQWANwCaoGgROECU4mABaRaQEydfLSL&#10;bewLqGUfjPQJ1Am4BaACegGvlCWnLJCVugCm9I+0EcBn6gPUckzaSRkiY6mDfRkf0hb06tXLtAF4&#10;fNlllxmYzDFJ6QA0/ed//meT1/Zb3/qWyVsLqCUalwhemx4B+EpfOTcWwIbD2nDzQ1sLawG1NqXF&#10;J598Ys7nzBkzzh7WJsRr25Ov6fCK1Yo7dqwhFYK3fe+Qsdry9BsN5eIStOZ71ykhNlbRbTpr1b9f&#10;rcSDh3Vk0mwd6DNEm275uzb/8VEd7j9KqTt3KzM23vvbyDJ/Q4XFxZ4dh7THI2tLvOVYr+yup17X&#10;xt/eqbgRk1TqPeQDa3c985byj8apOL/wnMNaa0TVAmtx/MlD6H/AcHJycmoJao6wFiMCFThWUV6h&#10;Gj4wFqxRdWKactdGaXv/EZr94jsa++dHNfyqOzTo13+WCr3t9UEDduX9U2wgLeDW+z/f/SJ3bVV9&#10;rXYNGqdVL32k8b/4oyb8+3Wa9N3rNe6ya9Xju79R0cK16nrjncpbu03VNZWqCXG/q/PMqzJYr2BN&#10;UKHcUnX75S0a/u2rNPEH12nId36l/t/+tXr/+DqlevsFgwFV14UU8o5PfC/IFv+QNDn0pznkrC1M&#10;Xqi2U7fqmT9dqS1Lx+n2v/5Z19/4ByUXnD4dwKVq3Nvx7fkBAZCLP48PwjnF+BuKtN+ZWiRYyzF5&#10;0yw8spZlPghL+iX/+ovF+JHd70sBzJcuXaqhQ4eeFD3r99MimfXT/MsO1jo5NX85WOvk5PSNCccA&#10;gIszgnOGw8ev9/xCzkfO+EiR+cjZhg0mvcKBfftU4jmHRON+I5G4GNEk3jT20CHNnDmz4fXvvn31&#10;Sfv2ev+DDwysBVgCL8PBrD+q1q4H1FLemgW3TP2wlqmNtAWwEmlLhCogFHBKPjALbTGgqwWsgFPA&#10;ro14xeGlfiKHaSfwFAhsYS1G5KsFv9QHsLWglu1sYx3RuRbeEq1LO4l4pS9AZ47F8SkHuCVCFzhL&#10;naxjDHC0MfLjAoeBtETsEm1LHl7AMflribplHccj0haICygnQpfjflVkrT/lgX8d6Q8wIC3Alnmg&#10;7Yxp075WGoRdn3ZX9Od9GmCtt4zt7j5A+waPNukQEhMStPODz3RgxETtav2Zdr3XQbvbd1fM1Lna&#10;33OwMnOyTXTt6n+9UrETp+tgl36KGT5Bq7/9G2285i6lbdtp/m4MrCWatqBIJcUlKvX+pszfVYk3&#10;z99Wdo6Sps/XgY+7acvfnzAPUlZNgbUYDweUieT4A2oBtsuWLTOg43z+qOTk5OR0PtRcYa1NhcA8&#10;+cdrQkHV19Qq6E0D9bUK1BFlWKtQRZVClQHPTwmpPMgr6SHvPiaFgLTH+2hlflT37hmf/+wGTfqP&#10;GzXjW9dp8rev8eav1pBvX6n1z72vIY+9qNpApcmPG6iv86ryjuv9217lzVd4NQaD1drk3dcG/ugG&#10;Tf7OVRr33Ss19ntXasJ3rtHMB7x9K8pUXh9SvdeAem/qzZnjAvswfrwP7+uFtrLkLfr7g0/p3mc+&#10;VKgupOLU/Wr1YS8znmxPSk1VcmK8gctfpgYIatequYrN5GNa3nJ5vnJLyw20tPVeasbYYABb3q7D&#10;pwcu4ofgkxAhfiYgNxKsxfAr58yZc9I6joXv5l93MdmZwFoLaR2sdXK6+ORgrZOT03kTDjlOBlML&#10;bphaO53MQ4TnOBCRa3+9x5k4dOiQeZDatWuXduzYYVIq7N2zR0cOHlR6Soryc3JUVlhoonG9Ci6c&#10;ef2s95zUtKQkrVi2zHytdYjnOHXwnEjgK0AUR5MoVIAr6yzU9BsQ1RplMEAk4NMCW+ogNcITTzxh&#10;omwBsESxktfWpkkApLLOQlLKkEYByEs+XNIZUJb0BRYaE6lKjloLYy20Bdhi1EndgGEALOtIn8A6&#10;PgBGfUTQAo2Bw0Bl+ojRbtpLZC+wFXBMu2gj4Ja2EZkLtAW4MkbUT2StTYPAlFQItIn1GGNGlC1t&#10;IFrXwlo79QNbwKw1P7D1p0HA6WcKrJ0+depZw9pjx44p9sABrfvlH7V32HgdWrxCewaP0uFV67Tx&#10;todNOoSEhERtfep1HRgzRdGtP1Ps0pXa+Nt7dGjkZB3oOVgZ6RnKLMjX6n+/Wrnew0uO56QfGThG&#10;saOnKCcpWau/c7UKCwpVWFikjM3btfyff6IirzzOPVbs/R1kbd+j4jxvXUmJyirKzSuN5wLWhr9i&#10;h7F+5MiR2rx5s3kw+6q/cScnJ6fmpuYKay3YBBiWlRSrLuT5SHWer4Tv4c1joaBnQFXPKutDBq4C&#10;SQ2s9frmh7X4WMZH8+rdPX6qBv32TvX72U3q+fNrNeSyKzX8O1fqi5/fpKr4LNUG6w38DQVqvXq8&#10;yoiO9f59r60LqA6Q691XPvvVTRr/H1drgrcfsHbqt6/WgO9ereTVG73jBL12en5fHXG13DIb8qIC&#10;2uwHo75JS1naXXOjMzS/11s6EAhpaq+3tTHO8yO9bYzRc488oSNH4/TRF7M1t/ubXl+C2rpqqbat&#10;mK1VG3YoKydPdSmbNPNIkrp90ds7D5GPc8JOAN9LxyzkxjcAOAJzzQ/Nx98OYj3XOGVO9beHX8Mb&#10;Wfhw69ev1/Lly42vyZtvkcpfDOZgrZPTpS0Ha52cnM6bgDUW1tpl5q3T5ndATif2sY4LDj4OHQ9U&#10;gFwcGZw+YC45coG5QNxtW7eaD5zFHz1qIG5eVpbKPIfwgkfkAvu8fhZ7zudWr01A3J6eY/nySy8Z&#10;wEnkKRDWwlzgbDi4ZR2w1g9sMUArEbF8GAwISroDgCmA1kbBsh6gyzpSDBCNSwQs0JZ9qQ9nF/hK&#10;+gE+UkbuWpsCwUJbwCmQ1AJcInapk/YDWomstblzgcYY7QHwMs/xaDP9JFIYcAusZQxoIwZwZR/q&#10;IwoZB5woV0AzEJlIWmAt0ba0EUhLPaR7wMiJ64+sjRRdi/mhrQW1GKDWGhG2XwfWMo8d3bNPuzv1&#10;1fZXW2v/uKk6lpigLU++pq3PvKFdH3U2UbOJx46ayNrYpat0ZMZcbbzuTh3oNdTA2iwLa72H89y8&#10;fMUMHqODnfsqz3vAXfWd3zRE1haXaNudT2t3qzaKHzfd/E3kxR41HxTb/cJ7irrub4rtNUybbrpH&#10;ez/49KxhLVPr8BNRjjFvAS451Ih6iYmJMX/jTk5OTi1NzRXWYvg5+EB8iT9QWUM2As/4dBgQlVQD&#10;dSbFAXwWUEtuWrOCdV7ZSJG1RObW1lSrPrdYdek5ytu9V7HzF2rLgGHaNnaK6iu9+5u3fy0/vtWH&#10;/7tO/XWqrw5p1+AJGnnZdZr8H7/RmO9dpQnfvkpjv3edJtz3rOqKKxQINbTN+7+JsKQ//HhYyI/r&#10;Yf280Mb9asKwAeo9ZKJCtWV64bHnVeX5bWxjjN5+t6M3nvVq9dgLWtj9Da8TIQ3q0Fq7Vk3V5LVH&#10;NLZfN6UfXq+ZsSnq22eMQlWFGtu3n3bHJKmmsiHnqP94U7u2UaD20gO2pzP8eq4HgjOA+JHKWMPn&#10;x5flzTueA2zE+cVoDtY6OV3acrDWycnpvMmCWRwNG2XHPE6Zda7OVfSdBbo4efxST7QGDzbkebMQ&#10;l/y4ROGSGzfm8GFlZ2SoyHsgI62Ct/OFNWCWZ1VlZYo9ckRr1qzR4gUL1LtnT7V65RWToxZIGwnY&#10;Mg/wtMD2qaeeMoATUAp4BXwS/QpMJe0AsJNoVyJniYQFoAJbAaVsB7iSf/YXv/jFCaMs4BYDlNqI&#10;Wwtt/RG3QFaAMO3gWCxzDNrAPJGztA0DCgOLgdGkYGBKpDB5bmkLZsEtdZCflohbwGrr1q3NdtpH&#10;agSbEoFo3h/96EcGygJr/cAWgMvUD2stsLVTQK1Ng2Aja78urA2HtjZnrVmXmKiYtRt1YMxUxR04&#10;oMTkZO3+rJeBtanp6Vr309/pQO+hJooqu/BLWJuXl6uYQWO0r20XRd10n+Inz1JhUZF52F192dUq&#10;Tk3X5lsfVJn34H3goy9M/lpy1pZ7fxMJU2arkGiW+MRzkrOWBwWWcfbZhxQIwNq1a9eaD2DYv+tz&#10;9fft5OTkdCHUnGEtbbM5XgGe/OtKJtiGbLQh77/8j6jXUAOxJfLWK+Pdpcw0/F/jBlgbUi0RuEHe&#10;Dgp4PlqNQkFeVa9WsDbgWUOErkl/YGpqrCCRt2W16virGzXqsqs06bu/0djv/cabv1L9v3+V0les&#10;VxUpGbwGEF1LFCV9wE/7KjD3TZgNKMAYo3ffbq25c6drxroYJWyZprkrFuuZJ17UztUztDkmX7sW&#10;Dte+Lcs082iKnnu2rRZ3eVH51SElJsRr54aN6tW/p7JLqzV+SF+17TpU0euXK3C8biKj/cd2dmbm&#10;P0cXszlY6+R0acvBWicnp/MmHFGcDAtrMR42gEs46Tgd/JKO4ZDw8IHjbkGu30FpiuyxrNl2UCfH&#10;JxrRRuPGxsYaiMsHzjZv2qTNUVEmP+6hAweUnJhogK6344U1zwnl1USigYlS3L1rlyZPmqR333nH&#10;AFGiYTH74TELbIGvNjctUauATOAm64GzAFgiUgG29sNj5LUlIpYIWqJTbRmMD3f5jW024hYD1PoB&#10;LnVaCEzEK6AV6EqqAyJvOS7Hs7AYcAukBdgSSQu8pV/2g2cAZOpiSlmbKgEoS05b+kadlCVNAqDV&#10;D2sp55+Gw1o/sAXWWkhrPzLWFFhb4V2/4aD2VNYAbUmD4FlivBKTkpSUmOBZolJTUxS3YbMSorYq&#10;IyNdmd7fyOrLrlcOsNa7Zo8MHK3YEROUk5yiNT/8rQrz8xXTZ5g2/e7v2vjbO7TqX69UYXaWdr/4&#10;vtJWrjd/V37jb42/MauzhbXW0SdHLet5NZGHB9KTUD9/d8hOnZycnFqCmjOsxfgRjzbyo7f/3/JG&#10;4p9e4Kg3wZMy/xL7/jk+4SMZYFhngG3Qs5C3XFsfUrW3Vw0fBgsCfuu8Hbx7Yb13v4ugAOW8NuXs&#10;PaC9g0do8ZsfavBfHlSfy29Wnx//Vr3veFi1FZVe/fUmVQPtpy98o4BI4fA+NifDd3ztvU4KhL5c&#10;V1BYpDzvPluQk2nemBo7fbGqkzdr8pEkPf3kB0qY11F5NXUqzkrQp31HaXj/btq5ZqlW7U5UdWW5&#10;BrR+UTX5a9RnxjotmjBQ8SV5+vSTj9TqtfdUUBlSVUWZ8Vv97XB2aRp+m/9ZyMFaJ6dLSw7WOjk5&#10;nTedeBjwDOFwAEoTExN1+PBhHTlyxMBS8ntirCcSNiur4Yv3OCmAW+vM80u6NeoyUQnHzR7jTGT3&#10;sQAX4+GB16mI+LA5cmkTD23k4Fy/bp12bNumRM+hKcjJUabXTj525u18wa2ipMTA7pSkJC1fskTt&#10;2rbVAw8+aCJSgZukRbDglohXIluBpMBYYCtmUxRgRLwCWi18JYoWMGvTCwBubZStH+ZST3iaBKZ+&#10;GEwKBNpj4bGNtrX1c2zaAJAlly5pEoC2RA8TcUv7SelAPUTtUg/7E00LpAausg/tIM8tkbTWALTh&#10;0BY4y9TOY/7IWkAtRr1N+cBYvXeNZqSnNwKzjcy7fgysTYg3sDYxIVFJwNrkRO/BNcVc/6kpKUpP&#10;SzcP5ZmZnqWlKjsr28Da9AOHlL4z2lyjxybM0I5HW2nlv/ynigoKTUT50cHjdGzoeCVOnqM9r7dR&#10;aVmpyVdb4v3dnQtYa42HBEAtZtMhTJo0yfzN+B8snJycnFqSmjusxR/iXsI8/tHZ/nt7wmeqawC2&#10;JFMA1rIMsK0D3HplTGoFb9n7T0O0bgQBe41fFaz27oXVUqU3LatWXUmZahIzlH/omCo836o+WK/K&#10;soZIWsbZRglfDEakLNPi4lIzPXYsTgePJqvze2/p0Wdf1d6kfHUePFHZ6fHq/+E/VBk/XqneeJTm&#10;pmr4/G1q33O0SjK2atK87Ro2eZmO7luk+Ix0vddxgJ76oJ93nl3ahEvRHKx1crq05WCtk5PTeZMf&#10;oDJPJAivSANpiWbdt2+f9u/fr4MHD5o0BQBcIkkBPjyMALMAWURfAE9x7Pm6LHUQnQtYJRrXRuKa&#10;B4pzJJwj2mvhLccEntEWADPtjo6ONlEV+/bsUZq3PsfbzqvmXmO+EQt641B5HDjv2rZN77z1loGm&#10;13pmP/zFh8WIamXKOsAnUa92PVG2wFMLb20KBAt5MUBrOLQl0hZoCzS1wBZATD0YwJhjAJFtTlva&#10;wzZy5ZLagONzbNI3AF5tqgRgLB9UI5KWfYDSpG4ggpj2ErnLR8wAsETV2ty1FthaWGtBrX+K2Shb&#10;C2vbtWvX8IGxJsBaa0BbrM6bD3oPowB94OsxC2nt9Pj1fQLWcp175SgLsD0Ba7MylZ2VpWzv+gPW&#10;4qjn5xco36s33/sbKCgtVkF+vopKig2ILUhIUvSz76isukrb7npaW29/QjH9RmjD5X9UqXddnAtY&#10;yzwPCZTF2I9czPyoATBuyg8nTk5OTs1JzR3WYtYvAdzyI/O5kvmX2/sP/4Y3/Dter6DqVG2mrKdA&#10;Y9noXJP/tj6kWjNfr0pvhyrPKuqDKvVqqPTqKfN8NvrAvYx+hPftYjVgbk1VpUrLK1Vc4F1bnm/x&#10;0RO36S+PvKHcokx17DdeJdk7NHHudo2es1GlpSXKrazWx6/d7+1LnuLI9Z7WvGNsmTtMy1ZtMNcK&#10;5zRiOWfN1hysdXK6tOVgrZOT03nTlw5/QzQrjjkgCjBrQe2BAwcMpAXYMs/UGtspB9i1ZQG9R48e&#10;NbALwAXEJRIXB4aHF/t1WaAUDzE8ePkdH5we26avI+oCEnMsjg1YAzLTVj56sG7dOq1cudJE5PKx&#10;Mwt0+cAZMM+r4MIazp7X79TERPOBMyAt8JToW5vflshXjG02ehWzkbdEzgJlgbMW4lqQ6we6zANt&#10;/ZG2zFuAiwFvgcREztpjsh/biJ610BgwSwQtMBZwi7EM9GV/AC7glvZTP9G3pEiw0bVdu3Y9KYet&#10;hbfh0NYfWQusxWbOmNFkWHumRq7irIxMJSYlGuNHAGBtCrDW/jBxAtZmmx8LcgC1XOf5+QbYFhby&#10;cbGGLynba94aDj5WRLqR2FiVFBWa5WKvLNet1dnCWqYW2DJdvHix+Tvk78tEWB23c/G35uTk5HSh&#10;1BJgLYbvww/KzPOj9TcpUBIZbetJl8C//fUhBeu8tbWeBb17QNBbX1un6oovPwTFm1R23lmtN3YN&#10;b3qVVtVo3/Kx+sVPb1BOVpKmbonR+0+/YO6t4ft8tQVU402z9izQqF1peufFJ/Xi43dr8Z4slaQf&#10;0eRpCyLs46w5mYO1Tk6XthysdXJyOq+ysAZnA5iKQwCs9YNZli2c9a9nnnXWWLYRuMzbZaJxiXa1&#10;ZmEuDzM2Ny4PXhggKxzghqdV+CrA5N/uB1PUYT96QBQDx8HRAmLRLiJxiT7ctGmT9u3dqzivnVnp&#10;6Sry2kdqAwBeoKLC5H7zKrkwBoz0+sPx586erVdeftkAVL60ayGqjcq1kbmAVKAqIBYoa+GsH9ba&#10;edbbNAk2PYKFtsBYoC3pEoCyNlct29gHIAuMpQ1E3RKN+/TTT5tIW3LcEnlLrl5ALTltafcHH3xg&#10;omSBtBbW2kjbSMDWmh/Wtm3b1sDaGdOnnzdYeyoLVFaquLDQu2aylZ2Z5V2/njFvYG2u8vIbrmX+&#10;lvywlukJUOtdR/wwEsns9W91NrAWoxwfFcPZJ/0BP6rYyB3+Dqzxd+Hk5OTUUtRSYC2glh+s7bz/&#10;3/VvTLhGnvHBMxIr1Mm7p5FewTOibyvKK0x7eTOquY9vc7K6urMBtZ559+TKogy9dv/tislriGJO&#10;i12tdwfMVfLhPXqjXTeFgg1lS4oKzHVk0zk4ax7mYK2T06UtB2udnJzOmwA3FtbgbABOiYy1cNYa&#10;y+HrMAtu7XbMQtpw80Nduw8Q14JcAC6GQ0L0oolgTE01aRVoF/CL6BQeeHBYga60P5LRJ6ZnKsoT&#10;zQgsIwISuMbxiJakDbwOTxsBXjt27NCGDRu0x3tY5ANjQNSaiopvJhqXc+dNN3ntAYCSigA4Sn5Z&#10;gC3gFuAKXAXAAliJvLWwlmm42YhbzAJbm7cWIMs8kb6PPPKIWQbmsg5wywfGyF/LsZk+/vjj5iNr&#10;wFs+tEbu2e7du6tbt24G0lqzUbb+1AjMW1BLZC378oExG1kLsJ35DcDaUxkAv8q7PotLik10bDGg&#10;9hSRteGA1m84+v6Heq5LwIQf1oY79Zj/IcA6+T179jT5av3pD/yQtql/J05OTk7ftFoKrMVIacNb&#10;GPxQxr/lTJur8K9su/F5/P1wdn4sFKzUHX+5T3sPH1VxRUBRo9vqpY+HmJzEFTkJeu2j47C24rC+&#10;GLFEHXtNU+reTerU+QvFZpeovDhbBw4e8vyKhjy81oriV2hLXMO6msoypWQVnrTd2bkzB2udnC5t&#10;OVjr5OR03mThDdCGByDAJGDVglkLWlkmWhaz26zZ9XZb+D7hdTHPOv96P8i1MNeWtR85IxKX9jV8&#10;1KkB4AKgLFzFYeJhg4cjDKBrHahwgOvv95nIlmeMOA7H5hVBm9t327ZtWr9+vTZFRSl61y7t3LFD&#10;h7z2l3ttI0/tBY3ExehXMKgYb/xGjhihD1u31qutWhmg+purrjoRSYvZPLYW4mLM24hbG20LkLWp&#10;Dyy4JZIXKMs2lkl7wDyRuBb0ElHLcUl/ALwl4hbgCoT1A1u/WVjrj7S1OWv5sJhNgzDrPKZBOJdG&#10;blyuyQrv+iwvKzMWCdRiRGJx7Vqx3/bt2zVx4kTjtOP848BbJx4YG/4AQBmg7rBhw7RkyRLz98I1&#10;bK9jzC5jTk5OTi1FLQnWYvgo+AzM8+95cwS2FibTRtrKj4r+Pjg7fxYfd0wjR47U1O2ZevOpB/XG&#10;669p0NTlKs+O0yutvzCwNlBdqbnTJ2jOqn166r77tWDBPL378QD1+eRDVZfk6h+vfqwlY/sqpahG&#10;S2dOUmVhsnLLgyrIiFNmYoz6TloX8djOvr45WOvkdGnLwVonJ6fzJgtviFLF4QCIAkstTLWA1Q9j&#10;z6UBY8/UIu2H84IRkUskCNG4RLGQ1oAHOR44eDiyES3AWfrKPFMLa5sCrCjLfnbcbH2AYsYQcGyj&#10;ccmRu3PnTkVFRZk8udHefLzX1tSkJJNeoSAnx6RV8DywC2M4lJ5lpaVpgef8EXnZrk0b8yEwPkT2&#10;n//5nycBW2tAWwt4/fAWGAuUtdG1RPKS8gA4C9glOpd6SdNgUzdYeMsHytp4xwbAAmKJuAXU2ihb&#10;zC4Da23eWmAtsBdrKbD2VBbilcbqalV712eVdx0Ac7lu/A/zXFdcP6NHjzZOO86/NZat888ygBbn&#10;nnWkPiAvM/AXuGF/rLCwlmW7zsnJyamlqKXBWow3dXJzc828/TG5uYj7gY2q5TsC+C/+tju7sIZP&#10;GQp5fmVNtRJSMxvWlyRozuw56jNhiWb1+Vhbtm7VsaNH9MWHrT2ntEadP+ur5RMHKqUooB6t31Bp&#10;wjLtSi3Tu13naN7Uceo7NUqb54/TtDnzFJeUqYxjBxR7+IjxNTj/4W1wdubmYK2T06UtB2udnJzO&#10;q4A1OGy88g/0tJGtmI1uPR+g9kzN3xZr9qNmtn3+iFzaSmoFHBvAF0Y0LlGLPOSRi40HJ5we+m7h&#10;67mEVtTNmPJAxkMQkTU8WBLhCDwD4tL2Xbt2GYhLJG7skSMmrUKJ17Yqz/nzKrlwBvDkga2oSNu3&#10;bdP48eM1yHMy//HCCwbW/vSnPz2RNsFCWyCtjaK99dZbDYglfy3zQFvy15LnltQIzz77rEnPABRm&#10;GXBrUyaQUuHFF1808BUYC5i14NaaH9j6PzJ2Pj8w9k0YqTQSveuVhzUrHgRWr15tnPy+ffsa53/E&#10;iBHGmGcdkBZjHgd/5syZ5vriuuMatNeivd6pn2vU/4Dh5OTk1BLUEmEthu+Bn8W89Q2+aVlQa+8R&#10;vDHENLztzcICVZc8WAyaaVB5efnKKg6oMCtBCxYv1jsffqH0w6vUvUd/3X/vowbW7kgo1vBVSSrO&#10;TFTfiUvUe/BkqS6oLj2GaNWYtlq3+6hWjBmg0aNHaeT8HdqwcKJ6DRypCq/+SMd2FtkcrHVyurTl&#10;YK2Tk9N5F5EeRFMAOf1wlGkkgNpczLYPQOsHtnY9fQDqAmwBV0TaEn3Lh82s0+OHtX47U0Xa/3Ri&#10;O44dY06biLahPcnJySaymXPAB6XIjbtt61Zt3bJFu3bu1BGvPzkZGeYjZ17jL5wB9qqqFB8ba6Dh&#10;gnnz1KF9e5Py4KqrrzZw9q677jL5ct9++22Tn5Y8tYBbomiBuaRAeOmll/TWW2+Zj44988wzBtxS&#10;BnDLPPVRT6tWrUxuWqJtSYVg89sCbEmdQO5aC2ybmrP2G8kr3ASjfVzLXJv2OuKaXew9jAFjcfxt&#10;5CwpDiysxXDox44dax4SuIa4vhD12IcKW6d94AXacu06OTk5tRS1VFiL8e85Px7bZX5E/qbEfYDj&#10;27bwQzKRtXa5eVlQ28Z+pFvues67Z7lI0AYLaMHoLurwyQcaPGm1Qt79nHt6QV6uasrzlFtWqyXz&#10;52rIsFEaMG2jpgzppcT0ZLX7fLBWjuyojJIqvfXok+aDuiMmztWYL9ootqBUFZ4fEvl4X2Gl6caf&#10;DYVYvnSAr4O1Tk6XthysdXJyOu/CYccRsODTD2u/yajaUxltIo+tbR/zrLeQ1hp9IAoXGMpDks01&#10;S5oEv9MDxMIAV02NsrX72SlOG/NMLQxjObxOW5Yytpx/HZEuRLzg+JHaAZALeCYSN2rjRpMfd9eO&#10;HYrx+plC9HBqqiovZESu18Z6b1qYk2OuncPeWK9asUJfdOligC0fOSMlAqD2nnvuMWkRbrvtNhNt&#10;++STT5oywNvnnnvOQFv7gTL2A9w+/PDDev/9909AW2s2HQLAtimRtaSb4PybD9d5lu1dA6XFDTmF&#10;6UekfS60AWuJbufatNcLaTXmzp2rPn36GEffRtBirMOZHzVqlBYsWKCtW7eaa53rx16PyM5zbTG1&#10;yxyHsk5OTk4tRS0Z1mL8kAYY5R5vl0nVdCHFsf1glh/r/eC2uVldfVB/vupWze/9hjJC9UrcvUQv&#10;tHpba1etVVXA2+7dz+rqTg0Is5JjVFXdTCOGv45592+mAW8MAuHbjltDNG6taqqrlJiUrLLKGuWk&#10;HFNpVUBZR/fomX+8qLkrtmjnxh2aMqqT0ivODoYf2L5Lmzeu0pMdxipxy0I9++I/tGzHUe+8VGjb&#10;htWqqak27Yy0b0s2B2udnC5tOVjr5OR0XgW4IcKTaDwiUy2steCzOcJajPYBYmkzy+GRtcyznX7x&#10;+iEPIkSv2ocSC7SscLYw1vnXn4nsPpiFYRa6NjxEfAnKmiq7Lw9XPNDRdsAzEI9XKukPaRXoMzCX&#10;qNyjsbFKPg5wK7xz63l4F9xqysvNwzTwcPmSJXru2WdNOgVy3hJxywfJmD799NN68803TVTuq6++&#10;qkcfffRE1C0pEgC8pFAg2pbIWmAt0bUsNyVnbZXXHpxdoLe1OOz4OiA+RnsLCwpU4z3IXuhIXI6H&#10;o8/5tuIck9aA/MI4/jj7OPGAWoAtuWzXrl1rgD4P3xa+2uvPXstcRzj6dh3GvP9YTk5OTs1dLR3W&#10;YtzPud8Aeuwy82fjIzRV+BA21QHHBRzbdjRXK0pZpp9cca3++Lvfqt2wFWrz1BPK9u7prR55TmsW&#10;ePfEKSv1twefVfGyLvqic2e91WGoub+xL/e6ooJcFZc3fEDNb/X1DffFS92qawLeGOUpJ6/gawDV&#10;oDK3TtHTnaZ7TnFQVdlxatWmh1aO7qolG/bqb39/VtUR92vZ5mCtk9OlLQdrnZyczptwYrn589Bz&#10;5MgRAzctpPVD0fB137TRHqJmAbI2AtjCWlsGcMkyMBOIBZDG2bFRtZjfwWL+bMAVY8gDFmYhGPKv&#10;C98eXhb5y9ntXyVbB30B5BKJC8jFWaTfRBxzTsmNu337dm3cuFErV67U1s2bzYfOqr3y3s4X1ACS&#10;IW9Km5O889G9Wzddd/31JjcuuW3fffddvffee3rttdcMyCUSF3hLdC55cB9//HG1bt3aRNfOnjXr&#10;jGFttXcNhMPaiEaZ4+USEgC4SUpKTFZqWpoKvHGlnjryv0Y4xte13Oxs8/Bszz3XIz8wzJgxQ717&#10;9z4RVQuoJWctDwRc50QM22vXXg8WxNprhHm73q470+vMycnJqbnoYoC1GP/Wkz8fWGrXAVH5IZZ/&#10;m8+1qB9Qy3GZx2fgPkdkrz1+c7U1U8copdbzjQIV+utNf9WoTs9pcdQGPXjHwxrd/z3tjMnQksUr&#10;lbr8U608UqOJXV/S4bhNuu+pNp6fsFhDvnhN0YmpeugP16v3uOXH663WC3/6i2rr6rVxchcNXBR9&#10;fH1IHV54UTUXYRTo+bOQZrR9RIM3JCtYG1B1VblG92mvz4fO1bbpPfX4G631j86TTfRvMBjSkA8e&#10;1+13P+ntV+39PVeZFA6R661VeWG24lMacj03R3Ow1snp0paDtU5OTudNgBoAH1F5NrLWAk/gLVML&#10;Qy0EbQ5GmzCifv2RwP5lIkxtVC2wljxxvGLOwxEPQkArC66QhaRNFfvgqGG2DgvDUPh8eJlI2yKV&#10;wexxmLfyz59KlMHJ40ENsIfTB8TduXOnSauwYcMGbd68WVHedJu3vH/vXpWTIsB7KA4BJr2HO6+C&#10;82/e+fAaa469ZNEiE0H73vvvG3j7xBNPmGhbjNQKROX27tnznMPauLgvo23jE+KVcDziFmALOE1J&#10;TTEgnL8Zrqms7Bzv4bpQVWXlJqVCHbD1uEVqx6mMCGiOa8U542+T65gPvgForeM/ceJERUVFmXMZ&#10;7rxzffAwzrUdfi35ryk77+Tk5NSSdLHAWmsAWu4tvEVhQSqGr4Lvcrb/Vtt/5+2P1bZejsGxOKb/&#10;eC3JqqoqVBuo1JtPv6LCYJ0ev/uPuvvR11S85BOtjq3V5O6ttOvQWrXrv1jV3viO/eJ17YlJ06Au&#10;bfTMTTeo3Bsb6lk2rouic8vV5h/PaE/0Bg3o20d5xRV69a93qdart8a71sKP7bdAZamDusdtydyp&#10;uueeu/X7e9/W8ildNWxQFz3wYgeN7fW+dhzN1eeP3quSam/MaoPq9OJdyigq0cIJ3ZVaWKAOn/fT&#10;krEd9db7H+upB55WedYGFXvjWu2d54B3/my0byhUpdbdR574wb85mIO1Tk6XthysdXJyOm/CkeeB&#10;ADAFnLUQFCDa3GEtUNmmaPC3kSnLwEj6BfAC2PKRMfu6HwoHVkytNVXh+/nr8hvHw6zseit/WSvb&#10;RizS/nZ7JNn9/IZTicPHAy8RNYwPY4KDCYAkDQDjxvhGR0ebaFw+cHYsJsZ84KysqMjkxg14+xJh&#10;6lV2YYy2e9MdW7aYdAhE4Y4YNuy8wlquGZMewbtukrHkpEawNjMz00Rr52RnKyc314wjEIFrjnEl&#10;/QIfaDPRuN6D8akg7s4dOwx8teJcUTdOPw4+EbVjxowxy/zowHmz4D7cuCbYZi38GrFl/NeSk5OT&#10;U0vQxQZrrQFVyanOPYQ++rdxr/ZHwNp/++2/7fbfc36kYzs/zAJo/fUAZnnzhnsaU7u+JdqBzUt1&#10;z733a+SSnY221YVqVeNNywO1WjZ5oB79x8eaOPBjrVk4Te1HTtbzN92gIm/MKJuXelBvtumktzsO&#10;V27iXu8+vEwvfDhUr/3tbs9nSNG9Dz2lh1/4QFlxWzR/5UYdiY034LCy3POBvPE8sHCg4kpdKoVI&#10;xnVpgiJqazSsb3cNWxRt8ueSW3jxkg2aPfpTzZs1WsWBoHed1qhX75EK1NXr01atVJY0TbGeq7Rp&#10;Sm9lJh/W0Dk7NXvgZ3r66Vf0Ts/RqirKNv5+eU3kY19Ic7DWyenSloO1Tk5O5004UgAhG5FqYacf&#10;zoYvNwcDxmL+NjO1UbVsAzYD03jVz0aTEk3Cw4sVzqQ1ZB947PLZyl9vJLMKXw5X+D7h5ZkPf1jz&#10;t9+/nnm7/lSy27kueDDkgQ/HE4DLAx6RykBwoj137NhhviK8betWxXrjXsHD34UGuE2wcFjLPBaz&#10;2Wv/jl2KT0g4nsPW2368nIG1pEJISjSwNiUlSampKeaBOg1Ym94Aa7Ozss015oe1BQUNwJaoW15r&#10;5cGZB+Qyz7Gv9NpS7V2Xtd61GPTGi7Ejysn/kRnOBVAWQEv6g6lTp5oPiAGJ/Q475XhQ4MHRPsBb&#10;QIsxb82eX7ueqZOTk1NL0sUKa63ZN4H4UTAcuFpjHT/Y2fRH3K+ZDy+HsY2x4n52sY7ZmRr3vGLv&#10;3lx5HGrX1lbqzcf+rqi4PH3a6jmt3blMT7zVW6//7R7lRPXUs2+21csvtdLGjTP18ZgoDen0hjbv&#10;2atHHnhITz//rtb1e0rpVSGtWbxQm7fvUXVlmXe/LzkBzZ1FNuuD1FaVqXO7dzVu8XbtWzFeC1dG&#10;6b67HlNVzjqtSyzR3L4fGFg7YvpaDRg7x3N4Avps0CS1f6+dqgMhPXf3Q0pcPVGvvd5Kyw98GT1+&#10;Ic3BWienS1sO1jo5OZ03AXiARMC38EhVzMLR5gZsbXv87bKRwPSDdcA2YBkPKgAuHB0efCy0wlnE&#10;7Lyd+qHWmci/v7Xw9eHyl7Oy6/zbTlfGv4xs20/Xflv+dGYVPo9xDHscXt1kPHmoZKwZeyJxyY27&#10;dcsW7du7V4e8ayjGW5+TmamSggKT3gCg63mcF9wiwdq9Q8dq7X/9XlufeVVrr7hVh9dt9GyDdnXp&#10;ob2DRilmzYYGWJt4HNYmJyk1hcjaFHNNpQNrsyyszTkJ1uZ7/S3wrr/CoiJjjFVxSYkBtjj3gHBr&#10;XLM44XbMGWMe2BnPKVOmaMGCBeaatrkM7bnwl+d88IBoz4/djrFst9l9bRknJyenlqSLHdb6zd5j&#10;ud/kevcXlvFp+Pce/w2jnJ0yNmynHD8g4t/xgyL3GX+9Ld32rZ+ruJxz3KdgSAkZ2Vq5ab/G9eit&#10;QDCgx594Xr179VT8tjn6YvoeLRzdSUvmTVS3yRvNPXRtt4cVW1KnNUsX662n7tWOY1t0933P65H7&#10;7tPh9GLNnThKkyZNN7la7XFGt3tM7YYtOvnYPivKzVStdz6DXv2Rtl+U5vknB6I3q7wiX6+2auv1&#10;PaglM2dqwaJVKshK0oINRzWsZ3ctWThTb3Qers4ffqTqQFBjPnpa5SUJ6tS1j9JLTp+y4nyZg7VO&#10;Tpe2HKx1cnI6LwLaAIQAV0AhIiaBtUBP4BEGgLPRqhaKNiejjRYq23bywSXWEZWCE8VDC+kPAG5E&#10;oNi+41xhFl4xtfNNka3LD8Ls1K635ezUlvGLZb+Fi3X+NlvZebtf+Db/Ov+yNdoSqT2RZPexYp72&#10;4EDysMiDItE9NkceD4ucB64xzhWRodi+PXuU6p2TrLQ05XoPkuRr9So5r9YI1nq2q11nRX/R38wf&#10;3bNXsdt26ODM+dr+ahsdmjhD0e27KN67tjbd9aQSYmOVnJKiI9PnKtG71gyszcg0sDaLqNqcHOXm&#10;5SovP08F+b7I2uKikyJrw2EtD9JAB3suEOPJen5E4eNwPKzzcG7HnjEHvjJF9rz4jW3+a8+eZ3uu&#10;MScnJ6eWpksJ1lrj/mohLNDWAlzeeuEeyxQzb3p49yPuOZSPVFdLNu5rlSVpeu8n/1ujbvuLsssj&#10;RxOfK2u4zwZVXVWpzPwyxezepISMQg3u9pne/qCjVn5xn47kFejed3qr9wfPa/mRjfqo63TtXTBS&#10;kzbt14o5k/XZOw9pTWyBqa+qJFOPP/+BPnrzDVXX1Wr+jNlas2y+8korlLV+pLIq67VlyWTl1Vaq&#10;05vPaEHUkUZtulitvLRYK1asUGHpqc5pg8+TXVCsYGWhhg4ZpBUbD2rfwinq1b2bFm1JjrDP+TcH&#10;a09W/XG/s6akTCF+dKiuUXVhkWorv3xzzMnpYpKDtU5OTk2WH8ZYUGPX2fXc9AFMvGpt4awFsuFw&#10;Nny5ORhw1sJaC2qZBzozT9+Ahjy88PofeUV5eLFjYcGVhVp2XJoqW5cdW2u2fuZtOTu15pd/ffg2&#10;xLrwOlGksla2rlOV8W8/VRm/KMPxz1S2PA+anAseIHmQtHlxbZ5kALsBkzt3mo+bZXsPomWFhcZq&#10;AOw4qF/TIkXWHt27XxtuuFsbb75f+0ZP0rFjcQbWbv77CzqybI0SsjKUmJysqN8/pESvrcneQ/GO&#10;595V3Kp15kE5M4N8tQ2RteSsBdbmAmsL8g1IMJG1xQ2pEIqLG0BtA6xtALWMBT8k8EAYPl7kkuaa&#10;Zcz8DwKIZXvdnkrh1wli2ZqTk5NTS9SlCGud1aoqJ1qdrvw39fr1/9Xum/6bcm/5V/V9+HmVVjds&#10;D+UnqN3n3dRz2HyTGzV8/3Nt3LcxPjC2e/tWbduxU8ey4jVp3mbtWzhK49av10OPv6oRnZ7VvENZ&#10;3j5B7V7YV3+5/zm98NBfFRWTq1YPP64te3bryXd7a/h79+iDzkO1eMSn2rNrpW687W5F749Vdm6e&#10;6oINqQMitQOrKs1Xheff2g9xXWrGeYi0/kLYpQxrAbMVmZ5Pv2qj9vcboQ2vfKilf39O837/d837&#10;3X2a/utbNfPq2zXnxrs0+/o7vHX3aum9z2jj6221u9tAJS1cobLUjOO1OTm1TDlY6+Tk1GT5gQxT&#10;C2786wGXgCLykPphJ1OWIwHS5mS2zba9dp4+0CciUIjyBNRiQC+iE/1OFePCsh0T5J93Ovey1yBj&#10;b8cfR5tzhZNLxBBR0JzTnTt3avOmTdq8ebOZRm3caD7Eleg5rcVeWc9zPWOLBGsPLlyquIR4xW7f&#10;qajfP6h946fq4Kz52vrYK9rdsYe2PPCi4rzrKeoPDyox5jisffadBlib1vCBsROwNifbRDzleu0C&#10;IuSHRdaWnIC1pSorbcgFzHXKOsbBinn74MHUXY9OTk5OX8rB2kvTgoEatbvl+6r8/X8o5Zb/R22u&#10;+LWG9Bil4sqGFBB12fs0bW+WMg9NV3T+l/5FeD0X0nIyM5SanarMkgpvOaDebVopJbdA+zYvUese&#10;I/T6061UGqzTA8++q4SJr2t3Rr1GtX9GGSUZuv/5D5W4db6e+nCA0nMT1b3nAD352icqOTxdexJL&#10;lJ1wUNWBBoibs2uuOo3f4PkMkdvh7PzZpQhrCw7FaMuHn2v+rfdr2q9+ryk//e3Xsjk3/E1rX3hX&#10;cTMXKlj15XdFnJxaghysdXJyOitZKGbBmB/6MA8k4uYP+LSQk6kFoX5g659vLhapTRbYAmeJXCSa&#10;89ixYwZKA6eBX+FgzD82kcbK6ezVlHGkLI4oUaUWVtrUCpxLHsyJZgXkxsbGmtQdfOCM/LgxRL3G&#10;xyvb216Qk2MicsNz40aCtbt7DtaaH12nrf94S2t+fIMOTJ6lg7MWaNenPUyZhIR4JXrXDiA3ISbm&#10;OKx9W3Erj8Na73hEv2YZWHtyzlqbBqGYyNrCk9MgcGyuS9ZZIOu38OvSycnJyalBDtZemlZ6bJVa&#10;fdJPz373fyn7mn/VjHWxJ22vyzmsPz/0rNq985oyMlL1QpueiovZpc5dBqr32PmaO2OKqmoaygZq&#10;G+6z/v1Ptipv+/kCvQ25hgs8vyAjLUM13roJM5eoKjNal99yr8a2f1xZZVl66KW2St85X90mb1bO&#10;nsX6x+ttdftvblLawaFaGJ2nBQPaaEPaPt197xN657n71GPaFuUeXq/2bdursqYBYDs7/3apwNra&#10;8grt7jpQc26+JyJwPVc29Rc3ael9zyph9iIHbp1ahBysdXJyOiudDv7gKBIFSGSfTX8QDmvDQWhz&#10;NNtujDazzJSIR+AsEY2keeC1e5yccPjlHyO77CDZuVP42J5uXO32U5VhvX244mEdB5mHdSApwJRz&#10;DMjlmiYVBlG5UVFR2rRxo2K9ayI7M/MkWGuArXdtHDtyREf37dUxrwwA9eCCJVr171do+b/8UBv/&#10;8oDivfqi23bRni/6K620SJv/9Kjio7YYcGwjaw2sJQ1CLnlrgbUFKjxFztr4+DjzYwKRxDaqG7Pz&#10;Vna9k5OTk9OXcrD20rP6+nw99XInvdR1tkqy4nXdHx5RUfXJr77XZe/VlOgMVVXXqDQ3XT0nR2nH&#10;0ml64fXWuvI3N2vDwlFKzizSE2/0VYeXX1DCsaNatCtB/du+rnav/0OZhWWqPX4frq2t0eLt6d5y&#10;UGO7tFdZzXFwW12uosKG/LPny2q867umNqDSsjKV5qVqdXSiqrL36OY//EXX/exK5ZXv1AejVmpa&#10;t9e0bOtcdZ22S/l7FqrX5PW65483auz4Qfr7ayMi1u3s3NvFDmtrSsu0+b1PNfU/b4kIV8+nTfvl&#10;LVr7/Dsqjks83honp+YnB2udnJzOSn7YwxRnwoJIPrTFRykAnhbWWvOD0HCz25qD2TZZWGvXAWfJ&#10;90kfgWkAOMC0fyzsfLjstlNtdzp7+cf2VOaXXRf+Q8NXiXI4tETjct5TUlLMNQHA3bFjh0mpsGrV&#10;Kq1cuVJr1qxR1IaN2rd374loV/LWxiUmKS4hUfFJCUrw1iclJ2nXu59qzWVXa9vjryrVu65OwNrj&#10;H3QxHxizkbWAWoCtgbXFBtYClIHHtId0HH7RZj+stf32w1wnJycnJwdrL0ULRFjX2IKqr2sAuGWF&#10;ORo8a5tKc2PUbegs7d+zx1tfqb79R2hbZpleaD1ECxbMV58pK9Xv07ZSbZH6jZmoT999R7nV9TqU&#10;sl+vjtml0sKt+viTriqqqDH1khM2r7jczNcVHtbb0/ea+Qtt+AYHPb/3aGWVnr/zRj14zx3qO3uL&#10;XnzwPiVl5hjIHGk/Z+feLlZYG6oJaH//kZr6nzdHBKnhNvknN2jyj6830/Hf/Y3Gf/sKTfvV7zT2&#10;336lST+4TjOuuFUTvneVxv37f2nSD69tKH/cItUXbgtvf9h8sMz5w07NTQ7WOjk5nZXCIY+FtRjw&#10;iOi+00FYu81vkcp9U2bbE97G5ORkA+psH0mBgDNl5eDXNyM77pHMD2TD19vrluWvqgfzi2X2t2kV&#10;MEAp1weRrkB9InJxggH+W7ZsUdSWzdqwYYOZJ91CzNFYA3Epk5iSrJTEJKWmpSo9PS0CrM05AWvz&#10;8vJNxC2QGLDAcTg2fbFts2I+vI+0O7zvTk5OTpe6HKx11lTjHlobCGj39t3eclCZO8dqxMhhWrw8&#10;Rj07fCzV5Kv3qHHqOWCUAt72urosfbrwsF5rO0r1oYC6ftzOW+f5ESXZ6jNybkNKrZI47c0sMh9E&#10;TUtNNakHuMd/NVhuSFFwrj8GxkfV8Bnwa5IKyZEbuZyzc2sXG6zlb6U0OdV8ECwSNLUGZJ30o+s0&#10;+ac3aMZv/qg1T7+hg0PGmijYisws7++mwdet87U5UFGpmpJSb3uOMjft0N5ew7T8wX9o2n/9oQHg&#10;/vj6iMfy28Y326rc29/JqbnIwVonJ6ezEjdcP+QB+ljDmQNEWeBJ6gCb+iAcftoyzc1sm/3tPnLk&#10;iIlg5GEOeEZEJdGO1sGxY+IfF6fzJ/94n27cWc916QeUdn242TK2XPj2M5G/HPWQFoS0GaQp4G+D&#10;awfoz/XD9UV+XCJyicQF4h72rre4+IaUCkmJSUpOSTERs9aIVl+/fr22b99uItiJsOXhLpLC227n&#10;7d+qXe/k5OTk5GCts3Nr3GdrA9XaG5ug0mNb1LbNe4pLP6YOc46owzsvKjsjRV07dFCd5ysAaweP&#10;W9CQa77ogIYfyNSzf7tdgfJCtekxXm079FKgMFnzlm5SzL6d2nsYwBZUvueHBoMhHduzS8HqArXr&#10;2NfzPSK3x1nLsosJ1gJWDw4eGxGSWmsAqjdq7o13aV+/ESpJSD7ZTz0+HyTVl+db1xSXqLqgyOS8&#10;ra2oNN+TqPP+JvwKecfN3+f52l36av6tDzRAYM+mnCbq9vCoyQpWVh2vwcnpm5ODtU5OTmcsC3rC&#10;55FdxskERgGhLIgNh55+s3C0uRlglqltN5GRREACxgBvQDOANFGU/v5b8yt82encKHzMTzfOPDCd&#10;CsD6LbyclX9b+Ha7zZrd/lViP/5e+FAdEJfUBzjMXHNcb0BZzMJcjGVAL5G0pOIIbwPHtuuQbZO/&#10;nN+cnJycnL6Ug7XOGqxaGRmZEdafGwuFggrUhjxf86iKbFqB0jxNnrfO8wtqVV+4T0P3Z+ilvz+v&#10;UG253v+gr6LmjdHaxTO1ed869Rg2XlN6vKm9m1do4oIo9Z+9Qfff/idFRR/U9p17VVOeq92e71Be&#10;XmGiefE1TmpDdal27j1g5qsrSk3U7knbnTULu1hgLTB13YvvRQSjxkhZ8KPrtfLxVsqK2n4CuOKn&#10;1nnXLhG1CXMWa+fnvbXM+5uY/4f7NfEH12jmb/6kyd7+479zhWZ48/P+8Hctu/95bX6/o2LGTlPu&#10;7v0G4lrVhepUeOSYtrfvpum/vtWA24jt8WzpPU+r4FCs85WdvlE5WOvk5HTG+irAAxTiQYfXtwGc&#10;4bA2Eqi125hvTmaBGfO0FUhGygOiI3nFnRQIRD7yISdkxybS+JxuzJzOrxh7CyvtebDr/Ba+PVys&#10;s6DWWqRyftk6T2dWtIE6Gz1QHTeic+3DFOVsm5myD2bb5d/mXw6XbUOkbU5OTk6XohysvdQsqFUT&#10;Bink3UNjd65WSW6G+fE0FCpX597DTnlPPv8WUEZptZbNWaJgoFKjx8xXXmqM3mnXXTVlyRo1a7lU&#10;VaLKinKN7d9bq3cnqf+7b6i+Jl8dew7T0O6fKTW/VE8+86aKcxM1dtRIzVq7X7VlBZo+dYqS0nOV&#10;mJqlYF1IM8aMUM7xXLknrKZC+03krm+dswtuFwOsrS4s0tJ7n40IRDGA6YpHXlb+vkMmwhzhlwJa&#10;d3zaQ3NuuscA2Ynfv6ZhnzPIQ0uELuUnfPc3mvqLm7X8oX8oZsIMVebmm/pR0Pu3/sCgMSYlw+lS&#10;JBwZPeVEu5ycLrQcrHVycjpjfRXYwaEg0hSoaYGsH8badZgFos0R1FoD1vrbnJmZaaIZmRJlSyQk&#10;EA2Fj4sdK//68GWn869TAUt7LvznJNI6v1hHPaeCn8iut3WcymgTD4HMn62og+vPOvXMs85fP0Z7&#10;I8k/Nk5OTk5ODtZeilYSv04H82r0Vuu+Sjp2WMvnT9aKvYnq0meEMmM2q1/fPioo9ny/pATvntrw&#10;o6jdN1hbrr4jJp5U3/m0ULBhGrd/u0ZNWaC89FjNnDlD45cd0fRu7ykh6Zg+6zlMA7t2VaiuXu3b&#10;fK4jm+dq5tz5uuPvH2riZ+8otzao2H071bHfOG1eNlaTpi7UvA27GvLh8sNweaFCVYX64LOhqjt+&#10;PHyJiWMnqyrQAK9DVVkqr6w6gxy6zr6OtXRYW51faD7eFQmCYtP/6w86Nn2+6o/7oUDRxIUrtOTu&#10;pxo+KHYGeWbPxMiBSyQu0HfNM28qY+M2kx4B1RSX6vCoSQbunup46198X4GyclPeyelCysFaJyen&#10;M5YFTX751+HMkSaAiFMLOr8K1vrXW0jaXMzfppiYGBNtQQoEYDSODR8Zs06Uf1yYjwT1/GPldG51&#10;qrG15yH8XESSrcNfV6R1foVv80/tMf3zti0WpjJvy2N++fezZvdnnv1xrllm3tZny3EMjGVk9/WX&#10;sebk5OTk5GDtpWihulq99dF72pxcqHbvtNXimWM1aekBdR80Wl0+fEvvfvih/vTIJxrw0r3atm2d&#10;3m8zUJn71qv7gP6at2q7du3er8qyYnMvjVT/hbBgbcCA0/yiEiUnZ6goO1VLV63VS69+rP2Lx2vY&#10;2Km6+fa3tGJQG5V67QxVZKnbiEkaMnCUaj0XYEz3z1RW7fkT9QG983YvLZ4/R698MlSHo2arQ5du&#10;Sswu06dtO6mqNqRAqF6fPPeYYlMavtng7PxZS4a1gfJyLfrbExHhJ1CUdAVlaRmmLLA2ff0WLfjT&#10;Q5r4g2sj7nOujGNPvOxqzb/1fh2bMsekWUDVBYXa+HrbU0buLvjjgwrV1JiyTk4XSg7WOjk5NVkW&#10;/iDm7TI3ej7ARS7XpsBaW9aC0eZg/nYzTUxMNFHDGE4NeUN5Ld0/FlZ+EHaqsXI6tzqXY+uvi6k9&#10;l1i4bFl/eTu159+/P4bjbbdZMR9u4evD97H1hW8PX7ay8NYPcP3bnZycnC51OVh7aVpGcrw3DWjP&#10;5nXqM6iPZq48oE+6DtTEvu2UXhxURlaRBrzxOKF/6vzm65o1uLsC3j22qjxfXwwep5zMNO2OXqbV&#10;CcX68OmH1Pa9D7Q1he1F5od9cxzv3ht+3PNjQS0c20N9+3RQh/5zzTIpu3Lz8hWortLuvfu053C8&#10;RkxfoujVkzVx2jy99k57VXvl6usr9OqgDQpWFqhN56H69JVn9NxzT+jlz0eoY/suBtbW1lbpuXvv&#10;VtS+GLVp86kWbktS9NYN5thEHvvbQv7ddq++afwO9isqcH9XTbGWDGvXvvBuROg56cfXa+tHnb+M&#10;bC0q0boX39eUn99oImAj7XO+jOPNuuYvytmxx7QFaJy9dVfD9ghtmf6r36soNt6UdXK6EHKw1snJ&#10;qUkKh0BM7TzOIBAT8GrzvZ6J+QFuczIgLf3gY2PZ2dnmQ1A4SnzFn7y8jEMk2TGx4+J0/nW+xtt/&#10;LiPVf6pt/vV+45oJh6govNyptn+VTlfOHjvS8Z2cnJycHKx19qXVkGYoUK309DQVlFZo58qFqg8F&#10;9dELz+nA+oXakJSv5GOH1XPoGLVt11Xxqbs1/ECmXrrvOYVqy/T++3007Iv2yslN1MiRU9RzwEh1&#10;7N5f1RGOdT6Ma5k++NMlRTKCEKqqv/zA2P7lk3TX3c/rhbb9NWtIJxXU1nl9yNen7Roia2tD9Xr3&#10;sUdUXpirHtN3qKYmoLysDHXtPlxrJg9RemG1Bn38mgKA22CtMo+nDAsGi9Sp13DxcTX/8Z2d2lok&#10;rPX8S3LBhoNOaweGjDvhgxYfTTCw9EJD2pPMOzbRtise+odJiYCqC4u15tm3NOmHjT9ANv1Xf1De&#10;rv2mnJPT+ZaDtU5OTk0SN1gLe8KBDykCbAqEpsDa5mx8WIxIYSIjgLXkqSVfbW5u7on+h4+Dk5OT&#10;k5OTU8uTg7XOTmc2R6sFoIHaoHJKyrVl3nA9/vgLGrgvU8/f9ZRCwXJ98F4vDeva0ZTlTaxNMwZq&#10;cdSeFpXnlbYb8/q5f3+MarwpsPalO/+q8qI89Z+7T6tnDNPhzGr17TFEqycOVFphtfq1flHBEG8S&#10;BfX26+94zw2kfipSlz6jtG/JcN1yy+9UVHH8OIxlWESuswZribC28HBsI8CJAUQPDBp74pkpbU2U&#10;pvz8pm8W1PqM9vFBstRVG0z76uvqtbvbwIhlscIjx0w5J6fzKQdrnZycmixutOTH9DsQANySkhID&#10;MgGczTFStilmo2oxctQCagG2CQkJSklJMZEIjIM1JycnJycnp5YtB2udWRD7dQ0fuTQ/TQ8/+JRW&#10;7Dmq7t0+Vbv3O6jy+Ee6Lgajj9VV5RoxZoK+6D9dZTk7NXLCJP3uD3ecgLXvvPHul7C27yiVp2xW&#10;x0/eUK9ZR0wdlRnR+nDkEr3/WR+lHl6nV55+Vscy8lRVUabSkjLz1l74cS8Va2mwNlQT0LRf/b4R&#10;2ATIbv7wM1OGZ6bEuUs16UeNo1abg9HWdS++eyJNQ9qqDZr0w2sbQ+Wf3ajC2DhTxsnpfMnBWicn&#10;pzOWH05yUwfYWrGME8GHuC4GWIvRD6aZmZnmAS4nJ8dE2TLFmWcc3CvlTk5OTk5OF4ccrL3UrVqd&#10;H7xWY+ZuVm0g0vavZ8EI6y5GwzduiMgNaPmylQba1tYWacCoKerVa6jij6xS79kNsDZ71UCVBOu8&#10;8a5Qry59VaeQBvQdpJmD2mhvfL4Gvn6H2nzQWlO7tDb1xMUcVmlJkQrzslVeUdkQmctxQ3V669G/&#10;escOqrqiWNn5xSfa01KtJcFanoUODB57MtA8bovvevIE/MzYtF0TvndVxHLNxYiyXfTXx1SRnWva&#10;nLNrr6b+582Nys246naVJqWYMk5O50MO1jo5OZ2x/OkPuKlbWMsyKRDI40pE6sUAa2k//SBSuKCg&#10;wDzAkQIBGF1cXHxiHBysdXJycnJyujjkYO2lafizezet0ryZo9T5F/9du379H1q6PfbLMtWVBj5S&#10;zr+fs6ab/QhZam6lmQIjP+3STXMWLtbcMd203/PBu3frrxlDPldqUY36ftiQUmHwh6+bnMGd232k&#10;DTN7a9zK/eryeWcVFeeod8fPNHP2Eh3aud3UuX7GSGVXksIhchtairUkWBusqWkEM7Hp//UHVebl&#10;mzIlickRP9zVXG2a1/bSpFTT9lOld1hw2wOqKS4xZZyczrUcrHVycjpjASYtnMR5sA4EyzgUiYmJ&#10;BnKSOuBigLX0g5QH5eXlpn+kQyAnLykRbL8dqHVycnJycro45GDtpWlV2dvV96f/nzJu+Gcl/P6/&#10;Keb6/62uP71cycUNH96qy96nlzoO0Nuvvq8qz/cN39/Z17eG6Nug8vIKlF9WpV1rFymvrEZTBnQx&#10;sHbV2HY6fHivXnzpfW2cN1yHswJaO3WgFozro5ScMtXW1eudxx9R0uaxmrp8t/r26qr88obzV5B2&#10;WLNnzVRpeZUKvL9toHsw2HDcysxjGjV1+Yl2NCdrSbB283sdGsPMn9ygpCWrzfbaykpN/cUtjcs0&#10;cyOtQ8GhWNOH4rgkkxIhvMzqp15Tne9tUyencyUHa52cnM5YfliLMW/XFxYW6ujRowZyWosEQVuC&#10;2fYfOXLEpDwgXxYfFAPUEj3MhyKQA7VOTk5OTk4XjxysvTQNINb2oVtUcMcPlHztP+vjDkN0NO3L&#10;awBYO/tQkYri52pZXJEmTpiiLYezlXrsgOcjVhr4t2Dpxi9fyT+lucjcs7VAIKiEpBQdOXhI6+YO&#10;06gp89V34HiV5serz6Bx2r91m95/4hEdWTJQpSEpYfdqrYnNMue2y4dva8jIkXrojSF69q+3avLQ&#10;Ieo9c7tJS1GZHa8hE5eosjBTxUVF3rECZp9IbThhFyjCuqXA2jrvug4HmNiqJ1498ay08vFWzeZj&#10;Yk216b/6g4kKpi+ZUdsi5ts9OHiM6aeT07mUg7VOTk5nLD+stcsW2gI1SYFwMcBa+2ExUiDwUTFS&#10;PBBhC6xlGaecfttxcHJycnJycmr5crD20rNQqFrd2ryl9z5ooy7vPKN1P/sXLdubcVKZuuwDajdk&#10;mqbPXa7S3DR1HL5UR7Ys0aQlOzVpeB8d3LtPjz7zhmIKSzR1aHeNmb/Z7Bc0fvOX4K+uMlEDFsYa&#10;2Be3ab7xJ+02Z2dqQS2fMVwxOQ3LpKcgqCImMUe7N29STVWpxo6aokEjRqqwKmDGetAX7VVYWa/M&#10;/DK1euwZ1QUDev31Lt65CRpYO3rKfHXv1l3bolZq0d4EdercT6N691HoePRtZty+hhy8x2F8atRU&#10;xSQXHG/PlxYI1Hj7nLtz2lJg7e7ugxrBy8meFR45Zranrd2kyT85eXtLs6m/vNl8QI1nv9iJsyKW&#10;sf11cjpXcrDWycnpjBUOKJkH1BJpyke4LOhkejHA2tTUVJWVlamkpMSAWtIgAG4tpPaPhZOTk5OT&#10;k1PLloO1l57Vhcr10kvtdSi5QIHqCq3ftk+BsDLBgnhNiU4386W56eo1ZZMOblygrccKVBa/QSv2&#10;xenNNn1UkbpZdz3ztkZ82kp7E3aox5BJmrNopbbNGaJ2HT9TTNIRHUrNU8g75oZNcaoPhkXiVmZp&#10;5oo9aum5Vs+/fTUQJWr2xHmsKlXUxvWKzSrRqIHDVBes0bPPf+KDtfP0ec+B2rZ1mw4m52vupAla&#10;sz2mYd9AtRLi4zRmVH8lpR5Qn4ET1fvjtxSXVaila7YpLiFJIe+5AKhaXpillRsP+D4kF9TcMUOP&#10;zzfdWgqsnX7FbY3A5doX3jm+VZp3yz2NtrdEm3XtX01/6r3zvendxmkfZl59u0uH4HRO5WCtk5NT&#10;kxQOKXEiAJpEnlrQGQ4/W5rRB6KEs7OzTb5aUiCQ4gF4C5i2kNrJycnJycnp4pGDtc6+ymq8ayS/&#10;qFyBmiotmTtHnw6YoNLqoNq8/pqqypLVeUmqKisKFL9vqbamV3h+cqn6j5rW8Op82REN2ZSq51//&#10;SIcO7NVr3accz50a1J51U7Vy9QL1n7JRdfV1Jx0zZdcSRWUVn7TO2bmxQHWlcvILvfO1U++//57i&#10;c4r1+Rc99NGzj6m+rlYF6bHqOW6FpowZqLlTJ+tQmvfMs3GqErIL9cCr3ZR8aLnaD56vcd3bqSDt&#10;kGYu2aKZ88Zq5uSpqqyqUW5m+pfwPUAO3TP/8FlLgLUlcYmNoOXkH1+vvL2HzPZjU+a02PQHjczr&#10;x/KHXjT9ClZVadb1f2tUZtN7n5rtTk7nQg7WOjk5NUkWVFpgyytcPNQkJCQY0Ll//34zJd+rH4C2&#10;JAPWxsTEmH4Ba8lTC6wlehhnhv7jPFlwbcfCycnJycnJqeXKwVpnZ2WBgGqqq1RVE1BpcaEyMrMV&#10;rA2oc6v79ML73TWh9ydKrwioMCtaw7ak6/lPZ6rW8yOHfEp0Z0jF6Yc0etYGVRQnqP+0zfr4wy7a&#10;v3mpjuZVmvqTts7V2sziBp+zzqVOON9GYEZFZcPHyQKBas2eOFZvtflCBxKS9Vmv4ZrU4VHFZxXq&#10;kbcHqLxgn6ZtL9TyKf2UkLRPE+euV/uuQ739ctV3zh51euU5xc/8XF2699DkafN0w823Ky4jv+FZ&#10;4niahZMsUKFPW39u5lsCrN34+keNgOWivzx64tlowW0PNNrekg3wvG/AKNO3goMxmvTDxvlrQ96/&#10;B05O50IO1jo5OTVJ3HxxMGxkKfmbgJixsbEm9QGgsyWkQCBylml4m5nu27fP9AcnCUtMTDSODA9v&#10;OE1+WMu8g7VOTk5OTk4tXw7WXppmc5ES9Ri+7VwZvmJtbUjpRZWqy9mkX13+a43fecy8Ml9VmKSu&#10;fcYpGDiqAVO3qNvYNRozZox6LTto9jWwNiNfaTnlGjfkc6WX0c46DeneS7PGDVB5RZXpgz+vqrPz&#10;Z/j+APqMnEJVFqdoTnSxFo3tegLWduozUnUqUJfxWw2sDVVn6NmPenjnt0gd2vdXSfp+te8/R4Gc&#10;XVq8bL3e6LfMqzOonm3fU2pWvom2Jv9tSUlxs4e1c266uxGsPDhkrNmWsXFbo21nYwDSST+4VlN/&#10;eYvWPv+2Nr7RTovvelJzbrxLs6/9i6b91+818fvXaOJlV2nyj6435a1Fqu/rGvVWZGSZPu7q0q/R&#10;9tk3/M1sc3L6unKw1snJqcmykBLxYJOcnGwgpx/S+uebmwFqify1H0QjGtimPrCwlkjaiooK80Ex&#10;wC35akn3YPvuYK2Tk5OTk9PFJQdrLz2rrqzQ/GEjFT1/vqpqT04/UFtbpbzSSvlfWw/PZ3tOLBBQ&#10;uedzLtu8Swuijmnx2E6aOnWcdkVnm+2JW+Zq0YFNeq/HZE0f9YWO5hL1WadPXnlZwbp69XztUW2a&#10;2Fk74o/pi8HTtHD0p/q4Q3clxB1UalqGaT8Rv9R1Ju0/L328RCwUDHnPCEQ/V2puVLx6vP2qNvdv&#10;rdhD6zVxY5I+bdddhal7NXrWZsWunqg32nTQzXc/r3mdnvOeJ+pUXlaiT9p8oW2zhmj8ghXNGtby&#10;wa0pP7vxZFjpLdeUlJrtG19ve/K2szDA6KrHW6kiK8fUeSpV5Rcqa8tOHZ00S1taf64l9zytuTff&#10;ran/eYsm/fBaA3Ej1X+2tugvj5jctWjOb+9stD03er/Z5uT0deRgrZOTU5Plh7V8cIvIU4AnoNMf&#10;sRoOSZuD2fbZKZDWRtb61/FBMeAs+WpJiUC+WvpK3/39d7DWycnJycnp4pCDtZeeFZeU6tevDtfP&#10;H+2sT4YuUlZ5jWISMlVTU6Xyijx9OP2gSfmFv3fLq5NUFzp5/7LSUlVVn99o1vKSYqV5Pumnb/9D&#10;737wnhLzGyJrO7/4qHLy8tX11ec0rXcHbdy8WT1HzdOcMd2VUh5S1+79VJqfpeyDy9V97lq99e4H&#10;Ki/N07BhI7R18xaVVQWUm5mqouLSk48ZDGjhkB6qIc+uf72zszauH6Kei71zeTQhWeu2H1XBsU2a&#10;NXuB7n/0ZaVuHOxdd2nKz8lQ+zZfaOGYASouL2/WsDZl2dpGkHL+H+432/jQ1vQrbm20vSkGqN3R&#10;sScPnqZOq7raoOpDDc9hX6WgN+YFh2MVO3GmVj/9hmZc+UeTU/dcRN0eHjnJHCNx0YpG2wDF7vnQ&#10;6evKwVonJ6cmyw8sAZqATaJRLfC00LM5mr9ttNea3cY8cJY8taRAYEpkLR8bsx8Xi2ROTk5OTk5O&#10;LVsO1l56lnQsRn9qM07X/mOQth5N0YDlh3Tba4O0c+tWzT2QpHvbTNZz7w9QUU1QszbEKSslVRui&#10;45Wfnqz525K1etFy7Uj5EnYGq8p1IKPs+HJAVVVV5ylStU6fv9pK+6K36UBmmYpz0jRw/AQtW7lJ&#10;s4Z3VUpFrVLS8/Tek4/rwNyeqvJ81ZK8Q5q3M0ute4xVblyUpq3YrR27DqvfZ++roLza1FuYGqMN&#10;mzdraKePVFMXUnVV5fGPoDk7X1YXCnnTgOK9543NR5I1deIcZRyJ1uxla5o1rN3+SfdGkHLDq63N&#10;ttydextta6ot/tsTpi7EM2fe7gOKeru9Vjz8opbe+6zWvviudn7eW3EzFipnxx6VJKYoUFZxfI/I&#10;ClZVK3npGi264/GvHW07/de3nogiXnD7w422Z6zfarY5OZ2tHKx1cnI6KwEoiTQoLCw0MNMPa22K&#10;AQtFm4PRHr+dCtQSIczH0oqLi1VSUqKUlBTjxJAOwe8wOUjr5OTk5OR0ccnB2kvPgtXl2p1apJXx&#10;ZQrUVOrxN/poXfQhPfzxeOVWF5rIWuUlaVRsof7YZoFea9NfSYW52hK9V3/+YKKmzVyiXallWrtu&#10;m4Yt2adQRbF6rs8wr8IHA2V6pc/CyB+S+toW1MLJk1QbIfo1GAT+1WrbxjUaO2eDiZTtPmKcBvXp&#10;rZy8TLXuMU75KVs1dsZyfd5ziLq3fV7JBZWqratX21de95zcgDq88qqO7VunfsMmqduAidq8YLTm&#10;LFyoRVuOqTztiGo41vHjRLKYqKUuncLXtOb+gbGVj77SCFAmLVxhth0aMbHRtqYYka8AWKsDQ8aa&#10;dUTFnijjzU8iRy3rvG0mb+0PrjE5Y9c+95aiu/ZX4rylyttzQFV5BY2icXd16qNJvvrOxnZ17mfq&#10;IgVDeLTu4ju/hM1OTmcjB2udnJzOSoBKHmqIOAV0WlhrwacflDZHo63+9AcYy8Da9PR007eCggIT&#10;NQywJX+tH846WOvk5OTk5HRxycFaZ8mpWQpUV2ri6v0KBcvUeeFRKTteo2ILdFvrBcrKylWHAdOU&#10;mpakrnMOas2i5drl+Y53d5yq3t37a3d2pR7usUydhs7R9owCvTVomSorcjRk4gplFFcY+BbpuBfC&#10;CLLgVfySsgpVluYoJj5TC+cv0KAeHyu1sMqA3+HtX1N9XbU+e7WV1q+YrIFjp2nsmOmaOfRjpRRU&#10;qd0LT6lsZU+VqV4zBn+gnIyj6tipv0aMnazK2qDSjuxUTm6eUg/uUCACSHZ25tbcYe3CvzxyEpwE&#10;VtYUl5ht6196/6RtTbXp/3WrqQeVxCdFLHM6OwF2mXo27Ve/17L7n1fshJmqKS07XrO0r8+wRpC1&#10;SfazG1WZV2Dq4oNn4duL4xLNNiens5GDtU5OTmclQCU5XNPS0gz89MNaC0PtfHMx2mTbxTQ8V639&#10;0FhWlueoe85sTk6Ojh07ZlIh8ABnxas4mAW2Dto6OTk5OTm1fDlY6yzczJf5vWl5dY0OJuUpatMu&#10;Ldkao/LKUj3XbrQmTJqvHfHpajt7v+oCNaooLdGArXkqzslW2+nb9N7wFfps0FwVVdfpjR4zNLbf&#10;GNUEa3T7e/OUnXBYB8srNHvBemUWlhuYin8ZqR3n347n3a2p1spVaxS9Y4cqCtP12eefqceYBZo7&#10;oK3Siqr0RatnVbWhj/JVrzlDP1JWygENmbZZMaume2OzUkPmrdXmrZs0/dOnFKyp1IhJczR2+nKl&#10;HTuso/ujVeU9OwSD+Vq4NfWkD7c5a2zNHdbOvv6Ok8Dk1F/ecnxL5I9uNcWIjrU6NGxCxDJNtp/c&#10;YD42NufGO1WamHy8dmnxXU9FLn+GdmDQWFNP8uJV5hj+bZvf72i2OTmdjRysdXJyOisBKMlXm5SU&#10;ZEAnkDMSFG1OZtsFnGXqh7VMgbWU46NiRNISUXv06FGzDLy1YBZnGufJLmNOTk5OTk5OLVsO1jpr&#10;itlI1eqagJKT0rT9YIqqaqv1dp+5+tOLA7Unv0hvD16uLkOmq7C6Xj16jVNW8iHNXbVOPYdP07SJ&#10;M7Vw6QoNX35AfYbO05L5S9RlwR6VVp3fD5Y1zYIGWFdVVqja62vKsVivz+XqP3ycOnbtqMzEPRo4&#10;OUpx62Ypass6zdkWo7pQnSZ9/LRqquLVuV1r3XfPM9qycrqW7oxXj8+7Kjlllz7qPVPFzaqfzc+a&#10;O6wlWtUPJmf85k9mfW1lVSNo2VSbe8u9pi4U9ebHEcv4jfyzE75zpYGxEbf/7EZtaf259vUbrhlX&#10;3Go+NFZdUGjqD3r/7kfa50xt2i9/p2BNjalr6i9uOmkbx+Fja05OZyMHa52cnM5KAEryuHKDjwRE&#10;Mf/6b9poD3AWC4e1bAfUYkTS4gyRs5a+AWvpJ864jajFocFBd7DWycnJycnp4pGDtZegBT3f7nx9&#10;QMvzHUvKKxWoqVJMQqb2pBWqvi6kf/lzD5UVHdXNny/R9g3rtTm5ROl5pVq5cKl2+T5W1iIMWF1d&#10;o5qKMpVXVutQ9Ba17jJQMz99QhVZu7Vg/xG9ef+z2rR2jvanlmtC907KrklU/7kxketzdsKaO6z1&#10;Q0ls1rV/Mesrs3IabWuqLfzTw6YutPqp1yOWIX3BhMuu0tp/vKP09VuUu+eACg/FKmb8DC28/SFN&#10;/P7VJ8ouufvpE89rBQdjzLotH35ultHcG79eJHDenoOmnjXPv91oW9qqjWabk1NT5WCtk5PTWQlo&#10;ycNMTEyMAZ42lYAFoBaCNhezcDYSrMVI48Ay0bTkqiUFAqCWyGGibHGWHKx1cnJycnK6eOVg7aVn&#10;WYlrNXR/rv7j5i+Mr+ffVh86uey5NIIAaoO1qqkJaMeBePVbdUTL5y7W1qSSiOVbopmoY+9vCp+5&#10;sqJSxeXVmj1imLJqavTKux1NRHKk/Zw1WEuDtTZ1QUlc03PMhtuyB543daHlD/4jYpmZV9+uGm+M&#10;wmWezbzntZL4RE36/jWm7JI7nzy+tUEzr/mzyWkbrGpIc5e8dHWj+ptiq5583dQTrGwcpbvlQ5cK&#10;wens5GCtk5NTk8QNEGCJ40VuVws8jxw5chIAtfC2ORltwyLB2r1795r1QFqcI3LxAmszMzNNX23f&#10;cZosuHWg1snJycnJ6eKRg7WXnmUnrdPQQ7nqMSpK5aUlKq+qVnlljRK2btSnS455PqBXLhBQZXVN&#10;xP2dOTtf1tJgLR/YQoVHjjXa1lRb+ejLpi605M4nGm2ffsVt3jNYXUOB43CWdAbVhcWqC345ZnXe&#10;+C3866Oa9KPrdHTKHAUrqxQ/e/GJj4pVZOeacoHSskbHaIpN/vENqq2oNHWFf7CM9BDuedHpbORg&#10;rZOTU5NkYS2/lqenp5vUAcDO5g5rac+pYC1TImtjY2NN+gObi9emRKC/yEJqHCd707XQ1snJycnJ&#10;yallq6qqStHR0Q7WXkIGrB12OFc/uWOAlsycrufGRunmZ3po3+aN+nzJYbXpNF6bVq7V9b12qry8&#10;UvlFpaohKjZCXdb4IFmk9c6cNcVaHKz97Z1m/TmHtXc9edI2YChQFvEMVhQbp4W3P6zx37lS4799&#10;hWb+5k/mo2ShQEOfQt7f6/xbH2j4wNiPrtPEy75Mj1CWkm7KAFr9xzgbK45PMnUtifDBMsbEyamp&#10;crDWycmpSbKwtry83KQMsAA0HI4CQcPXfdNGO4HLFiTTRmss25QHJSUlJqqW/lVWVp7oc6SoWmtO&#10;Tk5OTk5OLUeR7uH4Ng7WXlqWnbxBgw/m6Ae399OSmbO0PK9Cn3w+SBs2bNb37v5YC48UqD4/Vb/t&#10;v1eZUUv1u8+Xa3d2tfKzUtS21xQt25NsctLui0lWWVVD9O2x6NUavytPeZnp2nE4vdExnTk7E2vu&#10;sHba5Sd/YGz29XeY9cXnIA3C6WDtjKtuV31dw7/bZemZET8qNvEH12rpfc+ZMqjcKxdeBitJSDbb&#10;SYcQaXtTbOenPU1daWuiGm2LmzHfbHNyaoocrHVycmqygJWFhYVKSEg4EbFqgScRthaMMm1O5oe1&#10;FtiyDiOqNiMjw8DZ3Nxc0w/SPNgoWgtq7UNd+AOek5OTk5OTU8uRvY/j01gBa10ahEvMgp5/F6xV&#10;XEqeYg/HaH9JlcZNnK8dW7fri0UHdNtbY1RdkK4rumxS1obFGrSrxPiDfXsNUe+523TXm6P0eZcB&#10;aj1upa5/a6JC9XV66IXOCqhO3XoM1Z+97aW1Qe9YAfN2FhaxHc6chVlzh7WzrvvrSUBy5tV/Nusr&#10;MrNPWn82djpYu719t+NbpDUvNP6gl982tGp9vKS0tU2nRtv52BgKVtc02tZUm/7rP5h7SqCsvNG2&#10;Te99ao7j5NQUOVjr5OTUZOE4ADRJEwDw9EenNldY6099YGEty8BbUiAQSZudnW0cI6AtH06jjxbQ&#10;8jDnf6CzD3lOTk5OTk5OLVP2/m7v5+SsxTcgX304OHF2iRlpr4K1qqysUlVNUMMmLdexw7FacqxY&#10;L7Wfop1bt+rV/gu1ZHu8OrTrp/m74jVl1T5VZh/WC1MPq7IwWze9OVZz5yzU/EN5mjRqvO5pM1Z/&#10;faG/amqDmjBjhWZtS1ZVZbk5Hv6m//ibZk9TUrkDu5eyNXdYu+BPD50EJIGVKFBe2Shva1PtdLD2&#10;0PAJZj35aPlImH9bJLPpEHJ3H2i0LW/PAbPtXMBarI5/N2oCjdbP+/3fzXGcnJoiB2udnJzOWPZh&#10;hqgAgKbNU2vNQlGmdrm5mAW0/mXaCKzl42I4KjhBBQUFSk5ONsvM24c4B2udnJycnJxatuy9296/&#10;mfphLfn4+fE2MTGxEThx5sxaKBQ0eWlz84u1LyVfgYoSDZixXh1mHVSrVzuqKFiv5bNm6J4uC/WP&#10;DiP15KDVeujlAcqrCelvD3VS7p5F+s3ro/TXZztow7bNuuH9Kfprqz5KLKrR2Alz9FqvRUo9clDl&#10;gQaIi0VHRWnG/lzPBw9oyZrdqqw5nje3ptp9/OwiteYOa1c8/NLJUPJnN57493XGb/548rYm2ulg&#10;7c7Pepv1/Nv9VbAWaJwwb6kpX1PaOOI1Z1u02RaqOTewFujLx86m/PymRttqq6rMsZyczlQO1jo5&#10;OZ2x7MMMN3SbrzYSqG2uRvts5K8f1hJZS39wioimxWkhfy25a22fw2Gtk5OTk5OTU8sS9/Tw+7ld&#10;h/BvbIonC0ycOTtzq9G4lTEKevP5BUUqN0DVW7dop6K3bdONz/fTj//UXhUlSbq352rFJ6Vq/85N&#10;+mBhgiZNmqZpC1bolfHRys4t1MIBPbW/rF6DJqzTI2/3U2ZGmh7oskA1RWn686fzVBuqNddtfVWJ&#10;ftF5m+qCkdrjrCVbc4e1m97tcBKMBIzysS+06olXT9rWVDsdrJ19w99OPJ+te+n9k7ZFsr19R5iy&#10;7DP1FzeftC1n+26zLVI07NlYVX6BqW/Z359rtI28uU5OTZGDtU5OTmcse2OsqakxUSeATj+sxcKX&#10;m4vZNlmgbKcWOJOfltcfc3JyTHqH9PR087ExK/pu++/k5OTk5OTUMgXgAoDYezpTA728KZG1qamp&#10;xr8JByfOnJ21BYNasGC51myO1nfu66raUFCJSRnacyxD6UkJ6rM+TaNHjdei6ETd8MJAbY6O0YL+&#10;PXSgoERXvztRH3QZrtUFFWrVZrhmzpynibsytHl/op57+TMVVFbqim47lJ8Rp5c7T1FeZUM0Ltez&#10;vw11oVr98dFh3jaXWqGlWHOHtcemzWsEJA8OHWe27ek5tNG2ptiyB5439aDFdz5x0jagMJGwqDQ5&#10;VZN/fOqUC5TN2bnPlK3z+hi+/VzD2vTVm0x92z/u1mibzY/r5HSmcrDWycnpjGUfbPgIFzd2IlLD&#10;4Szws7nlq6V9FspaSIvZ6Fo+LsbHRHhIA9oCa4G2QGkr+m777593cnJycnJyajk6HawlzRP563fs&#10;2NEInDhz9nWsqqpKOYVlKiyrirgdww+trKj0ypUrLz1VGVUh/ejPrXXriz20qqBSqxet0A8e6qv8&#10;lIO6/bOFmtS3n45klOiqXjv1p7veVo+Rc3X3ZzP09Iud9MaAmXq4/xqV5afopkc7aO6RPKVkFBpw&#10;zPUe6fjOmpc1d1hbVVDUCEgue/AFsy1t5fpG25pi5MO1Wnb/8422b23T2Wzj3+0jY6aeMh3C5J/8&#10;9sS/9aXJaY22n2tYe3jUZFPfweETGm3L3t6QcsHJ6UzlYK2Tk1OThINHegAAJ7DWwlALQJs7rLXL&#10;dh5gyyuPRUVFBkKTDgFYyzIPbeGyD3WYk5OTk5OTU8sR93Brdtne0+067v9r165VWVlZI3jyTRsw&#10;zz91dmkZfmnIs9pgrZ56t69e/6CjDqUV6zfdd+q9dz/VsdxSheqCeu6twcoL1er3H07R3x/rptKa&#10;oHd9h/SjOwYqzfPf249bpCcHrVW7T3rpwy/Ga/3hTHNNBYOhE9fW2MGD1XZ+bKM2WDPlApG3OTs3&#10;1txhLZp59e0nAck5v73TrK8pLjVRrf5tTbG5t9xr6kGrn3o9YpnaisrjJaS0VRs04bKrNOmH15rj&#10;Trzsas26/o4TEbj8+35oxMRGdZxrWEtEMUqYvbjRtvS1DVG3Tk5nKgdrnZycmiScM/K6xsTEmNcE&#10;/VDURqpi/gjWb9poTyRYyzraySuPxcXF5gENhyU+Pl7l5eUnHtz88j/YOTk5OTk5ObUc+e/f3M/9&#10;93R7zycCcsuWLc0iFQI+F2/5FBYWKi0tzcAafDCWMzMzzQ/MvBlEmy1kc3bpWUO+2pAKS8p0MKNY&#10;7bvPVJ637va2U7Vo0nj1XLJbmaWV+smdgzS4Rx+9PHCRrntvijp1Hqj9eSH99vkBKi8p0azth/Wt&#10;v/RUsKpUv3tugO7/aLxJ2ZCTX6KC4jLzUbO82D0qqQmpT5d+SgrVavyo8ZqxI7VRm5x9fWsJsHbJ&#10;3U+dBCQBpVX5hRG3NcVmH4e+KOqdTyKWmfrLW1SZm3e8VIPy9h9Wyor1yo3exz/yx9dK5ZnZmhIB&#10;HufvO2y282Gw8G1nYzs/b/j4WfKS1Y22OVjr1FQ5WOvk5NQkEX1KPlc+1OWHn0ybK6zFbBvtPKCW&#10;BzH6kZGRYaKFSYHAMpG2PPhY+aGtg7VOTk5OTk4tU/77t523Zu/1RC/iI6xfv74RPLmQRt58UjLw&#10;47FdR279kpJi00Z/WXwWQA7RwA7aOgs3ru+skkr1n7xNB7dt0QOtR+n2T+fr8y6DdCA/pBueG6Bl&#10;owaq3dxo/equ9xW7d73u77ZS7T8boO3p5brz6c7qOW2F7um9Tnc89oGueG6gNq5ao8zMVF392mjl&#10;FJWrrLLKfFgt/Nr0WyBQrZqagDeNvN3ZydYSYG3MxJmNoOS+4x/02j9gVKNtZ2ozrrjN1IEOj5oU&#10;sQxgePKPrlP6us0nPauFqyw1XbOvvyNiHYWHYk2ZcwVrbd8T5rjIWqevLwdrnZycmiQeBPi4mIWx&#10;Fnwy35xhbbj5YS0PQ8BaIlRYn5SUZB52EDf/cFiL4+R/sHNycnJycnJq/rL3dMwPaTHu7RaMEMW6&#10;YsUKA0HDAcr5NvwPomWBtIWFRZo8eapWLF+pjRs3KSE+UYGaatXV44fUqt5rb30d8yEDytiXyFtA&#10;b6S6nTmzZsBqqCF37aZ9SaouztHjn0zVgx8MVvtPemvZgST1HzNb707apvtfG6riYJ2ue2OsDk0f&#10;ru059erepa+Si/P0X61GaPfmTbrqH8O09HCK3u06UT1nbVdlfooyiqtUUlSkAMcKBlWcG6vHuq88&#10;LdB19qW1BFhb553LKT+/8SQoSUQtMtGsPzt525kaILYiO8fUUxyXdNqUCpN/dL0W3fG4EhcsV3l6&#10;pgJl5arMzVdRTJwODBqjaZf/LuJ+WGlSqjlGsKo64vam2tEpc0x9sRMaQ2wHa52aKgdrnZycmiRS&#10;BZDT1ULPlgpraaOFtTwUAWtJf8B6IodxJJF9iLOyD3QO1jo5OTk5ObVMcf+2sNaK+z7GNiBJdHS0&#10;du3a1QignE+zsJUI2qqqSs/fqFNNdUCZmVnasmWbpk2bpc6duumN1z9Q+w5faMiIUZoybbrWrF2v&#10;1PRMA23xUYDMpEpwUbbOzsa4hmprAwp41+GGA8kaO3urymuDerHvEmXvXasnuy9Ury69lV5WqOvf&#10;m6jkPVvVZs4RlWb+/9n7D/gqjiztH5/dff//d9/dnZ2xxyZHm5yzE872ONvjnHO2cTbOAZyNDQ44&#10;kxQROecgohCSkMhRKCGQkIQACSRQ4vn1U93n3tLlkkyS0Hn8Oe5Q1d1VfcXtU997+lQGPh80FZdc&#10;9y4yV09GxIpdCPt5CKJ3F+DR17/Fc/0G49Hv56EwNwsT5i5HsUbYHtaqA6ylmKc2EEzuydxqyoJN&#10;Dna0Nu/pN8w5qEUvvx80jYGYm6e2A4bVbofIVj0R1e5yDHXWD3cMbc+Wbeb8ZUXFQcuP1bKXJprz&#10;JXw64KCyrfNjTJlKdbRSWKtSqY5aHMAQbBJwEtBySfDJdQG0VRHWsj1sI9vENksbZR8BtEyaRtux&#10;Y4fPOQoGZLlPTKVSqVQqVfWRPL8DYa1s8/lP49s2Y8eOPaVRqgS1xfv24dc/fkX2tq2ocNpRULAL&#10;2VlbsCM3G9uzMh3bgu35eU5ZGVZvTsCISWEYEvkrvvnpK7zZuxde7PUs3nr/bePb0J9hzttg11JT&#10;+7PGHzXycnegsHgvBs1Yge2bN+DXeWlISVqKOz4bgQ6Xv4GtufF4b/pmDBn4OyanrcODA+Zhd/Y6&#10;PPn9HFz5wMf4NmwC7v0tIej51VyrLrA2ZdzUg8Bk3Edu7tbUCdMOGxV7OItofpEvurbM+V6cfvvj&#10;ZgKxYHX/rBXn7TDnZzRusPJjtZI9e835Zj304kFlOfHLTZlKdbRSWKtSqY5adBg4kCAAFVhL2Fld&#10;YC3XBTTLNh0UOkOEtRs2bDD5arluD+BUKpVKpVKdGToUrBUJHOHEowsWLMDy5csPgignwwhiSvbv&#10;R+TYUXj73beQtS3TaZ+b4oCTPO136pQ77S112negvMKsr9+0AvMWzkLMorlIWLoAa5bOw/K4uVid&#10;uAgJS2ah0PFv+CO7Alu1U2V7i/YhLXWbs16G8Akx6Dd0GhIL9uD2pz7D85/9hscGzsPVT/ZHwqZM&#10;LNmQbdIxBDuPWvWBtVQgmBze9jIDWA8431Ojuv3zoPKjtUnX3uP7nuaPV2sHR2Lcpbch/PwLDLgN&#10;a9wV4U2CH3skG9HxSpR7b1LuXJ8ctM6xWnlJiXm+MLI3sCx//SZzLZXqaKWwVqVSHbX4Oh0n4SLk&#10;JOwUIBsM0FYlWEuTNnKdbWcKBLaRk4tx0jS+Lsj0DsxXS+dIYa1KpVKpVGeuBNoGSvbR50lLS8Os&#10;WbPMj7iBIOVEGmFqgXONrQW7ELN2KjISf0R++kQsXrUIU+JXYmp8Iuav2YR561IxP3krojflYOrm&#10;bMxIisWChXOxdNF8LI9bgs2JSxG3YAaSlizBvKmTMXV4GPYUusA22HVPtvEeMiUD/SrCb0b7sq+a&#10;s7TmGT/zPUXFyNpRiF078jBxwQpEp5/cf1fV3aoTrJ0dEEnKaNp1Q4ebsrVDIv90dC1txt1Po2R3&#10;oTkXxfyyzDWbNnkm4t7/yuTIjWx+IULqdTQTjvFaZkmQG+R8NNbZtjDWOyMw76nXg9Y7FuP1CJTL&#10;S0qD9pd5dFWqY5HCWpVKdVTi4IVQk5Nu2LAzENAKEK2qsFbax0gZSXnAVxwJoRlZm5GRYbaDDeBU&#10;KpVKpVKdGRJYe6jnPX+05aSqy5YtQ2Ji4kEg5UQafRBCmV9++QWrJ3yG8qmvoXzJV9iXswgr1jk+&#10;V2oy1jr+ycrMLMRvycXitO2YkZyF6UkxmD9vDmLmz0NSTAzSEuORtDgaP37wASZ/8ga2RvyEjaPD&#10;sX/fPgNKg137ZBjhNvvE+8drE9Ay4qy8ZL/Jx0t/kv7X9u3bzXawc6ip1XSrTrC2ZG/RQXAyqu2l&#10;bqSp8106osOVB5UfrRF8Dm/dE7mJK72rHayK0jIDdPdmbUfuspVY+1sooh9/BSM7XWUmGBve6hKE&#10;Ne2GwWe3wsSr7zZ15LufEzUeKbft0di02x8z5yzds/fg8mYXmsnYVKpjkcJalUp1VOKghU4DI08J&#10;awk7CT2rG6yVbbafcJaDF0Z7sF/r1q0zgws6LIcavKlUKpVKpar+ElB7uOc9owEJFOfPn+/zD06G&#10;EW6GhIRh7NwYLB36MpJ/fxL7or9ARW4s1qcmY0ZcPBasWod5qzdi1qpkzF2XgpnrtmLq0hjMj56J&#10;2Og5WLl4ETYuW4KVM6fgrTtuxaBHb8eYl5/BxDdeQ0zUOANIT3b+XZ6f6bK4zqjakrJSk8Zhj3Mf&#10;1xeVYNzuIryxPg03zIzBH9tysWcfJ1IrRnZ2tqZqUFMLsOoEa/k9yghXG1ASsm6IGGvKs2ISjguI&#10;SqTq2J63Ys0fESbH7NGI7WK0K2FuufN9I6kZbE246o6DrvdnbMusBeZ82xbEHlQ27Y4nTJlKdSxS&#10;WKtSqY5KdBYYBcEHusBagZ82BA2EolXFpE2Ss5btT05ONrCWAzGCWpaxj4cbuKlUKpVKpao5InTk&#10;mzjjx483P+4GApXjNQIZ/iDe5aKemJuejUk/Po11A55BRtQbWDP8W2zLWIN5S5cgYd1qxG9Yj/XZ&#10;OViTsxOzN+ViYuIKzJkzD4vmLUD8gkVYsyQGidMn4stnHse3t92M1y+8Gv3ufAhRX/6KzRtT3Ly4&#10;Tn+CteN4jOckcGWUbImzXVbB/LolKDvgrBsrd/YdcKwC+5kCwbEDBypQ4dg+x7/kOfbs2WPu78lo&#10;n5padbTqBGup4twdB0FKWsmuAlM+usd1Qcv/lDXphohmF2JUl2sw7bZHsPTDr5A6YToK07YYIMtU&#10;BMztfShxrGcmLfvXY0FTFhyr8Rz7duw0555y68MHlSd984spU6mORQprVSrVUYnRJYyW4IBF0iDY&#10;sDZwXbarkkm0L9tOWJuSkuJ7VY/7GWnLbYW1KpVKpVKdeeLz/VDPeCmTcntJ32DJkiWYMGGCebU/&#10;EKocj/FH4rKyUvytVlN8N3gUxg75CfvHfIBtYz5GwYoJiI+dhTlJizF7zVrMWr0JMzdswayN2Zix&#10;MRdTVqzF/CWrsWBRIpYsTMCm+CTETR6H0T9+jb4334AHW3fGr0+8jDfveAIjh4SjqLjYRNgGa8fx&#10;mEQd01e072OFY0RNZc6tLCuvQIlTXkKIW0GgW2YgbnmFU8epV1ZWbiDutm3bFNiqqTlW3WAtFf3k&#10;aweBysWvfuj7Pj1cHtnjMZ43pH4nDKvXERHNL8SIDldg3GW3IfqJV5H4+fdIGTcV+Ws2ICdhOTaN&#10;nIC5j71sJik7EaCWNuGqO90+OhasnNG2KtWxSmGtSqU6KtEBpzMukak0gaA2oLVNyquCsd1cEtQK&#10;rOXEIZKvliCXqRAY2SEOhUqlUqlUqjNHAhGDScrEGO0qRmDCH6znzZuHiRMnntA8qzxvbk4u6jds&#10;ged79cIdN12LNRP6YfYXryFjwVgsTVyFmOXxSNy0BtNXb8bM9RmYs2Erpm/IwaSVGzB38XpEL0hy&#10;2haHBdNmI3ZsJDbPm4HPb7kVb3W/EGNefA+hr36OqN/CkZGRaa53ImGoTF5GP5H3yb5n9j00Zt9f&#10;52NwQS4jbgltWd89p6ZFUFOrnrC2OCcPEedfUAlUhjbqgrwVa0z55rFTThqwDWaEsbx+aEN34rGQ&#10;+h2d9c5B6x6PZc5dZPqXt2LtQWWMAC4p3GvKVapjkcJalUp1VKITnpmZaYBnIIwNBLSB5afbCGKZ&#10;5oCAmZOEcMn2bd261Qy4OChgxDCjORhxwkGESqVSqVSqM0sCCoNJysQIScS4TdjISUhnzZplAIfk&#10;Zj1eYyom+leNm7ZEhy4X4NIrrse33wxAyrLJWLYiCR98GoLxk8OQv2sjZq1OxtR1aUjYmofJa7Zh&#10;/IpkRCekYcaceCyIjsfFXa7CrT2vw9O33I27O3TBrY1b47GLb8NbD7+BkMHD8dnnX5ko4RMFQukz&#10;8Ufu7KwcpCZnYMOajSjcvcfcM5YLpGXKA7mHwYw5JO17T5hMCKzAVq0mW3WEtdSa38IOApaMYi13&#10;rsF/63Mff/WETOhVVYyTmJUWFZu+j+l580Hlsx543pSpVMcqhbUqleqoxIc4BykCOgOBbOB2VTMC&#10;W4G1bCfhLAdahLWEtEyBINscKKhUKpVKpaqZEmhIkCjAlqKPsGXLFixatAgjRow4ITls6XsQ1jZq&#10;0hxXX3crul94BR5/9BW81est3PXQm7jl3qdw+30P4euffsWYpZsxasUmTFqVgYnrtmHqpnRMjF6G&#10;V3u9jx4dr0Tz+u3RuE4r1DmrGdrWboK7W7ZDr8tvR793fsLVl96J9h26mQm9TtREY4RHXGZmZCJp&#10;2RrMnLYQ0yctwqiQSYgKHYulSxIwd+YiJK9Px7bMHOzK3w16WHJ/5R4HGu83ga2c/1QZr0mYnZ+f&#10;b9JTcF4DQmMuxU5GGgk1tWBWXWFtufPvaMKVdx4ELWfe87QpL3X+DY279NaDyqujMVp3U9R40y/m&#10;rA1v2uOgOptHTzLlKtWxSmGtSqU6KvEhzrQBkqs2EM7KNqEoUw5IftiqYNI2wloa9zHlAZ1u5p5j&#10;vwTe0lHn4EGlUqlUKtWZKxsYBsreL/CQS4p+AoHtwoULzaRjfDvHBizHagQwBIKNGrfAr78Nxmuv&#10;v4sbb7wNHVt3x3ktu6JHj+txyRX/xN33P4GPvg3B7A2ZGJywAyErt2Jy8moMHTcOzZp1RL3arfGP&#10;s87H2Wedh7P+1hT/+ddz0LpJF3Ru0g1ffjsFdc6/DnUbNDepn+j/BGvLsRiBL6NqCTdHhE7A+jUb&#10;kBifZCYy25W/C3sKClFQsAebN6Vi/dqNWDA3BiMiJ5j7ypQHJpqW9/aAc28PlDn31/950Hi/CcdP&#10;RFuPZBLJa8NYvlFGy96ejdRly7DbWZY5fwd7nH6zHoGuRv6qnUyrrrCWYn5Y5o4NBJerfgkx5UXb&#10;cxHZ6pKDyqubjbvkFpQ73wPUzPuePSgHblS7y1G6t8iUq1THKoW1KpXqiKLDTOd18+bNRwVrxaTs&#10;dBvbJRHB3CZMZhQLBxh0zhlVS1hLx5uOuUqlUqlUqjNbNhg8kgQeylLy3S9duhTDhw/HggULDgIt&#10;R2sEf/Q9atdpiNilcZgbPRebNm0w18jNycO6dRswf95CDBsWgV4vvYPLr70DbbtfhotuuB8PvvwQ&#10;nv7xRrw1+gF8MO1hPDf0dtzd9wZ0u7sbajdviP/6r0b469ltcV6nW/DfZ7dHnQYtHR9onUm9EKwt&#10;x2KMPCXk5P0o2L0H6emZyMnKQ/ySlZg/Mx7LE1bhQEWZL8UBYWyZs15eVoqiwgIzqViJs36AE4yV&#10;lyEjLRPxscsxb9YiLJy1GEtjk7A1M9v8qE5oG6wNJ8IYHS1AuLzcTd0gaRsIygb9/Cs+fvAhTH+u&#10;FybcfBviQyOcz6vcgFoeS18y8JxqaifCqjOspVYOHFIJXNIIMzPnLjTleavXI6JZ5fy21cmY+3bb&#10;ojjTl8K0LQg/7+C+LH7jY1OuUv0ZKaxVqWqw6IjS7PXAbYoPcIJMPsxt6Fkdje0nSGa+WjrYjIhh&#10;Ptvk5GTNV6tSqVQqlcpI/CAxQjwxbhOi8AffmJgYhIaGYujQoSbVkg1bjsboe/Ccbdq2R2paKlY7&#10;Psr69Rt8b/0sWrQQI0aMRPzCz5CVsQw7d+UZgLkzfydSUtKQEJ+IwYND8fjjz6Jj965o0r4JOv+z&#10;A25/8UrUatkYTTpcgHPO646/n9MOdeq1wvIVK487GphGWEvILPemvLzE3BNaxoaNKN6zByWlJSh1&#10;yvYzSrW8wrESVJTtQ0zYSCwNi8L6aXOQNGkaCnN3oHDnLpQdcM7n3Puyffux37G9e4oMEKYPGqwN&#10;x2uS/qq0pBTlFWUoPeC00YBat1+0UqfN2zLSkZa0HLu3bsOu/DyUO/1x+1xmjj8R91NNLdCOF9bK&#10;PtYloOW27COsHThwoHk74GTBWv77mXnvM5XgpYk8db6P8tdvMnW2xydheMvqGWG76LWPTB+d/2Hy&#10;jQ8eFFXLyOKinDzTT5Xqz0hhrUpVgyWOqL0euE3xAU4HgRGo1RXWSqSvwFpGxBDWMl8tB0Pp6ekm&#10;SkKlUqlUKpXK9ovEBEZyneI6oaULVRdhwoQJiIqKMj6GDV2OZIzsfPfd9zF23AQU7ilC8b79KCou&#10;RkpqKtatW4/hw0cgZmE8Nq9Nx47cnc4185CdnYWYmMWYPn0qZs+e6bRhLfYUFqCkhJBzL/LydmDt&#10;2g34+ec/cMutd6Neo6aoU68JVqxcddxwUaJKBSTxfpSWlKC0rAJlZaVYM3oq4gZFYO3ISVgSGoW0&#10;mHjkpTp+VpE7L0BZSSlKivdhd2YWtixJRMaSJMQPicSaSdOx+LtfkfRrGNZOmokMx29bn5iE3QUF&#10;Jzy6lgC4qKgYFRXlqCivQCmXTtto5Wa7zLEDWD5/AXIyM1FUUIjclPVIio5GQQUjcN2/CUJbwt4T&#10;Ea2spmbbyYC1BLTcR1jL8/A762TBWoopAsZccEMliEmoGdHiIhSmbzF1dm1KqV4TjjltnXDVnSjz&#10;xo1rfgsNWm/e02+YcpXqz0phrUpVg0UnUwYcsh64TTGqgU4oByPVEdbaaRAE1jIahrnWmHdu48aN&#10;Btpy8CF9VqlUKpVKVXNFf0CiaEVuNKWbv9bez3X6FHxLJzo62qRG+O2338z60eQ1Jdzlees3aIIG&#10;Dc/HOec0RK3aDdGocXNc0vNyfPrZF1i+fJXv2vv2F2HDps2YPmMWRo0ag7i4BGzalIzduwvND9EE&#10;twsXznfKorBo0QLH18lwrlOCq6++3tRjRGmwdhytEZwyulfuAZcTxs3Fa1c8i82b0kweWkadljnX&#10;LMzejqzV65A0eiISh4RjXr/vkDQsEuumz0Hc2IlYPmkWdqRlYltaunt/yypQsqcYRXm52LpiFZKi&#10;xmJ/UZEvVcGJMLadaSaWT5qLT697FGVO+1346v/cmZ92n+P/Zjp+5N6ScuwuLHbKypGfmYXCnTtQ&#10;buoc8EXj8rz0JekzB15PTe3P2IlMg2Bvs+6AAQPMcuzYsWYcxOudLO3L34nIINGzka17YueGZPNv&#10;jhGo4ef1QFjjrgfVq0pG0BzZ8mKUFRebvu1OTUdYkHqsU15y8u6pqmZIYa1KVYPFh6M42oGyy+iU&#10;cyDBdAHVHdZym9CZESEcWHGiMebiJbylg32o+6FSqVQqlarmiP6ADWXFLwq2LUZ/if4E/YrY2FhM&#10;njwZISEhBojMmDHD5Ljlmzz0P4qdwb6AXPofPPbWW+5G48bN0bgJrQWaNG7pWCs0adIGTZswjUET&#10;nHt2I9Sp3xgtzmuNf918O377YRjWrHYnSS0oKMTWbVlIS0vH9OkzET1vgYG8vBajRa+6+jrs3OnP&#10;0fpnjW1lH5jb1bkTpu+MqF05KAIFWTuRn5aCPduzsW/3HuwrKjLpEkpK96Ngd6HTV07e5Zxj7z7k&#10;JKdhq9O+hBnTsXHWHKwYOwGJYyZh0chRSFsci8yVq5GWsAIlzn3K35F/QkAoz8FoaK4zopbpFriP&#10;nzW3CW25Xuqs5zn9yE1Owa60NUiPjnT6tAmZ6xdh/i9DTP5dk4O33AW9jMjlORnccCLaeazGa/Lv&#10;icbUGrJ+OtqidmLsRMDaYPu5T6JtR48ebd6c5PVOpnZtTDEwNhBqhjbuirykVaZOhdOGydc/cFA6&#10;gapiJiK42YUoSMsw7S3bW4zRPSpHDYsl9fvZ1FGpjkcKa1UqVVDJwIOi08cJuTgxF4FndYO1NGkz&#10;o2oZ+cKoCjpBfPUnJSXFDFzo0EqfVSqVSqVS1WyJT8ClgXmO2fsIUsSkjCaghT90E4TExcVh3rx5&#10;mDNnDqZPn24ACSEuJ/fh5GT8MZw/JNM/Ob9ZKzRr3hpNm7ZAkybNjRmA61iD2rXw+1fX4O6rGuLW&#10;K5uhUdOWqNvkPNQ7rwnq1Dofteu4kblt23XBw488gSHDQrAsMck572ZkZ2/Hk089a0Aro0ptKHSs&#10;RgjI/jHSFGC/K7B96x7kb9yP1FX7sGv9VhRs3oy9adsw/o/R+O7TX/HL96EY8OlQJMU6vtjK9di+&#10;LRelJcXI2pqNMuecFWUV2Mf0A8X7DMhNiUtC6sIYrIwcY4Atf2Rn24O151iM5zHwmqCVn5X5XJ3P&#10;l9euKEdZeRlK9+9DidOevfk7MPf7gchLWYn9hduRHzMGxfuLMeK5l5G/ZYuzPwV7duajvNT9/MvL&#10;ys29PZU5bNkXwmdG9dK3daHtPh+opX/L9jDimnWDnUOtatqJhLUEs2JMhcDjaacK1lK5iauCgs3Q&#10;Bp2RPmW2mYyQin3nM4Q26lKloC3bEtXmMuxOSTdtLHO+i6b+67Gg6RtG97je1FGpjlcKa1UqVVDJ&#10;gINGx5ORIAI9qyOsFSNwzsjIMBEhzFdGB4XRtXSIZKIMlUqlUqlUKvEJuLRhrZjsCwS2sl+OFaBG&#10;eEsfhL5HQkKCAbWzZ8/G1KlTzUQ/Y8aMwciRIxEeHo6vvvoar732Bm677U507XoBmjVvicYN62HL&#10;9A7YFd0De+IvQfK0i7F4xA1odl59NGpynmPN0aSxG5HbtAmBb2s0bEiI2wDn1qqPyOFRxvc53mhL&#10;Hu/mrKXfxBy+Fdi6cBVyUsqQtbEU2bOTsDt1MwpT0rFoSjTCfopE3II4zJyyAL8PDEXKpjRE/D4W&#10;S+Ytxc+fDUbYD8OwMyUNBVu3Ym8OJ/AqRXH+LhTvLURpWbmJcpVo5GDtORbj58Ao3/JyRtY6n2PF&#10;AZQ7ts/5vDYvWYh+PXviq7bt8HGtevj4nHPw5v/5d6yaOBG7Mtdjf1EBkkaNwevUZxV/AAD/9ElE&#10;QVR/+Qvec6y3Y2/8+78jedFi51zO5+981h/1+dhch35l4LVPpBFcM5qa92VfgWPFe5H40xBMerY3&#10;pr32IXK2pSB3W5rzOeU5bdlpgDhhLo9hEEawc6pVLTvRsFYAbSCsPZk5awOVtTgeEc0vOghwEnrG&#10;vv8FyordvNbb45Iw9pJbDq53GozgeMI1d6G0yE19wOWsB58PnrLh/AtQnKuTiqlOjBTWqlSqoOKD&#10;UpZ0FvhKH2FndYa1TIXAyBW+osY+MQqB0SwcOMlszCqVSqVSqVQCXcUforh+JOMxBB8EmnI8TYAu&#10;jeWMfJQoV4JP+ibMo09wsmLFCsTExJhI3JkzZ5p0CgS4n3z2GT754E3MGvEOoid9hZhJryMu/Brc&#10;eE0XtGjeHo0bN/NF47rmbDdiVG5LdOrU3URXMk2DwKDjMUJP/sjNPjJ3687YOKwfEY38jeXYGZeC&#10;PdNjsDs9A7uzs1Ccl4/9uTlIKNyLVfn5SM7ZgVXLNyE3dwdGhYzDjBFTUJCSjoLkNOzenIY9W7dh&#10;xzc/Iq9Pf2z/eQj2pKefkIhgwl7eg+ycnc4934GSCrf9jKrdt2cPXvuP/x8++7e/4KO/uNbHsQ+c&#10;7bf//T/Q5+yz0bdpU7xhlX/s2Vv/+7/Y77StrKzC+Mgb165D/gnMsRto7APv/17Hd908ez7Sps3G&#10;tA8/R9yvQxD96TdY8P7nZjK0rCwC2wykbl6DnKxUbM1MNZPP0Qc+kTmA1U6OnSxYy31cch+j+znG&#10;4/VOlbYtjDU5XQNBp4GiV92JgjR34rFy5zs06auBBu6yLLD+Sbcm3RDasAuWvP0pykvLTJtKnH/n&#10;0257NHh9xxghrFKdKCmsValUvoGELdnmkoMIJp8n7AwGQauD0Xlevny5iWZhVAn7xIhawtqtW7ea&#10;QVPgPVCpVCqVSlUzRYhHUMJloGy/SerRZL9s0wRoHklyHP0RRksSpjEKksaIXL7hRF+MPs2yZcuw&#10;aNEiE5XL2dyjoqLw/fc/4u2338Edd96Nq6+5DhdceAnad+iC885viQYNz3PqTTLnPBGpBGj0pfaX&#10;0HeqwNRJMzB/cjRyt2zHzrW7kL5oDWKmzkd2dAzmTJiDWZPmYMXydWi2Og0dl69Ez6RNuCM5DYW7&#10;ClC8ezcKtmVhR0oa9qakYvvmHOSvcrbjN2F/Xh5yw0egcNNmc1+OF9ZKdG5m1lZkpszF4sRkrN6U&#10;DOb6LczZjncNhP03fOhBWALZd53tZeFD8EG9hogNGYwP/v0/8KEHbFmHdXlcrvP5VHjwl58l20tf&#10;M1g7jsd4Tt4Hfv5du3RBWuo63HLbjXj/o3cxbNgfmDd3GlYsiMZa528jO28LduRtQ8qmtcjemoaM&#10;tM1Yu2YNsr1JdQnuuQx2HbXTbycS1tIE2HKdE4xxyR+CGLRiX+dUaOe6TRjZ5dqgwDOi+YVY82sI&#10;yoo4qd8BFG7Zipjen5io1VM1AVlI/U4GHGcvSfClZ2A7xl588yHTMyR++YNpr0p1oqSwVqVSmQdL&#10;4MNFtrmkQ870AYSdgRC0uhhhbVJSkhno0Plhn7hOWMtoFg6mVCqVSqVSqShCNzHxkwL3ST0Bs4F1&#10;aPQvpIzGde6X44NJ6oqJuM7jCRwJXvmGEPPuMx8/0yosXLgQc+fONZOZEepMmjQJERER+OOPQZg4&#10;cSJmzZplIncZwXu8EbYEhmwH25OTkY3i3QXYk5qJbX37YdcXjo0ch725u7A3Ow97cnY4ftdunL8x&#10;AxcvW4OLV2xEj3XbMGTCfMwaNR0Za5ORO2cxdkychYKoychKyELO5r2oOCCRr+UnJLKWEamEkxUV&#10;pSjbvw97iveiaG8B9hXvQXHBbrzhAViC2A89aDuwa2f0v/U2rA0fjDdr18HsLz7Ee//+b+j733/F&#10;u//9X/joP/8v3iGsTd5g8t2Wle4zqRX4udPXDNaOP2tMY0BjVG2PHj3QpEkTrEyKQ+1aZ6NJ40ao&#10;36AO6tY9Fw0b1UNkZAS6de+O22+7Fa++8hKGDPoD86JnISMjGVu3JmPPnnyn38WmjScK4KudWDtR&#10;sJaQVsq5Tuvfv7/ZZg5tfo/Y1zlV2rM1G1NvfeRg8NmkG0IadMbYS29F1qKlXm3Wz0LCpwMwsvM1&#10;QXPFHq8RwnLCs5Gdr8amqPEoc/59iNYOiTSw+FDXXfTqB6goO/X3UHVmS2GtSqU6aDBgi/vpFBJ4&#10;ngmwlpN30Nmnc0pQS+OAhYMBlUqlUqlUKpH4RlzSTyDQELP9Jq6LEdKJGdBogVkeZ8NbEdelntjh&#10;JPWlTTwn0y4QuhGgEvLQt+GbQ/R76L8tXrzYpFQgtGVe3LCwMBORy3VG50ZHRyMxMdHU5/HB4FGg&#10;CfDdmZaBgtxslBbswfYBvyD/25+Q80l/7FywAHt27cbeHbtQuD0HMek5GJiRhXdXbcLjazdid1ER&#10;CnPykLMxA/nJachYshxRf0Qhe10pCrILULZ/v4lqYz8ZFXu8uVYl0tXcX+te8/y8h31q1zdRs0N6&#10;XozBV1yGoc7yuy7tMbhTV3zVsgX6d2mHH86pjc8aNUafWrXwxbm18Ml//bfJX7slaZmZtCwvNwvx&#10;CQudc5Y5/mbRcQNmMX6+4o/fcfvtuOiii9CoUSOsTkpArXPOxpdffoWbbroR/ft/izp1apvPtXHj&#10;xqhXrx66detm6jZu3ADz5s9G0/MaolOnDrjxhhvMZ87zHm8eY7UTb8cLa21Ay3XmqpXtb7/91qwz&#10;Op9BK/w3cDpU6vwbWfzmx0EBKMFomLOccffTyE1abX60ofbn7zI5bWc/1Avh5/U4vhQJvEajrhha&#10;uy1m3vcsti2INRG9ol0bN2PKjQ8gtGHn4Mc7xqjf8pJTl0ZCVXOksFalUvmcVZG9zSWdcUkjEAhB&#10;q5Ox/YxAkYgURgsT1hLcSn9l8GPfD5VKpVKpVDVL9ANsn8Deln32uhxDuEILVkYgSAgTDNYGmkjO&#10;QzsW8Ry8jqQPkDyndloF5vFnftz4+HjMnz/fvBLNSc6Yx3Ls2LEG7vJ1e/7YnZmZeRDEZZQnz79v&#10;Rz52Z6RjV0oG8n8ehu2RY7A7fhlyvxiA4q1bkbU6Db98HYJfPhuM1bErsWVbLmZMn4Xizdko3rUb&#10;xTudtm3JxI7Mrdi4PA33XfMycjJzsdM5lv1mP05ECgfCWn4Gcn/t+81JxiIfewx9mKPWsY//cTb6&#10;1q6FLxo0wDcdu+L77p0R8s9rMObhR/BVp/b448br8dZf3InGGIm7YcFcbEheh7Xr47Fl61rsLsgx&#10;94btDtaWYzWJgL3yyitw/fXXo1OnTrj11tuwIikebdu0xvCoKDRu1BhPPfUUmjVrhuHDh6OB03ZO&#10;IEVQSyjXpGljRM+bhXr1a6HpeU1xxx134Pzzz0daWhqys7ODXvdkGu+P/E0y2ptL/p3xR4aj/cHg&#10;TLYTAWslkpbbPI5Lbn/zzTemnD/SVIWglW0LlmB4q0uCwlAT8dqoC8ZccjPSJs/CAe+eEN7u312A&#10;nRuSkfT1QEy+6UFEtb8CIfU7YmittiaVAY/nsaEN3HVTVrudgbzDW/fE/OfeQlZMnJkUTGAwxZQH&#10;sx98wU29cIhoWtqyL3/QiFrVSZPCWpVK5XNU7XUx/tJOB646w1q2ncYBCfMy0TmkY8Iy5rCl8y79&#10;lwGRbKtUKpVKpap5oh9wOJ/gUOVcP1R9gkIajzlasa7A36NVsOvbkjbynPTzCF0JyghwmSaBvhF9&#10;JELcefPmmfQJ06ZN88FcTnY2ZMgQs71kyRJkZmxBXkoGCpM3IfPdvijZt9dM2rVj5ATsmjYVuVu3&#10;I+y3kQj5PArfvTUAYwZNxEfvDMS44ROQunED9ubkoaSYE72W47qu9+KBy15H3zf7Y19hAcqc9rH/&#10;JyL6k/5eScl+lFe4wLaiosRZup/fAae9K0aPMvCVOWjHvPYSQl9/HQt++AJrRkZg7bChiPvuRyRF&#10;hGDSo/dhUe+38VmtOiZtwgeOrRk5EqXmcypDUfFO7NyV6fib+0y7g7XlWEyg5uTJk9CkSWPceuut&#10;uPjii3Heeedh1cpE/O1vf0WUF0nLskcffdSkw7j66qvxzjvvoGXLlnj//fdx9tlnmcjaOnXPwc8/&#10;/4T//M//NACvfr16JmqZMDDY9U+08e+NQJbwWX5Q4L8LAbTyd8loakLcExWdXN3seGEtzYa1dmTt&#10;119/bdY5kSHvr3wnnE6VO32eekuQtAiWccKvwWe3wqI3PkZRTq53pPed5vzdVJSWoXjHTuxYuQ45&#10;CUnIWhyP1IkzkOx8F+UsW4HcpFXY55QzEpb/5u0+Vzh/g9tjl2Hi1XchpF7Hw0Ja2uaxU0/7PVOd&#10;2VJYq1KpfOIDh06BPHjoLNGhIuBkFCqBpw1Bq4sJrGVON0aT0CkUAM0ZUOkMSZ+51AevSqVSqVSq&#10;miTxf2wfiOuERoQ5hIUEbPSbGGnLSFxG3jKFwogRIxASEoLBgwZheGgopk2fbiDuescHSx3wE3bl&#10;ZGHPxgzsys5FRUkpinfsxqKpczFx6EjkbsvGzpQM7EhOQ9L8RHSpdxsevOxlzB0XjaLcXSjMyjZQ&#10;T1IYHI9JKoWyslKsWbXB8XkJaypQXuHC8Lzkzej9l7/gE8c+r98QX3bsiMh778Xvt92KsU88jqUD&#10;vsakF57G4JtuxsTnnsGwm2/A+05d5rZd9PPPKHPOYd9H+tQnIm+tRDBfccWluOiiCzE0dBimTpuK&#10;5s2bYcWKBJx77tkYPnIEGjZsiF69eqFFixYGqp977rno27evU685XnrpJVxyyUWYNWsGrrvuWjz8&#10;8EMm5+3AgT+hcaMG2J5NeLrfXCdYG06E8dz0w7nOz4FjC6bnWLp0KeLi4g4y+u3u51VmjjveNBjV&#10;zU4ErJX9Amy5Tfvyyy9NKgT+W5a/12P5QehkqiAtw0S9BgOktjFKllB19oPPI2XcVBRmbjNpFQht&#10;pU8ie9uUO1ZeUoKC9ExsmTkPk264H8PqdjApEYJdy7ZR3a5D0XY/KFapTpYU1qpUKp/kQS0PM67T&#10;UWCkBR2m6gprxfi6H/My8dd6Ltkn9k1+UVapVCqVSqVSHSz6SQRH9KHoN9E/5Cv+BEiSVoFRuXyL&#10;KTY21kR2Tp061aRUYH5cgt2YhQuxZE40ViyOxY5t25G1OQ05qekoJpBzzn37pU9i5cINeP6+t1GY&#10;sRW70jOxd7c7odaJgIiEvmx3Tk4eVq1IxvLEDUiM34BZM2NQUX4AxYUF6P2f/9fA2h+7dse8335E&#10;5JMPY9wLz2HeFx9j9id9MPjaGzD0lusRdd+DGHbdTfjwr39F3//zH5jS91MP/laGtScCMpv+l+zH&#10;rbfdhKZNm6JNy9Zo3ao1GjdqgsTViTi7zrlo2KQRvv22Px5+6GHUq10HUcOHo1HDhgba8himRahV&#10;61xMmDDO2W6Mjz/+yMDar77+Gh3at0NqyiaTJuxkpUPg3wzBNT9H+uRLlsQaSCsWG+stZV9cnDFC&#10;WwJd3kceywjw442wri52vLCWkbQ0ia6lsR73ffXVVxgwYABWrlxpzs2/16oCaymmOlj7exhGdro6&#10;KDANtLBGXTDk3DYY8o9WGNH+Ssy4+0ksfOl9LP3gK8R93A8rvvsD8Z/0x7xn3sCsB55HRIuLDBAe&#10;ck6bI0bQikU0vxCJXw30WqhSnXwprFWpVD7Jg5pLSpzM1NRU41jxgW7Dz+pkBLMbN240Th6ddQ4s&#10;mK+WubHonIrEwVapVCqVSqWqaRI/6M/4Q/Qb6WMxPy5/FOcr7IzEpQ/GCD5CuAULFhhwS+gkKRUG&#10;Dx6MqOFR6P3iR47PmYYnb3kdKXGrUJidh+ITFFUrZiJdy8pQXlGKrPQ8xy/cgZL9xSgvK3WsAgMu&#10;uRgDr74UoXf/C1FPP4Ixjz2N2W+9i0lPPYO4337Bku8GIG7w75jf72ss+fEnTP3sE3zTuiXGvtQL&#10;vFurE5dj/549KCx0Qdvx5qwlmCSkKyrag/SMFGQ7/mtm5hakb96AFcuXInNbKp566nFcdenl6NSx&#10;Ezq064gGDRphaMgwNGjSCHUaNsArr7+Jzl2747ym52HsmFGoV6c2vvmmH9q3b49ff/0VdWvXQmrK&#10;RmzNTDWfHy1YW/6sMSKW953wkak1lsYuxZKlMYhZughxS2MR42xPjV6AsXMXYvSc+Zi7eAli4xNc&#10;YGvgbaxzTKxJx8ZzMZXZiW5jVbTjhbX2foJawlmJsKUxGp5jI+rP/Hs/FWK6gk3Dx2Fcz1tNntlg&#10;EPVwRhBLkGu2uX6UYNa2yFaXIPqZN1G6Z6/XKpXq1EhhrUql8okP6UBYy1/zOTMwo2qrO6xlP+jo&#10;SA4swtpt27YZh0/E/lelX5ZVKpVKpVKpTqYE1BzJxEcMtGDifvGpaHyVnZGRjLAkwOSP5pz0lb4l&#10;82ZyAizmxWUkLgEuo3FlsjPuZ+5c+m2EwIRYweDW0ZhEaBLMlpeWea9MMxUC21iK6R/2xbBrrsKE&#10;V1/HxDfewswP38eEZ5/BNxdcgFGPPISI2+5C+KOPYOAFF2LgpT3Rp0EDfHrW3zD0/vtQ5vT5qfsf&#10;xJgffsbrTz1j+n0i0iDQd921Kx/pacnYnLwB69euwKRBv+OJenXx/hMv45s+X2DG9z8iZsIYJC6K&#10;xvKkWKzfsAI/DuyPZ55+HDdd/09c7LS/Q5u2mDZpMs4+5xwTVXvjjTeiWdPzUbduHWzatB7JG9eY&#10;e8PrBWvHnzGej3CVqRzi4glfGVEbi2Wx8RgVvQD3DRiChq/1Rb3e/VD39W9Q7+2v0PCDfujY51u8&#10;PDQSk+fOR9ySZVgauxixS5eYSFv+/fC+nunAln/n/BsSHQusJZRlHS5Zn8v+/fsbY/qDQYMGmR9O&#10;eE77GlVZW6MXY+6jL2Fkp6uCQtUTbSM6XIkFL75jJjBTqU6HFNaqVDVYwZxse5uONSNRmT6AznR1&#10;hbWSvoGDAsJniRbmBBryOpVIBhWHGnyoVCqVSqVSnUmi38Mf6GmH8n+4X3wk8ZPEpNzePpxYh9ci&#10;kCJw44/ojMaVtAr8QZ1+Gv1PRuRKWoWJEyea/LiMxB09erRJs8ByRgdyfgX6dPTxDpfblPCQ18re&#10;uQXLNy922sFJxpy+HahAaUUZNsyZayYYYy7a3v/+bxh8/XWY9u7bmPZJH4x57VXE/fwjVkVEYMkv&#10;vyLklpvR9y//ZiYZG3LvvSb3LdMI1KtfD+vWrjXXo98Z2IZjNd6THXk5SN60Fhs3rMF6vim2YROe&#10;++v/4MrZ63H/4ky81rAN+nZujzcaNsRj//lfeL11K3x+w3UY+nIvTP7hGywcF4VVS+Zh84aVmD5t&#10;PH78oT9efPFZ3PKvm3HBhd2xasUyrF2ViKyszOOOBraNoJZ+dmJiIpbGxiDO+SyXxiXg+cHhqNP7&#10;KzR492s07t0PDd/+CvXf/cpZfo1mH/+App/9gmaf/eqsD8TTg4ZhQcJyLF0SbyJtbWDLzzPYdU+F&#10;8dp8O48WrPx47XgiayWSlibpEHgMYS1TIERGRprUJfxsDvfvvipq79YsbIwYi7lPvIoxPa5H+PkX&#10;BIWtf8ai2l6GGfc8jY3hY7B/5y7viirV6ZHCWpWqBiuYU21vE9Yy8pRRqdUZ1kq76cjTiafjyChb&#10;5lajs2c7QvYgRKVSqVQqlepMF32eo/F/pB79Q5oNebgMNPucgXYk8TiCJIJc+m6MqCVcIpilX0do&#10;x1ymixYtMiCXE50xL2toaChGjRplAC+BLydFC4zEJeTbvXcnfp84wGxXcIKxA6VOn8qxr7AQfevX&#10;R5+//MVA2G+bNMCXF3TEoAsuRL9mzfBFk8b42rEv69TCF3//Gz79y7/hHafeuuiZzv2oMMB4xoyZ&#10;WOG0ke0/EeCTkG7vnl3IzknH9uw05GxNQczYURhwUXfcdddzaPPCT3i9bm38cuO1GHzT9fjpiivw&#10;w7VXY9AtN+Ozjp3wdadOePmcc/Bpu3Z4+uyz0btFS4z+/lskr01yfOFV2LRhNVI3rUXG5rVIz0g+&#10;YQCSIJ6f3RbH/45dEoslsUsRH7cU9/04GE3e+Ar13h6AxoykfbsfGr31DRq8/S0avtUfzT/6GS36&#10;/oxWfX/C+Z/+hFZ9fkOXz77DjNgl5nOlEdjyb4P3hvc52PVPhsk4QtI6MFJc/kb5WdO4fiLaxB8V&#10;jgfWso6kPiCsleP69etnItZ5fv5b5DWO9G+/KopR8ft25GN77DKs/mUYop98HaMJb4NA2EPZmAtu&#10;wOSbHkTCpwOwZdYCFOXk4YDz71ilqgpSWKtS1WAFc5jtbTrizOnKyFROGFHdYa047HT4GVXLSFs6&#10;WHRQRMHuiUqlUqlUKlVNkvhDAlxto39ImCSQJ1ByHMuDAV37XLTAcpHUlf1Sn+eUNhCWEWIRzDK4&#10;ICEhwaRVYNqE6dOnGygVFRVlAO748eMxefJk8/o3Iz0nTpqMtIx055zOucsdc67BdAh5W9IxoHVr&#10;M9HY+//xF3z5t7+h/xWXI/zuOxD26COY/MYbmPDRB1j4fX/M/vl7pMUtxX4C3/KSSm2kj8n22QDu&#10;WI3Qz6QR2LUTmVs3YXbYUGRtXIn87BSkpq3GltS12Lp+GdYtnoNV46Iwp9/niHzsEfx46aX4oFEj&#10;vPrXv2JAty4IvekG9O/RDYOuvwYvnX028lclIHXTCsdWYUvKGnOeLanrsDllvbkmQV6w9hyLCUgl&#10;WF2yNBYJS5egT9R41H3rKzR451s0fmsA6r3bDw3fIajt5xiX36BJ3x/Q9NOf0bLPL2jZ9ye0cKzl&#10;Jz+jQ5+BmBwTh7glMYhdGmeiqgmET0Rbj2SEs4SwjKbl+OHLL7/Ec889h9tuuw333HMPHnzwQbz5&#10;5puIjo42KR843iC4D3auo7XjgbU0AbZSV6Jtf//9dyxcuNA3Z4f97+xMUNm+/WaCwryk1di2MBap&#10;46cjfeocbJk5H2mTZ2H70kTkr9mAvdk52L+7wDtKpap6UlirUtVgifN7KNFR4KtohJ00SSdQ3Yyg&#10;mW1nfjQ6UIS2a9euNY697ajI8kxyWFQqlUqlUqmOVQIcD2UCJW3/SSxw+0j7xYKd094OJpYJuCUY&#10;pF/HNAgEpfT5CNj4Iz3fruIbVZykihG5s2bNMiCXuXEjIiMM0J0zZ46JiF0dH4+P27VDn3P+gTf/&#10;4/8gZ3MyShhJzLZYbTTtLS9DxQHHSstQVu7up7E9hGsC3o7HmEqhZP8+7NqRidQFCzDunqcQ+cxL&#10;KMzbgp1Zm5GcuBRpG5Mcv3YNNm1YieT1K7A9KxnJa+KxLnEBtq2Nx6aZEzHh3bcw6M478WWzVhj/&#10;9WfYmrYOW1LWIZPAN22Ds9yATclM31B24tI3OOeRaNj5S5ai1Tvfov47/Rz7GnXe+xKNew9Aw/f6&#10;o95bX+OvvT5Eg96fot77X6Bl3x/R/JOf0cIxglpjfX7CJZ/9iJh4plRwo2zT0tJMNOuJiGQNZoTB&#10;TG3Bdabh6NmzJ1q0aIFmzZqZpW3Nmzc3yy5duuD55583sJXQlrA98LxHY7x3/Lcm+jOwVtZZn+kP&#10;uGQOaAbj8N+N6Ej/zlQq1amXwlqVqgZLHMpg6xQdBb5yJlG11RnWsv101hnhQIedfSGs5S/klDgp&#10;NHVYVCqVSqVS1RSJ72P7QrLPBrS0QB/Jrn8sJtezrxm4HbgvsMy2w0nq0K8lxGWUJAEcQR/ftKKP&#10;yIjcJUuWmIhDplWYMWMGJo4fj1EjRpj8nvHxCVizeg3WrlljzuGcEPyvoqIMI8YMwvacbcjNyzN+&#10;Ju8TgTFhsQ3f/qwR+O3fvw/r1yciwWnPlLuewsxX38PYH77DyvETMO+n3xD1cm8smzINa+KWIiE2&#10;BjmZydiRnYzVa5ZgW+YGFG/LwMIl0YiLWYDYedFYsTwW29LWY2s6Ie16ZGxejy0pG7Fx0xoD8f4s&#10;YBQjPGW7CciZsmJpbCy+HTUVtd7+Ck1790P9t75zlgPw15d6Y+CUOVievxMj5sXg1j5f4aPwsZib&#10;nYPr+/2Mph8PRItP3Mhagtumn/yC+7/7A3FxMea8BLb05fmZBmvH8RjPS0DKz9FMxhYE0B7KCG5p&#10;L7zwgrkXfybKln3i35LoWGCtRNVKCgRG1H799dcYOnSoGRuxTcH+valUqqojhbUqVQ2W/WAOXKfo&#10;rNGR5WtGdGQDIWh1McJaGp0c/kJOAM3+sG/BYK30X6VSqVQqlepMl0Cbo4U3dvmhLNj57H2BJnWC&#10;nd8ul/pST5ZihFsCu+zIwSOJx9EnJIhlRKPAXPqLBIJ8vZ0Tmo0dO9ZMckaAy6jcYcOGIWpEFKZN&#10;n4qlcbHYviPbgDAGCNjg7XiM7dq1ezeyM1OxcvYMbJs+A3O++BoRb/TG/K++w/o50UiZMQdhdz+O&#10;pb+FYNPSWGxdkYg54aFYFhmB4vQUrBo5FsuXzEdi9CzEzZ+DDWuSkJW5GQvGjEbmlhRsydiMjPRk&#10;JCdvcK55/JG1jHDmfeAYglA1Pj4ed34/GI3e6o8GjjV6/RN8MnUuinILkZWTh/aPvYD/efgNnHXP&#10;G6jzxAeo/0xvfDJxOrYWFKHp65+jZd+BJn9t249/QbNPfsDQkeOdz2UpYp1zM/jieOFyoMlnyMjs&#10;Nm3aBAWyR2tNmzY191PSKAS7XjAj7Ja/dYrjGP4NHius5fa3336L3377zeR4Zlvsfy80rqtUqqol&#10;hbUqVQ2WPKgPtU5HQWBtdY2qpUkaBDonhLXsE/czwpbOmN1nlUqlUqlUqpoq8YdsC9TR1KGOVH4o&#10;CZCVYwPXBWAF7pNt2/6MeC4CLMJe+on0HQkfGWHJV+45+S4nqqV/yWhcicSdNGmSSadAgMtX5ufP&#10;n29y47Iu4S/hGyNueb5AMHckI4zcu6cQGWnrsTF5NbYmb8Ce7VuRn7YRuclrsTA0FON7f4gx732M&#10;BX8MxrroOfjj6tsw+cXemN7nC0z6/BtEfv0VNoyfjKkffIq5vw/GUqe9Cb+GOP5wMtLTNhlbu3a1&#10;c73jnxiN/eQ9NFG1jsXFJeCSTweg/jvfofmbnyMufRtyHD88PScd346chP994EWce/+L+OsNj6Lp&#10;fY8jc/duvPzDEIyKW4F9ZcW4+eshaNn3d5O/tlXfX/FA/98wZepkxMUuxZLYWPNZEbQHa8ufMaZO&#10;4+fUrVu3oAD2WI1RthxPMVr2aD9/plGQv3WK8Jg5lxkpK7BWwKzAWq4LoOWyf//+xgh4+TdK4Gv/&#10;e5G/9T/7b0WlUp08KaxVqVQHiQ9sOj18lYu/VtMZDQSg1cUIaWl8zY1OD51HOs3MWUvHOTDq4nic&#10;e5VKpVKpVKozQeIPnQ6fyL72oexQ9U6FeB3CNPrJhJoEYARpnBOBfvPGjRvNZGfLli0zk50R5vL1&#10;9ZEjRxqQS6hLyMvgAQYS0D8laDwcxDN5eJ3r5W5Jw9bkdchO24ic3Exkb3csh7YFCWsSsXZ1ElZt&#10;Wom87FQkDg1B6qL5WDVrGtaPm4RJb36ESe/3xewX3kFGbAzm/TwIy8dMQKYXVZuRvgkJCXEm+vN4&#10;J0YTWMuoZBfWxqNzn/5o8/7n2JS2HVmZmcjK2oKc7Fxc/mpf/P2Bl/H/v/Z+/KXnbfifK25G1o6d&#10;mLxsBRrd/zwK9xdjz658PB0+Ei36DETLvr+g86cDETF8DGY5feO95PWOd0IvMfadn8X777+P888/&#10;35fSQKBrIIg9WmMaBQJbfuZHE2HLvy0b1vJHgjFjxvhgLAEtQSxTHPz888/GuM4oWoG5ss48tTxe&#10;wCzHP1wqrFWpqq4U1qpUqoMkTihf1+GMpwI8g8HQqm7SbvaDjjCjGghu169ff1AuKIp9V4dFpVKp&#10;VCqVSvVnJb40o3EJEZmCi4ECzI1LgDtv3jwDcDnJGQEcI3JHjx6NmTNnGvhI/5XH0W8ViEvIV7R3&#10;L7ZsXIusLanIz8tCzvZM5GZvwXZnuWJFElasTELqpg0Y/tEnGNf7fcf/XYMtGRuQsXUzViQlIGm9&#10;U75+FbJXLEf6klhsdo7JTNvsM/r+hMeMKBZo+GeMkcgEknFxcW4ahLgEdP68Pz4aORPbtmchMysb&#10;GdnbkJ2dhevf6Ye/3/8q/s+V9+Avl9yMf7vkFvyl4yWo+0Av/OPB15HjtGf3rt3YuXsnHh8ShSaf&#10;/oLWHw/AwMixiBwVjkXR80wAxolKPSETEjdo0MAAVgJaRtheeumlaNKkCVq3bu0DuIEQV5aHsvbt&#10;25vzH02OXdaRCFiKkz4z9QYBrETQEtYSxhLcSsQty7/55hsDa5mjln9n/PuTMQ7HPgJoaXINmkql&#10;qjpSWKtSqYzshzQf2nQSBNYyX1d1hrWMbmD0gry+RljLCQ/YP/nFWvquzopKpVKpVCqV6s8omA9J&#10;X5ORjPStCTAJXxkJSp+UkJEz82/evNnAXKZN4CRn06dPNyCXcI4Ql2kVuI+QN3bRAqxKSsC6NSuQ&#10;mrIR27O3IGtbOlauXoWVy+OxaORIbF+RhB1rV2JL6kanLBVbNycjzjl30rJliE9IwMZNa5GxLQXb&#10;0lKwNT0V2zJSDawtcdp4IiJU2U/63fTFl8bFGWh794DfULf3t/hw5CRkb9+ObVlbkJuZgfDoeJx1&#10;Xy/877+ew18Iai++Bf9+0e1o8Oi7+PsDr2A7AbJju3bnY+eunbjh+8Fo0ncgvh02EiNGR2HEiJHG&#10;36dfH6wtx2ISVfz2228bUEvr1KkTPvjgA7z77rsGfg4ZMgRvvvkm7rrrLlx99dUG0P7zn/9Ew4YN&#10;K0XiBhphLZe33Xab+fx5f4K1gcZ28O+Df08yVuFYZtCgQfjyyy9NBC1N0h8QztK4j9uMsg0PD8fi&#10;xYtN5LdE0hLSCpwVcV1MpVJVHSmsValURvZDmg9x/qLOX3SZMqC6wlq2mW2n88tfoxmdQIeFUbWE&#10;0HSS5JflQMdFpVKpVCqVSqU6WokvfSz+pPigBHSSF5f+N6NE6btKSgWmJGOE6oIFC0zuUQJcgtyI&#10;iAhMnDge06dPRXT0XEwfOgzjnnsDGxfOw9DbHkb6sqVIz0rBls3JSFyxDCuWJ2B5Yhw2b1qPjLRk&#10;pDEFgrPMzEhBft52AyoJEgPh4Z8x5tnl/BBsN9MhfDpiPGq90x/1e3+D+36KwPZtO5FG0Lx1Gzo8&#10;3xtn3/cKzrrjKZz1rydQ7+FXUe/Jd9H+6ddQVLwHu3e6kbX5u3dhXU4+Onz0I74eHIWRo92I5Nmz&#10;Z5u2CxT/syapB1q2bGnA64MPPmiAbLt27VCrVi2z//LLL8cNN9yAZ555Bu+88w6uuOIKX5qLr7/+&#10;Gi+++CLuuece3HfffejSpYuJxqUJtOV5CeIZKX2oCGa+DShtkb8nAv0//vjDB2slHQJN0iFwyTpz&#10;5swxfzf8O5JzSEStbMvfnr2tUqmqjhTWqlQqI/shzYc2f9GlE3EmwFrCWb5yxF/cmU9s3bp1xnmk&#10;UywOiixVKpVKpVKpVKoTIfGvg/mYR/I7WU7/lIBNAB59c+YeJcSljytpFaKjo32TnBFeRkVEYnhI&#10;KEYOC8GkyROwZPFCLFmyCKtXJRlL2bwBmVtSjG3J2OxYirnGiUolQOO52GaCWlr0whg0fLsf6r/z&#10;Deq92w/t+3yH6YnrkZuZhWTHrnr9M/y/O55F7cffRaMn3kPDx19DwsYU5O0qRsGuHdi9cye27N6N&#10;54eORpM+P+C7kFEYOXqED9YSMh8vrGVQB9tct25dA1YJRglkCcaZquK3334zk3W98soruP/++30w&#10;tk6dOibFQY8ePXDLLbfgoYceQq9evTB16lSTs5jrBKmM0mWE7UUXXWTgMq8VrB0E9SyXvxH+DXA8&#10;M3jwYAOECWoZVUtAKxG1jLplSg2m0WDEtoBgWQqo5ZL3ietiR/pbVKlUp14Ka1UqlREf0vKg5pKw&#10;lg4L0wXQGayOwFZgLdMe8Nd9wlpO/MBIW0JbOi/Sb3VUVCqVSqVSqVQnU7bfKfDMtsP5onIcTYCb&#10;wDiCPQG5jMBkYAL9YKYfICyUlAq0yMgIjB49ChMnTsCsmdOxeNF888YZAxvo/wswPF4jPOX5CJSX&#10;xi5FbHws7v1hEOq88w0avN0PDd/+BvXf+ho3DPgd0Rs3I29HLmLXbcDYJUmYFJ+ErTk7kL9zF4r5&#10;Zty+YvQdNwsd+/6A8z79CW0++hFDo8ZilNOPsaNHm9f9GZV8vLCWgJljhfPOO8/AWkmFwGhY5qrt&#10;3LkzLrnkEjz88MMGygq4nTVrlgGozz//PJ566iljN998M2688UYDdAlo27Rpg1atWpnzEvAuWrTI&#10;jE8Co2uZJoOwlp+xfOYMMFm+fDl+//13Xz5a5qft16+fgcCcuI7AmqkSeD4eQ3HJz4Am++QecVvs&#10;cH93KpXq9EhhrUqlMuJDWh7UXNJRoMMiv9xXV1jL18bYB75KRGOkMF8LokNKZ0WcIHVUVCqVSqVS&#10;qVQnWuJji79J/5Mm28FMjjkWyTUI6yQvLiM3mVaBfi/fKiOUpV9MP5kgl5Bx/PjxGDVqFMaOHWuM&#10;4JO5c1nvaCbCOpRJ4AcBsomuXRqLObExaP72V2jwzjcG1jZ6i8vvUf+db9H2/a9w389DMWR+PKas&#10;3YhRy1bgg9FTcNEnP6DVxz/j/M8Gos3HP6F1359x8Vc/YvyYMRjttHfM+DEGUBN8BmvHsRjHPgTd&#10;krIgmNkA9+mnn0bHjh3NOgEvo2vvvPNOkyKBEPXjjz82aREIWXv37o0nn3zSAFwez2hbpmgLhLX8&#10;zOx8tfwsCeIZQc1oWsJagmEBtSNGjEBSUpIvN60tnoP7BPxSPCe3g/1YoFKpqo4U1qpUKiM+wOUh&#10;ziUdAzp2dNQIPcUCgWhVNoG1BLR0huj4MMqWsJaTJ9ApYV/FQZH+q1QqlUqlUqlUxyrxp8XsfeJv&#10;2rDWll1H1uVYmiiwnuwTBdanZJ8Yr0/fWCJx6R8TUjJ6kzlmOZEZJzRjWgXCXOZjjYyMRGhoqJkA&#10;jeMDRvPakDGYMdqV0DY+Pt5E1y6NjcW3E6ajQe+v0fCdb1D/bcLar9HkrX5o4KzXfvcbNOv7M9p8&#10;/DvafvwrzuvzO1p88jNaOtbik5/Qou9AtOjzE94eHI5xo0dj7LhxGDNuDAoLCs24JVgbjsUIa5lu&#10;gFBWJgQTQCvrYgS0nMjro48+wmuvvYYvvvjCRLsyxy3L5BguGzVqZPLd3nvvvWZyMkJdRuoKVLfb&#10;kJ6ebu4txc+YdfimIz8HpjtgagbCWkbT8jPiZ8dzyGcuYFZMZG9zaUfuiqlUqqojhbUqlcrIfoBT&#10;fN2Gs9PSYanusJZOKJ0eRgcwBQJhLX99D5Tdf5VKparpkudC4PNBpVKpVMEV+L15OLPr2+v2tsje&#10;TwVuC2yT/bZRXNp1RHY9qUOQS0BI0MqIThkPLFu2zIDamTNnGnDIHK6Et0OHDjXRnZMnTzZQln43&#10;U4/J6/eM+KTfzehagmBC21f/GI5z3+9vIG39t/uhwTvfop5jBLbNPxqIln0HoslnP5mUBy37Etb+&#10;ZGBtyz4DcckXv2DsxDEmtQPbweuyzQzKsKHnnzG2kwC7adOmBtYStHKd1/r9jz9wx523G9DKMgLY&#10;hg0bmoha1mnbti0uuOCCSpBXTPbZZTyG17Kjl7lOWMtoWxHXGe3MlAtMf8C8uYyAZvSzROBSXBLA&#10;yg8Bwcz+nO1tMZVKVXWksFalUhkFPqT5Cy3zJUnOq+qcBoFOI/tDB4iglkbn0xb7Lk6LSqVSqYDt&#10;8XGYccejWPJmX6SMmYKd65NRtG07SnYXoqK08quWKpVKpTpY4l8GM7sssJ7tlwbWk/Pa6/Zr7bIu&#10;24HHBLPDiechdOXr+bt37zZAkxGoTKvAiE+OFfgaPmEsX9Vn7lROdEWQy0mvpk2bZia9YtmChQux&#10;YNECLF64AL1/CUPd975CXZMS4WvH3PQIzT4eiGaf/ojWfQhtf0abD39D08+c9T4/oWvfgQgfMx7j&#10;x7ugltCSb9AdT7oG23ge9pcTjAlYZZ5ZRiGXlzmfQXkZDpQ797SC942fSbmBpkxJcMcdd6DnpT3R&#10;oUMHnHfe+Sa6lsdzKes0OW/jxo1NVCzvJa/NQBmOWzhm4edG8bPhfefkcd9++60B4wTePEaibynW&#10;I6S1P3Ma17lfAC5l/22IqVSqqieFtSpVDZY8yGWdD2vZRweATtiZBGv56/OhYC37Lo6LSqVS1XTt&#10;252PsPqdEd6gKyIadXesm7ts3A2RTXogqtnFGH/xrVj4/NtY+3s4cuKSsHPdJuzdlo3SvUV8qHhn&#10;UqlUqpoh8aHFgu0LNIFl9rq9bde1TerJNQTASVkgjKOxTOrb55AyKT9asT6vQ9DIcQP9bInEJYTk&#10;2IGRtowKZVoF5sdlWoXRo0f7Uir8PiwMj37eH90/+AGt3vkGjQlr+/xoIC0jac93rPmnP6J5n19w&#10;zRe/IXLsdEwYNxbjxo/F+HHjTBoARp4yeteGrn/WOF4g2OzUqVMlWEtgut/p777yUqTs2Ya8fbnI&#10;3b8LZeY+HzBtoFUccLYJcZ26u3cXYsacaHz26Wd45JFH0LNnTxOpy/PSOMkYxyTZ2c5z07k2YTfX&#10;7c+B7eGEZ/PnzzfQm1CcUcsi+3MUWCv7uJTPSIz7ZSl17LoqlarqSGGtSlWDZT+Y5WEtD2w6JXQO&#10;6ERUJ1jLNko7BdZyMgX+Wi2RtUyFoLBWpVKpDq0FL7yG8PpdPEgbaN0R2fjgfbSolj0xptsNmHLt&#10;fZj3+GtI6vcz0ifPQt7yNShIy8C+/F0oLyn1rqJSqVRnjsSXtv3rI8muK364nEOWgZIyWrBtW7Kf&#10;FuxcIpYd6lq2HUo8vw0DBRxySYjJcQUjcglyme+W/jknOFuwYIGJxGUqA+bFHRwSiv6DhuLj34fi&#10;jZ+H4LkBv+GeLwagzx9hGDtmJMaMH40xE0Zj4rgJmDBhggHEPC8jfwPB6581npNRrBIJS1jLlBDl&#10;FQewt6wY07bMxaitUZiQMREl5SXOfanwji1x+l+G/U698mKn/2XO/SirQJl3/xkNy7QJEl1LWMv0&#10;EtxP2EzAzfQTtnhd3i9GMHPswvsp4udhf7aHWpe6/DzkM5I6XNrrKpWq6khhrUpVgyUPaBHX+RDn&#10;UpwDQtpAIFoVTCJkA/fR+WObpYzAlukc6PzQmeM+OkPyq7TcA+k7nRWVSqWqydq5fh3C6nVERMPK&#10;IFYsvCGXdlngur1PtrubiNyx3a7H9Jsewbwn38Cqgb+j3Blgq1Qq1Zki+pN/VrZPKtuHkl2PCtwW&#10;yf5gZada9LEF3jJilGMNplWQiFxCS+ZrtaNy586da/LFDh8+HBERkQgLC0PosBATmbs0Ls68PUcA&#10;TBgcCF3/rHESYi6Zk7YyrK1AcXkJVu/YjJisGESnzUT5gTJzb0vLSlFSWuKMJZxlxQFkTlmFnDkb&#10;sHX8Ui/6tsKMQ+SchLXMdcsxCoNKGEjC6OTAz4v3itfm/Qr2Gdp1KVkP3E/JPruOKLCuSqU6/VJY&#10;q1LVYNkPbIrrAmuZm4m/9nJWWAGhAkWrgh0O1tLsfUzeT1hL54v7+Os0HR/ps5jCWpVKVdPF/HvT&#10;b3/Ei6r1ImgPiqLlvu4It7YjnW133QWzfgssc7a99bB6nRHz5gfelVUqlUpV00V/nFGyBJccizAt&#10;AIEsAS59euaHZVoFpgVgRC7TKjDClkCXKRGYaoH10tLSTGAG/f9AGHskk0jg559/3qQtYL5ZXpPj&#10;hHLnGckUB1wvLi/F3nI3F6wP1jrl+53t3JhNyB67HNsmJPnGGYGwtk2bNiYwhqkNCK0pnktMpVLV&#10;bCmsValqsMR5EHGdzgGXAmsFfAaC0dNtbE9gm7gdCGv5SzVhLdMg8Bd77uNEBMFgrfRdpVKpaqrS&#10;p89AaK32Hlz1A1Z7202BEAhiZV8wk3L/cVIWWrcTdm3a5F1dpVKpVGeixL+2/W3bRFIudbg0kNQz&#10;RuYyylQmOmNULaNxGYhBkEuIK3lxGY3LJSch42Rk3M/JuVj3SBOSMcCDEb+cBIxwlctWLVvhsksv&#10;xa233ISnnn4SAwf+iLiEWBTtLfIdxzaXl1egrLzM2S7HvpzdKGUeW6cfNqwlqP3yyy9Nm3kd9o2S&#10;frK+SqWq2VJYq1LVYB3KQeIyENZWF+NrU3abOUFaVlaWcey4JNDl60b8xVz6LPfAXlepVKqapv0F&#10;uzG685UIN+kPbKgaCFoPtx5snx/wunDXKmvYHXMff9G5un73qlQq1Zko+taB8FVgJJeEnISwh/LB&#10;g+3nPpoAXEbDMhqXEJcglmCUQRqcLJnjGaZUiI6OxtSpUw28FYhLoDtixAiTO5djBM7XQVDLc/Ec&#10;hLxMV9CieQvXWriTjjVv5uazZVnTJk3Qvn17XNCjBy6/7HI89vjjGDzoD2zcuAnlJczd6/ad52PO&#10;2ptuuslck2MUjkfkXkh/FNaqVCpKYa1KVYMljo6I63QOuOSrQ9UF1tqTihHWSp5d7uNrU3yFis7Q&#10;1q1bjSPGV6MU1qpUKlVlJX75LUJqt0dkox4eTO2K8CZdPbgaAFmNBdt2LXjEbeC6ayG12mFXcrLX&#10;CpVKpVKdSaJvLeMLLm0YSdDKABFCVgZWELpyH+vY/vmfFY/lOXl+wltG4nIcQChLWMpJzmJjY7Fo&#10;0SKTRmHKlCkG0IaHhyMkxM2N++677+Kyyy4zuWsJayubm9KA1txZJ8Bt5oFcpk9gGgVG0bZu1RpX&#10;Xnkl3nzzTSxZssS89cd0D9I33g/b7L7bplKpao4U1qpUNVjBHvyyj4n+6cRUdVhL+BoIa2WbxlxQ&#10;/IWcaQ+YxJ9pEfgrO38xt/urUqlUNVmFzvfjsHNaG8ga2ag7wmp1woaISGRMn4pwD7AeFBXrW5f9&#10;dtnhyp2l71zdEd6gG2Y//LR+F6tUKtUZKNvX5lKAJEVgyaAK+uYEmLm5uSYylkEj9N3pr9OYe1ZA&#10;Lk10tM8NaYNtbAPPS2MQB9vBsQLHDozEJcBlXlwBuKNGjTKRuJzkbNiwYfjwww9x//3344orrkDn&#10;zp3Rrl07H7jlNvffddddBvaOGTMG8+bNMykYeC1pg7QtMKJWymlyv6RMpVLVDCmsValqsMQJCBSd&#10;IDpLkgOWy0BIWlUsENbKukBbpjwgeKbTx1/RCWsZYcscttSh7oFKpVLVFFU4A8TZDzyJCJP+wIWp&#10;o7pciXJnYEyF1+/o7Q8ErzTZH2j+ssjGPVw4a8Pext0qTVAWck5b7Ha+o1UqlUp15kv8b/rjzDlL&#10;H54+OkEpgSaNE4vRd2ckLH13wlSmEqBPzyhcpk8QyMmxC2GmnFfg5pF8fLtcQDDPy3bRCIoZ+cux&#10;BNvAcQXHHoS5CxcuNNG4EydO9KVWGDlypIG6kydPxty5c00ULYNfGNUrbWa75FrSRrutdvvt/SqV&#10;qmZJYa1KpaokOgT85Vom46qqsFbgrMBagbNSJtt08pi4n7/S0+mjI8jctfwlX/orZm+rVCpVTVH2&#10;0qUYdnYbF6Q27o6hZ7VEbmKiVwqsGTzEArk0C7paUPbgcrueXeYsGzKitjNC63fxlc2853EzMK2u&#10;2puVjT2Z27BvRz5KnUE5IbhKpVKpXNnwUZb0xxlVS789KSkJy5cvN+vix9PPp+/O1GxMbUaYy4mC&#10;6d8zCpZpDejXc9wiwRmMyCVo5bkJRMW3PxH+Pc/HcwvAZTQw28E+SHoFGgE04TLHIIzctcV2CGSW&#10;Ntlt47p9r2SfXUelUp35UlirUqkqiY4AnRs6PgSfkgaBDpPA0Kpg0pZgsJYmjh4dJzpudKjo3Mmv&#10;2wTS0l/bAbLXVSqV6kxXufN9P6bLVb4UB2H1umDeUy/hgAUa14eGIqxuZw+q2gA2cN2/TyYUq1zm&#10;L+f54vp8jugnevkmNBvy91YoSE3xrlq9lJOYiIjze5i+DG92ESZcfhtmP/g8lrz9CVb/PBRbZs3D&#10;7k0pKM7LR+mevSgvcWcNV6lUqpogft8RPgqgFBBJ+MloWYJYgloCW/Hhg/n2HJfIUtY5FiDMJchl&#10;YIZE4tLfZ7AG89USrtJskBssP+6JkPSTSxHXpc9iVOC2KHCfHK9SqWqOFNaqVKpKomPAX4D5SzEd&#10;o+oGa7nN/dym8ZdtOml0BPlKFWEtUzzwNSSR7RAFOkcqlUp1porfdWsGDUFYnU4+WBveuCsK0jO8&#10;Gk4dZ8A5sm1PK19tZWN+20Aga+qa+n44K2VcZ/qDkW0uRcmeQux0BtdhDTt7cLcHJv3zDu/K1Ufl&#10;zvNkbI/rKqd5oBFCS0RyQ7csskkPjOl2HWbd8xRi3/4Eq34chNQJ05C7fJUBuRWlZTigA3KVSnWG&#10;ic8bwsZAMMp9hKeMTqUfz3GH+PXi24vfb+8LXBdwK/s4HqDPL9G4HANIVC6vZUfjcpwgeXHt1AoC&#10;XGVsYLf7WGWfI/Ccsn04yb1TqVQ1RwprVSpVJdFZYE4lvlZEZ6c6wFpx0riPr0pxvzhsfC2JThgB&#10;LR22YLCWDtCJcsZUKpWqumj/rnyE1u/kQsTG3RFSqz1Wfv+LV+pq9a9/IJQwlxDSA44GPgaCSbMe&#10;uO0tpa4XbRtevysSP//KuwIw78mXfFBzyP+2xO6UZK+kemj1b3+YiOSD74Oss+80D2SzTECuDXSd&#10;shFtLsWU6+7DwhffRlK/gdgUNRbZS+JRlL1dn00qlaraSvzrQJ+bIoQkOBV/Xvx829eXbZq9bQdp&#10;yD45j21SzvocK3A8IKkVJK0CAzwkIpdjBcmPywnBODYiVJacs4f7Prb7FkyBY45D1Q8s53Eqlarm&#10;SGGtSqWqJDoDAmvp/ARzmqqC2W0Rp4xLOmE02cdfz+lk0emiU0bnjK9E2b9Oi+NoO08qlUp1pmvW&#10;/Y8jrD7TG3RHRIOuGHfRDSgt2uuVAvsLdiG0bnsPtnpAsRKIlGXgukTc2mX+Ywhr4/t+7l0FKMxI&#10;d/Z1NscQZo7pfpVXUvW1N3sbRrS42AWuTtsj2U9OqFbpfvj7zqUP2PrKHfOljfDKnPNFGojr1D+v&#10;B6JaXYLFr7zrXVWlUqmqnwQ4BvrbXDLClRBVxh0CYcWvF59f9sm4RMYDUk+M+zkWELPryT5eS8w+&#10;lx2RywnFGPjBcRHfOpRoXOaiZVoFjjEYlUuQS+MYihG6ktuWsJfGdRl7yH2w70EwSfmR6qlUqjNT&#10;CmtVKtVBzgAdCv6yTKfJdnCqktHZ4lLaxqW0lU4Wl8x9ReeK/aFjJc4X81VJX+3+i+OkUqlUZ7py&#10;EhIw9G8tfHAwrF4nZEbP80pdzbz3CYQ18OChY+H1OyG0djsXIBrg6Fkl0Cj7uPRgo9knddxzjWx/&#10;OSrK3NzhVPRjzyOigVsWUrsj8p3v66qvA1jwwusIq8voZLt/9tI2e59dz9rvu5eyn9G47j5+Rhkz&#10;ZnnXVqlUquoj8bMJLAN9bW4TfDK61fbtD2X2GEAssE5guV0ncH+gBZ7D3qbJhGcCcxmRy+AQjp1o&#10;hLOMwOXYQ97qI+jleORw90GlUqlsKaxVqVTGWbCNvwrT2aBzUVVhLS3QqZK20onikrCW/eAkAnyV&#10;ifvpNPEXcOm3iOsKa1UqVY3QgQqMaN/Tg4KONeyGWfc9Uen7Lzs2FuEyqVjj7gg5px1SJ01B6sTJ&#10;CK3dwTvWBoveuYKuW0tGnzoWWq8zNoRFeldzI1RDzHl7mPaMvfB6r6TqKjt2KULrsM1u//wAm9vd&#10;fBOnGWOkrKx7dVwIy/1S5m77z+HfZ+o27IpJ197pXV2lUqmqj8TPtqNL5ZnDJUEmgeaxBIrIOOBo&#10;6h6L2edlW2h2FK4Y97M+4THHTDQC3OzsbBNdK2MP1iXUZVo23gP7PqhUKtWhpLBWpVL5HCax6g5r&#10;pUxgLR0mvrZEZ4pOFPsn/RbZ/VepVKozWWsGDUVoLQ8yNmYO2S4oysn2SoGK8jKM7n4twht4eVgb&#10;dsO0W+91vyMryjHhytt8ENG1g+Ei1wVACsQc8r+tEHJ2G7e8YXeMbHcZykut6NrHX3TL2CbnmjkJ&#10;8V5J1VN5yX6M73mT086uvr6G1GLUsb+/fljLPnHd2za5f931ShHKZl+gVd4fVqcjsmJivFaoVCpV&#10;9ZBASpps2+C2pKTEwE0GVYg/T79dTHz9020y9qCxnTQBtzTWYdoEpkcgnGW0MOtyTMX+SUSt3AeV&#10;SqU6lBTWqlQqH6QUqy6wVkycOLaTDpPtQMmv2/y1nvs5iQB/vQ+U3X+VSqU6U1VSuNuNBjUgsRvC&#10;6nfFss/8k30534ZY/csfBgoKIAyt1c5EvorW/jrMD3J9oNGGigfvC63dEZtGjkDsB31Nzlru42v9&#10;64aFe2cF9u3ciZCzW5uy8IbdMfbim6vkdzLbtDFyBIb9o60PLIec2xapkyZ6KRHcftuRtuwP1w+G&#10;s4daD1bm7p983Z2oOKADfZVKVT3E70zCSfk+55LQ0o4uZTlTITAC1R53HAnYnmyQy7bY7Qks41hD&#10;Im0ZJEJjYAjnyuCbfByHsI6kZpMJjnkPxFQqlSqYFNaqVKpKzgKXdC7oUBzLq0in02wnzv51m/vo&#10;LBHWMpcU99EJ5LYtdZZUKlVNEL/nop/qhXAvN2w44V/TbiZaVsQI28imHiRs6NSp1wVxH37qlbpK&#10;+uo7D9Y6dQx8rAwTK29z2R3jet7gXKcC5fv3Y9g5XnStsz+q9cUoLXbfdqCin33ZKyNIPjiPblVQ&#10;8c58p/+dnb67E4mF1e2MFd8NNGWR57Ptzn4L1LpgvPL98JfLfrtOoFWuQ0i8PSHBXE+lUqmqg+xx&#10;BsGswFt7v/jr4tMfDbQN3D7RJrBWjPvsttjXZznHIVxnPxj8wonIuL1s2TITZWsHjNj9V6lUqkAp&#10;rFWpVAc5S3x1h7CWDkh1gLU0cZbk1222mZHBTO5P54/J/9mXtLQ0k8PWljpLKpWqJmi7M1i0Iz9D&#10;zmqLLbNne6VuZNPCF9/wT5jVuBuGn9/NKfF/PxbvyENUG8l3KyBRzAWKbhSpFVnqLNcNDvPOAKz5&#10;fQjC6rjtCKvfBWsHh3olQFnxXoSc3dY7thsmXHoLKqpQbj8C5yW930eol8+X6Q+i2lyCkj2Fpnx7&#10;3FKE1A6ccCzYffKWvvQIdh13Xe6BWTr3lOkqJO/txKtuQ7kXoaVSqVTVRfS3A6NsZZ1Rpzk5OSYV&#10;goBPLmmBcFT222OBk2FynWDXs9sk7ZJxCN/k43iKxsnIEhMTsWnTJjP5mJ3+QfquUqlUgVJYq1Kp&#10;KolOQ2Fhoe+X7eoMa+kc8Rdt/orNX7PZF0Jb5sWypc6SSqU601XufO9NvOpfvvQHEQ26Ycp1d3il&#10;rrbHxSPkXOZddSEhI0a3zJ3jlTrflc4AO+btj8x+AYkCFm0ToOgrd+ou7NXb9z1b4gxehzdzo1Jp&#10;w1tciJKCAlNGLX7jXYQ36GpAZmidjkifOt0rOf3auXGDLzct+xh6TlukT5vhlRI2F2HwfzUxZdI/&#10;3quD7slB24FGWFt538y7HvN9foyuzVqyxLuqSqVSVX3xGWBH1co+WSfEZCoEBlbQj6c/L+MQ+vl8&#10;40/8fe47neMTub5tsp/tZsAIc9bKGIT7OS7JysoyQSTSZ5VKpTqUFNaqVDVYtoMkogNFR4nJ8el0&#10;VBdYS6MDJ7CW28wZxV+w+RqS5MAihLbzRclSnSaVSnUma92wiEpRtUPPaoWinO1eKSFjMSZcdosL&#10;SQkHG3bDlBvuNoBWtMP5Dg1jvlsDD93zGGhrwG0geJRtt4zHle33v/65bmgYQiW61mnX2kH+6NqK&#10;shKTz9Yc77RjfM+bDWw+3eK9GHfxjS58bdzNRLrOuPuxSpOk5SUtx9C/t/L6bpvcIzHZF6yetfSu&#10;s+TN91HoPL+YGkLOMab7NWYyOJVKparqop/NMYbkqrV9cIG3NL79RqApASNi9OuDwVoxGQucLAu8&#10;nrTL3id1ZRzCVGyEtewPo4XZdoJbQlz2WaVSqQ4nhbUqVQ2WOEa2qiOslfaJY0cniet8BYkOEXPw&#10;bt682dTjxGkKa1UqVU1SsTNgHNHaS13QkBOGdcCyL/p5pa42RkR5UbV8tb+HWS/ISPNKGZm7H1Ou&#10;u9tMSGYgonOeEe0uQ+R5jJB1waIbbVvZXJjL/LjdEdP7fe9sMJG0I9pcbI4zx57fAyWFbioB51sZ&#10;8X2/QKSJIu2O0NodkDZlmld2+rRx+HCE1WOuWvaJKRw6YefGjV4pn5/lGNXpCq/vbr/se+Hfx1QR&#10;vF89Au6Zv9xvnMCsC/YX7jLXWPzaOwhjvlynLPTcDshJXGb2q1QqVVUW/WyBtQJnZb/th7MsPz/f&#10;BFyIjy9jEfr2pxrWBl5HTGCtXZdts+f7YEo5pkFgfxg0wv2Mrs3Ly/ONRVQqlepQUlirUtVg2c6R&#10;qDrDWjpI4kBxnY4R+yKwlnW2bdumsFalUtUoxb79oS+KlZBveOsLUVq01ysF9u3MNxONCSAMqdUR&#10;yz7vV+k7MnnMWJNLVgAioWXeipXIjotH6Dn+tAA+Y4RuE04S5oJFc16nnj2Z2HpftK+bcmHNr4N4&#10;MVNWUljgtJlRvM65GF17yY1mcrLTpfLS/U6fvfY47SVAXvap/x5R64aEOG2W/jL1gdtv3z2R/UEB&#10;beC27OuG0R2v8a4A7HEG/2H1O7plznlGtLnIK1GpVKqqK35XCqzlupjI3sdAC/rwTCVA313GIlUF&#10;1trl0iYBtTIWYRnHHnzDj8CWqR2Yt5b7t2/fflBKNpVKpQqUwlqVqgaLDpH96zZFJ4pOEnO70qGo&#10;6rCWbWMbuU4HSfbRweOrRoS1dJIYZcsyvopUVlZWqe9ilL2uUqlU1V3569cjpFZ7H/wL+Uc7pE+f&#10;Wek7b/HrXo5YDwBGtboY+3e7kZxUaeEehDbsaKApI0L5Wn7sux/7vi/HX36rl5PVDxlD67Q3OVUJ&#10;ed3JuBgh2g3zn3vFO6tz3qK9iGpzqXtdc0xbH8zleZd/852BvoSbIbU6IH3qTFN2OsSJ1yJMVLHb&#10;z6i2PVFSuNsrdfqydw/C6nkQleb0ldHJ4b574t6Xw5kLcaWev354424o80A170vMG+87n4ELhcPq&#10;dUFOYrwpU6lUqqos+t00WbfTIUgZtzl3BoNGJHUA/Xzx9U81rA1mNqCV9gQzRtFywjTmqGV/EhIS&#10;TD8YOML0CNJ3lUqlCiaFtSpVDRadBHGMxGGg48RfgQk66WhUF1jLpcBabnOdv2IT1tLpOxpYa5tK&#10;pVJVdzGX6uTr7kR4gy4u/GvQFVNuuAcVZf7XLwsz0s1kVQIGh57VGqkTp/AB4dUAYt78AOH1uhoA&#10;yTqcEGz/znyvFFj1088GGgpg5Hr0k72879MKjO1xnQG1LB/2jzYmkle0PtRNLUDYG+4ct+L7H70S&#10;YN+unQit7Y/mHdnxstMSXbuLk4qd09YHU4fV7oDNY8d5pa7mP/eaSfXAlA+sE9agE+I+/tzpU2ff&#10;PrnHrtn7AtfdpUTghtXvguX9/felODfH/5mybtOuXolKpVJVXdk+tg1nA7eZt5apAjZt2lTJ1w/m&#10;+8u+U2mHArV2u6Sc6dcYRUtoK3UYNcwJkNlfyr4vosB9weqoVKozWwprVSpVJQeAjgMdCEkbII5Q&#10;oENSFUzaxDaKY8SlJPbnr9iMqrVhbbA0CJTcA3ufSqVSVWelT52GYWe19sG/sDrtsWtzslfqfu+N&#10;u/R6hDd0I0YJACdffxfKLZi7f2ceBv/X+T5QyXy3G4eP5MFeDWDhS296MNaNnuXkYMu//c4rBbbO&#10;n++Di4zgnfPoc14JnznlGNle8rx2x6D/1wQV5eWmjO1bPmAgwr2I1rDaHZAxc44pO1U64LRvwmU3&#10;m3sk92DSNXc4bfNPDpO/bo3TRn+aCQLplAkTTfun3v6g2Sf947pAWDkf1wVmB5rUHd7sAv9EZs55&#10;l7zTx9xL1mEe4bRp090ylUqlqiY6lM/N/fTfZb4J28+nL08gakNR7qsKJmMQto1BI1wycITwWVI7&#10;cD/f/mMqBAbISH8D70XgPq4L3FWpVDVDCmtVKlUl2bDWdo6qkjMUaHY7xVHifsJaRtbSQZJf521Y&#10;a0ucItsxUqlUquqq0uJihJocqy70Y3Tm0vc/9UpdpU6Z7EXVOnUaMiK2A3Y436Eifh+OvvBakxqB&#10;dQgUx/e8sVJk7p6srRh6Viun3A8eGYE77V8PV/o+HdP1Gl+dkHM7YK9znGjT8JFeblun3LlWwqdf&#10;eSVudC1z30rZ8OYXmMnOTpU48Ron8nL7RtjcBQVpKV6pc4+cwfbk6++uBKvHXXydVwpkL43z8vLK&#10;/fH64lsPNK/Muc6Ey2/yn7d+VyR9PcA7K9Mu7HXumZvvl9A2qsXFOKADeZVKdYaIqQM4QZdAT3s8&#10;In6/7LPHBKfb7LZxPCKTHRM+M8pW3gLkeMTOW3uk8QfLFdaqVDVLCmtVKlUl0RHgrKV0LqqqI2Sb&#10;OG32Op0jrjPvLh0kwmeZVZbOEdMgBIpOkJhKpVJVdy39oI9JL2DgX8PuiGp9caX0A+X79yG0bjtf&#10;rlkCxZg3P/RKXaVNmWom/hKIGFK7PbYvS/BK3e/NqTfd616jknECrnbISUz0agK5SYkm1617rm6Y&#10;89Azzl7v+/ZABUZ2ZHStWzbkr81RWuyfAG3lD796eW+d8npdkD711ESR7svficimbp8ITcMadEVM&#10;7w+8UlebRoz2wVjeyyFntURBqh/mFmakeVG37j20lwdH2LoWVqcjkkeONvA1pFY7F5YTVLe8GGXW&#10;fYn76FPfPeVnvWnkKK9EpVKpqrcYWMHUAcxbS79efHsZk0h0rfj/XFYFk7YsX77cGNvPfhQVFZml&#10;wGeCaAJpGXccaRzC/QprVaqaJYW1KpWqkgTWMhL1TIC1zL/L/hDWcp/krA3UkZwklUqlqi5iTtOh&#10;f2vpgUB3oqvk0WO8UleL33jXD3MdG9H2Muzb5Ye5pUV7MLzFRQYECgyc99xrTon/O3LLrNkINZOX&#10;uedghCeBpjmmYTdMv+MhE3kqGtn2ElPGNoXW7YiC9DSvBE77xvrb06QHlrzjB8f7ne9xuy2R53X3&#10;pUo4WeKzIOaN9zxY7faPkcp2VHHxjlxEte7p9NVNkWCAdwDM3Tx6nNPXYJG17mfj3g+3TOBtVKuL&#10;UOYM4qlNI6JM6gnuZ/7bFQMGmv0UI4xD67hltJHtL6/UPpVKpaqu4nhEUgfQryf4FF+fy+oCa7nN&#10;N/0Ia9kfwlu2m3ODcFsA7JHGIYcrU6lUZ6YU1qpUqkqqLrA2WNu4fjhYy1+zs7OzFdaqVKozWhOv&#10;vBURjXsYAEiAOvGqf1WCeLs2b8Kwv7fywUFC0g0Rw71SV4SObp5ZDySe3wPFeTleKVCypxCjOl5p&#10;ysQmXH4rxl14vQ8+hvyjLXIS/NG1O9atRug5LtxlDtg5j1i5a8vLEdVKYK5zvFPOa4hWfPeTL4KV&#10;0aTJY8Z6JSdHO5xniAtC3b4NO6st0mf4I3qZszb2vT4Ird3RtMlY024o21fs1YCJZB7RtqdXLpDW&#10;f79825UmIOuGMd2ucu6H+5wqLykxqR+kbETLi7Evf4cpo+I+/gwRDVjmwuINEVFeiUqlUlVvMfJ0&#10;y5YtBm4SfNp+f1WGtTIWYfu4zjEV588gsCV85v7169ebMUlgKoRg4xAdn6hUNVMKa1UqVSVVV1jL&#10;dVnasJYpEHbs2GFgLRP6K6xVqVRnstKnTUO4gZqEnj3Ma/R2OgJCxknX/MuDf65NuOwms1+Uv34d&#10;QplDlvlSGzP9QUesGxrqlbpK+ORrK62BU+ecNtiXm4Ndm5IRcm5bL9dqN0y9+T5UWN+5Yy+41rTL&#10;wMV6nZz6G70SIHXCRITV8YBsw65Y/No7XglQUlCAKCu6NqJJF6/kxIsTrE279X63/+Y+dsO4S2/k&#10;zfNqOPdo7Trn3rb1genQWh2RMn6iU+LWYQqDuA8/9aKFvTYbc+v7lwev85g927LMeXjNzeMmIrSO&#10;C4XD6nVB0tf+ydsqSkucey+TyHU3AF2iclUqlao6i/46/Xb69IS1AmdpVRXWchwibZMxCYNFOLYq&#10;Li4G89ayvSznOGXv3r2+sUewsQjXOTaz96lUqpohhbUqlaqSzgRYSweIjpENa9mfw8FalUqlqu4q&#10;21+MEW0vrQT9Frz4ZqVBXurEyb7X6mkh57RD/prVXqkb4Tr1lvsrgdhxF/zTeTb40w7sTtmMiCbu&#10;8awT8o/2WDtoqCkjpJz/3Gs+0DnsnLbYnrDMlFE7N2zA0L97E5KZ6NoXnL0yUK3womu9czftjuK8&#10;XFNGMQUAUwHwvFyuG1IZIJ8opYydYECy2/9uTntbYqcFlStKSzH11gece+SmfCB8Hn/5zSgv9UdI&#10;7U5JQWhtf4oITqDGdBTutnMMzx0QUStGUD33kWd9n1vZ/n0Y3dnN6Us4HO4cV5Trj3JeOfBXRHjp&#10;JxgNvPYk3ReVSqU6lSp3nkf04e28tYH+PteryjhF2mS3i23mOufM4CRjeXl5pj9JSUkmkMROhUAF&#10;glmFtSpVzZXCWpVKVUl0CCQSlU6H7RTJelUwac+hYC3BLHNEMQ3CoWAtHR8xUeC2SqVSVRctfb+v&#10;ibw08K9xdww/rzv27cjzSoHSvXsxsu2lBvgZ6NewG6KfeNErdZU6eZoBuAIODczdsMYrJVY9gJn3&#10;PWlAq4DIkR0v9b22T+1OTfODSec6E3re5CvnM2barfe5sNIp56v7TDkgyoyeh9DabvoBAuNFr7zr&#10;lcBEjEa1uth33rD6nZzzndjctcX5OwzwJjB14WdHxL71kWm3KH3aDOe+EMS692jYP9o4fagMvKfd&#10;cq/TPi9/b4OumHDpzUhz7q2kcqhs7GtXL6pYztm2UrqDDOea4R5ADnPuS3yfL7wS53rOMy20Tltz&#10;rvCG3TGidU+U7N3jlapUKlX1FP3xgoICpKWlGf9eYG2g719VTMYgXDJoRGAtt5n+gAEkTIfA9cTE&#10;RFMnNzfXTKYm4rPGhrNc2tsqlarmSGGtSqWqJP6KzV99FdaqVCpV9dFO5zs7rEFnA2AJ9Ag8N4RH&#10;eqWuzGv5VsTs0LNbYX/hbq/UTTUwqsNlpszUcc41+4GnvFJX2+Yv8PK0uucY8r8tkLsiySt1xe/Q&#10;hS+9afLlsk5IrQ7IXe6vs2tjsnPt1m4KAecaM+95nAd5pfC3wevLni1bvBJg9S+/e+d1Ye6qH3/2&#10;So5fbPfS9z42EcnSv6gWF2Jfvn/itZKivYi0csgSji96+W0csKDx1uh5GHaWpCZw6tTpiO3xbnQx&#10;76fpF/tuyrub/ozpcS1WDfzVyxPM6NrumH77A+YYirlrx3T/pymjDWPaiR1uu9jujcOjEOEcG+mc&#10;j4CZ90mlUqmqs/jdxjyvnByYYDMwslbWq4rJGIRLtpf7pM3MUUswy/4wDy8ja7k/MzPTpEKQHwS5&#10;5FhMxiJcKqxVqWqmFNaqVKpKqk6wlstgsJZGp4jOEF8vkrQOhLXbt29XWKtSqc44Tbv1wUogdlTn&#10;qyp9l+1K3oTwhl7ULYHe2W2xacRIr5Q6gITP+hmwynMQpIbWaW9ewReV7t2Dsd2u8cHSUOd6s+5/&#10;wjfItFWQnobQWhJd2w0j2l3iaw/rz7znUV9ZyLntsWOtP7o2b/UqhNftaMAj+zT/hTe8EqeVzjMq&#10;stmF5ji2gYC6/ATlaN2dlmLSNggkZlRxyvgJfDB4NQ5g6YefmKhbts1EJzfpgiJnAO5XBcIaEfY6&#10;5c45eK/mP/+qr+/M0etGDvthLdMlZMcuNXWm3nifuTZt6N9aYd+uneY4Kn3qDF/UMSObl37Q1ytx&#10;o45DazO6likWnGuf1918XiqVSlVdxe9ETsDFcQn9egGhtr/P9apkbCOXhLVsn7SZRujMSdMIaCU9&#10;AqOGGVjC8RcVCGsprtvbKpWqZkhhrUqlqqTqBmsDt6WddOroDPH1KcJa9of7cnJyFNaqVKozShmz&#10;Z2OYlbqAr9AXpG/2St3vtem3P+RB1u4Id+qM7nqlV+qqwBkwElSaaFcCxDodsSHMH5nLXLTMjSow&#10;lxZWryOKnMHnobTgudd9ADmsbmfs3LDOK2Hu2o0IIRgl8GzYDdNufcAHfdneUZ2uMGUSKUr4K9oY&#10;EeH0oYd7bIMuWPZFP6/kz4upCyZfczsiGrh9472adM0dZr9of2EBQp17ayCrc+0QZ319aLhX6ir+&#10;k8+cvnpQ3OnX8GYXVMq7W5SXg1CTIsK7TsOuGNfjBqfE7XtuUpIvQpbnmHbb/c5e95nEdAdjul/j&#10;nts5dvBfm6N0jx/IboiIMveZ5eH1umLt4BCvRKVSqaqf+CzguIS+/ObNmyuBTzF7LFDVjO2VNhPO&#10;8o0/TjLGwBGJvOX4hOMujk3YX4G1XMp4hEsxlUpVc6SwVqWqwQr24BdYy0hUOhFV3RGyHTaJsqVD&#10;xHUm86eDx9eOmMyfxnX2kVKnR6VSVXcxenJkxyt90aAEn7Mfqpy6YMvcuQit5Z/satjfWyN/3Vqv&#10;1AWVM+5+zDuHC0/H9vgnykv2ezWAPZmZJtJWQCGh4Irvf+EXqVfjYBVmbrEm6uqOqHaXeCWuZt33&#10;pA8gDzu7DfKd72jRjtWrvPyuzrFOnYW93rK+sw+YNABuKoFuiGzaA6VFe72yP6ctc+dg6P+2NG0x&#10;/avXGXkrV3mlrsZffpPbHsfCG3TD+EtvMukJRHtztmPwf5/v3D/3PofW6Yw1vw3xSl0xetkFqu55&#10;aKM7XVlpcrJJ193lK2N0b0F6qlcCpE2cgjCJzHX6v+StD70SNydxxHnufh4b2bSbRteqVKpqJxmf&#10;iDEalaCTvj39fQGggWOCqmTSVtuYq5Zv/HGiMb79J31gIAnHJmICbO3xCk2lUtUsKaxVqWqwgj38&#10;6RgQ1iYnJxsHQhyJqmZ2+gMx7qMtX77clG3dutXAWjpBAmvZN9v5UalUquoqfoct7/+Dl0PWizSt&#10;27ESuCxxBoWju1zth7n1OmPeE71MpKwoa3GMmSTLQL7G3TD0rFbYnpjolbowl+kOmCNWIOLYC68z&#10;cPBIWtirt4ke5TFhTju3LVzolcBMLBbqtFfA47Sb7/dF13JCsrEXX++WGfDZDoXOYF20edw4E1Vr&#10;+uS0a9kX33olx66y/cUIb9zZBzkJkBe99JZX6oowN/Rc/6RiIbXaIXtJrFfqauoNd/nP4fR5dI9r&#10;TTSsaHdqipsawrnHjG6Wc4XW6YD0adO9WkD+hvUGFps0C0751Jvu80qcZ3RZqXNfbvS346w2KNtX&#10;7JUC60Mi3VQJvIbTj7WDhumzTqVSVSvJ+ES+uzgBF1MISCqE6gBraTI+kW0GwnAcsn//fhM8wjIG&#10;mMh8GgJo2W8+CyW6VtZVKlXNksJalaoGy3aERNUJ1gb+ai0A14a1/AVbYa1KpToTtXtzCsIaMPrU&#10;BYQu9OyKvBWrsDc7C3u2ZGLRq2/785w65ZHn9cBe5ztRVO4MGkdak4qFEuY+9bIzMPS//r89IR5D&#10;/trcq+OmJdg6f4FXengVbd+OSJNf1j02qk1P57vXP+iMfuwFD+Z2N5A4f60/4nd7fAJCTMoAN9p3&#10;0Uu9/cc6A9fQeu09ONoDw5tfhJIC/2Rpx6K4Pp/40gcQake1vATFVh7asuIiRLW+xC137hFB6twn&#10;XqwEvDOjoxFaSyZeY0RsW2xf6oe5Jnr5rkcQXt/pq2mzey5Zjr/4hoDo2jt85bzfO9as9kqAjBkz&#10;vc/UPTb6yRe8Ei/SupNEWjv3rXEXlBQWeqUqlUpVfSR+OkEm4SZTBgistccCMjaoaibjE9nmOIRg&#10;lpOMcTzCtrMvTNtGgBtsXMZtjlsU1qpUNU8Ka1WqGqxgTgEdgh07dlTbyFoubVjLpP3MDUUHiU4e&#10;+3Y4WBvsnqhUKlVVEyNPTRqBhpzsyp1UyoV7jDTtjIgmBKBdEe5LQ+DayHZXYNfmzdi/e5eZGGvp&#10;R58hrI4LfBnJyVfnC7f4I1gJJIe3vtCXy5bRmrMfeKoSqDySFr/+HjghFq8fWruTO2mXp10b3YnP&#10;3PN3w/jLbvZKnD46A/Qp199twCPLGZVamObPXZs6aYqzz4WWbFfi58ceXVuwJR1D/ualP3CuwbQN&#10;64ZWzvUa3/dLX+oCQuPI83tgb/Y2r5SRufswuss1CPc+A6ZImOXcI1tbZs91c/Q65byWueeE2B7I&#10;JpROnTTVqw0UZqRj2NlufV5zyg3+6FqC3/E9b/IBWeYr3rcz3ysFNg0faQAvjyVYXtH/B32uqVSq&#10;aif53qLfzuALphGgn1/dYK0Y89QynQPTIHA+DU58zL6kpqaisLDQB2Tt72vuY/9l7KJSqWqOFNaq&#10;VDVYwcBkdYa1sn2ssNa+D8HuiUqlUlU1bVu4yAcqBQC68I/b7sRcwSI4CfjCG3XFiLaXIKrFxQbq&#10;GUjr1R17wY0ozsszr9aXFRdj2Rff+HPH0pxr7HYGlseikj2FzrFu9CxtRKuLK6UHiH76ZQ/mMndt&#10;W+Q53+Oi7XHxJm+r9GHek/4UDuWlpRjZrqev7cPPuwBFuf6o4aPRxKtv84Ap70s3TLjsZqdtpV4p&#10;sMt5FoYxVYMHVQnCVw78xSt1tfyb760UEU4f/tEGRTnbvVJG5u7FmG7XOn10PwNC3el3PowdTj/D&#10;avtzCY+98PpKOXCn3nyP+Qz5WfK62xMSvBJg68IFLpD1+j77/ie9Ehcej73gOt95h9Vq53ye+7xS&#10;lUqlqh6yfXNGo0qe1+oAa+3xiW0cXxE807jOfZIewZ5kTPqusFalqrlSWKtS1WDRERBnQESngL/2&#10;Vpc0CFwXB0jWCWtZxgnG6AwprFWpVGeSCN5GdbzcB+MIEhm1OfTvrYwJvHTNBYgu1HPWGRkq+wkC&#10;vboEiFxnhCpTJYzufjVGdrrKArXuMRMuu81AUufb0m3MUWrJ2x86x/cw52G058bIEV6JNxFZA+Zo&#10;ddsU1eYir8SNIp1xxyO+NnCitL3Od7uR812dMWuW03c3lyzbHtfnC7fsKJQ2dSrCJcLVOX6Ycw9z&#10;lyd5pc7pnWtPu+0B57wEse49HNXpysp5aNNSnft1gde+bgh12rLyx5+8UlerBv7qRS+7fRh6VguU&#10;7Ckwz5q4j75wUyOwb06dtGkzvKOAorztGGImPXPPPe2WB70Sdr0C4y+92UTdsiy8XkfsyfJH+yaP&#10;GutL7RBWvwviPv7cK1GpVKrqIdsnl7y19PWrMqwNNjaRbeanZTTtzp07TSRtenq6rw8cs5SUlJj+&#10;KqxVqVSUwlqVSlVJdAroRGzevNk4F3SIbGejKhudHXGG+KoR80LJBGMEtQprVSpVdRe/n1YP/NX3&#10;mruBfLXbmwjYzDkLsO6PcBO5KnDRXfZA6LkdMeysVhh2Tht3nzH3eLeOC/1kXzijQA3YrbyfEbAE&#10;xZOuvxMLXn4Dq3/7A5nz5qEgMx3lFf6o0ECVl+x32uyPImXuWht6znnkeR94DKvXBTlJy7wSIGdZ&#10;okmBIO2YdsdDvu/pMmdw60aRuu0Lb9QFe50B/ZFUxly97S/1w876XTHvqZecEv/3f/r0Ge51vfs4&#10;7Kx2yF253CulDmDuI88irD5BrNevgKjhwsxMhDfp6kFxTkzWASt//sMrBYpycp3Pz7uGY6O7XVsp&#10;unb63Y9413fuS/0uyI5d6pUAuYnOfTGTyzl9MOkpnvFKnGe504axPa7zwfjB/31epZy4KpVKVZXF&#10;73iOSWgUl4w+lUnGqvLYxAbIAmO5Lm/+Mf/u3r17DaAlvOW4heB2n/cGhPSZ4rpMPqZSqWqWFNaq&#10;VCojGfjSKajusJZtpvPDiFr+ck2nSCNrVSrVmaDS4j0IqetGktI40dTKgb96qQHc76+lH33sK6cN&#10;O7sNFr70JtaHRGHpu58hsokL8AQgEgYyCpPQ1+S7lf0egHTNfz4aUwYwN2t4vc4Iq9PROa4Thje7&#10;AKO7XolJ//wXop95Cct/+AkZs2Zi56aNKNlbgDHdrvGdK7RuJ2yIiHI75agoe5uJmpXykR2v9Erc&#10;7+Vptz7ggVXC6Q7Yv8c/mVjm/AUIcY5lOdMRxL77sVdyaCV8+rVpO8/H+zCsVhuTx1dUuq8IIztc&#10;4WsPgfeMux+p9HzIjJ5vIprdlBPdEHJ2a+Stqgxz5zzxoon4de9bdwxvfRHK9+33yt2+JXz2tYk2&#10;ZnlY/a7ImDnbK+V9ycbQv7Vyj3f6N+02f3Qtzz+m+9XmOHOsc093p6Z4ZUDy6LEG8LrAvbvz2X/k&#10;lahUKlXVFr8b6a8LuOQ2U5tJ3loZm9jrVcUOB2vZVkJawlqOTwifExMTzRuNTPUgfRUprFWpaq4U&#10;1qpUKiNxDOgUiDNEx0Jgre14VFWzYS2dH0bUMon/kWCtLe4Ltl+lUqmqgmbe/agBki6864pxF92A&#10;0n3FXqnzHVZeZnKsEqYaCFunExI+/cr3vcZl7HsfgZN6uQCxG0Jqt8eMOx9G/AdfYebtj3uv/buA&#10;T5YEoYSSkU0v8GCuBXtZz8vHanLiGmjaFeF1OxuAOfh/mmHo35ub9rr13Xoj215WObr20ed85wtr&#10;0BVZsYu9EmB7/DIDk91rdcOU6+/ySphrvQyje1zrO5Y5Y5l391AqSEsx/efkbDyG8HfdH4O8UlfL&#10;+/9gpYDohkH/1QSlRXu9UqaiKMIY55ruOdy+T7/rUR9YoHISEgxElvJhf2uJrJiYg54xbGtoPUbI&#10;sl53DG9xISpMqgn3mTznkWe9++sCWTu6tiA1xZdiwZ387WmvxP2sR3bwp8sY6lzf/ltRqVSqqip+&#10;fwXCWvr0zFsr/j59fy5lvaqYPWbiumwzgpZjFEbRMpiE4y2OTZYtW2bGKXwbMPD5YN+HwDKVSnVm&#10;S2GtSqUyEgegOsNaGtsrOaEkspbQlk4Qja9QHQ7WqlQqVVVV1pLFXg7T7ghvTDjXDTFvvW9emyf0&#10;5HLWA08bcGcmpWrY1aQbKNm7xzsDsL9gt8kP6wI8F/DFfmBHoh7Aotfe9oCwBwhrdcD4S2/EzHue&#10;xpiu/zSQNuQfbTDkv5th8H+f76y3NYA3snEPRDbtYaJQ/dG5Tls8uOtu+5eMJl0fGuFdF9iXn+el&#10;aXCPG3fh9ZW+p010rRelOsy5ZnFutlcCZMyc408N4dSJefvDoN/xJgfu3Y85/eM9cPrv2Kj2V3il&#10;rgozMpz9frAcWqsj1vzuT13A8679bYg38Znbt5Ba7VC8I9er4U7yNaYHI4m9vtbviln3P2Xy4AZT&#10;0lffeXCYQLaz059ZvvYzrQPPb87VsBsmX3O76YdodJcrzP1mBG1onQ7Id55/oi0zZiC0rh/ML379&#10;ba9EpVKpqq74/ccxiUBK2v79+41vb6dCqIqw1m6TPX5im2mMouVbjITPqampJrKW4xaZZCyY5H6o&#10;VKqaI4W1KpXKSAaF1Q3WBrbLhrWSs1YcO4W1KpWquqqitARRLS70RbX6rH4XjGh9GSZfcwcimhGA&#10;CmR1c5wufv0dky+WcI8Tk0U//bIBnjKZV0TT7ubcor3ZWYhq5lzHOwcjZGPefN+U8RvTDBidweT+&#10;XQXYsXodUsZPRVK/gZj3+GsYf/GtGH7ehQYYDjurNYb8taWZ8Czk3PamLZzErFLbnfOPaHMJSqyI&#10;1QUvvG4gNAEvgXH61OleCZC3aqUHkV0AOvkGf3Qt2zThslt85x769xbYv9Of1kCUPn2mifZlHQJt&#10;5qTdsd4PN3mfGMnqQmGeq4fJbct7KCrKyXH6I5Gwzn2u2wUrvvvRK3Xv0dqhoabfJsqY1qAzCrek&#10;ezUO1r6d+Rje/CK3Xex7064+IMvzLXjhDafMA9XntEPW4iWmjOJn5ruW0+6Zdz/mHOMf1I9se6mB&#10;0jwvo6737dzhlahUKlXVlHnWWLCWIsjkG3L056sqrGVbBMra+2xj+9kP5qhlpLA91wb3sb9iIrkf&#10;KpWq5khhrapKyH4oiQUqWFmwfVSwfaIjHRNotgK3qUPVPRrxGHFEbIfkz5zreCXXZBsIa/lLLx2M&#10;MwnW0pgSwYa1p+t+q1Qq1bFo5Y+/IKx2JwPkBFa6S0I4d5swzo1itet0xeSr78DcR57HuJ43erlR&#10;3TJG58a+96EBncx5W+4MEhc897rJQese65zv/O5eC44g53u0vLQMpXv2oignD/lrNiBt4gysHPA7&#10;Fr30Hqbd9CBGtb/StJ9gUdoYVr8z1v4xzDsJc8XuNXlgWcbIYKZ5sFMlTL/9ERNdyraFnNsOO9as&#10;9kqAzNlzDYw0bXfqLHjxda/EVUlhIUZ1vtItN3W6Yu7jz1d6BmydP9+bCM29BlMqZMX4wSjv0/zn&#10;XoWdKmJEu8sqRy/v3uXc5w5uhLFTzvy8y77q75UeWsv7/eDBdjen7+Zx47wSoNAZ0PsjorubSOdy&#10;L1UC2z/5uju9Mt7ftshd7s+dm7VkCUJrOe1xyglz5z//mleiUqlUVVP8XrPHRhTXd+/e7ZtXwwag&#10;9ljgdBrbciRYK2CWOWq55DbHM0yPwGhb9leMCtxWqVQ1QwprVVVCfPjYD+RAkzqH2yfiuv1gt8so&#10;qR9sf7A22ArcpuS4YGUiOZeY7JPrBZrUOR0iyCTgpMNAx4FOhe2EVBUTh0dgrbSTy0OlQZB98opR&#10;4GeiUqlUVVFFebkINZGcLhw05oO2geaWC8DlPkbHmknATLSoVZcRnI26Ys5Dz2LJWx9h6g33ILS2&#10;5GnlRF6dkBk912vF8YuRvcXbc7BuSKjTJveVf15rePMLUFJY4NUCYt76ABENvDbU7YDNoyd4Jcw3&#10;m2ogK49jtOjEq/5lIn6pAxXlmHTNHW4UqWOD/9oc+3budMuc7/mV3/+MkHMqg+J9u9xyqnTvXozm&#10;JGjO+U0Uar1OmPvoc5VSDuSvWumlP3DbxxQQ6TNmeaWu5j/3ikllYPrnfE6jO19l0k8cSSVOnRFt&#10;LjXnNtdv0MnZ6/XOaf/iN97zYD0hcttKEHl3WjqGne2H3DNuf9SbdM7VyA49fVHZzNe7J2ubV6JS&#10;qVRVT/zODhwXcVlcXGyiUenT2+MBGR+cbpOxU7BgFynjOIVBMQTP+fn5Bj5zP8cqTI9gj0vkPtj7&#10;VCpVzZDCWlWVEB9AYrLNBxPBIU0eUoHlsi2SOrYF1rPLbNn7bTuSDleX+3j9wL5Im+zywP1ip1oC&#10;azMyMqo1rJVfrRXWqlSqaq0DFYh+4iUwNYCBfx5oFFhobx8cVRu4HWw/X+PviNBzOxjIJ/sIdpkj&#10;1n6d/kRqzW9DvByzbo7WtUP80bUVZaWmTIDzmB7/rJSGYPrtD5r9BmjW7oDs+DivBNi2KMZEpRLW&#10;Ek7OuOsRs3/P1kxnf3sfsOSkYmt+H2LKKD4HVv70q29CMELRyPO6mYhWEeHn6K5XmXJz3xp0cc7/&#10;qGmvaOf6dRj6P839dep1ROqkyV7pkZXY7zuT2sJ8Bs592RgR5ZU4fTDRtV5Er9OPMU5byuV5VlGO&#10;Gfc85pR50bxOP+zo2twVyw3gNe1y+jb/+cpRxyqVSlWVxO9ke2wkYt5a+vecmEvGAjIGqAom4xIb&#10;1kr7ZH258928adMmA2plzMX6HLswXRv7TMkYxTaVSlVzpLBWVaVkP5S5JFSjyT7ZL9DzVEiuabfB&#10;NluyL1h7g8Fa+xgxUeD2qVJ1hLWyLvsF1mZlZZm+MPUBnbpgsFalUqmqsrIWL7bytLrwUkBg5WXg&#10;fv+6DXH9Ebd23cB93TDs3DYo3OoHlSdajKSNanWx77rDz+9u0hS4OoD4Pp970cPdEVK7PVInTPTK&#10;gKLcHIT8w41uJVSdeMW/vBJ+r1dg4pW3mTIeS0C5J3sbZj/4jBtZ7KUmGNPtGpQVF3lHAcWMXq7j&#10;nzCMUbUrvv/JK3W1dsgQE43LcgOK63fETufZIiLMHdHhMpMLl3XYtmm3Pug88/2RuUdS2b4iX+5a&#10;c44GnX1pIPjMWvz6e07bXKjO1AbZS/2gepfTlmFnywRt3TH99ocrRdeOueBa77yMSu6KgvQ0r0Sl&#10;UqmqnoKNhUpLSw3QJOy0/f+qYgJrpV2HgrVMzcZgkr1792Lbtm0+WMt9HKdI36X/Mn5UqVQ1Rwpr&#10;VVVGfADx4URYSPHhxH0COO1tmjzAuM4Hd0lJifm1lcbk7DTZFmMd1pXr2OcOJrmmmNQXkzaIpL59&#10;3kOZXd82KTtdYhsYjcpXjKoDrA1cp4nDQ+eHsJZOHWGtRNsKrFWpVKqqrPL9+zDukpt88E1Am3/b&#10;Xa8cUesCzIPrSmoEWg8PhPrL/PUZldkBiV8NOOnPo/Uh4SZ6lNcNq9sJq38bzAejKSPMZfSr27eD&#10;o2un3X4/IppITtiOyF4a65UA2xPiTV5cgaYj2l9uzuX2sbsBmtvmL/Jqu5rz0DMGivN6tLHd/1kp&#10;D21pUSFC6vrPwfPFf/JlpXu0PizM2e9GC/Pa4Y26YHfqZq/06LXyu5+8z9CNcF792yCvhBHCW70U&#10;Em758JYXeiXOrXOe33MeftY5ljCXEcudkLfKn9M3f81qDDvHhbk876KX3nL2nl6fQ6VSqY5FHGNx&#10;nMKJkCV6Vfz/qmIyLuE4imZH2bKcQSVc5ziF41WOU6R8q/Mdz1y2MiYU4zb7rlKpao4U1qqqhPgA&#10;IkCjcV22+VAKfEjJPorrzF3E/D584PFX1qSkJCxZsgQxMTGIi4szD0T+gknjg5Cvw6elpZmHIR+O&#10;hHkEuXLOYLLbIOuHM7ueHC/9OppzyDGybsuuF6z8eMX22bC2qjtC9rpsC6zlZ2zDWvaH0bbBYO3J&#10;vKcqlUr1Z7T610EmRYGAOb+5wNC/Hlhu77eXgXWD1GncHVGtLzL5U0+2SouLMLIdc7S61w+p197s&#10;o/hdnMSUAB54JARNneBPJ7B/5w4M/m9/uoHJ/7zLK3GP5QRcbplj3jnYt/B6nTHn0WdN2gBR7soV&#10;GPLXFr76zO+7ZdZsr9TV3Mee9wNU53wj211eKc9uadFeN+rWRO5697dBVyR8+jW2L4tDYWYGSvcW&#10;OG07cmQU0yrwXALhw5t0RbmXaoF9i3njA4SbCF+nrH5XZC32g+edGzaaCdrk2EnX3O7rK5/vE664&#10;1dc+Ru3uSk42ZSqVSlWVJf45lwScnFujKo5R7DEJxx32WIrrrMOxKfexDxzHcmJnRtqyjGNU5rK1&#10;x8A0GUOqVKqaI4W1qiohPnxsOBu4HfiQYnQs8/zIq/oJCQlYtGgRZs2ahXHjxmH48OGIiIjAiBEj&#10;zPbYsWONTZw4EdOmTUN0dLSpHx8fbyAuX4/nL7R8aGZmZppX5Xfs2GEelnQI2I7jEdvPc0gfaNx3&#10;OEm/AyX7D1V+vOI5ORMp74PtYNiOSFU0cYy4LrCWwJmfIT9LhbUqlao6qch5DoU39aDfQeZCRZpE&#10;nvrXJdLWXffX99aljq9Myl0bdlZrpE+b7rTg1HwXboiIQlg9P3hcMeBHr4RAdidC6/gnBItq19NM&#10;Uiaa+8hzTl9dOMoI3a0L/dAyb80qhNViJKzXPy/amJN2FTq+g18HENGkC8J5XxwjkJ1+5yOVngV5&#10;K5nvVdILdDNRtSnj/ZOeUQuef8WkFvDfS7dueL0uGHZOOww9q4VzjlaIanMRpt5yL5a8+wHWR0Y4&#10;507EvvztKCve6+a+9a67+o/fnba45yG4Xd5/oNlPFe/INblwfe2p294rcZ9l85582dxLtoO5a/M3&#10;rPNKgZ2bNnl5eQlru2L+s6/qc0+lUlV52d9THAcyIEP8f3s8cLrNHo9w3GGPpbjO/YS1tOTkZBMg&#10;w8ASjkNZxqAipkJgHyn22zaVSlVzpLBWVSUkDyAbyFIEnARr8nBiGaNgCeEYNTtz5kyMGTMGkZGR&#10;BtCOGjXKbNNGjx5ttrkktKVxW/aJsS5B7oQJE4xNnTrVwFxG5koCeEbtEvjxgcrcQgS4TKlgG9t5&#10;NBD2UJJ7YNvhFKw+7c/IPpbL6gJrxSGyjW2WJeE7YS0jr+n88Bh+luIA2ZJ7IPdBpVKpTpf4LFn0&#10;8tvmNXYBcn6rDAODW2CdQ63LtmONmae1C6befD8qjvMHymMRI01HdrjC144//l8T5/r+H9RWfPeT&#10;mTCMqRvC6nRC2oRJXgmwz3kuD/lrM6ftbj8mXX17pe/wEe0ucfb7+8oo5aRvf/BKXa3+Y5AHNr06&#10;9TpVytXLezGm+3VOmXvfCDgZrWorf90ahDvHue1w2+KmaPDWnXtrALqXLzeiYXeE1+2C0NqdTMqJ&#10;kLNbY+hZzRBWvx3GX34jFr7yBqbedK+5lntdWjeTUkH6F/fRZ059N5dxWINuSJnsvy+Mlg03MNc9&#10;blSnK/y+lXP8FOfc0rZh/2jt1D/2VA0qlUp1qsTvPXuMxXXORyG+fVUyGY/Y+ziWotl1CGsZTct+&#10;cHzJ8QmDh1iP41yOd6WvEsCkUqlqlhTWqqqE+CDiQ4jGB7E8jLlNsCYPaD7M+GAjTCVYHTlypAG1&#10;YWFhCA8PN8BWoGwgtGVdAbWyHRUVZY6hcd0+lhG5kydPNpG4hMJz5szBggULsHjxYhPJywctH6qE&#10;uampqeYhSyhIkCvtPZSxPFCyXyzwmMPpaOsdSvaxXBJIE9YyOjXw1+CqYtIe2yHiOtss2/IqEV8v&#10;kllj+Us84Xqg2G+57yqVSnU6lbdiFUJMJCdznwoAdK1y1Ky9LmZv2/VkKXZwOXOh5jvfoadaG6NG&#10;urDTaQdzvcZ/8oVXAuzbtRORTV1oafrOlADeIJbf1wtf6Y0wAzW7IbROJ2TOnWfKqNHdrvLun9e/&#10;ep3NJFyi/c7zIayORN86xzvlyz790iulDmDt0BCEnCsTj/EedUFBeopX7sLcSdfd5U+14FjI2W0w&#10;5G/NMfTs1iY/Lo9naoXwBoSrTh3vMwxvaAFdY866cx5G45ooXVPP336mVYh+uhfW/DYIcx5+ztQz&#10;ZYwabtINJYX+1BULXn7Lu143ExW8Y42Vu3bdegOK5dg5jzxTaSIylUqlOp3id7uYbMv4iOKSY67N&#10;mzf7gjTE9z/dxrbYFrhP6hHWsu0cb8lbgJLOj/3ieFL6yrGwHbykUqlqhhTWqqqE+CAimJWlAFop&#10;E3iYmJiIGTNmGKBKuCpglQCW8NWOoLVBLZdisl/KxILts4EuoTCN2zzHpEmTDMhl6gWCXEmrwAcx&#10;wSABLn8Z5YRWzJnKBzEjViUyV8D0kcT+08RpCXbM4cqORvaxXNqwVvIqiXNRVSwQ1nLJdtpQmZ8B&#10;QS3vPR0glrNf8mu1LfZb7rNKpVKdLpU5308Tr/kXwhtYkK6S+ffJhGHhvjK/BUuFELgv3FpnROnS&#10;Dz71WnFqRVA4yoquHfw/zVBaXOyVAit//NUXZUxYmjJ+vFcC7N2e48FUt4/jL7kRFY4PwTy0Iee2&#10;9e1n1Gu4c46smCXugc53/dxHn/eXO8uo1hejbJ//ukU5OYhoIveou4l0jen9nlfqatOIUQit409J&#10;wHyxy78baIBo9pJ4bIwchfgPv8Tch17AxCvvRFTLngbchtZqZ6JqeSz7xihZ5sLlZ0QzKRB8sFba&#10;6Ox36oXWbu9NzObuYzn/XqKaX4Tl/X9E2uQpWPjim6Yuy5kqYniLi1Bm3dNZ9zzuO37I31qgYHOq&#10;V6JSqVSnVzIusU3GQ1LOMRXHWRyrBILQ023SHrtdwba5ZPoDgmemQuC4hbCWEcPsn/SZoFZhrUpV&#10;86SwVlVlJA8gPowI0whsaXx48aE1e/ZsH1ClEaRySXBqA1ga0xpwnwBXLg8FaVkeaPa57HME1rPP&#10;Ieu8DqNyGfkr+XFjY2N9uXEF5NqpFTjrJxPMS3oFed1FHJSjeTgfbb1gso/lku0h1CT4ZLurK6yl&#10;A0RYy78hhbUqlaqqi98/hH/Dzm7tg3CVYZ29lPVg9ey6nvlArUDbyseMbH/5KZlU7FBKHjnay13r&#10;tjX2vY+9EkbX7sLw5hf52ssJtyqc5yTFexb79kcmapZlBJ/xH3+NMT2ucc9l9ZGwdfZ9TzrHVGB7&#10;QpyX99W5H44N+0dbpE+fYc5Jsc6CF9+w2sR0A51QXuZ/M6M4Lwcj215mIl5Zh3Vj3nzXKw0uAtM9&#10;WzKRE5+IlPFTkPjF94h+8lVMvf4+jO58jYmGZVsIfZkbl9sC5d3+iMk+z0wdTo7WAcP+3tqAYP9x&#10;jjXshjHdr8WmUaORtTgGMW+8Z+6HOVeTHph5/+M+EKJSqVRVQfx+FxNwKfvpy3OOEb5xSf9exgOn&#10;2+zxiRj3yTglcEzFcSHnYeHYi3OxcNxFAM0xogBau+8qlarmSGGtqsqIDyNZ8uHEXxSZc3Tp0qUm&#10;jyxBKKNaCUYDoatsBwLZYPvF7HLZFujK+jTZZ++X+twnkbxibB9NonAlypfwmJG47IcY4fP8+fNN&#10;WgX2cdmyZeZBTqjIV/X5kOY9EHArkce8P7adCNnn4lJgLZ0IgbW20yFmOxun2o4G1vI1IoG1dIZY&#10;rrBWpVJVVZXsKURovfYmErISiGvkAkXZFtgqE1C51sOt0/gQUbVmm+X+MtnHqM5NI0Z7rTg9Ki8r&#10;xYg2l/rayAm/Sp1noGhF/4Fe7lqn3/W6YGPUKK8E2LNtG8Lru7CWx4fUaudFlbrb0l9aaN2OWDsk&#10;HON63owIiV5u2A2Tr7vTOZP/+z83KQlhdQk83WOHnR0Ac53nRey7fRFS24WiJt3Ced0rReYeq8pL&#10;9qMoKwt5y1cibeJ0rPz+d0y75QGTSiGwHyH/cCNzmf/W3WeVs81eu/1l7pIQeNhZrZxj3UnG5G+N&#10;gHiP43uoVCpVVVMwH53jIo6VGNAj4xTx/0+ncRwSOEaRFG0ysZjU45KwmW9gythL0iNwQmQG8bDP&#10;YiqVqmZJYa3qlMl+2BzqgcP9jKYlYOPDi+kFCDuZhoCglNBTIKkAVjEbutr7JMpWAKsNX7lPwKwc&#10;y6UYtwPr22Vicg4x+7hgIDciIsKXX5d1eD7Jkcv8uAsXLjTRuHwVhveBAJdRooTXfJBLagXeJz7c&#10;6bAcrex7b38esp/n4jk5Eylhp7xeREdInAyxIzlHLBOztwPXg23b+w5VTxwibtttkXXOsspXi5gG&#10;gc4c28z7Zzs/Iq4rrFWp3H8LRXuP7XtFdWK06PV3/HlIDwJttnFfYB3Z5tKbyMpXLvuDb0+6+l/8&#10;4L1WnD6lTppsUgQY0NiwKxa/5k85sL9gF6JaWROGNe3mlVAHsPTdT0wUqq9vzjnc9BDsp913F1jK&#10;5FysF0JQmemfVKy8tAST/3kXwpkL1pyrByZcflOle5S/Zq1JRyDnJDhNNZOfncD76FyPaTGSvv4O&#10;oSanLwE929wNyz77Fkt69zHRsqFWGgjpK9vjm6DOB24ZVc1l5bpiU295wLuwSqVSVR2Jzy4m+xiM&#10;wbGKPTaQddmWfacD6Mr1BMyyDbTAco7rOPbikuMu1ue8G+yfRNSyv7KuUqlqhhTWqk6KAh+olDxk&#10;ggExbguk5cOJE3hNmTLFBzkJNAW6CgC14Sn3B4OoUsZjuS7g1D5eAKscT7PPEWjB6tjHBiu3TSCu&#10;mOyT8sDzSEoF3g+C3Llz55r8uJJagRCSAFLgLR/sklrBTqtAOxoYSUDDyFNG9fKcjPJl2gaCT0an&#10;8npM50BnQkycEHGGxAKhruyXuuKk2Mdy3T5fsHpirMfry7WkXK5JyC15oNh2hbUq1ZHFfwODQ4bj&#10;g0/64cdfhmDs+MlBJ+VTnVjt2ZaJoX9v5QHCAKBmYFswc6NjK0fY+iNrDay0QN3B5+4B5k7duck/&#10;6dbpFFMPRLUmkPX6dl53FOfleqXAyu9/NhG0ps/1u2D1r394Jbx/WxHZRPolZvf3YON9ItBc+kFf&#10;7yyukkeNdqGxd57Bf22O3SmbvVKYFAxTb7nPg8PudSZccZuBvCdDjNYd2ekKL4rWsYZdUZybY/6t&#10;ljjP6vlPveyPnKY17oZFvd7B7Pufw/BmFzh9dKOO/bmN3fvnpkHw34/Q2h1RlJPtXVWlUqmqlmQc&#10;KWIKOclbG2ycIPtknCBjB9l/uo3tonGsxXEbI4UlUIZjGKZHkP5yqT+iq1Q1SwprVSdFHEDwgWI/&#10;UG0YRhOxHie0Yg5XpgJgigDCS0afcklYSZjKSFSCW4GYAjcFcAYCV7uOlNuANFg92W+v2yZgN9AC&#10;6x2L2ddm2wQm25G47LvdbsJn2vjx433RuIxCZlqFJUuWGNjNhz+jchmRSyeAkbKElnRsJAdS4GdB&#10;cVscAgJ0glsew8+IEJhAmM4Ef/0l+GR+JToWhLh0gOgIifMhzpK9HmiBdQXA0omx68l+KZNjuE0H&#10;jCYOGPdzScDM9rLtXOd+tpng6VD9DtyvUp0KzZw1H598OQCDhkZg4uQZzt9skVdyesTrv/zmB7jv&#10;8Rdx92PPY/LUWV6J6mRp7EXXG4hGs6Mf/SkNaPY+d92/lHUxZ5vnqVTXWuf+Bt2w8KXeXguqhrYu&#10;WGBytbKdhKGLXn7LK3H8Bed55EbXuvcgrH5HVJSVuoXOd/eU6+713TtfVGylftvm7hve/EKTfkBU&#10;nJfnAWO3XljtTljS+4NK/kzGzFkmbYCcZ9g/2iDfeRadTGXMmIXwui4cZm7c+L5feiXOfXGeaSHn&#10;tvH9rUQ1v8QA3gPOc3xf/g7nvtzt7Hfz00pk7sx7nsCEnreYSdjCTDoI18b1vNE7q0qlUlUt8XvY&#10;/i7mGIXjEY5BxPfnUozbMmagcb0qwloCZwbJcJzGtyjZRgk4kf5yfKJjFJWqZklhreqkSMCX/UCV&#10;fbIueWkJEQkV+eo/4SMhbVhYmIGUBKGEkoSU3Ca8tPeJEWDa8JQmIJSQU8oPV88+l1hgXalvl9vb&#10;J8PstokJ1LWBrhjLeX+YI3f69OkmEpf3NiYmxsBwgZp0bAgwCVuZF4kAllCTgPZwks+R9fgrMAEu&#10;nQlG4TLRP89FI3znuRkpTZjLz5hG54RtEAdFQKsY9wVzuNhmG8ZKPcLawDpijKYlrCVsZl8TExNN&#10;lLBECbIvNHtdtlWqUyX+Pb7w+nt48KmXcN8TvXD3Yy9gzPgpp/1vcdeu3Xjqpbfw0DOv4N7HX0B+&#10;/k6vRHWitXnceF8+1kqTQhmzgKMPvLpGOFcZ3AYzibQ9uM7Qs1ugbP+fz7F6suSDpQ0JbLtWyqW6&#10;+rc/EOGlOwir3xWJ/b4z+w9UlGFsj3+afvkjSO0+S2oIvxF6bpkzxxxP8d9cTO/3nfP6899GtrgA&#10;+5xnnIgThEWe7z8XI1QXvdT7pP97LXeeuWMuuM77++huUjAU5eaZMl57fUiomzeX/arTAWt+HWLK&#10;qNJ9RRjy12ZOmXtPRnW40uTcrXDOuWfLFpNKQfoTVrcjdqemeEeqVCrV6ZX93Ro4tuRYhOMXgk2O&#10;CwSCyrgg0FgmY4mqYDKW4diEKds4DmNQCfdxnGZH1qpUqponhbWqkyY+XAPNhrX2LJ6cZItgceLE&#10;iQYy8rV/glACSQJIiaqVPK+HApncZ0NV7hNYK2USlUqz69nHS/1gZteVbbv8RNvh2sMymg1v7Vy4&#10;0rbANvMYRiwztQIjcplWgSCX4JNwlbBV0ioQxhKqE8zyM6NjFBiZG8z4WROSCszlL98CcAlvaXSu&#10;6IzQmFpBHChxqghvmepBIK4Yt8XpYpttx0v203hOmWGV14qPjzfQlv2gAp0+lep0aOPGZBO9Sij6&#10;4NOvmOXDT798XK+7yd/2gQr33+OfFQHtQ05bHnba9OEn/fTfy0lQedl+DD/PhWiV4aKYXWaXB0aP&#10;BpbbJmV+G3ZWG6ROZI7VqqcdK1d4+VZdoEoYKiJkjGji9alxdzNhWEV5GVImTkaoSV3A/gXrs30v&#10;3PXQOh1Q7Az0RbuTNyHkHE7m5dYJq9Uem8eMs/4NHUB8n88QXt9LH+BcP7xRZxTl5HjlJ1cZM2c7&#10;bXbvi7n+ed2xZc5s7NuRg92bUzDkry29su4Y3vwClBQUeEcCMW996MF+p83OPU0ePdYrAQozM8w+&#10;U9awK8ZdcoNXolKpVKdXMq4IXKfoJzEalWMKgbWBYwl7XGCXVwWTcQ3HKITOTNPGMRjHOWxnbm6u&#10;zxcM7LtKpTrzpbBWdVLEhwkfLjSBBgYcWA8ZRpMRCMrr6XxYEcwRGhLeEiIS3gpc5FIgJLclulZA&#10;pZRJfTEBlAIsD2X2cYH7xezzBZ7/ZBrbwb7Zxn3SBmmHXU/az3Ub5HJp3yveR0Y0E5DzfhPgMhUF&#10;UyvMmzfPROQScvKzYaQqYS6hKwEsYax8xuJE2Cb7WYeAV9IqEJ7y12NJqUBnhODehrmE+Py7oMNi&#10;w1k6LwJoxQmz/35oso91+DfGdvJXa/5t2bA2UHbbVapTIf6t9f/+VwNDH3zqZbzyxgd48OmXcd8T&#10;LyJ/x9FHsvI8e/YWYe68RXj34y/wxItv4JFnX8MDzjmfeekt9PmsP8ZPmo6tW7NQ5jn+R6vt23MM&#10;PL753scwa+58/fdxQnUAi1/jpGIuKKtsBIZ+sMh1Ny+pu4/r/ohZf92Do2j9624ZgVx3jLu46gI5&#10;/o2N7nKlr91h9TqhMCPdKwU2hEUg3IpAHtXJqeuLdg2MJPbXq2wEvZ2Qt9pNX1Dh/LsYf/nNCK/v&#10;ljOid/L1d/nTLDjatysfobX8k4qFnNse64aFeqUnXwTVYy9g9LB7fS6Hnd0Ww/7eCiFntbIir/kZ&#10;uxPH5a9bh/384TU9BUP+t4Up4/0Z2/06lHlvmVBzHn4OYV4OXuauzV2R5JWoVCrV6ROfBxxPiLht&#10;+yH08Zk6QAI7ZKzApYwHAvdxWRWMbWGb2TaOgTg25piIYxnu5z6OWeQe2PdBpVKd+VJYqzopsh8q&#10;8lC1jfsJ7wjsCP1ofP2DRrhmQztGXRLc8cHFSbWYk5W5WQkTGYVL2Ej4GB4eboxpFARK2lCTYFJA&#10;5qGMdVnPhqByrJhAUNvs8hNtcv1g16XZZVJfjPcm2LHcJ/sF3grMZSQz7yGX3M9zCMSdMWMGZs+e&#10;jejoaAPUCXHpHBGeEuTSWZKUCvws6WDwc5a/g2CSvwWBuIzi5bGMiKXDwjQZjMpl3l1Jq8A8vPy7&#10;EEdHnB0b1rJMYC3Py2PYXraTjh0V2Cb7b1SlOhUqLNyD+x9/wcDa+5/shYRlKwyo5favg0K8WocX&#10;/14TV6w0EbB3PfqsOZZmInS95YOO8bxMsfDsK+9gyrTZzr+L4qB/6/v2+f/dinbt3O18/8YjYvjo&#10;SvtVx6edG9cjpI6bn1XgW+Wla/Lqu7vfNn8dbldKoeCsC9wVSOvuZ47V1ti5uWpMKnYo5Tp/02Em&#10;R2s3N9XAy+/4/16dZUjttn442dCeKEv66pZJ3yVFgL+OuxzT41oDatNnTseQ/21t9vG+ERDnrV7l&#10;Xs/T+Mtu9o5jVHNXTLziVpTt3+eVnhqlTZmGkFrtfFGy/Mwjm3DZw0v/4O8bofzQv7c0qQ3C6vhz&#10;7Jqyep0R/UQv7Nm6DaXOc3fn+nUmiln6N/GaO8x9VqlUqtMpfu/bfodsy/OAgJPjAwnuEGBrjxG4&#10;zrEKlyyXfafbZPxCYx/YF45/uJ99YS5bjmGkv75noEqlqhFSWKs6qZIHi/2A4ZIPnUALrCvGMkZm&#10;EuwKwCMU5EOXYI4AjuCQUaAEiYS406ZNM3BRUipIFK4ASTEBlTas5LoNNANNgKdtweqdDLPBcbB2&#10;2Cb17WPEZD/rsb82qKYFQmzZL/XlXnHJct5fTnTG+8/Pgrlh6WgQjBK40wEhdCXEZTQtX1mS1Ap0&#10;TPj58rM+nFiPfwMEuTwPAS6dGJ6bfw+EsYya5TX5OpEsJQ0C28G/FUJensf+u1OpTpei5y3CA0+9&#10;ZKJpe7//qfm38MSLb+Khp124ejSaOnMO7njoGR+Y5fnufeIFPPrsqwbMPtnrTdz3+Au457Hn8cCT&#10;vfCwc+77n+iFPl98G/Tvn8d88uV3+HVQGMZPnIa4uETn31aq893LvNZFJkL+aP7Nqg4v5iCddsv9&#10;ZhItP0Szl36wVtm6IdxZBstte/A+MfdYlofX7YRFrxJ8Vm3oToA6rufNBkoSuIbVaY/daWleKZA8&#10;ZpyBuP7++ftp99sfjRxYz10y3UL8J58jrJFzLnP/ups0B4utic2oLc7zLfRcRtU6xzrtCanVHtmx&#10;sV7pqRPzzI675EavD7ZJH8W8/bx/TS5ARJMevv5JOf/2wup2wMj2VyCq9cUmmliO599JVsyp759K&#10;pVLZkrGgSLbFB6FPwoAOwk8BtgJjuZT1qgpraWwT3wBkGgSOk+TtQgaoMJ0cfS6VSlXzpLBWddIk&#10;D1M+YI4GigWrw20xinVojMIkcCPwo/FBRgAoEI8PN+Yr5QM7Li7OTLLFV/sF3vK1f+ZspRE0CrgU&#10;OGlDXBtm2kDzUCD0RJrAUZpc+3DXlTaKBatD4/HSbzFuyz7W4fFyP6T/ss728B6J2feJx/O+Sv5h&#10;QlzmI2Y0LiOimR83ISHBfDYEp4StjMbl5yf5cMXkbyfQWMa6NEJcOjcCcgnz7Yhc/n0wkpbXoWNE&#10;Z4h/L3KuQ/3NqVQnW/z7fvGN9w1kve/JXpg4eYbZ3//H3w28ZaTtli3+iZWCKS19C267/wkDaWn3&#10;P/Ei+n45ACtWrnYc/gKUl5Wbfyfbs3Mxb2EM+nzZ35z3rkefw5LYBO8slXXPoy/gfgLfx18wuXQJ&#10;ee97/EU8/PRLePbld/DhJ19j4C9DMHzkOPNvzpb++zl6FaSnYti5bcwr56G1OjjLDgY+Vs5D6wdr&#10;QddNdKUL1wLrMKrSXWd6AC/K1jl35HndK02YVZWVs2wZQs5x0w6EN+qKBS+87vv7YkqAkNoCT+3+&#10;S78DzdvvA9pSjyC4YyWoO7zlxSjK3W6uQzF6NqrVxQg399upX78z5jr/1tiG06EtM2ebScQqp3uw&#10;LWDfQX8n/nJG5RLk+qOv+bfj1p107R1OHxUSqFSqUyvbl+CS/rpItqWcYwKZA4XQU2At364TGCrb&#10;HAdUJVgrxjYx4ETGtAwwYXu5j0EnCmtVqpophbWqkyZ50AoUOxrJg9eW7JPzHUl8oAnMlShMplWQ&#10;6Ev5tTIpKQlLly418JAwl0CRQJcwl+CRaQACgaQNLm0LhKEnynhuAaFcD4SqYoHHHKpNUibl9ra9&#10;zz4mmEkd+/q8L7xPduQyTdIpyLFsOyGupFUgxF2wYIFJcSEpDPjrNx0URs7SAWMqA8JcQlk6ZYf6&#10;O+B+Abj8G5D6NB7P8/AXa5aLo2efi+vy93qoa6hUJ0rZ2dsNECVkfcSx7Tm5Zv/yFatNdCwhbp/P&#10;vzX7gol/o29/9LnJJ+tG1L6MwSHDUVEe/PuW9fn9mJKajh9/GWz+HQTTPY+5bXIh8ou45/HnTTvv&#10;f9KNADY5dZ39/3rgSWzYkOwd5SohcQW++e4XRI0cZ6KGkzeneiWqQBH05a1chdTxk7H825+w8MW3&#10;MONfj2Bsj+sReV4PE/HJnKoG4NIY9SggNyBC0oVxgeYCN3s7rE4nbIyM8lpQ9cWJw6Zcd7cHnrsj&#10;5Jy2KEzP8EqBCVfeYAHLgHtSaemtO/ft0IDTNaYCWDekch7aZZ/1M58HywkyI5t2R9H2bK/01IsA&#10;deLltzntsftm90P2H6q/1nG+dXvbrccfEDLnL/CuqlKpVKdG4o9zKesiu4yiX8N0ehzjcQwRCGsJ&#10;Qmk2GOV+G5aebpMAFoJZjlcYYMKgI45ZGXjCsY1Kpap5UlirOmUiMCNAlehXRlMSovLVFa4TynHJ&#10;Mj6sCFr5CyOhGx/Eh4N0InmoBzOBcHzgsR2EdrwmgaBMaCXRuJxUiwCRkaCc6IypFQTkEk4SVgYD&#10;k4Fg92jA59GagFEbkMp+u569P7A+22Mb2ygw2AbRwc4h++zjpY7AYzmnfZ7A+vY2TepLG3guRuXy&#10;nvP+E+JKJC4/H0mrwL8VRtDy74lOGj9TwqdD/Z3I34D8PYgC1/m3RrP3q1QnQwN+/N1EsD70zEsm&#10;Glb+5vj39/gLb+DBZ142Ua2oCP63uHPnLtz5yHN4+Fk3qvbltz4yxx6N7IFPoO51rklQy7bNnBWN&#10;KdNmYfDQSHz5zQ948/1P8OSLr5t0Cnc89DQ2bNzsHeVq3qJY3PP4C7jviV6494kX8eBTvVBacuRB&#10;Bv/dqlw4Wbp3D/Y632/5q9dii3P/1/4+DEte/xAz73wc4y66GZFNL0LIOe2MESD60yg45osa9QM3&#10;G8BNvOp2lJ/iHKvHq+3xCRh2rpdvtWE3RD/xgvm3wom/TN5aEzns9tEfHeq/B3bEqG9/pUhcWXeW&#10;zvknXH5LpUnFdm1ONpG0EnnLSbhWfv+TV3r6lLU4xkQEs+1Mi2H3xQbY9rpsV74njvm23eNlnWB6&#10;4tX/MikpVCqV6lTJfMdbQNb2ybkuRrEex4uZmZkm2ENgraQ94LYNa6saqKXJGIfjUsJajnFkbg6O&#10;Uw/147pKpTqzpbBWdVJkP0AJR/kQlehWiZYUEMtyLvmqurz+wQhIAjkCVKY0IMAllGMZoyVZX44V&#10;uHY4+BAoecjzGEICnocPQhrPz3YQFstkZ/y1lg9RQsOFCxcagMu8uHzFPzClAk2gpEBI2wROCqxk&#10;3cOZgFCuyzG22XUPtd82u45dz94WQBt4XXtd+iDHBzM5h9wHOcY+Ntj9YRmP4z3l/ZX7ynWCXILz&#10;WbNmmahcRkYzFy1/QeffjPytEN7yb0Q+V/tvhdsCtWyHjwrcVqlOhpiegCkLTOqCp3o5f8eVc0N+&#10;3u8HM2EYUxYsWrzU21tZCcuW+yYjIxSNSzgxs7ff/fgLBgAzujctzZ2Bn/8m2Ob9+/Y7340F2Lo1&#10;C6tXrkGBs25rvtNW0yYPIDMK94efh3ilh9bQ0BHo+8UA/D44zPm+9c/6r/Lk3P8K51lV5jwni/N2&#10;YOfGTdg2fxE2hEUh7r1PMfOuxzGux/WIaNwDQ//WCkP+pzmGnd3aTJLFSacI3Yb+ow1yE6vfDP8E&#10;hdP/9ZAPJDJXbP66tYh56wOEVcpZK7DRsUqAUtbtOrJeeV9onQ7YHuf/98ZrT7v1QX9uXOe8o7te&#10;XQnmni7x3+TEK29FmJlc7VD9kv2BZgPeg80F0445fzehddojc85c76oqlUp18sXvt0BYKxZMHLvR&#10;/5egm0BYK/skFUJVM7aPbWMAk6R047wb3M9xMMczKpWq5klhreqYJQ9QeYjKOs0WISijV/k6Ox8+&#10;fNAc6iF7KAlYEyPQJeiVyaQIc7lOoMpoXImuPNbrHEo8D/vBtvPcjODkA5S/eEpaBfnlk06ApFbg&#10;ZGdMq0DYyEjbiIgIkw7Ajr4VKHko4CllNjDlMfZxtMD6sh1sfyBMpglQlfpcl3o0bgerK22x2yTH&#10;y7nE7DpSLufiPikLNO4nwOX94v2z76EcwzYS4hLgcoIz3nsCXH4Oy5YtM5Od0dnhhGP8zPi3yHy2&#10;BPIEuMeqwL//wH12mZQHk5QH1gncx/XAc9rbtqRcZNe1jwk87nCS+sdyjOrImjN3vkktQND6xItv&#10;HOSIr1q9zoBOAs/eH3zq7a2s4aPG44EnGZn7Mu54+LkT5swz7QGvS1ibmnps4NSFtb3M8Zwkjf0j&#10;dN627fCvjA/4eTAeeJp5cp/HjDlH+dq18zfJf8Nih0r/cEaL/zb5b9t57pUWFWEf30pJTkHWwhhs&#10;jByFZZ9+g9n3PY0pN9yDlLETqu2/45xliQit5c9Py2hiTgLmwkUXQB4ULVrJXEBpw0oxO/I05Nz2&#10;KMrx56rNmDbdpAKQusP+0Q55q1d5padfOxy/I7QWo2vtfrlL6ZcPvFaq45q/74F1LGO08aW3aHSt&#10;SqU6ZQr0PQO3A8WxGn17Ak+OxWwwy6hajgMkuraqAVu2VWAy59UgrOX4mbCWYxiOdzlRskqlqnlS&#10;WKs6JvEhSeAjEYr2tjxAOWjmQ4ZRjnzonMzXW3lNXpsRt4RwfKARngqUk/QKdloF/vpqt/doxLrB&#10;jH1nfyUqmDCX1+P12Q7mYOVr/ISHfKWfkaB8vZ9RuczZyrQKhI2EjgSQwVIqCLCUqFOBlAI8BYgK&#10;3LTLpPxQ+4KZXS+wPpdi3Jb2BF5XznUok3PY57b3i9nHBJpdR4Cu3De5VyznNQhzJT8uI6MZiUun&#10;Tf5WCPvp5DGSWv5WJDLXQCDnc7Yln78t+2+CZteRdXtb6kldkV2PsutKWbDjKCmX/XZd+xixYOcI&#10;lF1fdeL03KvveEDzZXzxzY+oCJiZn/fbTZHwiklLsHfvwY76b0PC8eBTLtBlZG2Z87d6IsTUC4Ss&#10;DzjnZH7bYxHTIDBi+MGnX8ITL77pts3p47sff+nVCK7vfhlkonEZSTw7epG3N7j475L5cN/+8As8&#10;9dKbTltfwyPOsb3e+AA//TYUCYmrnDr6yqDv367zvCNoq87/htn2abc9hHArilQmwQoOGu19ztLk&#10;qg22X7ZdC63fGSnOc5liuoiodj29uo41vgAz7n2kit3HAxjT/RrrXojZ/ZJtf5kNqO39/qU9QV13&#10;hNXtiK3zNHetSqWqmuL3Mt+qk8AZLglCCWa5Tp+/qsNato+AVsarHNMy6IT7uF2dn+EqlerPSWGt&#10;6phEuEPQGQh9KC4Z1UroxYcOIZfZ75WdbB044IJTu00U9/EhR4jKB58diSvwlu2WdAg0gblynqNt&#10;P+8LzyPGc/HcEpXLNhBgMyKYD+W4uDiTG5ev9DMylBNvEeASLorZQJMAMhDa2vvFbFBpHx9Ybp/X&#10;Njmv1LHrBZbx/BKBa9cVCzy3fQ6a3cZjMTnucNew68lxUl+uzftNeM7UFgS5zFdMR48gl38rhLn8&#10;m2YOKUJ5fp7ydxLsb+VQsuvw7yTQpEzq2fWDrdv7bHGffb5gkjryb1kk57RNdeK1ZctW3P7QU27U&#10;qWOEsgSkjz3/Gl5552N8/s0PiBw1Hr3eeM8Dsa9g2oyDX0P+ZUiYgb2sQ1hZESS3LXO4rVqzHrt2&#10;7TbfSfK3cbjPljln3esyDYJ/MqejESNrCWvvf6IX1qxdj7sec1Mq3Pf4i4hPSPRqHSwDa51rEhDP&#10;mR8c1rLNTJHwkFPnzkeed877qjlGjG3mJGv3Ote855HnMGhYpNdf7wSOmMJh9+5C331QVR/lOIPW&#10;0FqMcrXzsLpg0W8ueHTLK+/z1698nL+uu39ku8sM3F7x/c++ScWYXuL3/9sYZSVVL99vQUYaQs/t&#10;GKTPsrT7G7htm1t2MPildcfYC/5pJjZTqVSqqigGCjENAsdXNqwVIBq4r6oZ28fxIcenHG8w6EkA&#10;LseQ9NlVKlXNksJa1VFLBvgc5IrZ24RYjGTlg4VQwD0GiM0uxzPzilB+iElyTowOYMu8QfjPf/8P&#10;NG7SFO8MmIQjvRDLV0oIMghPCXEF5PLhyAhLRuvyYcm+SN8PZUcj1iPcIxzmtXl+Pnx5LUJcAmRe&#10;mxNo0ZEg8GYEKCNyBeYyrQJBIyNImVpB0isERpMSRAqYlf22BQOZ3CcmYFPK7Xp2mb0d7HixYOcJ&#10;rBvsuD9rcu5AY995P3j/7LQK3MfjeH8Jbxn1zEhcRkHTBOQytQJBLvNg8e+FnxdBLh1EicS14W0w&#10;k7+FYPtF3JZ/X7Ju/3vjNQS0Bh5LyXGBZutQ+1UnXz/8MsikCHCB6Msm3QDXH3b2MQqVOWyZ95WQ&#10;Vva/+tbHB31Ww8JH+FIlPPjEy6goO9iRX7AgBnc9/CzuevQ53PnIs7jvyRfxwhvv46vvfsbIcZOC&#10;pk645zEP1j79EpYsiTegl/XKSv2w91Ba4OWsJYCeNmMOho8Ya8710LOv4IXX3jXnOFgHMOBX5544&#10;9dzI2oXe/spKS03HbQ+4kJvGvjPq+BFn/cleb+KRZ1912v4c7n+6l4HYLH/tbd437wSOJk2Zgbsf&#10;fRaPPfMaPvz0a2+vqnroAKbe+gDCGzC61g8RA9cPD2qt/QGQVoywcvwlNzpLfxQvUw2s+vk3rx1V&#10;T2Mvus7qQ2B/Zb1yPyvvDzS7jmth9Tpj28LF3hVVKpWqaonjKoJNgk8BthxP2XC2KoJaAclsM9vH&#10;cQXHn3xDlOMNBo9wnMjxo/rsKlXNksJa1VFLwI6YDZD4AOFDhYBRVOHsH5NcigYhBYjaVGIibE+W&#10;GFUb+vqV+Ovf6+Jv59bFPzregu3FR8K1e/H1q0/gwy+GoswCyQSpBKcEuTT2i9tc0vjA5Ks28pqK&#10;DXSPpKOpw3MR/PH8zI8rAFeicflKDFMrEB4yP+vcuXMNUGSOXE54xihXwsfw8HCEhYWZJaGkDW0J&#10;LgknCU7tqFiBmgI9Ay0QuIoJCBWT/fY2r2Ob1BE73HWP1aQfgcYyuw/SD5axnbKUdUmtIOkVuI9t&#10;ZwQ0YS7vPz8Lfib8bPiLPj8rfmb8m+HfCj9DQnl+pvx3cjR/KzaQZd1Ak3978u9PFFjvUBZ4fjn2&#10;ULKPPVw91ZG1b99+3PfECx6sfRl9Pu+P738dgt4ffY4nevXGA4S1T/bCvU+86ItwNRDziV7Izcnz&#10;zuJq9pwFeMCpSxB696PPmR+DArVgwWJzHgLhBz1A7ELRF03O3F07d3s1/RJYS7v9waf+P/bOAyyL&#10;Y3375/+dkpx0C1jTE42KLe2UnJLTa056YmLsFXvvvXfpXVCx944de+8NFKyIiIDSO97f3LM7sLy8&#10;IBijYOa+rofdnZmdnS3v7uyPZ5/BFy07oU2n3ugzcCQmT/fA4qUrsWv3PvFSFGmuUaAduw/I9hOW&#10;zl+wRLbJiKvbU0LcNes2mSULa4b0rO0l98deGAReq/SYVaCW7WdohTNnwpBmhojgbys8IhJTZ3oZ&#10;x1Fsb+2GLTJPae36zcYxE/mdew82U0sWQyrs2XsQ4ecjcOPGTbG9dDNH62Er9uhRBNeit2thqKgA&#10;bUF8VgUaS5oqUyESCtIN71Iz/8X3sKTxH5Br5x8b5UVpt2LkwGtF9o37JY+NNb1g3jheBZ7Khb2M&#10;lak0Dq72Z+Rm6xAjWlpa5U98f+PXcASexcFaBUety4/aFKxVoRD4/sB94TsEQS2BLd8r+B6h++Ba&#10;Wj8uaVirdd+yAiM+UOh1qMRnyYzj6ag9JwnrLmcjLbtkb6zvq5yUi/jDi9Xxi7ofoc1f6uGnv3wZ&#10;Gy/eknl372bhyMrZWL9xq3gAXkNMzE354m8oDp9/8Ab+0m0OShPtkftAOEtPSoJceuLSOG/1xiWU&#10;oyeaCq+goFpZjgHLcj2uTyP0YH2slw9xfpbPbfKhzjYQ5jIQPcMqEN7SO5RQcfXq1XJKo+eoLdQk&#10;mCTIJYxUHrpMt2cKdlrrsNajTKUrQKzWtWesjwDUXr1lMQVfi6vHug9q3tbUsVDHwLpPtuWUWbdr&#10;9cqlNy7PBcMqEOays8X/+F+7dk3CW55DXifqelEg13rOOV8WqWusuOtMXVO8/m23YV1XmRLnWY5m&#10;Tdcqu3bu3idBI+HlV606ITbWvE/l3ZVQ8M6dJFyLuo6jx09hbcgWdOg+UJYlYFy4dKUsq3T12nUJ&#10;MJlPT9a4W/FmToHi4hJkPT4BczFywnR07TtUesxyHXqiJt6xB2u7SiAqAStBr9g2gSsHACP0JXSl&#10;l27H7gPMNQpkDDAm1hd1+/jPkWl79x0Sad1kna2c+8hQBLYyYK3YHmFtaFFYuyFkm9y+3FdRZvxU&#10;t2Jj9PI65YBmM9395O/LqnUbNuXD2k69Sgdrj588jc9adJSDnxG0Dx4xXv52tB6NVv/50wKYmh+H&#10;1j5cLLxcUHa+ZT4/v1BM2wKQObuqE6J32ff2Li/ifXnj5y3MfSjYDwVhC/ZHLRfe18Jmm6eW35WD&#10;rV3bWvgfIFpaWlrlQXw/4heeyrlFwVp7cNQ27VGaLawlmFVfX9IBhGn8mo/vfboPrqX145KGtVql&#10;Fh8Q1oeEWuZ/+vgwtL4Uk/98uiEVr85JxrtLUvD24mT8fXUqOoemweVEBjZfzUZO2ThU8bqbi6Or&#10;xuC5KtXg9NloHFo8Ac8+9Qz+OnwbRAsRvbIrnnmqMp54+jm8/Por+PmTz6Lan/sgWzQg4cZh+Lh7&#10;Yd78RYhOlZXJKkuju2K7l07swMGDhxF3J0l62/LTFYLrmJgYXL58WT5kCVOtnriErgp62VpZxPKE&#10;bqyPx54PdkJkAlxun1CQIR4ICAkKCQzpjUuQS5jIOK2EtyokgIK1VjCpwKYVTlrzCFlZh/KUVXkq&#10;3woyi6uLefcLa611F5dnLaPaZa8dKk+ZtYzKV6YgtMrjMVQhKRTo5Ta5X4w7TGBOiMtjzpAW9Mjd&#10;t28fDh8+LMMqsLPGjhjPGztn7JBZrxUaz7XtdWOr4tKtUmVUvWrZmmbNU1JltO5fPH59Bo0CPWq/&#10;69QL7br0lce5JBF08nN+gswufYYWGpGdwJDeo7K+Dj0RvGCpmVNU3DavobhbcdJTlvUxzq19WGuG&#10;QWjfHQGB8zHT3Vd6sXbpMwStnHuLfGd83qozuvcbZq5RIHrWSjAr9s/Ne5ZMY+iDXgNHydi1hL5+&#10;QcEy3aqZXgGiTYZn7dbQomCMYJVt4n4ytu/t23fMnOJl79iu22B41vKYdiqFZy3rGD5migmKxXkQ&#10;+/WlOH4xN2PNEmWThrzfX9dDdyC4VlMLTCSINIFkIS9STm3nlRetSCvkRWo7NYyf/m8X10teBThv&#10;KdHXEVSpnmW/CvbFOD7C8o9PgRX2prXmG/O2kHdRvd8Vug9paWlplQexz8z3Lb73KPBphaHKVHp5&#10;M9Uuvj/yfY7vdZznYNX0sOV7pO6Ha2n9uKRhrVappWCNeulXU35yQshkq1vpeRLULr+UhUtJedhx&#10;PQeB57Iw/EA6mm1KQ/jtB9PZz81KxYi/18TzVavD8ZX6+PhvH+L5yg6o7vQR0nKy0cPpFTxVyQGf&#10;jVoAl75fiflqeP53PZFyYT3eqlUZL9T5M/76uzfx8u/bIj43Ee3ffxcf/Plz7DiyG97TpmDz0evm&#10;lgorN0eUfa86fvbzX2DE0oLwD1bRE1Z5waqQBjxeBKn0xiXIJeBlMHk1gFVpXuat58K6bBWXeX74&#10;n2aCP0Jc5Q1MiMzODDsG9IgmONyzZ4/0BKVHKGGuvZAKKr4roa6aJ5hUcFMZlxWsVCCWxjwFORXo&#10;tALSspqqVy3ba4M132r2tq3Kq3Vs61NmTafZbodp3D8eH2VqnzmvoK6KkctjvWXLlvyQCgS4PDf0&#10;DiBw5/WirhV2RHmt8Lri9XUv2Fda8XphXbZme11p3b+io29Iz1HlQRpiZ9AwWzFswsfftJOgkmEL&#10;Ll8pPOCXm2eAATGFtenSR5YvSQyl8FmLTrK84Vlb1MuVMJZt5GBfV69ek2nZ2TlITUkV95F4RF68&#10;hAP7j2DrtqJQNZSete0Mz9zpHn5mKnAh4qL0xmU69yPqerSZY0gOMCbaY8SsLexZy3viV22cZZvp&#10;2TvTUm9ZtXbD5vwwDaUJg8Djw7i4BtzuLdvA9ZeuWGuWKJvOnD6H6a7eWLRkJXbvPSDv0VplE+9J&#10;u7r2Q1CltxBYqR5mOzhhroS3BmBUHrESMFrAJdODVXq+GQCysKl0Uf6Vd5F8rWyD7D0q8bhsFb+x&#10;eS++b+5DwX7Y278CCKvMWsZSThxDK9Cd69gYl9bc3/WvpaWl9UOJfVb2j/mOYwtrOU8rj7BWef+y&#10;bXSuYfv5zsZ+Pt/b+E7AMGt05tB9ci2tH5c0rNUqs/ig4MszH4qEgOfPny/24RGRmIu685NxKq7g&#10;hZRFsx/gYGMpF7ej6s+fx9PP10b933yI6rVextOVquOpyq/h1J00fPrSS2K5Gry2X0LMfm/84qkq&#10;EtZunemMZypXwduf9cLGwEH4xfNV8bXfUXz15mv4ZZWaqFmzJp54tiqeES8p4bH0Go7D4rEd8cHv&#10;/oa2HZyxbt9lnDsQgtWrNyDyTuljGN4lBMvNk/8B5oOYnsl8KCuAygezAnL8ryrzWY7QleuoY1+W&#10;BzbLch2CAWWsh7CP9XNb3CY/HyIcZKeAnQMCXMJbeoQSKNI7lEbAaAs0CR+toRQUnLSaKqugphVs&#10;2qaXxuxBUqtZy1rNdj2rWddV5azGdLU/3E8a0+lBSzCt8lUe51VdClyrPLUtVYbwlqa2xXkeb2tI&#10;BXrjskPH3x3BPz251X/g+Xvk+bS9Vu5HXE+Z1oORp18QvmzdRQ4g9vE3beX5upf42x04Yrzhldq+&#10;O/wC55s5hpISU+Qn+oSJ9BadMtNLnPfiASDDLhCaSlgrrDjPWgVrL126YqaWTtYwCFZYy+toqqs3&#10;mnfsIawnho2ZXOjaUmEQDFhbGAITEH/ZqgAgb7MTJqG0omftNzKG7r1hLY/9kuVr5P4wdIS79yw4&#10;i3V4Ljr26C9/X2VVQsJtCcO5n1+07IzoG0X/0WlPPFa8b+vfoyF6dsafOI1Lq9fjlKsf9vQaivX/&#10;+gZLm/xZAlqGLgh8ro6EuXOqNcY8c7CwAs9b+2DSOp1TsymOTJpubrFiKPHiJQS+UNcCV23BbcE+&#10;WgEs54NVmULHyDpvLrNs7cbmFrW0tLTKj+j0Qm9UBWcVBK0osJbz9KKlExT3hY4a6gs8vivqPoCW&#10;1o9LGtZqlUl8eVXgjw8Remky1mZJOhKbg7+vScUD5LOFlBofDXdPX3zTbQLiUnOQLtoz5j/18eTT&#10;z+PPM08jYllrPPmsI2rVbYR/ve8kPWuf+6AH1o3vgGcrO6Bmoz/jr3//J+rWeQvvdvTDl3VexxPP&#10;vYL5ey+j/7/ew1Mv1ML4E1cw5evf4ReinmccXsQvn3oOn41YjxH/ewM//8WTcNl1A2EbXPCr936L&#10;Dp27wS9gttm6ohr01fto0KABPvroM5y1jNPB40rARtDGY6ogKr1uFUSlZy7n+cAmoCvJE1edq9JI&#10;nVPWxe0TDquwCoS49Oi0glz+x1oNcsYBzuiJy0/9lSeuFUbagksrvKRZ4Sfnv48p+KnMmsdtKVjK&#10;Zdt22ZbnsmqjWsdat7W8Wlb1KFPrKohrW8a2TtUmei3TVFgKtQ7rUp64KqTC9u3bsXv3bmmE6+zU&#10;EfqrQc54/ngtEcwT9theEzznNOZZpa4fXhdqXuv76eTJM1i5ar24XwVIj9jS6sDBI9IblbCyY48B&#10;8j5h1bIVa/MBKacz3H3l79iebt2Mw+ctOlo8a4sPg0A4fD+wlqEZ2JYZNh6wN2/eMtrZsYfcxtlz&#10;4WYOYa3hISzDINjA2vPnI/MBcvP23XAh/IKZU3atVTFrRV0EryWJ136bzn1NSNwdBw8fxxQXbwlu&#10;eQx5Tyyr+DsaMmqSrJPxb9dtLF38zyXiHI8ePwPe/nPFPWCD/KefVsF96m5erhwALEs8t9Ju3sTt&#10;sDBc27gVZ/2CsH/gaGz8vA2WNv4Q815+B3NqNMZsh4bS5lRvjODaTTFPxsC12MvvYmHd3yJdPH8r&#10;knhdbG/XHcG1CKcNuGrE91VWPIhVINsKcZWxDmt6cM2miFi0xNyqlpaW1qOVgpjsH7H/a4WyFQXW&#10;qvbRu5b9d76LEdrynYvp7HOwL6+lpfXjkYa1WqUSX4b4IFTghuLnGPyEXj0gS1JajniZMucfhrLS&#10;knFdPOgOnriGvLvZmNizHSo5voK//PtveOo5B7z06Xhk3DyHutWr4tlKjvjTn/+CUaNnIDk1Fl++&#10;8RqeqFQHm07FYtIXv8FTlWpjyqlr+HOTV/HUL38Bjz23kSoeoHeSUjHmiwb45VNPY9quG9gwezI2&#10;7TwED9d+eOr5KvjrkI1mayzKPou3a1XD81Vr4Nnnn0dLjzAzo2TxmOeY3rApifG4di1KfiJP439g&#10;CVH5n2R+Lk+wSshKQMdOizpf31esh/WxXtbP7bAzoWLjsh3sTNDzU4VW2LFjh/y8X8XHJXBU3rcK&#10;RlrniwOn9kwBTmXFpdkz5ikIaoWhzLOCWdt1rKbK0rjMOmzbr/KtZWjWOlU5Al1VhlOVxynr5fFR&#10;21Aw1wp01bY5kBw9cXns6Y3L88DQCuwE8nrhP1jYkaUHt4qRSw9Pwr3S/Ja17l/8DSkry7Fmh/2T&#10;bztI0EkP01Nnzpk5BRo32UXkd5OxcAkj23Xth+UrN+BGdEwhEH/n9h18/p3hiVtszNq2KmZt2T1r&#10;Q/fsz2+HLazlfgcvXCoHQ2P97Zx75/+zydUnUKbR63WLTczasLALElZLmCvWjYoqnTeqPakwCPRC&#10;vhesvXDhIj4zjxWPJ38j+w8eleeBYRTmzl8q96ms2rXngNw+vXsHDh9f5B8ltuK10kW0leW53uAR&#10;E8wc+2K7T58+h/j4igUafyjdvSv6LvynVHo6MuLjkBhxAddDQ3HG1x97+wzFxo9bYEmjDzG3VmM5&#10;gBbj1M52bIjTPv5mDRVLiZEXMbuakwVAFwavhc0mz4znq8BsQUgJZcYy4/7OrtbA3KKWlpbWo5V6&#10;P2Wfgv1bvo/QCEI5VSCUUFRNy4uxjTS2kWCW8wrWMoSe2ofr16/f00FKS0vr8ZKGtVqlkoIL6qWS&#10;84R0fMiUd+Vkr0fVJyvhnV/9Fh++/RaeruyIf41egezcu8jNDoNTo3fw0yefxf9Vqo8YJOGzl1/E&#10;z555DZtOFsDayaeuouXvnfBMZQe0c98uOwN3c7MLYO3uaCRFh8OtczOMHz8Zjo7VUan2b3Ddhsdc&#10;nNUfz1aqhDYdWuEnT1ZB3X84y/TsG2cxfdI47Dt6Gnk2L/+z+7fFv3/9Gj4asRxZ6Wfw/vM/x89+&#10;9gxCLhkjv8eeWYPQnbtx/cZNcX7yJICj9yvBnPpMnt6VBKyEcnz40yOXD/zivC1LEsuq60HNq2XC&#10;XNbP7RACssPE8A7saBw6dEh6f6qYuAS469evl16i9MplGAEFNRWcVKZAZHGmwKYCn7amoKcyVVaV&#10;ty5bzZpnXc9aV0npylS+1Ziu2s7tWGGt7T7ZrsfjoUyVVeuyjKpLHUdVlumEuRxkjh7RPB/sGNIT&#10;l7Cf/7XntcJBDFQIDl4rhFS8Vh4k/H8YUtdmaVSe94u/rd2798EvYC5Gj5+GoDmLzJwCsYyPyOfg&#10;VxK0dughAeen37WXcLJDtwHo2HOQ6Z1KUFiyZy3L3W8YBOlZ27EorKX45UMb5174rhPb2B2bt4bK&#10;dG/RdgPWdisCa6+JF5QvW4k2cZ323XH1ihFH936UD2tlGIRBZqp9jRTHWg7eJszF0wB3KSmpYt/M&#10;gcZadZLHvaySoRDMGLxftOwol0vS+fMR8pzxnHwmyp84WfJzt0f/YfiytbMMt9CsrTPOh0eYOVqF&#10;pZ5f4lmWlythbtqN64g9ehhpN2+U63tCSWK7d/foj+Bab5tw1QJfxbTAQ9YArwXzBWaUMQBt/uBk&#10;Mk/Nv4u5td5BWPA8c6taWlpaj07qnYTvZ4SaCoTSS1XBWrXMdxKVXx6M7VFtYp+cU74/8X2KX1cy&#10;7BnT6GjBfrmWltaPRxrWapVaxkuNAeX4sOCDpSJ8jpGbcwLvvP02nnnmGTz5bFX8tvl4xGcX/4J9&#10;68YNBAavwNmoZMxs/U+xXg1MOHEZd3N2oOpzVfHzn/0UP/m/J9B52jaM/rw+fvnLp+C/7Sga13oe&#10;v3i5KTp17S49ZyvV+gBXLQ5TjLH39e9ex5NP/BxB5+Lwz6r/h6ervY1rokzmpX14pUZV1Hz5TbzX&#10;qB5++uTz+GjKJsQFt0P9116VoRuajwhCWno2DmxbgY8+7oWDt1IQtn4Cfv7/nsVzlR3w80ovISbN&#10;3JgdsQPDsAqEt3zgK49cLhOsEsopGGc1nm9lXC6tWJb1qbAK3LY1Ni47U9w+oTKvJX6+z7AKBImE&#10;twSYtuCS8wpQqnm1rMrYAlZaSUDWnlnX49R2G2pqNbUNta6y4vJs20wjTFXz1vL26lXGPGXWdLaZ&#10;oNaeF65aj9vhsSY0JzwnRKcndGhoaJH4uITu7Dyqa0X+w8JyndgzW9lLUypuHSWVby3Deeu1abXS&#10;XreqLP9pwWlFF0MG9Bk6Rnq3ftvB8MQ0gKMxCBmN0I+eoYxZe8cerDW9WJt37I7Dh44hJSkFOeK3&#10;rI6RPJ7FHFI5wFhbA/ZaY9ZatXHzDun9S6BLMMw65wQvFu3tbhfW8nnzVauCAcaOHrU/oGNptDZk&#10;s9w2j0tJMWv5D6f/NWsj94PevucjLpo5wNjJLrIdHCTuZmysmVp6EQ4OHjVRAutm4liH7thj5tiX&#10;t99c2V6jLV3NVPu6evmabJs8xzzvYr3prr5mbvHiOT177jwuXroiXw6LC6OhVTGUdO0a5r6oYK09&#10;2KrmrVOrqXKGF639vPcQLPJ0SA4tLa1HLdU3YT+FX/7xHUcBUOWxyv6sFYyWB1MgWXn+qmX2uelk&#10;Q+cJOlPQCYdp7IOrfbXts6o0la+lpVXxpWGtVqmlbvyENHyZ44OwIokP8JTU0g8EZk95t69g3DRX&#10;fPrFNxjkvxcTvn0Hzz77PNwPXsT/Gr2CF15qiFVLpqJKlWp4odZvC8HanIvz8WLl6ni2kgP++nVL&#10;fNS0Gp6r5AjnhdclrH39xep4otY7cA+agxdrVsNTz1bFYfe2ePqXVfB8ler45TOV8PW4ZfjK6Rn8&#10;/Oc14R7ohY/+0BBPV66K1/86Hjv2HEJyRipybR7eJYkPdD74CU7ZGSA8Jcil0XOaUJXnml6WBHSE&#10;8wrSlSTml1RG5StPXNbPdnB7bEdERITsmLDDwk/4Dx48KOOxEiSGhIRIuEhPXEJHwkeCyPnz5xeC&#10;kgrksgyhpIKYClIWZ6ocjfCU5W0Bp5pXcJXzyqzrK1PrqXxV1rquvXWsVlw+67BtQ0nGdbk/yoqD&#10;uiynBjhjbFwVWoFhFQhx2cmkR666ZlR8XHYsCdd4XktzrSipa0JZaWVdh9ezAoolmbV+67rWeVp5&#10;EX8n3K+yiBB2w+ZQTHP1Qq9Bo9Cqc28079ANrZx7Sw/Vtl37YPi4KRJK2oqwlt6jhH2Mzfpt267o&#10;1H0ghoycCFdPf6xavR4HDxwRz4ALRf5hJwcYa8eYtT0x3d0+JOSx7TlgpAmEe8LDJ1AO1MiB1whS&#10;bWEtJUMPiPZ8264Hlovt36/WqZi194C1y1etl+CYQLVd9/7i+BdcD3v3H5Z5BKITpriYqWXTxs3b&#10;JexlHUNGFR5szSoe3069BspjxfARvrPmmjn2xUHQmnfgce0hvZB5Hlp16nVP+MrrfsS4qfjsuw7y&#10;/M8KLuq9rVWxtK//MNO7tgCuFszbLtubL0gr8MwtnD639js45Wn/nzJaWlpaD0uqD8e+Et9b1Fd9&#10;7KtaYa0VlJYHKw7W0kmCfWo6ufB9jO9EfO/mmCXcR9VXVbLtv3JeS0ur4kvDWq1SS934CWD4qT2B&#10;WvkQ25WDhLhE/FCDmN1LGdl5SIo+jeGjxqBZ9zl45/338WaTfxbA2rtZmNv3f3imUjW88JITXn6z&#10;Pp5+3gHPVa2ORv/sjXQT1lZ7+yNcTrqCJm+8KAHtxcQ8TP3qD3jiBQd8PSgQ+89eQYv3HfHEky9i&#10;7IzxqP5CNTwnyj37QiU4vNEO3u0a4/mqr2Dy4m3wmDQet9LyEH76OK5cvVbmT2f4sGeoBBo7Pgri&#10;MrQCwRw7DARz7EiwbpbjtfF9Owqqw8HOCEEFQS63T6DMzhc7K/yM6ejRoxIcqkHO6JFLkEu4SG9R&#10;gkYFMRXQVSDSFuYq+KlAplq2wlhOrfDWmq/Ap6rLWp89U+uq+lRZaz0qnVYSjGVeSfn3MmubrG2w&#10;ZzxuhOKc8vgyhAWPOUEuzwNDXbCjqTqVBO/0cGCHkzCe1wvhoAL/qsNZWqlrQ5n1WlPLrNNar7Wc&#10;tbzKU/NKXOb6LPdD6VpUNCIvXTKX7q3r12MweYbHfbcpT9wYMzKy5DFXv2nOF1cf47R+0coZX7fu&#10;Kr1zpUermBKmft22q/SG/axFR/z7i1YIs/nEfsduxqxlGATC2uIhzrmwC4YHaKeeEggvWrQCX7fp&#10;anrW7jZLFaj3wJGizl6yHUPGTCpy3kqrdRvoWdu9RFjLryBamGEH6O07d8FSM8dQamqaXJ/H5fMW&#10;ne6rLXFxCfnhIni8U5KLQnPq2PFTEi6zLV+26ozr0cXH6+V5bePcR0JteRy3hMpjzHN26PAxs5R9&#10;cR8mTXMX2yHk7YGAOQvMnNIpIeEOYm7Git94kmwHf0Naj1apsTGY9+r7Jly1AtgCMwYfM5fzwyMY&#10;IFalq5AIBaERCk8XvfU75IhzrqWlpfWopJ7D7NfwvYHvKoS1VgCq5mn2wOmjMmubOGVb2Ydm/5nv&#10;WHznUuEb+P6tnq/WvgfnraalpfV4SMNarTKLQI7QjiCmPIix5g5vCcHM2YuQlFkYPuTlJuDqHYKb&#10;PGRmZkho8UiUk4lgj8n45Iuv0GPhYbCVCVe24f9+9gyerv0OLl7Yh1drOcKhyX9w8U4BrI2My8OE&#10;z36HJ15wRLvp65CXlW7C2lpYdSke61xb4elKVfDaX0ZhwbI9COz8Hp58oTqq13oJ1eu8j0N7F6F+&#10;w7fx2muv4YknnsSwxSeQm52KeRNHYOmyVYhJyUJKwk15TosoLwfx1y5gVaAbNm7aIgEc402yLIEb&#10;YS1DKLATwUGr1GfyyrtSeVYqY+eCgIheguxMcdnudm3ETgfLsyzXp4cYYZ/VI5cB+OmVy+uS3p7s&#10;7Ozfvx/bt2+Xn/YTKhIuKjhKKKlgra1ZYa4VYNoCTU4VJFXrMp3LCqCqfJa1NVVOQVuaKl9aK247&#10;tuVKMtV2e+sxTUFaK+xW+6ryOWUbCMkJy+n5zCmNMJce0RzsjAPP0buBnVCeK543dkR5Tq3XCo3n&#10;nGbbAbUaryFaceWKq0PJmq/EeVXnD6VJ0z3Qo+9Qc8lQWlo6Vq0NgaffbMxbtAKnz4Xnt43HZ/vO&#10;vbgRc9Ms/cMqMuIS9u0/hOWr1sHTdzaGj52CbqK97br1k7Fa6TnLMAtftOokwy5YJT1rRZ70rPUo&#10;+fP7EeOnSghJT9Bm7Q3PWXthEKi9ew/lf97PMlevRpk5ZRNj1t7LszYi4qKM+UqQ+mXrLuI6jS90&#10;jVCjxk+XoQloJ0+dMVNLL55bhkKgZ/E34ngdOXrczCmsGeIYcr/pKdu1zxD52yhOoeIaUR7I9KBO&#10;TkrBp991kG0cO2lmkX2winkTp7tLT2Juz3/OQjOndNq2fZeEyR17DES/oWMxfoobAgLnYUPIVhw5&#10;ckL0F64iIT4Baalp8hmg9XC0p/dQBNdW3rUGfLWC1oL4tZZ8O9DWGGhMpRXOn1OrKY6La0dLS0vr&#10;UYvPMv7DkA4ehJsEn9awBwqGquXyZqp9fOfi+xX7yIS23Af2n7lfJfUDtLS0Hi9pWKtVZvEhQa9a&#10;wrFyI/Fw3r5hHZKtsPZuJjYGB2PSnlRkpt/B4qVr4DF3PRLSc5GXewe7Q/chIiYpP/QiH/Alvcw+&#10;aN29m4PD+w8heN5i7AuPRPvvmuFXn3TG5TtX0PilKnjimUqIiMvBvknf4KfPOOLFRr9CwJqD+bB2&#10;5dXbWO/WUsLauh/7yf2Y2/Fd/EKs9+9BC3EnKVnsdzJuR51H1PVotPh1dfziuVdwKDkJH9d+Fk8+&#10;VR2zTsZi/Kf18Vylqhi+wTpoTx5OLR2Hl154Fs+8UAU/+cn/w09/+jO4LV6DPzRpgL/97d84bb5v&#10;3448jMjIi2J7KRKesmNBWKtgLgEu/8OtvHJ53TAOE8sSQpX1mNs7T1wm/FBhFdgGbp+dGm6TIJn/&#10;lWZHiJ0deoAyJis/66dHLqEiYSkhZLC4ZmjKg1SZFU6qeQJNzlvhpYKc1qkyK1i1XbbNszXWpUyl&#10;qXXUerb5pTF7sNZaL03Va1s3l7muAriqDOcJdnkMaVxm+VWrVkmQa42LyxAXx48fz/cq4Hni/YWf&#10;fSmYqzz1SrpWbK8LXg8K/Ba3HstYTdWh5n8I3UlMwrDRk+EzK1j+Dqjs7ByMGDsFy1auk1ArLPwC&#10;fALmID1d7Ldof4fuAzDdzVcOwrVx6w7Zvpuxt8S+PTzvRf5W4+MTcPnSFRw9fhLrQjbDNyBY/L6j&#10;zRKGQncfwBetOkugOk20uSTRC/Pr1kYsWkJC6cnavhu2bC8KaynlscvP+weNmij/eVNWGZ61JcPa&#10;sZNcZD63xbYNHTsVbr6BWLEuBPsOHsGFyEvYtDVU7GN3md9/6FhzzbJpw6btJtjuJa8J22suSdzD&#10;23bpmw+xV67ZYOYUFa8Jwt9vTY/g+QtXyOujbZc+Epx/16GnrK84cduTptOz1oC1s+aWDdYy7i49&#10;o6UXtlif7WV8XRoHuiOQbiPaQg/pEeOmmWsV6I75D777CfmhVbwyEuLyoWph2GpNEybDGxTk0eO2&#10;0MBi9rxu89d5FwvrfoAs0bfQ0tLSelRSfTg+R/j+oQCnPRhqTXvUZg8msy/M9yb2gfl1ofqikO80&#10;tn0ftd+2Ki5dS0ur4kjDWq0yiw9BPjT48CgvoufsNiusvZuLs3vWY/eVJHgeTGUB5Am7cTYUK84m&#10;InT1WpyMug0//yWIyTCoY0r8VcwMXAr/RWuwbvshJKU/qv9c3kX09evYs3ef2J9c5GXcwaB2n+H1&#10;Oo3wzYTl+Krh0/jpzxyx/MptrHP9Dr98vlIhWPvzpxzRb+k+sZSDfV498PuGr6JazVdRxbEmnn7m&#10;WQScS8Jnr1TC08/WxuxTtzClWRM88fTz6LSk4LPsrJR4/PnNF/BM5er49WcjsP/4Caxa7QWvFRcx&#10;6dsmeOa559B+BV/8MzDgg9fw0188i++mFw8SKL6AE7rxulEAlfFO+UkPoRzhKr1k2TFRg50RtNlC&#10;upI6HyrPaoQYrIP1cfusW8FkFVqBHSXGYSU8pDcuYSLjtNIrV8XHVZ6vhJFWiKti5SqISzCpzApw&#10;bQGoLfS0Z8Xlq3Tb+mzzS2O266hlq1nzrPtkW956jKzHgOWsbbQeK2s+j/OaNWukNy5hLr2jlScu&#10;PfnpZcBrRYVV4LXCEBwEiTzPVqlzT+O8kvXaUKbK8TqxredBa868JQi/ECmhrd+sYJl2+eo1DB87&#10;1e62CWsZLzY5KVl6k4aHXZBtHjZ2MubMXyLnqaysbITu4u/eENP5+8nMKPs/RL6PEm7fwZatO0Tb&#10;xHldce/YsrNmz5OwsmXHXgboa1c8rD1w6Ai+bt3FGJirbTcZGiIlNa1M+7d2/WYJEgkvO/cqCmtT&#10;09KkJ+p3ok1sDz1aJXxs303C4i9adsLnwmQZmihDEMkB2Mqq+ITbBjgWdTAUBM+XVfsOHJagkwCV&#10;bU4Q5YvTtajrsh1s95ctO8t/hvG4LF66Gs3Ntm+zE15CiWUnyjAIBmwNKCOs3b5jj9wG94XGwevY&#10;du4XjxdDMbBegnZ6Ldtq0gxPcT4GYejoSZjh7icHO9N6MDokjumcqk4Irv2OAVdfLghtYABYWxBb&#10;YAXlaLZlCuqZW6MJTojfo5aWltajEp9jNPal2Mdn357OAFYgWl5hrS2w5TLfT9jP5fOc/WDCWr43&#10;8V3GKrXftiouXUtLq+JIw1qtMov/0SNAUV5h5UGEtZvXrpSwNi3pNuKunkWHyfOxestuTFwfhuzc&#10;HOwIDcWcNaGIS07F7LW7kJN3F7EH1mLndetDLwOzpi/FlehoxCd/v8HIfghl5eQiJuoK9u07jOj0&#10;bJzeNhu///Nf4PR5gIS1Qa2d8P+eqIxei/aKpUyM/vwPeOb5Stgadh2d/vQKnn72OQSGJ+GTl54X&#10;8zUw78wdTP+mqYS1nZcWwNrk+MN48RfP4dlqr2HRyYLjk52dh7BlE/GLF6qg6UcuyEuPwW9ffxlP&#10;1GiEbWFFR5UvjQhRVVgDmgppQJDKKT//IeBlHq895S1ZHMwtjVienTlVD2EfoR87RArk0iOY4R3Y&#10;YaL3p4qNq8Iq8JN/wkWCRkJKFSNXgUrlbaqApEqjcVkBTlvgaTUFNe3l0biu1YpLL8nYZluQam23&#10;dfvWZbWutS5lzFd12NbDZR4D27AKqk7bcBCcZ5qCuDwH9IgmWOfgczw/hP88ZwzPwU6sujZ4jlVn&#10;VRmvFwVluWy9HlSeSn/QYptaduqBKdM9MDt4Mb40450y5IHf7PmyDNtxLjxCgjzZJvGb79Ctf5ER&#10;1yfO8MSA4eMQY4ZGoBfuuClucp4hFWa6+2Hg8PEYOW46xk91k9D2atR1GW/1YYj7VZrjSK/iT75p&#10;i89bdpZetpxu2rbTzC0shrFx8wmU4I/eoow926X3EKzfsFUch1hxfM04brmMt50pB1njb9sqGQaB&#10;0LAYz9rVa0MMEEto2a4bOvUajJade8t1CB8JJOn9y/AF9Hgl3CSA3Lxlh1lD6cXjM2jEBLm95h26&#10;48KFgpAS3NfxU13lPrItQ0ZPLnHwyMDgRRLothDXV89+Q+W1QzHGLUMhqDpUuq3YFiNmrdhv0R7/&#10;MsasDQ3dg6/bGbC2U8+BiL15C5ERF8Wz6hBWrF4HX//ZGD1+GrqK88V9stXkmV4SfvM4cD++aOUs&#10;f4v3UsyNGKSL612reDEG82lvf6z9+5dY0uCPMizC3BqNMbdmU8MYJsEEuYXDHdiabZ45b3rYLnjz&#10;18i4U/w/FLS0tLR+SKl+B43vDewfqi+3bGGomi9Pxjaybap9DOumnBL4xRlhLQEul5W4r3yuF/ds&#10;19LSqtjSsFarzCIw4wNjZce+CB0+BaeXr0f0ibNIjo3Ho/p4kbCWYC09Ow+Rh/dg++VbSBEPs2vR&#10;sRi2/DQSbl9ClnigxV09jUWbzsN/6TbkiOU7h9dj00UrvMhA0IzlSEqLhtemM7h99TDm7L2KnNjD&#10;iIrLRFLYYYQeOIuiPrdpOLw/zE76wxEf1lRKfAxOnDyNo1fj5XLizS2o9swLePaFWqj9ak384slf&#10;wjcsGxM/fgnPVqmG9/7+GX775kv45TOFYW1W8i28W/OXeNbxFSw9WfjT2bvpYXjuZ8+jVtOPcefK&#10;LtRwrIw6f+6LOw/45LPjobxhCVBVTFr+V5mdFXpaEqgS7hLSsaw6Dt9XrIfXObfNuunJSWjMNvDz&#10;fHaaGE+K/51nSAXGYuVgZ/TKpScu4SIBpPK6pVnBJcEkzTpPI5hUpqCnbRlbU1BTlbdNK61Z61Rw&#10;VW3bWsaaZtteq9nWpdbhvDoW6ngwnXWwDNMUzOXxmzdvXqGwFKo84fiGDRukBzQHOGNMXHrispPL&#10;ewGvC3ZoeV1YxetKwVqaumasHd4HdR3Z6sCBo1iweIUEi/yU3s0zAJcuXsXlK9dkHFsqNzcPC5as&#10;Rt8hY8T1dUZ61jZr2wVDR07EiLFTsWbdRllu9KSZiL0Zi669B8v2Mp70RFEH52cHL8K8hcuQmWn8&#10;c0OFTFixJkTcuwtio14RvyffwHnm0qPT7dt3ZJzYvfsPYfGyVTh9NszMKSruT8Ds+dLDlmCRgO/L&#10;Ns7Sm7S1c2906zcUXfsOQctOvSRYDbcZAI1hEAgDCQU79R5kphaox4DhEjiy7sHDx0vom5iULAfP&#10;Onb8NFav2wR3n0AMEHly+x0JGHug39DRZg1lU8imbdIjlnUNHT3RTOWAXbelRyzT6UW8/8ARM6eo&#10;+I+s9l37S2/hr8W1smf3wfxrmPexDt37i3qM48HfhT2xvPSsFceN8LnMsJZhENoZYSo69xxophpi&#10;3fxd8dzxnnpHnG9bTXLxksfdOPYGLOdv5V7iPrXv1h/d+w8vdpA2LUO5WZnITklGWkwM4k+fxtWQ&#10;jTjp6old4nez7h9fYXGD32NuVScEvVAXQfTErclYt+8UArjzCWYlnLVCW2N5bo2mODFTx67V0tJ6&#10;NFLPGk7pUMR+OmFtefOkLc6ssJYWFhYm94MOLXznoaMU3z/4TsT9VPtszwFBzWtpaVVsaVirVWYp&#10;WDuryV/gW70RfKo2gPuTr8DliRrwfL4O5oj0Vc2csXuKJ8I3hSL2wiWk81NVc/0fWnxAMeSBMZ+H&#10;S7dzkZWeiGnTAzDGe51YzsS1I1uwYvdp+AeuwrV0K8wxYG3y3VxsWrUJ+zetx6R5R3F6xULczo7D&#10;5OXHER8fgyWhV5B68yLGTg3A+IV7EX54C/oO8UREfPnz8OELcmpaprAknD0XhjMJd5F+6RBqvfQK&#10;/t9Lv8E7dV7EL558Cu0tYRDu5uVgZvu/4ZeVHFDd6TNcjo1DWko4Llyh18xdTPiLA56t2RinNvTE&#10;009XhfOikw/t/FKqc8L/OLMDw8+D+B9oFROXsaoIJdSn8oQZ9LAjuFMdnHtJdXbsGbdN6EBPXCvI&#10;JUhm5/DYsWMSHNIbl16ghLiEioyPS+9QeubSK5dwkgBSQUmrp6kt5FTGZatZ8+7HSqpLgVjCZ5q1&#10;vDVfgVZruj0PWbWsytquw3krxFV5nFqPhzLVJgV2uR49nglvCc8ZroWhEwjcrV56PIe8DpRx+WGo&#10;54DhiIsz/pFC0ct1+Jgp8jfKAbxu3zG809medSFbxXV0XMJa556DZBl6zDK2J0VYS8/ReQuX4/DR&#10;4/mwluX6DB4twxHYas36TTh+7KS5BPjOCsagoeNkx99WFyMvY8jYyXD3DULozj3yZeFh6V7ng16n&#10;Z86EoXu/4RJOSu/TDga45WBlBIY0esCeP18Y1q7dsMksT8/aIWaqofMXIiWoJNjkp/vHjp0wc4rq&#10;rmgDz4eK00oAnJRYfEzY4sRzaHjE9sQXLTubqcCOXfvksgLHDINRnPYfPIKvGPtX1MGwA7wvKfFY&#10;Bs9fKveLRs9ie2I5etZye/Qivi/PWno8i/UZzqCskp61Yl2a9GwW+8L2ZmeVHF7iK4bFMGP68lje&#10;S/y9Jyen4Nq167gWFY0b12PEeUt6aPeA8ifxTON9MDcHuaJvl5mQgISwc7i+bRvO+PhhV9c+WPv3&#10;z7D4rd9jduX68H/yVQQ88yZmOzhh3ouEtO9LUKugbfBLbyOjHIXI0tLS+vGI93HVp2Pfn+8FBJwK&#10;1lq9a8ubsW22sJbvE/QQ5vsGnVWYdv78efnewb6e2mcNa7W0Hl9pWKtVZhHW8uE3q+GH8KvR2L7V&#10;bCKnXs+9iZk/ccSMn1SFd+W3MPf9f2Ntuz445BuMS7sP4bZ4UeIDhy++D/fhcheXr0ThfBG4mg7P&#10;sfORJJpxYf9yTF93CRGbl2P4rMPIuxuF0RPnYchUP0xauAendqzCgp3HcXRTKM7fuo0gn41Iv5uO&#10;heOXY/7qbdh/q+J4+fC4X7xd2C84LzMZvT75I556phJ+8pOfSBs73/DKO7m+L56qUhtv1K+Op2s2&#10;xokbheMnlQcRzhLYsoOjYp4qT1zCDAVvef3RrJ0d2+uwpOtSlee6rIN1Wr1y+V9xwmNun50sdrYY&#10;H3fPnj3yk356h3LgLQUerWaFlZwSViqYaYWaVohpXb80piCqral81qm2obZjXd9aztoG23pKYyyv&#10;wLCCvTR7baBx/5UXLudt0wnECczZ4SVQJ7SX9xvzfHLKc0aznmPr/IMUPV1F5eaSsR0f/zly+/Tc&#10;bOvcFwsWLUd42HnMnr8MRw4dNWBtj4GyrLVdY0xYS/370+8kTJ1gwlp65aakFHwmp7R6wyYcM2Ft&#10;oniRYRiFI0dPIHQnw6YU1oXzEZi/aAUSxfVLcNixez/ExRkQ5sSpM+g9ZDRcfYKwaesOJNwu/Omz&#10;bVt/SMWLNi1ZuU5C7zZd+spP/r9q0RmtOveS4SMY59cqOcAYwWWH7kXCILj7zDJAYUcDvpZGHABM&#10;gmFR34rV947Ra0/00jVCIfSQoRB4Dhm71QCX3eHi6W+WLCqWHTluqukR2wMu7v5Fjj09twmf2U56&#10;oNo7N0zLh7VimwH3AWvp5Sphbc+yw9pJMgyCOO7i3Dj3GmjC957S27eka0mFxCDYLQnW8v5M7+Qe&#10;/Ufgo6/b4JPm7fF5i0743zdt8fE37aRnctCcRbgp7hMsq6Ukfst54h6ZlSkHEEuMuICo7dtw1n8W&#10;9vTsj7X/+AKLnP6AubWaIPCFuvD7xas4MGKcua6WlpbWwxefGex/04GDINQW1rIfriBpeTDVHjoY&#10;8P2ayzS2l+8P/EqMjgfM5/sM0/iOofaVzyz1/qLSbPu1WlpaFVMa1mqVWYRcfJgE1Pt9UUhbSvNx&#10;aAD3J17GzJ86wPWJl+D/6vtY+NcvsanPKBybsxRX9h2RIDcrNQ05WVnIyxUPIXP7P7QyM7NlOIeU&#10;2/E4FXUH6TEnMO9EnHjoAWPd5uPClSikZ3EAs61YdfYWjpy+iFvpSQjwWo9MUSjs0GbMXbkVuY/J&#10;Q5KQa+mKlejYsSOC98fJtKxrx/H/nnLEk89UQt1/jEJRLFQ+xc4N94cAl/CUHTlO6RGrQC7/G0/w&#10;paBeSVZasRPF3w1hIUExPX4ZY5UdLoZVYFgHglx2zPjJFsMq0BuXXrj0FFXAUgFagkhlXLYCzJLM&#10;HiAtjdmri6byFVS1rnMvU+tY17PWaTV72y0ujceCx0V5KhP60pOZMW4ZHoHwnDBdnT+eG2unllNr&#10;p/eHFrellCWukeMnz2DV+o1YtWYDbsXekjFr23TujSkzPeWgXXv2HZTrjJo4I/9z8siLl+HlOxuT&#10;RBm2e8I0d1y9VhhSUqvXF8DaTVtC5afrDI8wYuyUIvurYK1SrGhL/yFj5LE6duK0OKYhSIhLwPnw&#10;C0WA6IKlqzDNzQfrNm0VvyfDy5P18zdFr9gfUhxojW3MKeZFZeNGhh3oKiFfm259zVQgMTEZbbr2&#10;NUBt++5w8w40c0rWqjUh0rOTRhB4P9fNBrZJbJPbJpzkMfuqVWfQw5dxcs+UEBbixo2bpndpTxlH&#10;t0vfIZjm7oNlq9fjiDjXN27GIjUlFV37DZNlmrXpiqjrN8y1C8R2c9uyHtGW+4W19Ih17lk0FvC9&#10;pDxrCU5vxMTgy1bOcpne0VevXjNLFZUxAFsvNC/BszYrOxvDx04r5KlMz2rW/W17ce5MQN9M1EV4&#10;O2r8dCTEF/4HxPbQ3Th86CiuXrkmniOF4yD/uCXulzlZyExKROKli4jaHorb58PNPC0tLa2HLz7P&#10;2I/n2Bf8Z72CoeUZ1rJtCtYSLqs28qs9gmcOxsx9YWgEpqmvnbiv7BNa+62c17BWS+vxkIa1WqWW&#10;uukXwNrf2QWx923KG/f5OnD5RS24/LwmvKvUR1CDD7Hsk9YIHTYFJ+avwNX9R5EUfRPp4uU6W7w0&#10;/dAv/1ZlpyRh276jOBR5B7nZifD1mA/XBduQmJGKuV4LEJmQhuTbibgedQFLjhtg83EVOwMnRWdi&#10;45nHY0ARQlp2gNi5oxHe8j/ZNEJVwlV+jsRPxtlxIvDjMXgQYj0EWcobV3kE8xMudtg4kJaKi0uP&#10;XIJcfurP0Arr1q2THqSEnoSUBJRWswW6thBUeata0xVAtYLQ72OqHtv6rMCWxjzVTk4VnOayKmOt&#10;z7quNV3VT2M9DJHAMgxJwXsXzyk7skq8t6kOL9M5LS+dXLYjIz1DxjCNjLyEI0dPyvYtXr6qkPfs&#10;oJHjJWyjCPcY35ZhFviJs9oXxlslrOW122vgSAwaMQ7DR0+WsOrmzcKxTBk+wAprKXplEiSeOH4G&#10;a9duNOFr0d/ANHdfnAsLR/i58xgyehKOifIsS0/eQaMmYbqbD86eC89vF0M2JIt94WBj1A955Nle&#10;Hjfu7/nzBQN6nTh5Rsa7pacsgWa0eMaURoTpX7UxYClhJT+vL6sYJkgNJNbauY84duclWFQhBXi+&#10;7InHb/Gy1fjOBL3STAjJ8Az0pv28RWfpsctB0pjP+WWr1pk1FIh1TZxuDDBGWOs/e6GZUzoR/EtY&#10;K9anh/Naca0dPSZ+a1E3JETlIGDqH2D2pGLW0jM6Pv52/oBjTKPnsb3rjFKwlt7S9mAttzd45EQZ&#10;F1juf/se8th07z9C/F48MGWmhxyIr4U4Pmw/gTfLMHayVQNHTZTXxZetOksYXhpx28Xtr5aWlpbW&#10;g5W659LYn2afnnBTwc/yBmmtRlhLY1uVMZ3vI3w/4XsIvWoJdPl+ogYZ47ORZt132zQtLa2KKw1r&#10;tUotdcPniyO9/x44rC3OTIjr4+AEj6dfg9uTteXUr1ZTzH3v71j1dWfsGjsTpxauQtThE0gUL4fp&#10;iUnIycp+aN64jJGbevsGDl69jR0rNsFr3ipcSdDeN4+L2OmhVyxhLSEqPTQ5JcAlXGUe/8ttDa2g&#10;oJ+y0oq/M+kZKOqwhlRgx4wdNnrlsvPG7dMjmJ05glwOsLVx40bpRbpmzRoZWoGDcCmQaQWbBJqE&#10;mArucsplZVbQaV1WpurhvBWQ2oOl1u3RrPnW8rZhIFhWAWeWUfn26inJWE7BaraFnsoHDx6UQFwB&#10;d9WhVce9LOfrUcraCee+XLx42VwCduzehyEjJ8Lbbza8hBGELl+9HkePnpAwcIa7LzLE9crBs/Yf&#10;OopFS1aaaxqSnrU2Azz1GTIa8Ql3xEvEGXTvNxRTXTwREDQf8fGFY1QSZkVdj5bz/F30HzpWHtfB&#10;IydIb+CoqGgMHTUpv8wX37XHxCmuMrSDl/9chIVfQExMYVhKj9mHIULFG2LbZbkGOKAWISdDJ8yd&#10;v9RMLZt6Dx4l6jDgpP+sYOnx2UzUN3/xcrNEUdHDs123fgaE7NBDgt4Wzr3xVduu+KKVs4SL34p0&#10;5inwqQAw7y1W8VpiGASGFOA6AXPKCGstnrX0MqZn7OetOkuYym0zJMXA4ePg4u4nQb2tFJz9okUn&#10;eR3zt/it2H+2l/Xu3nvALFlYBK8KMNuDtXv2HhTHolP+MWrVqTcOHDwir0erEkWfgRC7A8+l2Afe&#10;060aMmaysR1Rx0wPPzO1ZJ0T+znDzQfLVqzFrt37i/X81dLS0tL6/lJ9ORr74/RGJeC0AlDlxWoF&#10;pY/aFKjlvILKCtby6zs6ifB9g4OLMY3vICo2ve07htp/23ktLa2KKQ1rtUotdcNXsNb/zd8UBasP&#10;22o2ga+YeleuB4+nX4X706/Au0o9+L/6HuZ98B+sa90Teya44czStYg+fgZ3om4gIzmlwsAYrfIr&#10;dgTZWWIHiqEV+F9vemwytAI7VwSqBIL87J6gVUFAe50nlWabXpwUxGUbCIsJcLktbl/BZH4uRS9S&#10;gkmCXHriKphLiKsgpvJcVcsK3FrzFfhU6TSVpsCtrVnzrfMqFq21ftbLfFW3Wse6faaxnGqfqrO0&#10;xnUIflkfvZHppcxOPM+fuh9wWt48a7+PCEpv3uL1eUvs011cvHRFXJc3sHjJKnGdFnxazn3u2K2f&#10;vJ6UCGsXLV1tLnEwtFQJBtPTM6Sn7Ib1m6VH7EVRj218XBfvWdi/75C4Hm9gj5iOn+oqr/9BIydI&#10;L2GKEG312hA5/3XLzsgTbSAopQdxuNi2m9csmafUtc8Qec3PmrsI6zdtw5ETp3D9Row8T2z/ozxf&#10;Bw4eRRfRPkLKDt37i+No3xO2JG0I2SbhJOugl+h3nRgCwRlXS/DUPXMuXIJMxqv9omUnnDkbLgc5&#10;u3jpKvYfOIqVa0Ik/B46egq69B0qQSOBIwHqtajC9fL4TbJ61n6PAca+69hdQtcvWnWWIRrkIHCi&#10;zm/FvhGuLl1VNLav8qylR3F4+AWZxlAgEjSLdAJmXnu2MjxrxTbtwFrukwLpEtaKMvZAsVWEtvsP&#10;HjaXCjSYHuish7DW896wlveQEeOmSa9r7jPhtaffbDO3ZLHdj/J61tLS0qqIst472V9g37wiwFqr&#10;2cJavlOwj09nEfbtmc6v7ui8Qdn2V63HwDqvpaVVMaVhrVappW745QrW3sN8HRvC64U68HzuNRle&#10;wcfRCQFv/goL//AJ1rfvi31TPBG2ZhNiTochMSYWWRnlb6AsrYondp74O2FnigCV8JZesIxNyxi5&#10;BLmEuxzRlcCXnrMETg9C3DbBGD3D+N94Qlxuj9tlB48Ql509FVqBsVx3794tQyuowc4UTFWetwSc&#10;nGc4AeXtymUFUxW85XoKtFrBq6pPlVP5BKjKVL49EKsAr2oPy6jtlNbUNlR7WCdjAvNY8Dip48/7&#10;nAK2j5tUx90e3Dxy9Hj+Z3VUZMRFDB4xHkuWr5XWZ+AobN66Q6537PhphGzYbJYsKlfvQHj5zYGr&#10;hz8C5y1GclKKvCb7DxuDOfOXYOOWHRg6aqJ4CTFi3X75XSfpbUvoy+PO9tEbl78LipB57KQZso6W&#10;nXqJa/c4Vq8JwfyFy2Waz6y5hQZJ4/o3xP38fnRYHAf+dssqDgRH0BwReUl6vJZV9BxmzFSCRTlY&#10;WIee6DvYiBFsTzxOjK0q4+V26IFufYcVgu1WMVQDj+WUGZ6yLD/z58B21muA88qz9n5g7XZ61rYz&#10;wiAQWJ86cw7bQndjrjjfjLfMUAYdegyUYQSWrlxrrlWgySas/bJlZ/EibcTo5Xlo7WzEEaaXsb0B&#10;3KTnrtlmW1jLf1IwFISCrIyjfL8aImFtLxPWFj/gmxI91gmsDfhtAOc2XfqI31hhj1172rF7vzg/&#10;s+U/Mw4ePCru4Y93SCUtLS2tByE+x1Tfjc9OOkvQG1VBWmW2gLQ8mRXWckpAy3cF9lMJbumEQQDN&#10;ZYr7bPssty5raWlVbGlYq1VqqZt/RYK1xVr1RvBxqA+vSnXh+UId6ZnrXbU+At58H4v+/DlCOg3A&#10;gRm+uLBpB26GRSAl/vZjM2CY1qMVO5AEqfxPuQKo7Iwxthb/c07AS2jGMgQs9I6k8XfHdUsLEfl7&#10;ZVkFv2gEWzTWxbrplctOID8VYyeQIPfo0aMS4DK+K2PiEuCuX78+P7QC4+PSM5cAVEFcewBXzSsI&#10;q9LtwViaArq24JZTBWZVvUxTANe2nuJMAVrOs17Vti1btsiOL6G56uSq4/Vjktp3JV4n9Iw9feos&#10;jh47hetiXl17p0+Hy8HG5sxbik3bdiL2VuF4t9Pd/SQstdbJ+gaNGI+zZ8MwdaY39uw/lJ/3xXcd&#10;4e4bhLGTXeWI/NTchUtx6vRZOT960kzpEcw62nfrL9OsmjrTC869BiHN9LxMSU2T7VNiPFoX7wC4&#10;+gRi204OqmaEGLHVkaMn4OLpbzfvYYheoAS2hJ70Sl0fss3MKSperypGbLO2XbBkxRozp3gdPHws&#10;fyAzeqxaQ0vwXNCzVoHPMnvW7ijwrO3ca6CZatTL31JWZpaE8TdvxhYJm0EZYRAMz9ozZ86ZqRD3&#10;o5Om92wv6T3L+6ZVEtZKIFoU1jL0ACGvAqYXLDGKy6qhpmetDINQCs9ahj7gtlm+R7/hYtodX7V2&#10;xvETp80SxWvZqvXinHbDN+K8MrQGYwCX5r6vfk9aWlpaP0bxHqjulZxnH1d5oyoISrMHScuDWT1+&#10;VVs5+DCdLvhewFi1fP9m3FrbZ6GWltbjKQ1rtUot9SLwWMDaEsy3WkP4ODSAd9V6EuJ6Pl8HnlXr&#10;IOD1X2PJ35thU7ehOOw3D5d2HUT8patIT01/aLFxtR4/qc4lgQYhEcGsgrn0vlVAl9657LAR5rKs&#10;Wo9TmgKMpXmpt4rlFcDldlk/vREUxOV22dllh5EdSP72Dx06JEMrbNq0SQJcQk9CVGUKzCo4q+Co&#10;Fb7aglamW5fVOjSVp+qyLVsaU7BW1cs0zjOdYJqezzz26piU9Tj+mMTrjN5+FyIicejAUXF9FMTK&#10;pSZMdcfVq4bXrBKvMcasTUtlfOcM9Og/LB+KftWyk6yT12C66U1LODvTzVemtWjfXeQb1ylH/fcJ&#10;mIu16zfJAdeoiVNdRVsuYvIMT7lM78VBw8fLecbX7TtkjMi/JGPkLl2xBslJyeL63YM9+404qDzX&#10;R4+fwpwFS7HvwOH7CmPwIBQTfRPbQ3dj3sJlmDTNDQnFvIzx975i9QYjXELHnnJamoHNeCzbdzVi&#10;3NLDNex8hJlj1MkBxug9el+w1oxZK2FtzwJYW1oZYRB64IvWnXHmbAGszcnJxYBh4w3g2qEHvHwL&#10;hxL4unXxA4wtWLxCQlLuLz2yeY3drzhQHuspjWctj2WLDowP3EsCW3rH8thw8DIeY+aXpGXi3H7X&#10;vof0sFb7vXR5yTCedc5088N0V195/cTFxZs5WlpaWj8eWftudEpgH1rBWisEVVC0PJhqk23sWk7p&#10;RMF3AfZP+aUe++BMZx+d932a6rOqZ4tK19LSqvjSsFar1FI3fgVrH9oAY+XICHJ9qzlJmEuvXPdf&#10;vgz3519D4Ju/wdJ/NceWvqNxYv5KXD1yCokxtyRg0NL6PuLvjpCBHTUFb2kMqUCISphKqGqNj8vf&#10;6IOAjdw265EQTWyf3nzchgqtQMDJ//Dzs6zDhw/LOLCEuNu2bZNeufTIpScugSjBqC3QJXRVxnwC&#10;VOUxq9IU5LWCV5XHqTX9XsbytvVxmW2kNzE7wgSCWt9PvAZtvVOzxXEdM36azKNWrdmIzdt2yvmv&#10;WnWWU6vuiuuu35Ax2LV7HxYuXSWvRZ6bNl374ur1Gzhw5DgOHDomyxLWMtboqAnTkBCfIGHt4OHj&#10;ZN6EaW4IDy8MJWmEtTt37ZNpc4IXY/xUN/FcO4m1GzajR99hSLWJw8t1osXv7GGJ2xN/zKXCYt7A&#10;YWPRxrmv9JQlSJTlS6Hpbr4SihI8jpvsaqYadTIMgoK/sxeUbaA0CWvNwb4YX7asUmEQbD1rKYbB&#10;+LJlJxmigYOF0ctbSXrdinR7sNbbNxDNxb6yTa2ce5up9ycjDEJPWd9Mr5JhLf9x8Ol3HeR26RVL&#10;D+ZufYdK+Eq4bBvj2VaEtQoyK2vetpu4JosPoSCviVETJWj/rEVH+c+H0oj3dhqfMaW9hrS0tLTK&#10;q6z3MYYG4ldjFRnW0tjf5r7wHYDv38xjPF5139awVkvr8ZWGtVqllrrx/5hhbXHmW71R/jzj4ro9&#10;8TJm/tQBbk++jMA6v8PSj1sjdPQMnF27GTfCIpCWXPLLmpbWvaQ6Y6qTxo4cwyiwU8fOKcMqEKoy&#10;rhU/BaPXLIEryxGklfXl3HZ7ViNEY730ymUHkoOc0RuYnUxCXBVWgZ64q1evzoe3VrNCVOUFa4W2&#10;CsyqNAV7FXS9l7EsjetzmcCYy2rbbBfj+NJbgfuk9WDFa4fXnTq2XN65Y49cHjlmMgaOGI8Bw8ZJ&#10;r0VVZvGy1Wjj3EcOZEbxOmvfrZ+ct2oCYa3pcf5xs7YS1tKzltsYOnIibpvrW6VgbbL4bdAT1AqX&#10;OUgX4ZpVbFP3ASPFXOHfzALRxoct9Tvk/vJ5nJlRek/gYydOSaBHkPjJt+0KnY+JJqw1YuAORUDQ&#10;PGzZuhNhYecRczNWAmyWsyeGQVBhGe7Ls9YMg2DErC0Ma7lNFw//fHDZf+jo/HZ/Y3rzNm/frQis&#10;ZdxXeqUSTrcS19H3kfKsbVEKz9rB4pqTsYHFdt28AmT7585bKkMxfNnaGYcOHzVL2tey1SGyLOuQ&#10;xv3u0B2TZxqe4/bEbQweJdrYiQPIdZWhP+4lHsNhY6eiVYde6NprMAYMHSu93rW0tLQqqngvVM8p&#10;Ptfp0KBgqBWMKhBaHky1yQprVTpBM/vU7GNzQFwu0+hcwOc/xXs5Te239RhoaWlVbGlYq1VqqRu/&#10;hrX3YTWbyCkHOZv5f9Ux4/+qwqvSW5jd5K9Y1bwr9s30x/nNOxEbcRmZqWnIJdTILTzCp5ZWWcXr&#10;h6CWIRXY2QsLC5PxWRXMJZikpyM/FSMIUwDX1soiBZAIhrltGiGuCuvAcAoMo8BYsfRoVSCV0JQA&#10;lbFvCU+twFYBVStsVWC3rMZ4uyocApdZH+vmtteuXSs7x/Qg1np4UtcM/6FAz1h1zRGyevnMEvkG&#10;mOM12qx1F+lRG3npCu4kJsqyE6a4SVhLhWzchh279mLIyIlyeYwZ79ZWCtbGie3xM3tbtWrfvdC1&#10;zxehvkMZB7fw74EDe9lq5Pjp0tPXqvsZdOyHEPejc/cB+LqNs/TA3H/wsEznvo6f6irhpjLGoP1K&#10;luuAj79pi8+/64D2Xftg+Ogp8PabjRTTS5qiZ+3X7bpJsNi5Z9k9a40wCPZhLcU4t9+K+glmGc/1&#10;7LkLMp2exS1Fmr2YtQsWr8S35uBe39ezdvDoyRK+GmEQio9Zy/vpx9+2E20Sx6+VMy5dvirT6R1s&#10;DCDXS8JcnofitJywVmzni5bOMm7zJ80NL13Gr7UNL6LE8zd49CTDe1dspzSwNjo6Jj/mr7Lduw1v&#10;cy0tLa2KKN4L1bObfQZ+ecZQAgqIKrPC0kdtqk32QC2/XOPXdLJ/lJCQvy/s0/N5o/ZX7XNx81pa&#10;WhVTGtZqlVrqhq9h7QM0E+L6ODjB/ZevwOVn1aQ3rt+L72D+Hz7B+s4DcMh7LiK27sKtyCtIv5OE&#10;7PQMObq3fvxq3a/4G6YHLD0OrCEVaAxtwEEMmM+OIWErO7wPotNHQMHOJetlR5MdUnrdhoSEFIKy&#10;yhRgVekKsBK2qrzSGtelEfhymdtT4JdpCtgSIhNklwRTtB6NeP1dungZ27bvgv+sYEyZ4Sk9Z6ZM&#10;98yHoyzTrktfjBg7VS5v3bEbQcGLipzPnbv2SlhLwNd74CiRUvja7jtwJNKSU8wlBWvHmksF6jFg&#10;uDlXoBHjpuaP1Kz05XcdzTlDjKUbZULkm7G3ZLsZr5fhIr7v7+yeEvXzU3zGuY2IuGgm3cXc+UvQ&#10;c8AItOrUW4YV+LadsA495DwhJYEhPUu/bd8NHAAt5mbBwHJqgDF6sbbp2g+bN28XL5RncDPmpryH&#10;ZGZk5t9H7Ck/DIKol4PQ2dP8JSsksCSQVDFoCWq5TE9UW1i7bedeo7xZhqE17ldDxkwWdRhhEDgI&#10;XXFasnxNvjdsO3Ec2EYqJzsHzr0HybZ8+m17eR8sTkYYBMLyLnJAsnFTXfNh6lCGvMgregx5XAeP&#10;mSRhMEMtHL8HrGX5eQuXG+dW1Cs9ecW0Y4+inutaWlpaFUW8t6nnDO+/9Ealk4ACosoUFC0PptpU&#10;HKxl31yFIYuIiJDl2FdnP0M9Y5Ss+89+i5rX0tKqmNKwVqvUUjd8DWsfkilv3Epvwe2Jl+D6RC14&#10;Va6HwLofYPE/m2FL31E44j8fF7fvQcLla0iLv42s9HQNmbS+lwhUCFfYCaRHgoqLy0+uFMBlHr1l&#10;+Z9+fprFdWw7jLbi/cNajtcpPXrpbcu4t4S2KkwCwem8efPyQxUomKpgrRWycloaU3XQ1HqsxzpP&#10;r1563rKDzGOgVTHE68h636Mn7bz5RsxVXm/TXX3g7jNLAtJDh4+J6zAXO0zPWuYPGDoOcfGFB2Rq&#10;3rYr8izXtAFri3rW9hgwwpwrEEFxog04ZH1WrVoTgr37Dsl5DkbFuKbDxk6RMXbdfYOwXOTv2X9I&#10;wluK27/Xb+xBKUv8pmNuxEhQuHHTNgTMno8JU93Qb9g4tO/WX3qzEqoSMitt375bfn4vwZ8wxp5l&#10;fNlv2nZDG+fe6NZvGEaNnyYh++o1G8y1CjSFYRDEep+Ldc6esQ9reZ65fQLTb4Vt3LIDXXoOlgDU&#10;XszaqGvRciA12aYOPXD16jUzp+xSYRC4b8WFQeA9rlXn3rI9hMSLl640cwzNmrNAgm62dcfO4j1Y&#10;FaylB/HWbTskWOd+GPvZDQcOFQ2jwG0zDIKEtaXwrOWXD2279JX7xHpHT5gut/mVWNcaEuRBiG07&#10;euwkjh49iYuXLksvad1P0dLS+qGk3lf5zCTgZD9WAVDrtLwZIawCt1wmqKUR0HI/aGqsCIYaY3/c&#10;tl/Ae6vaf+u8lpZWxZSGtVqllrrha1j7iI0QV5iPY0N4PvsG3J56ER5PvwYfkRfU+E9Y/klrbB80&#10;AccCF+HyrgNIuHQVqfG3kS1ewLW07leEsgriqpAGDKdAD1nGyaX3AvMJVPiyTzCr4KzqMNrrNLIM&#10;oS9DMtD7Yc+ePTIcgQqJQECroKrVO1aZFcZal0sylrN62ap1uT3axo0bpcfxw4JjWg9Wttcar7/I&#10;yEvYHLoLK1atl9fc8WMnsf+AEQIg4uJlDBoxASdPn0VUVDRWrduIMZNmyDwl1mHXs7Z/UVg7nJ61&#10;NuDw2zaFYe2atZvE9o/IeeeegySsJRxOE7+hDl37IjwsHJu37JDethTb6j1rrt3fUCHdK/97Klcc&#10;O8bCPnX6XKH4pgcOHkXbrv2kNy7BIqEfYSPhIuGu4akr5oV9/G17c60CKc9arlscrKW279gt6jPi&#10;1NIYZ1V6vNqBtQwlpOLzNu/QE76zgs2csouwlvUYYRDsw9rz4ZFGqAbRHg4wdutWnJljKPLSZel9&#10;TKBqL/aykoK1PFYrxfXKc750+Vp5DNmG7v2Hy/uxVSxjhbXHT5UMawlzeX64P/SmJkzl9ngOFi4p&#10;DJm/r/hM4HHhAHRs29etnXH5ihEeQktLS+uHEu+LdCxgX5XwsyLBWpoV1ipHCfa5GQqBIc3Y72Z/&#10;xir2VVSfW021tLQqrjSs1Sq11A1fw9pybKY3rneVevB49nW4P/MqvCvXg1/ttzHn3b9h1VcdsWP4&#10;FJyYsxRXDxwzPHLvJCFXPNC1tO5HBJq8JxC48r/+KrwC//vP8ArsWBLsssNckscW7y/8NJjevOyE&#10;7ty5U4Y7sHrCErBaPWyt8NXqNUtTMNYKellWeeXag7VMI6zl/LFjx/LjgRUna6dYq2JInSueN3rY&#10;KsXExGLpyrXwCwzGgiUrkWNzrbJ8r0FFwyX06F9MGARbz9o2Xcw5QwasNWAxB+QirKXYJsaUtYpt&#10;HsZB2IaPLwLpDN3FocPHMd3dB27es7Bp6w75m1Ti+oSsP6QYVzgtPV0CynPnzmPHrn1ygLiZHn4Y&#10;PGoCuvYdglade0mI++l3RWHtJBdPMIRCSWEQKJ6HnoNGSphJsMgwDcXBWsrV0xiYjJCTg9XRS/V+&#10;NGT0ZAPWCisuZu2Eqe7gIGks07XPUNwR9zzreeBLNcE88z9r0UneM+1JwVrC2aXmAHaE9vQqZhua&#10;teuKVetCZLoSz7GMWSthrXOJnrU8hqPGT5eDkTVr1w1zFywFYyqz7ayfoS4elNiuk6fO4vOWneR5&#10;+k60j/sfvNDwfL+X9u49hBOnzuDa1et2BwrU0tLSsor3HKvxPss+Kb+YIgBVQNQeLC1PxjayzTR6&#10;0RLMMhQCnSPoWUtgy/62Lay13X+alpZWxZWGtVqllrrha1hbcc23WkN4V3oLns+/Aa8X6sC7an34&#10;vvI2gt//J9Y274qdo6bh9OI1iDpyCneibiAjNV3HxtW6b/GewY4k7xnsZDIWLsEtPXMJQglvCQ6s&#10;4joEUix78OBBrFu3TkJYetoStBKo0hR0tYW1atlaTuVzqtYpzliO64WGhsoOvhW2UNbOL9tOU8ta&#10;FV/854O988nzvGbdRnOpQF36DMHOPQflgGcJCXdkOYZBSLHEu6WatXI25wytXbcJB0zPWg7IpWAt&#10;45HbwtqLl6/C3XsW9u0/hL37DcBr1ZHjJ9F/6BhEXryMW7fisWX7LiSJ7bMtAXMWYMioSRg/1Q1z&#10;5i+Rn79Td+/myQHafmjxWPJ3TkjKUBOXxHHaZ2cfpnv4oXmH7vjft+3Ei+pZM9W+LkZeMjxmJfwj&#10;YLQfs5ZKFdv9rHkHWY7wc+ykmUV+06WRCoNQnGct969F5175QFfC4a590bXvUIyYOAO+QcFYG7JF&#10;QtJvxX4SlC5YvMJcu7AkrBX7w8HRFixcbqZChj9gWAm5DZFnhZc8ztKztlMvOZBZSbCW1+k30sPX&#10;CNfAa5fiPxmkR6/Ii7XEI/4+YrsGDR8vt8W62T4en/biGi/Neeg1YIQMr8EYxR16DMDGzdvNHC0t&#10;La2i4j3H2i/jfYZ9Ob63EoISdJY3WKti1bJdbJ91mUYHBvad+fUap8ynEdba+wKM+672X0tLq2JL&#10;w1qtUsv64NOw9vEzH4cG8K78Frwq1TGmwnxfbor5v/kv1rbojt0T3BC2ehOiT4cj6Va89KTS0iqr&#10;CGJphEbK45b3FGuHk/capvGzL3ZU16xZIyHqqlWrpLetArE0AlYruGXMWQV1rYCW09LAWlUvt3Xo&#10;0CEJltW9j1O+BNDUssrTevxl71xzlH/Gvl22Yi28fYMkMBw7aQZGT5gB/9kLELJ5u7y2Z7r74ujx&#10;0+ZagJffbJw4ZUBJ5yKetQPlvNJMD3+cPXdeeld27zfUTDXEa3HiNHeZbxXbGrpzj9iun/zHSGpq&#10;GvYfPCrDO7A99Bz++Ju2iI42BjmjoqNvyji0jCl6+84d+TtV1/oPLcLl66ItJ06clr/7e2n0xOkS&#10;/Ck42rx9N7uwllq7fpP8BJ/lCP7GTJyBuLjCMYrvpcHSs7aHGbO2qGftGrENFXKBHqoEw3KgMWFM&#10;JwBliAfCUZaRoNQmNIaS4VnL0BHdMH/hMjPV8MwdOHKC2I9esn4Pn6D8a5LTwaMnynrvFbN2qbhW&#10;ZcgD0bZ+Q8fme2bt2LkXzdsZbXb1CpBp31cZaRn45Nv28tjTs3nOvCWy7Twely7fOxRCvyFjZIxi&#10;Hnt5ntt1l2EVShL3Z+nyNdiz9yDOX7hU6Bp+WNezlpbWo5P1Wc1/FvKf/wwnwP5kefSsVW1S7WOa&#10;aiOn9KLluBGEtQxDpMrzSzT1xZq9/omWllbFl4a1WqWWehBoWPvjMt/qjeDr4AQfh/rwrlIfns++&#10;CffnX4NvzSZY8Lv/YV273tjn4ocLW3chVrwYcQR13WXQKo344kwww/iw1lFtea+hMZ+hFfgZmPKw&#10;JYil0dNWDUBmC2tpBK7Mt65jhbLFmYK68+fPR0hIiOzkqxd81SbVPppKV/NaP07x/PP65ZQw6VZc&#10;HC5EXMS+fQclgOULlYu7P8ZNdpWetxOnuuUD2o7Sy9ACa3sUeNYmJSXLUAuErPRQ/Kx5+0Kwitsc&#10;NnqSeGm7aaYUaODwcbgVG2suGfKbFYzw85HIE9sZPHIC2jr3NnOA3XsPYGvobuzcuReTprmjS+/B&#10;6D1olNj2TAmaY8VLYoyoTw169iiVmpYm2t5XxkL9qrUzPm/RGXeK+Uyev1kXzwAZYoHeuN+06yrX&#10;c/WahZ2798uYxfG3b+PK5avyk/1NW0PzAaYSYS29YekdytAOtuJxMkIz9EDvgaMw2cUbfYaOQbtu&#10;/SUg/qxFB3zRspP0ejVCJfSQsXwZfsNW1jAI8xcVwFoqIvIivmxtDDb22XcdceOG4QHL687wrCWs&#10;dcbxYmAt94vxcglkWf/aDZvMHJEnriUFmVtZrovvo2XL10jYyv0ZNWE6zoVfENswBlkjbL6X+g4Z&#10;I9tDUGtA+e7yvJWkTNFH/VJcE1+17iLhrjV0iIu7r7i3L8euXftw4fxF3E64LX9zWlpaFVvWfpia&#10;UrznEXQqGEoAqkIiKFhaHky1zx6spbctvYMJaxkOgWUInxkSgf0B675raWk9XtKwVqvUUg8CDWu1&#10;0XxrNDJArjCfag3hVakuXH9RG66/rAW/Wk2x8I+fIaTLIBzlQGf7juD29ZtFXoC1tCjeW+hhe+PG&#10;jXwQpe43BC0EueywcuAxBVWtnrM05RFLKEtYyzQFa+mNS7NC2ZKM6wYHB0vvWsYK48u+6gxb22WF&#10;uCpdS0vJ9pohWE1MTJL/gLB+mTBr9oJ87xiCo7adCkDZ8lXrEbpjj7zWsrNzEBZ+AYuWrTJzxTZE&#10;+pSZnrh05ZqZUqBuvQYjPbVwXNR9B49g5bqNEtb2GjgKew8cQshG49NyhifYtnOf0WZR7/IV6xEZ&#10;eRlJbPPtRKxcGwIvn0DMcPWRcJLw1iqrl+7DEOPw0mOYgxNywCr2TYoTjz3jpH7WomO+VymnBJ70&#10;/Pzsu074wpznIGmZmYXrYjzY4mDtubDzEgATJn7Vyhnnz0fI80X4SQifkpqKK1ej5IByS1euR7c+&#10;Qw0A2aEnprt5mbUUKB/WduiOBRbPWornZtIMd+nhy+31HTxabMu4xhjuQsLa1s4yzqs9RV64hM9b&#10;dAJDRzC0QJzNIGh9xXmVXr/i2Jy6RziK0ojgmMeN3r47d++T13nHHkbc3pZi/xkrtyQR1hoQ3Iiv&#10;y7YRzseUEKaB14H0YBb717ZbP2RmFWyjbZe+YHgJhpMg9GZdrZz7iOM4BpOneyB43hL5z4rz5yNx&#10;J+F2/j1eS0urfMv6rFVTivd+eqBaAWh5hrXWNOVBy3k6NRDWsv9AeMv3cI4JwZi8vE9Z91lLS+vx&#10;kYa1WqWWehBoWKutLMY4ue5PvowZP6kCl5/WgN9L72LR35thy8DxOLV0Ha6fOoeU24m4a75wSpNX&#10;mtaPUYzBpTwFlNgRZSeVcbvo7UoAS6iqPGYVmKUpYKs8aRXMtcLYexnLc6CxlStXyoHGrKEQKM6z&#10;TaqDrExL6/uK11GixUN00ZKVSE0z4swqffZN+0LX28FDxzDD3a/INTjd3R9R16PNJUOEtUtWrpOg&#10;s8eAkXIdxj9lWATGw922c69ZEliyfLWEw0or12/EkaMn5PzNm7cwfOzU/G0S3P75o68Lef0qsc9A&#10;mMwByPJEebmOmj5k3bhxE5NneKBZW3q7dpJTBW8JBent2qJz7yLgV3rWyk/xe8DFqyBmLffBzStA&#10;eooSlDJ8AeFASTp85LjcbvMOPdGqY88ix2G5CWvpRTrfErNWiYO4cX0j5EFXXLx4SdYxbMIM2Yav&#10;2hYfBoHerdJDVdQ/etIMM7VAu3ftl3ksM2m6p5l6f4q4cFEeT9bFQcsYjoPy9A2S2yAoDbdcX/bE&#10;MAgKrHOQve/MmLdDRk0s9vrhuePxYbm2XfsV8qxtKepq1rabed67G8dZnFMZ4oJxgmX4ie4SDBMw&#10;8xx07zsU4ya7FIoRzAEEMzMK/omnpaX1aGX7W1Tz7KfRG5WhBAhpFRi1QtFHbVZQa50nlOWU7Y6I&#10;iJBjP7AvfP78efkefvHiRZl2r2eOlpZWxZWGtVqllnrwaVir7XtbzSZy6vVCXbj+tAZm/tQBns/X&#10;QZDTh1j+eXvsHOeCs6s2IvrUOaSKl6Ls9AwJF/RL0Y9D9Bag94Dt+ebLPjuxDImgICw9ZhWwVd61&#10;nLeCXMJdlW4PztozlmfdO3bsKBQKQUNarUet6KjoQp6fvAYDZs+X4RX27zuEg0eOSQ/d2Nhb0vNS&#10;fdHA69bV0x8nTpyS99Oe/UfI9KjrNzB+iiv2HzyC7buKh7Wr1m2UoJEvhvFxCTIsA//JRk2c6o6I&#10;yCtYumy1XLaKYKtD176YNsMLQ0ZOxFQXL+Tl5mHths2iP2F4FNvqh/5t8VicDTuPFavWw9N/LsZN&#10;dcX4yS4ylvCGjVvzf+9Kg0dNxLcEex26F4pZS4DXsnNv6alK+OodMMfMKVmM2UqY+E37buKF/JyZ&#10;akjFrCU8tMastSp4wdJ8T1OGFWB7J4h9YDvozWoP1qaL5+gnzdvJdQgpvf3n4ELkRdyKiwcHSMvK&#10;zpbn86s2XWSZlp17IdsGWpdFPGbcR+7HNBdvMxWybTLcgsgbK445PYOLkwqDQLjK9v+vWVu5HmMQ&#10;M2SFPbGPqjyd23btX8izNvp6DI4eO4lVazbAwzsQQ0dPljGiWZb7bITJ6CbPiwTNZsiKZqK+62Jd&#10;pQHDxuI7ke/ccxBCxPViKw4USK9h/laU57N+Vmhp/XCy/Y2peU75D/ewsLB8EKpgaHkxa5us8wrW&#10;MuQBnRX4lRk9aSMjI2Uap8aXOhrWamk9rtKwVqvUUg8+DWu1/WBGiCvM17EhPJ5+FS4/rw63J1+C&#10;b60mCP7Nf7CmdU/sn+6LsLVbEHMmHKlxCchMSUNOtga5j5s4iAI7puq8EkbQGOP2yJEjEqSqMAiE&#10;q1Y4q8wexLWFssWZqoOhF+jRoOANwReNy2ybvu60yoN4Hd68GYv9h48hdMfu/Otz974DGDBsHAJn&#10;L8DUmd4SqubkZBuetf2G5687zcULS5atwbYde2QaZQtrCVe79R0qP7cfMHQszpwNl+n0XHTuPVBs&#10;8y46dCuIt6vEMAqM0auUJwFWHoaOmojk5BQztbAYEmVL6G6cOnseUdE35OBqap8ehebOX4ohIyeg&#10;S58hcPUsGHxrw6Zt+KJlZwlq6eVKj+PSaMT4qRIQEspOmlnYg1V61tLLsz09a+3DWh5zftJv1NED&#10;60M2w90rwAg50LoLjtsJg7BqTYiEjoSSXI9Ak6EAPm/V8JS83AAA//RJREFUCV+IaasufcC4twag&#10;NKAlAf79KC01Va7PbdFD9ezZMDPHOP8dexiAlMeuOGBPGbDW8HTluZ8zf4n0fuW6PfqPyP9HhFUS&#10;1rY1tm3rWWtPiUnJaNmptzx2PCZz5i2Gt18QRo2bJn4jw2S4BoaOuBZV4KXOfzoQ4tLzNjB4sZla&#10;oJjoGBmLepg4nj7+c8VzZCMOHTmGa9euS7hC8My2P6rrWUvrcRN/S9bfk1qmsS9Jb1QFQhUMLS9m&#10;bZe1fSp+LcEswS2hMwfnZUgElmHflGlWWGt7HLS0tCq2NKzVKrXUzV/DWm2PxExvXO8q9WRYBdcn&#10;a8s4uQGv/wYL/vQZQpwH4YBbAM6v34ab4ZFIvhknQa41NqRWxRJfatnJJqQxPJSMKUHOzp07JbBl&#10;uAKGPyBgZaxaTglmrSC3LJBWGddh3dwGPTK4bYoxF3kPVMuqY6w7x1rlVfSajLx0BVevReW/1HFK&#10;QKuUmJSEr1p1xo7d+80UO2EQ1oWIZ/9p+XI4YtxU+U8yauOWUIyeMB37DhyBm2cAbt4oPNgZPWsJ&#10;3U6f5ojWN5CWmi5/P8NGTS4W1p49HSbj44aEbIGXbxD2HzgsB4UaLrbrMytYLj/s3xzbbPz+Dbgo&#10;fvXYs/egaM9cjBo/DYNHTLQLD+3p3NkwCTMJHVs79y4EFJetXm9+jl+8Zy0VumOv9NBlbFYOnjZ7&#10;zoJ8OGo7wBjb3sKEsBLEtjc+96e3sIyfa6YzHICaJzDm4HLiQJu1lF4LFq8woKrYJqGyrRj3l+E3&#10;2NZ9+w6bqUWlYtbyWFH0ViW85X7S2zZksxFv2SqrZ227bv3kckliHGl6EbM8B4C7ejVK7jN/Izwv&#10;HOTvytVrhUJ8ENYq7+cgO7D2xo0YmUegy+MgB8Fr2UlOW3fuja69h8iBAT29A7F85XoZe1mJ13U2&#10;rzH9TNHSKrVs+2FqmcYxEQg2bWFoeTJ77bKFtYzPzvsQv/ZiOgE0HRiszx3b46ClpVWxpWHtfYgD&#10;b1C5mVnIEp043hSzxAtHpujw3X2MwZC6+WtYq61cWU1aExkb1+u5N+H+9MvweOZ1OehZYP3fY/E/&#10;mmFLz+E45BGEiM07cCv8IpJj45GVnqFj41YAEdayM0qpexBfoK9cuYLQ0FAJVefPny8BrfKuJagl&#10;wFWQlmm2MPZepmAt5xnrTMFZdooJbDSs1arosgWL4eER0vNPad36zXKwLCUOMHb46HE5v2bDJmzZ&#10;vlMCLedeg3Hg4FGsFvl+s+ZipnvhAbjoWdt36FjMX7IKbl6zELJpm/z9DB8zpVhYG3YmHMtXrDWX&#10;DK3fsBmbt+6QIGzlmhD4WEIOEOKNneIqPRaVYmJi5W/1YcgAuaUDtUpftmZMVOMT+917DpqpBQOM&#10;yZi1i4rGrFXiNnv0Hy7BJaEo48ISODIMgi2sPR9x0RxYzPCY3bp9twTzC5asxDRXHwwePQXOfYbI&#10;+K0EqKzHiMHbA3fEPbgsYrs69xok1mWIhu6YNWdh/v1S6dSps3IgN7anR/9hZmpR2cJaateeAxJ6&#10;ct3WnXvJfzRYJWEtPWvNAcZKB2sZykIcu7aEtUUH67MVYS3L8xzNLgbWErazDI/lN20YI7erBLfc&#10;HyP+MY9vdwlxGUtZiQPS9Rf7zd/R4qWrsHPnPpw9Gy7rTBG/F/2s0dK6t3jPofH3wriuDBlAGKri&#10;1pYnU1BWwVrbZcJapvGLM4ZBiI6Olst0JGA8XutzzrrfWlpaFV8a1pZCBLF3wiMRsWgVDg6fjG1t&#10;e2H137/Gqj99iqXv/QPz6/4Wy371r3xb87evsL1dbxweOwPn5y3DrWOnkWMzQEhFlLrxa1irraKZ&#10;T9X68HzuDXg8+xq8Kr0FH5EW1OiPWP7fFtjadzSO+Abj0o59uBVxCakJhT8p0nr0ooctO6jqHsQp&#10;49fS02D9+vX5g4tZYa3Vs1bBVzVfGrPCWnaW2RnmdnltqI6wrWlpPU4izLUC3YiIi7h6JUrO8/cw&#10;cNg4HDx8THrTquufv4+eA0aIaQGcI6zlAE35ZcyXyWGji/esPXc2XHrWXr5yFfHxhucQYe3uvQVQ&#10;85Pm7c05yDik9G7dsWufmQLMdPMT7S0Ab3fuJNr1xHxYQNdWjI3r5h2AQSMmYLqrj5kKOQDcV627&#10;SM/RkmAtFRF5SZYl+JOAVRiBo23MWsaGNcr0QEsxtffFCT2G4+Nvyzrbd+snwwJwMC4C8rLo5Kkz&#10;su0KVHbvPxyMCRy0YAk2irpOnDorPaxbmYD0o2ZtkZpuv49shbUMn0DxfPUaOEqsa4SKCAiaL9OV&#10;2Efl9rntUoVBENdnq05GWwzP2tLBWgJywtriPGtVXN7PvuuI/fsPYYO4fgMCg6UXei/xG2kn2sZ4&#10;w9z/6OiCeLj8TfDa5j5/K4z7whAbPHdd+gzDhBnu2Lg5VMaN1tLSsi8+i2h87hDWcjCu8gxrrW1T&#10;sJbLKp1pN2/elH1hfl3G/q+CtdZ/SFlhrTItLa2KKw1ri1HqjVgJWre16YFlv/43gl9973vZgrc+&#10;wPqPWuD4NC/cDi/wVKlIUjd8DWu1PS5Gb1zvyvXgVelNGVLBS8z71GqE2Q3/hBWftMG2AWNxbPYS&#10;XNl3BAlXopCekqq9cR+R+PkXY3Wp+xA74ey4Hjx4ECtXrsz3pGXYAk7paWsFr2WFtTRVJ+933Lbq&#10;BFO6E6z1Yxf/YRIXF18EuG4P3YPDhw0PXOrO7TsYNHIC4hNuI5MvleJnw9/R8DGTkZpS8Pm3VefO&#10;npcDZgXMWYBJ092lh++mzdtlfNfQ3fuwau1GGYqBYl0EvzdiYjB64gyZRnEwNSt4i4m5KdaZYi4Z&#10;kuuOnVrot8y0BNHmh/X75nasn9hfi7qOVas3wJ1eyCFbzNTiRQ9lgkZ6whoDjBWOWcuXe+WJSvAZ&#10;ELRAnoNiJdqzZv1GGaaA6wweOSn/vlcaTZrhkQ8qZfxbMU8oSfj4pWjHFy07ybi6ss0s07EHNmy0&#10;v5/9JKw1vIF5z1c6ey5chu3g+l+LOm/GxJo5Rh+VnrUS1nbrV2iAMXtSYRBYV2lhrRw8TRxLes8W&#10;GwahnXEMPv22gwxFosTB//g8uS1+Dwy5cOjQMXGOCmB1ckpKvhc0zynnv2jlLMGt3KawL1t2RqtO&#10;vbByzQZwMDMtLa3CssLaFPGbunTpUiHwaYWlj9pKC2tjxDOOz11OCWv51VdsbKyGtVpaj7E0rLUo&#10;NzsHNw8exZYWXbGw4Yd2oeuDMgLgA8MnIenSlQpzI1XtLM+w1re6mCqzk69NW2nNx9EJ3lXrw6vK&#10;WxLoejz/Jrxr1Mecxn/Fys87IHTYZJxeuhZRR08hMeYWyvoJrFbZxE637edevBcxHMKWLVsKhT5Q&#10;YJbg9n4GF6MpD12ue+jQIRmOQXX8KdUJtpqWlpbxW7WGI6Bn45KlazDD1RvjJ7vAy2+2fJkcMGw8&#10;1m/cilNnwnAjJrYQEKRn7YqV6+TvKjfP8GbfELIFC5esxLbtu9FnwMj8e0HMzVjpVcuyQfMWy/AH&#10;lKunn4w1qsQB2Kwwl2K9vQaOKPT75X2l/9BxhdqjlC3y+Cn6w1Bp7yupaWn45Nv2+LKVswS19OQ8&#10;duK0mWt48BLwEf591qJjoU/uixNh9affdZCwkQAzNrZ0A6fdTriTH46B2+vUcxDadOknwyvQA5jt&#10;Y7xca5xcWlvn3mYNhdV3sNWztuB88NyMn+om62HdIydMzz9fPH/Ks5YxazMzSxEGQXrW9ioTrOV2&#10;CaWDgpeYqQXiMVbA+tPm7ZGclGzmFJXteSas5Tnkuqxjxer1mLdwGabN9IJzr0HyHH7T3vBc5n66&#10;ePgVOjYl6dDhY9Kz1z8wWA5KR4ilpfU4ivcDdU/gP6wY55XAUwFQKywtL8Z2WU1BW4ZB4JQetfQS&#10;pqNCeHi4BLbXr1/P/2efupfYmpaWVsWVhrWmrm0MxcoPP0Hwa/bh6g9mr72PlX/6FBGLV5X7G6pq&#10;X3mFtb7VG9mYDbxlWo1GdtfVpq20xmvLx7EhfB2d4OPQAB7Pvg63p1+CV9W3MPftv2P1N87YNdEd&#10;YRzo7FwEUhONuNZa31+897CjqsTjyhAJhw8floOLMWyBAqzWkAhWL9vSmnXdAwcOyEGV7MEbtkGZ&#10;lpaWHYmfBn87hLgErPSm5e8l+voNHNh/GEuXrcZ0F69C3odnz4RhybJV5pIhhkFgmAOuS6/b27fv&#10;yLp9A+djwPDx6D94NLr0Gohlq9bL8oS1crAoU4S1Y4rA2rvoPXBkod8v7zMDRX32fu9+QfPkp/kl&#10;KTcnD5kWWP0wdD36Bk6dPodt23bALyAYFy9elunchw5d+4EDkDVr2wUdew4s1b2K3p8cBItAkHCV&#10;Hpyl0dr1m9HMDMtAD1qC+rT0dAlEL126ip2792POgiUYM9kFncW5MuK3GkCYA3nZirCW+baetRS9&#10;VznAGsM1fNXKGRciLsp0nj+VLsMglMqztrfcDsMNXL161cwpXoNlGATTs3Ze8bCWx4/Q296+FScD&#10;1hqetayD/8jgOeP+EzzzmuZ1zFjHxuBynbAtdLe5dvEi0B06ZrKMk8x6eexdPQrHl9bSehxFmMk4&#10;r/RELc+w1uphyynbyzS+czOf+8A+MGPXXrhwQabxfkUYTfE+oe7vpbnPa2lplX/96GEtY9Eu+81/&#10;7IPUYmzuS+9g7otvI6BSHcx97X3MrtUEfs+8hnl1fovgV95DQOW6CHRsgLmvvGt3/eKMsW8jl68z&#10;W1b+pG785RHW+tKqNzSsmgFrvas3ho8JaA1wa6QXNrG+mEqzqVObtrKYvAbVvLievCu9BZef1sTM&#10;nznK8Apz3/sn1rbphQOeQYjcdQBxV68j22aAH617i+EQrBCFn5Py87atW7dKsGqFs/Sm5TKnhK+2&#10;QLYks8JahlogFNawVkvrwcr6+7H+hrIysxB3K95cMrR6TQi2mPFTCX35GTinbZz7yN8m5wne+gwc&#10;KcGWl/8cRFkGTIslrJ1Q1LO296BRhbedlV0srP22TVc5gr/t4GwUYdjAYRPQZ9AIjJ3sKmO1xt6K&#10;k3mZGZkIvxApIaq9eh+krMeS0zt3knDhfAS2bN+FkycKx7ItTlxvfQg9cg3g2JNAO6/kexw/x+/Z&#10;fwQ4aBZBae8BI82comL9PA49+40QZQ1gO3d+UehJME4oautZS7GOwDmLJHSkl2vbrn1lneyjqsHL&#10;GBc2qxQxaxkGQUHjUsesNWFqSZ61hKmEtSV51tpKhkEwPWu/EfsRbccTmtf3oOHj5HFmue59h0nA&#10;XpII9L9uZ4Sf4Dq0z0TbSiNP71mY7uKNhYtW4uSpAq9tLa2KIMJahg6o6LCWXrSEtRx0lwOmMY1f&#10;l2lYq6X1+OpHC2tzRUd774CxdqGp1Qhc57z4NoJf/xUWNvgj9g8ah0urNyEt5hYyRQeYyrN8/swB&#10;EDLvJCIj4TYSIy4hLGgRtrfrhcVv/1XU0xRzXnr7nhB3yXv/QNTWXffsGD9sqRt/uYW11RrCq4YT&#10;/Ko1wCwHJ7jXbASXWo3h79AEcys3RoBDI3jWUBC3sZgWhbd+0vPWPri1wjht2spsNZtI43Xq/stX&#10;MOP/qsLlZzXgW7spFnz4OTb2HIZjc5fiyoGjuBNzE7nid5YnXr7uipdP3ekqLHZM1THhyzlDFBw5&#10;cgSrVq3KD4VA2KpgrYKvtkC2JNOwVkurfEl55iod2H8Ip0+dQ8imbWaKIW//ubgQeUkOlDVhqrtc&#10;j7/PS1euYfJ0D7OUIf6mexWBtVkYMLxoGIRdu/dj2/ZduBF9Q4ZjsFVQ8CKsWh2SXxdH9adnKaFz&#10;u6594eY1C57+s9Gucy8ZP5ci9D107CSuRd1AUnKK3XvMo9KtuHj85+vW+KKVs4ybag0pYU/nL0TK&#10;2LiEgPw8nwON3UuhO/ZIz11CTcJW2/toP3rW2olZq0RP0zZd+sptfi3KbNu2S14jHHyMUFLGrC1N&#10;GARzsDMD1t7bs5awlrF0jQHGisLaGMJaM2btJ807IDW14Jl1LxmwtpNY1/CAtQdrqUuXr+Ir0V65&#10;722cZUzokjRv0QoJthnPt5eE6j2k8XdyL9GTnWUZJ3j0+GlmavHidUxAxnPBwexKu+9aWg9CvN6s&#10;1xzvw4ztygG5yjus5VS1kWEOmKbCIFy7dg1JSUmyz0snBaZxqsKZ2O63lpZWxdePEtamREVjcZO/&#10;2AWlyua+/A7m1fkN1v6jGS6t2SjXIzQxZowbYZ7oZOeKTmBOegaykpKRLTpj2enpyM3IRG6WMXK4&#10;EufTbt1CePBSbPi0Dea9+Zt7gtvVf/0CaZZBEx611P6UX8/aRvCo0RA+1Z0wr5ITAqs0hAchbLVG&#10;mFOZn643wszajUXa2/Cq9ja8qzeFd7XG8BH5BrhtaIRKkNC2+G3km/TYFWWlaZCr7XsYQa6YelV+&#10;C64/qy29cT2fewOBb/0eS/7bEtuHTsaJBStx9dBxJMbGITMlFTni3lOeXuwfplT8WCXek/hJWEhI&#10;iAyFQEjLeLWErsrLtqymYa2WVvkXf5O2vz16Hl24ECnnV6/fhOGjJmHSNHd06TWk0Kj7FMMg9LQT&#10;s3aQHc/aDt36Y+PG7QgLv4Ae/YeJlMLb7TlghN3P3b38Z2PvgcPmkqFvWjvL+vllQIeu/bFqzQaM&#10;GDsFnr5B8t7GgdjmLlqGPQeO4Gbsrfz73cO8z3Bb9Ezeu+8gFixejv02+2AVy7p5BhjepB174svW&#10;XZBpGTStOGVkZOGT5u3lOgwpEBVV4AlNleRZq7RpS6jMJ7T86Ou2Esy0MgcMk2EQSuFZ20rGrC2D&#10;Zy1j1pYAawvCIPTCV22cEbJ+M06fPidDcRDc8hpT/0SwVYFnbQ8JfIuDtVHXb+CLlhxkTWxDHO9r&#10;JbSb4LS9uH4Jsb9o0Vl6WhtgvQcGjphglipe/KcHBzsjOJ883d1MLV4cdLBdl37o0W+YjCet/jmh&#10;pfUwxN+V9bfFfxrwqyzGeSX4LK+wVpmCtQreKlh7+fJl2RflM47zTLt48aJdWGvv3qKlpVXx9KOD&#10;tdc27ygxLi3h6YL6v8fxqZ64m1cAAwhq6TEbe/gEwmYvQmjHflj3n+ayLKHuQqc/YJZDfQSL9Zf9&#10;5t9Y+69vsa1NT5xw9UfU9t1Itels0Ss3fO5SrPrLFxIMFwdt57/1Ac54z5Hw91FL3fjLJaw1wxy4&#10;1zBsTpVGCKraCF5Mq9lIhkPwqtZY5vk4EtA2EWZ42BLmehPyVmsg6qDZ965lWYJdGVqhWDPaogc4&#10;0/ZArCbN8Mb1eOZ1uD5RE26/eEn+Y2DO23/Dyq87YdfYmTi9ZA2ixL0pMfom0hOTkSN+o49zN42A&#10;gyPiqnsSX3r5idvOnTulZy0BK2Gt8qYlvKXZAtmSTMNaLa3HQxxpnwNm8csnWxHWDhs1sdDvl30c&#10;etZKqCZe8vm7v8I4oZNmytig/Fx/wLBxuHKlsAcmYa017q7SkJGTkGDj9bhg0QrxIh4m72W9xHpK&#10;bt6zcC78AtIzMtB38CicOX0OQXMXyYHR2I6w85FYv3G7WdoQB1ij+DWWvXvUwxCB6PAxU9Cl92C0&#10;du4DT7+gUt8TBwwdK0EpYauHb6CZakjCWgkt7XvWKnXuNViWYz0+s+aiQ48Bsj4D1pbOs5bl6RF8&#10;Lw9iirCW22PIh9nFeda2NzxraRww7L9ft8HH37aTwLR736EYO3EmZs9ZIAf9sh4rBWsNgE1YW/gf&#10;DEonT52TwJXlOHCb7T8irDpy9IT0qGVbOvUYKOFtx+4DZPiIZvc4ttTEqW5oKdald+3kafeGtfwd&#10;tOIx7WTEPI4w4wlraT0M2fbJ+AUDxx04f/58uYW1bJNql5q3etpySjDLEAiEtQx/wDK2sFaptPdf&#10;LS2t8q0fDazlTev8ghWY98av7EJRAlOC12NTPJCZZIQ3ECshS3TiLq4KwebmzlhQ7/cIqt5QliWU&#10;tVePrTGEAtcJqtkIS3/1LxwaNQ23jhWO9xSz/yjW/vtbzLWzvrKQL9ohLdaIffaopG785RLW0qo1&#10;glfNxnCvZXjKelV3glutBphZm+ERGmGWQ2PMcjTKMSSCvzACWwJdlieI9XNsYEzFsu02JKwV59Kj&#10;ZgN4OdaDX01Rr2N9+Ds2FOspiEtYa0xt19em7YGa6Y3rXaU+PJ56FW6/fBGez9eF/8vvYd4H/8W6&#10;Vj2xd5I7zi5bh+jjZ5F4PQbpSSn3fCmrKKKXhNoX3pvYWT127JgErdbQB4S2KhxCWYCthrVaWj8O&#10;ZdgMBsYXew+fWRg3aSYmTnOXcJbegdbByi5fuYaZHv7mkqFJ0z0k1LUV102ILwxrjx47hRVrNkhY&#10;273fMNwRfU2Gd5ni4okz58IlrB06cqLsh/LeMmGKm4Rxp8+GY86CZWYthji4FkVvzmFjpsIncB62&#10;hu6SQM4q7hfjypYkbmvZ8jX3fT+jBxv3VcVQLI0OHjomISmhY8ceAws9owxYa4RBKM6zljp95qz0&#10;Lv1OerJ2QdsufeR6bbv1LSWsLWvM2gmifA/Ts3axmVogDn6mYK3hXdtFAmfCTqYRYkrPXLE8auKM&#10;QsdbDjDWwoxZK+o4fyECaalpyMnOkeV4HOLi4mV8YAW56TXLf0rYE4/nqAnTpVcsByVjuA7KPyhY&#10;tpFtCN1R8gBlE6a6yf2gl/OUUnjW8nlMWEtvXMY9joi4d6gFLa0HJf5OrL8p9t0YPoBfYJV3WKsA&#10;LU3Nq7yIiAjx24+Tvy+GayHEZexawlur5H1C7LP1GGhpaVVM/Whg7Rm/eQh+7f0iEJRG+Lrlu65I&#10;tfxXOvlaNA4Mm4SFDT+UoNXeemW2V4z4t7NrNsayX/8bpz2DkH4rPv9men3HPqz9ZzOZb2/9RY3/&#10;hJh9xX+G9kNLtbO8etYSsvqa8JWxab2qGyERvGo1xrTqDTCjagNMf74O3MQ84WqgWPZ3dJJetVzH&#10;T6xPgCsHKCOwtd2GqJsejgHCfKo5wdOhHgJEXUEOBLYN4FpTpJnl7tezVnnm6pAK2r6X1aTnuLiu&#10;X6gLj2degcezr8PHwQkBb/4aC/7wCTZ06Id9U7xwbvUmxJwKQ6J4yc9gTD35C68YIngg6FAiJGBH&#10;fO3atdK7VgHbFStWaFirpaVVJtHjln0dQjL+9hkf1AoReb8ZNW4qMjIKPrHnAGadewzMH1RM3S8W&#10;LV2N/QePynmldRu2YFvoLnkP40Bp01y84NxrMJYsW2Xc2zIypMfttevREn526z0E8fEJBqxdWBjW&#10;EjBSV69dh4f3LERFRWP5ynWYNMNDtDlPtnvJsjUYM2kGpojtLBbbYLtv374jwy1YtXHTdqxat8lc&#10;ejjivbNn/+Fo26WvhLb0AlXqPWikBIqEltbjb08DR06Q8FIZIaYRs7YUA4x1Mjxr6aFaGlg7WGyL&#10;sPW79j0wp1hY20PCSsb73bwpVJ7bme6+6D90LDr26C/BJz1jh42bUuj5oWCt2oc2zr3RVZz/oSMn&#10;yX8IjJvighZi2zwusv6WHbGmhHPG2MOE3ayP3rUXL12R6QxNwP3lNvoPGyvTitPEqe6yXHNhpQ2D&#10;IGEttynaqT1rtR6m7PXJ+DUWYWdFgrW2efQMZuxd7ouCtdwnW1jLZw/vl7pfqqVV8fWjgLUXFq60&#10;C2oZemDeG79G+LylyBUdbypHdJwPjppaLNh9UMZtz67dBMFv/Ar7Bo5F8lUjThf/Y35hwQojpm4x&#10;3runvWfLsg9b6qZfHmEt4Sg9W/0dxLwjrRGCKzXEohcawc+hIaY2/gOuLluL4+4B8P3V3+BRqzEC&#10;RRk/h/rwqVEfHjUbwq9aQ/gzTUJeescWNhmXlrC2akN4VmsM/1pNMasqwyY4waVWQ7jVbIQAsf6s&#10;KqaXrr123sOsnrkF88LMPCOmbtH1tGkri/mI69br+TrwfP4NGSfXx9EJAXV/jcV/+RIbOw/EARd/&#10;XNgYipvnLiD5VryEB+VRhChK7JxypNzt27dLwKpi1xK6cso0DWu1tLQelOg9antvDA+PwNhJrpjm&#10;6oUJU9xlKIXExGT0GzIap86cQ2pKigzJQFCXmpouYW3vgSPli/WGjduwcbMR4oCwliEFZs9bjC9b&#10;dMap0+fkPeb02TDMtfGsbdamq5xeu3YdPgFz5TzVf9g4GUN35ZoQzPDwlZ8Bsz37DhyWEHrJstU4&#10;ZIJRphPiTnPzwfLVG0SbE2X6wxL3LTUlVXoPx1q+IgsInIcBw8aidefedu+/VsXFJ+R7pDLUAKcc&#10;tIx91pJUKAxCaT1rGQZBnEOGQQiaZy9mrQlrRTs+bd4BKeL4UtxPgn7u661bcTK28unTZws9P2QY&#10;BBPW0giwv23fLR9aE7gynaCVA37xGinuGc16F4vzzFAH9KDtPXhMobIMbUAPYe6LLfCxyupZWxpY&#10;W8izVsNarYcsXvfW3xTFey29UMsjrLV60HLeFtgqWMsB0ghr+ezhYGOEtXRSoNewdX81rNXSenz0&#10;2MPa2CMnMb/ub4sAT8LS+XU/QMKZcLMkcGXDNixu+hcjzIFN+R/SjLb8FvsHjzdbIl4CRGd1e7ve&#10;BtC1sw4B78OWuumXW1hLz1gZ5kAsi+m8Sg2x4IVGmFLFCbtcvJCdm4PMvGyEBy/HyNpO8HZsiNnV&#10;xLRaPRnagOvPqtpIrE/Y2lDWy2khWMv5qk0woXZTDHvudcx8to6EtDNri3SCWgcCXycZLqFIG0th&#10;BLEyvm4NA/wSHucDW7V9msg3pvbr0abtfozXlHfV+vCqXBfeld6ClzBvx/qYVec3WPKPb7C5+zAc&#10;9p6DSzv3Iy7yCtKTkh9pZ5BxapXYDsbyOnz4sPSmJawlaC0rpFWmYa2Wltb9iDAuKTlZfqpOD12K&#10;83PnL8b4qa4YNnoSjh49KdP56Xq3vkPlPNfrN2SM9JoirB0y0oilu2XrDmzdvkuWIawNXrxCzit9&#10;o2Bt1HXp7XtWlNm3/xC69RsqvUq79R1iF8StXLUeh4+dlNsYMmoS1m/cBoZSOHHiDPoMHo1bt+LN&#10;koZyxf1vy47dOHjkuBz07GGIwIHHpbRhFQKC5kmI+U37bmjergfaOPcp4j1sKzXAGGHt1+JYPsgB&#10;xljnx807ICnJiClZGuV71nbqJQHr6InTxfkYI/eFcJZ1EprOcPfD5ctXS4TY7K937DZAwt3m7bpj&#10;9VpjwGQlL7/Zsj4er1VrQszUopIDjJUhDAI9awnYuV0Na7Uetqx9MjXlvZDxXcsrrFVAlvNnz54t&#10;BGxV3rlzHKTwpgxxEx0dLfeFg6bxH3FqPynO875gTdPS0qqYeqxhbXpsHBY3/rNd2MlBwVLNQRmo&#10;fQPGPHRIa2vc/qImf0HkkjWyTRzULELMFxfLNrRzf1nuYUnd9MsvrG0oQatndXq5Gt6x7rUaY+Cr&#10;byMt4Q7SUtKQmZuD1BtxmPDeX+FarTGCCEOrOcGrhjGwGD1zfRwawJvA1QJqaQoI+77QEIcGjEfU&#10;5h04OtoFMx05cFljGXqBYRe8RV3cNttVaH1re4sxAlnGz3Wr1QjzKzXG0ufFeqKN7jVFntg2571F&#10;uws8f0W6uZ4Et5xaLH/Zsg1t2spq8hoTvwf526haT0JchlbwrPomAut8gGX/bo4tfUfjePAyXDl4&#10;DLevxyD7IQyKyE6r+jSW9ydCDnZc169fnw9alYctY9fag7LFmYa1WlpaD1K8f3DAMoYmUGIM2WOW&#10;z/73HzqK+QuXIS09Hf0Gj+YNRnpCtnXuK6cxMbGYOM3NLG3oi5ad5JSetUPGTEawWJ+f5t+IuSnv&#10;S517DpTw11YrTFgbGxePvtLjsuBeGp9wG30GjZLLSrzXcuCukI3b4OMbJAdUu2mO8k+gGrJ5O/Yd&#10;PIoroh0cYOpR3BG5D9wvT99ZGC6ORZ8ho0sVBqFVGWPWDh41QYJLgsjZdsIgyAHG2hmwlp61yfcB&#10;ayVEFXVcj44R/W4C63Rs3b5betpy24zney+dC7uAL1p0knURtt68WRiyJ4l9p9cu6yOgL0685giP&#10;Jayd5mGmFi+efwVrCYI1rNV6mLL2ydS0osFapqt2qjyms9/L9/AbN27Id3ECXDoqWPun3GcNa7W0&#10;Hg89trD2ruhUhnze1i7knP/WB8hKMrwMGPZg3X+aP3JQq4xetnNeehsbv+6IHLODmXjxChY3sQ+d&#10;t7XtKcs8DKmbfvmEtQSlDeUAYl7VG8O1dgMEE6K+0AiHpvgiNz0HiVfikHDqEvLEC8/GEVMx86X3&#10;MKtSAwQ4Ool1GsBH1CM9c02wyimhrYKt9NglwA1ybIoR1esh8XwEchJvY87fvoR7rSaY+qIoW6M+&#10;/B2MdVQdxVmh9pvGdIJYjxqsw8lsmxNm1nSCj2jbLAeRV/1tCYYZa9dbrMOBz4qDtflm1q2WjXJi&#10;2dyuNm33a/I64j8xGD5EXPsez7wOlydqwf3Z1xBY7/dY9nFrhIrf2+mVIYg+HY6UhILQBd9XBAT8&#10;tI33Jho745cvX0ZISIiMW6thrZaWVnmX9d7BefaxeK+5fv0GE2TaqdNnsXr1BjnvHzQP0918xMv7&#10;OcxbtBxjJsyU68owCP5zZRlVJ6e9Bo5EotnntUrBWg6KxlioorCZY8QE79ZnGDItMXkJa7v2GWoM&#10;dJV3FympqWjTuY9YNu7D3fsNR8jGLfDymS0HZ7PeLxl24bKdwdd+KHG/GVaMzwh1LIoTB3f7spWz&#10;HKjty1adS+9Z25GDZ/UoeYCxTgrWFh9iwFYyDMJ3HcDB0ghro28YQJzivrR1NgZP44BlyuPanlh2&#10;3GQ3GaqB5YeNmWz3Gda8vREygvWx3fZkeNYaHr1lC4PQS3vWaj108dpXv3s1Zf/w0qVLFQLWKq9a&#10;23ZymR61fEbwyzK+i7MsBx1TjgsU91nDWi2tx0OPLay9uGqjXbg5u2YTCeuobMbseu8fdsuVC3v9&#10;V7gdHpF/s13U6E+YYwcq7+w2+KHckNU2yiOsNUBkI8yu3AC+1epjaq034FqrAca//h5y7mSKh1g2&#10;zogOtf+n34kXi3QkXojEtFd+haAa7yCguhN8Gbu2ZmN4OzaCy/NvwvXpV+H63BvSm1Ba9cbwkZ6z&#10;DWWIAnq/Tvnbf5CTm4lTq9dgVOU60ut1tkMDBFQWdZlhENgmAl7lpWv11rW2u8DoEczy9eBWs57Y&#10;h/oS1s6qJsyRcXWd4FGjoeHFW1MY65D1FEwJbwMcGyPQQUzpKVyN3rrGtjiIGq3odmlGGWNqGKGu&#10;9Thr01ZmE/dcTr2riOv5/2pgxk8qw+Pp1xDY4I9Y8XVn7J7mg/NbduHWpavIzDJerJXdSyzDz7/U&#10;CygBw5UrV7Bu3TrMmzdPgtb7CYFA07BWS0urvIj3F+tXBASsG7eEYv+BI/n3JYZBcHH3k/NW7d13&#10;EDPcfYxylnuVCoPAAaiGjCoM8rit/oNHISEuwUyxwFqzD01t2LgV20N3S1g7aOQEM7Wooq/HYOI0&#10;+5DvyJGTcv1HpTwez8tXsXXbDnj7BuGm5au74sQBxgguZRgEOzFrpWdtIVhbNs9aFbOWdVhhLRV1&#10;/YYcmIz5rZ17yz65PWWIY8ptG161PWVIha/N+Lcdew7E2MkuWLBsFUZNmG54wLbrjvmLCofYUJpg&#10;etY271h6WFvgWdsdEZGXzBwtrR9WxfXF+DvhuAZWMGoFoeXd2F6CZg4sRvBMQMt07g/BLfdP90O1&#10;tB4/PZawNjs5pQjQpNF79taxU7JMblY2VvzhY7vlypPR0zZi6RrpxcCwCOv+20Km2ZY7Otn9B79J&#10;q/rLI6w1PGsbYZZjffg71oVH7boYX+st7JjhjrT0O8hNz4DXBx9hyivv4PblS8jISsacZp3gXr2J&#10;BLXBlevBpVoDBPzpU5yYMQ9nFq9FyMCRmPByE8x88R1MrdEI0yu/acDaWg0wi3FqqzfA7gnTkHUj&#10;Fr5N/ooFzzVCYNUGcrAmNcAY4ScBLT10lZeumqp8VSbfHBvCVxpj3zaCJwcxq9wAgfTYFWmeNURd&#10;XEesT4BsC2tlKAgJlMVxoacwYS3LibqDqjbC7KqNMUuYETKisYTPnGebjfAKZj2mGe0Uxqk0tt1q&#10;lvOgTVtprSZN/P7ENUd4O/P/OcL1/9WQ19q8336EdR374aB3MCJD9yKeIDc1DTmZWcjLLRg0gVOr&#10;RwGnHHSBYRDmz58vQa3V7EHZ4kzDWi0trYok3oPSRV/HngJmL8SI0VOwbt0mrFy7AdnZOVi+cl3+&#10;AGPd+w2R0FbdxzLFvbaNc2/kmPdWSsLavoVh7bmz5xEQNF9u17nXIKzbsAlHj59EfEJCoXvijegY&#10;TJ3hZS4ViCEhOnUfgKA5882UouJgXFevRUuIWhyYfNgaMmKCMcBXa2d5bG0lPWvbdZewksCUA72V&#10;VjIMwndmGAQ7sJYaxDAMIp8w1y9wvt3nDweW+6pNV1mOYJnG9tCYRnj7TTtj4DJZRliXvkNkaA5b&#10;GQOMlcGzNjnV8KwV60jPWg1rtR6SiuuL0cueXqkMJVCRYS0dEhizln1f5YHLkAgEuMXtu5aWVsXV&#10;YwdreaPiQF22MJN2bIoRZ4llQj6zHyKhPFpQzUY46RogYS214bM2CLYDbC+uND6R+6Gk6i6PsFZC&#10;z2ocmOstCWuDqtSHR8PfIyvxDrJz0xG+PASjfvkGPJ9vjINjfZGWmYLo3fsxQRxbf8JQByd4ffQl&#10;clNTkJ6Tjbv8zE+8mFw6dAyHZi3HncvXEb99D6ZUrQP/mg0wo2Z9TKxaF9Pf/C2mvfMXjH+xKQKr&#10;NYFXtfpwrV5PQlfj03ADxFrbKfPENL/dwhTANdLFtGpDzKvcFNOfqoPlH7WC+x//C09xvN0cCGGb&#10;GF6+ysz1jEHHRJ1iu+5i3qVWI3iI/ZMgW6QR8BLM+lVjuAdR1pGgtonhdetghI9wr8l2i3zCXKbT&#10;2E7ZVmWW7clt0grypDeumpr7rU1bmUx541auB/cnXoLLz6vD49k3EPDmb7Do719jc++ROBqwAJd2&#10;7JMj4ypYy3sUO+MbNmyQ4Q8IXQlb78fDVsNaLS2tx0mMzRoWESle+s/Ke+bBQ0dwLvyCzIu9GYvu&#10;fYdi3/6DCD9/ATM9/TB7XuHP+7kOB0Ozwtot23ZID116xvYZPAp7DhzGgqWrsGb9xkL3xOhiYO2h&#10;w8ewNmQrOnYfYPf+euTYSXTqMQALFy9H0PzF6C/jtBpexgwNsXz1euzZfwipqQUDkD2Me3FWZqZ4&#10;9tySx+rChaKf+BNOM6wAgej/vmkrR2svrYwwCIZnrW0YBCV66n7Z2lkCVkJjxgm2isfy27ZdRL7h&#10;/dtv6FhMmemN3oPHyLjDLTszPEE3fCXWbdbWaCe3x7ou2AGrhLUG0OUAY/eOWWsdYEzHrNV6mCru&#10;9/84wVoOuEhYq2Lb0mOYANe675xXpqWlVXH12MHa7LT0IhCTtvKPnyI30/iP/ImZPnbLlGt75V0c&#10;Gj1dAlva2n9/a9fDNiEsQu7jDyF1wy+XsJZWrSFca9YHY716PNMAhyZ6IScrE5l5mQjbuB1bhkzC&#10;/GZdEPBdb2SlpuJuZgZ8/vkpfGs3wZgqb+LSzr1Iy0pHrnigH1uyApsGj0Zs2HlkJqchLzkLebeS&#10;ME6Um1WlEQL/+imu7tiLrNu3kZ6SitiTYfD5pDlm1miE2SLfgx6wdT8Qyw3h4dAAbpXrwfWFuvCs&#10;/JaEtfmAld6sXCbAFety6k1zbIi5LzTB0F+8jMQTp5GdnoaU8EvwrPN7+FV7Dz6OJqgV5i1DJ4h5&#10;WSfDHjSCv1ifA5F51ORyQ8xyaAg/YRxIzaOmOD41G8hyQVUbI7hSI8yp0lhu14WhIEQdsxx4PI0Q&#10;ChLCiqmMj0tTbWf4CLFtY97YdsF8gWloq+2BGr1xxbXr+dybcHuyFiIPHsmHtRQHX9i4caOGtVpa&#10;WlplEO9vBw4exdIVa3Hw8PEi9zveZ9t27YdLl6/iZmycBL0tO/TA7dt3jDAII8abJYuKsHbKTE9z&#10;yRDvmYynS/CwZetOnD8faeYY4lcUHbsPRFxcvFxmecNz+C6Wr1qPUeOnyzAQG0T/rt+QMfmDZ8WL&#10;8oHzlhRpPyGzvXv4DyFu68KFSOzde1AOGJdRjMezPRlhEDrkx3u1B2t5DHwCZsswC8079MSw0ZML&#10;PQcJRxlKgYD1m3ZdJdjmOvxKj56zHKwsKuo6DonzvGJNiIS5BKvN23WH7yzGPTbqUWJM4xZiW4S1&#10;k2wGuLOnZNEvpmct4+4anrUa1mo9HBXXFyOspQcqB+RS8NMKQ8u7WWEtB9ONj49HWFiYzIuKipL3&#10;YOu+c16ZlpZWxdVjB2t3dhtUBGASasafPCPzky5ewZyXysdgYmU1Djx2cPhkuR85ouO36k+fIviV&#10;wmUWNfxQAusfQuqGX149awkRPV9shOnVnDDtrT8j7UYCkjPSRcc0D3dz80THP0t0VHPlKPVp2RnI&#10;ysvE6cVLMaNKPUyt3RRp16KRwQ7snv0YVvl1uL1QFyPeeh/JMbHITclEblwixjjWhc9bf0HKpevI&#10;zslAalQMTq8PRXpCInLEcZn/VQfMq9oULg0+QOb1m0g6cRGLv+iOpe37Ys90d6zvPhh+9T6EW3XG&#10;n22UD2u5D56V68GLo+1XbwCPFxvCq1I9DHvqFdwU7clMu42Mq9cw6c1fI7Dae/AX63mJ/fStKfad&#10;QNYCRlW4g8AqLGPC3KpO8Kr8FjyrEdY2gFtNI5zCnKoNMVeU83dgSIRGIp0DmIl6HA0vXCPUgglq&#10;Rd3GYGYmJK5ZT6Q3kGkEw9wXQmEOguZLz13un9km2/OlTduDsrNbdxR6AWcHVsNaLS0trQcr3v92&#10;7tqHhYtXwtXDH27esxB56YrMIyhgiIQz58JlTFV+9m+9J9LTdIqNZ21MzE3pyekfGIw160MkcLTq&#10;zu076DNwdCFPXorbcu45CCnJBXFgCYw5IBrbeD0qGr36DcfxE0bYM4qDog0ZPQm79u6Xy9t37JHT&#10;8qgksV//+bKVPDZftu6C6+LY2RO9VxmGgcCWA6MdPHLMzAFGjJ0qYS8BbBvnPjLsRUk6F3ZeetkS&#10;xrbr2s+E4gWaNXu+rK+l2NbQMVPM1OLFtklYS5hMWKs9a7UektR9x7ZfRljL2K4KcFZUWMtB0pKT&#10;k5GQkIDz58/LPMaxJcC19lHV/luPgZaWVsXTYwVr6XFqBZfKQjv2M0sAy3/zH7shBCqKzXnxbRyb&#10;YngnZMQnYHGTvxQps6VlN/nf8wctdcMvtzFrCSYd38JYhzexeaIbMjLScTc9G4t7jsC6/mOwx28O&#10;LmzejuhTZ5EaHYuM3ExkJycisM4f4VGpMTKux8gQCGfWhsClWkMEVq6PSY71EbFyE9KyMpGXkIRh&#10;L7yOhR0GIltca6mJd+D9t+aY8GwTTP7DJ3I56+pNTKpaD6Ob/AYZqWm4IzrIKZdvIo+xNgmK83KQ&#10;JpZ9/vQxZlduiHnP1YdHNSdMqim29/6/MO8f38Kz0R8xusYrmO7wuoSiXvU/gPffP8Pqtt0w8UUn&#10;A/AybAK9YGs0lGWkd670cjWgKUGrjFtLiFrrbSz7w0cIEZ32gL/9DzNebAhv6V3rBA5YRnA7s7Yo&#10;L9rAUAiEr7Mcmsg6uMx4t9yG9LSV9ZvAtlo9CYK9xLyHOAcMs+DvWA+BVZ1kTFx/UYfheWvnfJXC&#10;7nc9bT8uO71uc6EOKjuwhLWMWUvoqmCtLYy9l2lYq6WlpVVYvM/xPmj14qS4vHvPfixbvgY+fnMx&#10;Uw1oZir6+g0MGzMZ165H4/adRAlOCHtPnjqDCxGROHzkGHoOGC7TlQhjew8cgRybGKqJScno1m94&#10;kXtuj/7D5cBWhLXBi5ZhxLhpZg5w8NBRjJvsgrUbtshl5+4D5FTp7NkwbAk1AG7orr1ISi59jNkH&#10;LcLpg4eOYcOmbZgVNB/xoq9fnFauWY+vGZe2Qw907DFAfgqdlp6OL1oZEPdbke4/q/h4wEr0tP2q&#10;VRe5zletu+DkSXriFujI0RMmzO0pt2N7/m1FeE5IS1jM2L0a1mo9LKn7gm2/7HGBtRcvXkRiYqLs&#10;60ZERMg8etsS4Fp/l2r/rcdAS0ur4umxgrURi1YVAZf0qr1jflp1ft5yu6EDKppxoDTGp6XiT50T&#10;y0X36UrINpn/IKVu+OXWs7ZaI8xxbACPN5oi9UaMfGjdOXMJw16oA+/KTnBxcIKbMFeGJWjwF8Sd&#10;i0Ta3WzsGzwFLk/URcT2PUjKSMId0akcWvkNBFZvjBEO9XB16x6k5mYjN+EOBjzzCvaO90Z2Xi7S&#10;Em/j4ubdOOwxG/MGDUfs5Ujkig7v4r81g7s4Nlm3k5GRnYOMmDvYPGAsQsZNRnpKMpIzkxF96AjG&#10;iLoIO30/+xrxx04hKy4ReeKlJEO8oFwM3Y05n36Hab98A1v+2wmL//IdvJz+YHjc1qgnzAnuVevB&#10;vXJdeFR5S8JqGUZBtJnglgB2xovGAGX+Do0xtd6vkZOeguyUeBwaOQUe1ZvAo0YD+FYTx6V2I7jW&#10;ogdsE8wQdUx4pTHGi3rdHOvDsyaBbSMD2HIb4hjTC9fPsSECxLGkB66PI+PeNgXj47rXqi+soai7&#10;CTwZW5frfA9Yq0wuqzRzmh8X18zX9uM0e7A2JCQE8+bNk9BVDS5G+GoLZEsyDWu1tLS0yibeB9n3&#10;Ihix3hPT+DXY6vVyMLLJMzywcPEK9B44qhCcZfzazVt3mEtGXZ17DBL33sLxXglke/QdilzRD7Nq&#10;zKSZuH49BtFR0Vi4bDXGTJie/2nwaDG/a+8hrF63UZbt2muQnCrRC5fxb6kR46dh2Jgp+e2/cycR&#10;s+Yag4gdO3kacfEJiLh4WYYnyMjIlOk/pKzH0VYMITFoxAQ49x6CFh16YunytViyfDWatemG5h17&#10;4PMWnXA9qnA8W3vis22Gm685EFlPzPTwL7TdrKxsfPptewlrCWFDd+41c+wrIvIyPm9pxN39um0X&#10;XLWJqaul9UOL168yiv8EYZis8PDwfPhphaHl3djekydPIjIyUvZHaQS3HGTs8uXLdmGtlpZWxddj&#10;BWuXvvfPItBy07edZR69bpe+948i+RXV5r35G9wxBzU44ztXAlzbMmpAsgcldeMvzwOMedZoiICG&#10;v8PhIRMQ5j0H61t2hfdL72KWQz2RXx8+jvUQRE/SKo1xcIIvUnMzkXHlOsY9Wxc+//sWOdmZ4qUi&#10;DRHrNyPw319jef+hyEhKQW46YW0iBlZ+HRu6DRPHNgcZd27h0IrluHhgLxKvXRbLCRLWbmnbG671&#10;/4CsO6niRSQHe1wDMe6p1zGlSn0cmT0PqdmpyIuPx4SqDeD2xm+RfjMGcdmJyMvKRPypC0g8FS4H&#10;N8sTx7mf2N6lNXuRl56F28dOw/XFJnCp1Riuv/8PlrXtge1DxmF5ux7wbPghplWqK71b6WHr5+gE&#10;L3rdiuVZlZti+PN1cXLtamRkpyE58hpGi/SAmo0RVNUJ/tWbSE9Yb3FMIlxmievqAqK27MCy9/8F&#10;jxqinmoNDajMeglrHRtKYMuQB15iHU/HpuK4vi1huWut+nB5sSHcRd1e3xfWytAKBpgtdpAzs/6i&#10;86IOmqU+bY+nnSoB1ipQq2GtlpaW1qMV75G5uXkSmhDS8rNdqwhW/WcFm0uGzoadR8/+wxFzM1au&#10;z8/zOR01fhqibxQOD9Cxa3/5+b2CtceOncS6kC24Hn0DU2d64cjxU1i91oC13XoNllMlK6wdPXEG&#10;/APn4ezZcLmckHAbE6a7y/nA4EWi7Gls3b4Lrp7+6NJrKIaMnoxxU91wLswYrI2iZ+nDEo9lSkqq&#10;jO175fI1HDl8HEuXr8YMNx+MHD/F7nPLnk6cOosvWnY2Yte2744Uy/nhMQ8IWoBv2nWTwLZVp94I&#10;E/trr24CoynieLMs6/pOTBkWQ0vrYYrXLK9PdY0+LrCW3rTs57JPSkhLWKu8bTWs1dJ6/PRYwdrg&#10;139VBFhe27JT5p1fsLxIXkU2eggveedvyMvKlmAv5LO2Rcps+LiV3PcHJXXjL88DjLk7NoBLrYaY&#10;UrUOJj3/GqZXqQP3Gsan+gwZ4O9QHwFV34Jr7cYY7/RHCbxzU1MQ0rInZr7yNvaMm4acrLschgF5&#10;4sHOAS6Sb8WLMtnIupWAsTXrw+/X/0VedhqykhMw9ZOvMVxsc9rL72Nqg9/D61f/wdz3/ouxTr8T&#10;+anIEetvGTEJXpWdZAzcHVOmIzkzAblJSRghztGqFn2Qk5eD1LtZ2OkXjD7PvoKJjF37209wzs0L&#10;nf/fC7ix9QjScrMRf+YcXKo5waPeB0i9el20IUeGu8gT5yUnLRPhKzZj7ItvS+9bv2r14S8hayPM&#10;rvoO5tb6AC5//VqcwzzkJmci+BtneFWph7kO4vhVbYSgau/B7dUPxD7eQlJmPO6cD8f06g3gw1AL&#10;1RvCk2EXFKx1MICtmzjmC/74Gbzf/zdcX/kN5GBkNZxEeScEVm0ijnMTCXBV7Fpl9s6fPZPAlaEX&#10;TGCrQjAY8XPN+hxZRkxttiG3YzWburU9PmYP1jIMghXWKvhqC2RLMg1rtbS0tB6eeA+1jU/LtOvX&#10;o+E/ax4mz/DENDdvmX4z9pb0rt2776CMfbtm/SYMGDZe3qPpSUpYSxg8eOREzF+0DCdOncHh46ew&#10;RnnW9hwop0oEsMtXGV+s0auW0PeTZm3l8u3btzHJHBxt9vwlOCbKiobJbfn4zkJC/G0k3klCakqa&#10;LBMbG4cvW3ZGXJwRvuDo0ROY4eGPkC2hiLx0GalpabLf9kOLx87eM6s4paak4tv23dCsnbC23XDy&#10;VOFQCJmZmejcayCaizKMbdusTRdMc/XBkeMncetWnAxPwXAH01y9jFi6hL7CJs/0Eu3Qz0ethyt1&#10;/avfwOMCay9cuCDHZiCcvXbtGs6ePSsBrm0fVfdJtbQeDz02sPbi8vVFYOWSd/+R71265u9fF8mv&#10;6EZgu71tb7l/6aJzOO+N3xQpkxptbxTZ+5O68ZdbWFu9kTHwlWNDeFejR6gT/GsZ3p0S7plAz8eh&#10;PrxqNsTMFxtivEMduL74Nha89x9MdnTCuBpOcBPzZ6cG4cqKjXATHdLQWUuRnZqO7IQ7GOH4Bjyr&#10;OOGM6PxzgLFs0YnfMGQqfP76DQK+bIsTw2ZgxvP1MIGwVnTcc7NzsWfoZLhWrocpDnUROmMmcrJS&#10;cFe8CAx/47dY32uUeLjmIjczC8GftEdg1XfgV6ke3Ku/hymVX8OYZ15E+OrtyM7NRlJ4hIxDO7pa&#10;fYS5BuHy4nXYM2YmDvsE467YTmpGEi6s3oipz72KuY4cqIwero3gLtZh/N1RT7+MjMirok2ZuLz7&#10;EKZVfgtBjhxQrCkmVHXCgRHTkJmXgbS76VjVfRimV35ThlSQcXE5iJmYJ7D1r95YwtqJtd9Giqgn&#10;Lz0DccfDMFVsy7cWj7UTgqo0QpADj71YV64n0s2pPF88H3as0DklnLUaQa2YykHPRFmCaF/p1dtE&#10;TJtIaMuwDBx8TUJcMa9h7eNv9mDtpk2bEBwcnA9q78c0rNXS0tIqH+L9lbDFCnNTU9MQsmkbXDz9&#10;sWzlOmRmGiEVoqKiMWfhMrmOu08geg8aKQcYk561JqwdNHyc/Ie80omTp7F0peFZO2zsFFl3WFgE&#10;fALmIqEQrF0qwa6Su1cA4uNvm0uG5i1ajpWr12OdGR83LzcPcbficfTgUQweOR6+fnPgF1jgQbxC&#10;lLV6sT4q8Xjt338Ynj5BGDRiPMZPdinyXKMHb98hYyTMpddss3Zd8fG37fBp8/bSK/d/Yt7wqDUG&#10;N/uylbOE11paD1u8dm1hbWxsrISd9Ea1B0TLsylYy0HFbt26JcMeREVF5cNa/lPJXh9VS0urYuux&#10;gbUhn7crAip3OBsDCCRfvmY3TMDjYNyv6F0H5H4en+ZTJH/lh5/KvAch1WkrlwOMCSOMJbALcGyM&#10;AH6mz8/wqzSQYFGmEd45EDZy2QlBlRpgucO7WOz4K8yo1QRTf/dPZEfdxNqufTC8xpsY8PPqGPjG&#10;+7hx6iyyMxORczUa455/AwtrvY+RLzXG2XVbZIxZ6d0qOuM8PrlpGZhUsykm1vtAetZm52Zhx7CJ&#10;mFH1LUyo9ha2T3dHbnoq7sYnY0rdP2Jpi15i3Rxki/WWfuyMWU+LtlWpD3+H92QogxFP1EDk9j3I&#10;y8rD7VPn4FqjITxefAcjnqmDnk++iKHP1sWQJ9/A/O96IVfUk3EnET7ivMwV++Zdwwme1RvDW+z3&#10;bLHfBNkLuojtiYd5dlIyXN/5I/yrNZCAdfBb7yE56gaSxX5mx8fBteq7oFfstEp1MPXplzHtiZfg&#10;XbU+CGslgK3eCJOrv42bW3YgJysVsecjMealRvCSA5c1gIc45j60aoZ5i33hOeK8PFcEraYpiKss&#10;/3yqfDVVXrVm/FxvsV6AozjHYjsM1+DObcvQD4YR4BLaSo9gs05tj5/Zwlp2WDdv3ixhLUGrgq9l&#10;Bbca1mppaWlVPPFT4ETRF6KuRUVjzx6jj0zP2lVrQuT81avXMHjEBOkNm52Tg+AFS7Frr1GOnrWE&#10;tVTXPoMRe/NWUc9aUx5eAdKzVokDfPUbMga5os4Bw8cV+iz51s04uHkHmksF2rVnPzZtCTWXjDi0&#10;nXsNkv1K6opoK0McWPVQoEwxzzVue+WaDWjZuRe+aNEJ37TrjuYy1m0PMWUIhW5yUDEuX7x42VxL&#10;S+vhitcur1X1W3mcYC33g7D2xo0bOHfunF3PWi0trcdDjw2sXform3i1r7yLqG3GyK7HZ/gWznvM&#10;bPmv/408c5CGZbbHQVjM/iMy7/tKddrKLawl1DOBrT89Kx2cpJel9LiUn9I3koNiBVRtIJad5ABi&#10;gZUbYW7Vppgh1l/XvR+yb0SJznUq0m7H4Wb4eaTfuImczDRkpifi+JxFmFGlgfTc9XypMUZXfQNB&#10;f/gIZyd4IG7VFoQtXoFVPQbCp/a78K3zB+Qkp0rP7p3jZ8CtUn1MdaiPLdM9RF2pyBN54+v9HuPr&#10;f4CcpCTxspCOc0tDMLZKQ7g7NMKMp53gVb0+Rv2fIy5s3CUewOLlI+wCpr7YEDNefw/n5i9H+uWr&#10;SLwejeiT5xB58CgycnOQk54Ojw8/gq9oI8MREFjKkASOTvCu3RjD32yK3PhE5GZm4MAMd7gybETl&#10;t7Cq5xDR1lxkp6dhWfcBmPLCG9jyTQ/sD1yKG3uO4HzIVmweOxXeTf4ujwGBqV+195G8/QASsxJx&#10;43wExtRogDliu75iuwxF4V2bXq8EpwaQJbDlOcg/V6aVCGtNMEtwLOPxcllYfjzeak2EGdt0q8nw&#10;Fm/Bs2Y9kVcfHATNT+SxnKrzQRs9fq2xcenhbc3X9sObhrVaWlpaWvcSwSn7r1Lifn3y1DkMGz1J&#10;hlOgp6vy2h00cqL0IKWSk1LQpfdgTHXzkctB85cU8ay1wtp9B49g8jQPnI+IxHSxzuUr18wcIP5W&#10;PNztwNrcnFx07z9MPl/4HNkeuhsLlqyQeVwePnYKZrj6FHrGjJvias4ZYtza23eS5IBn3I+HAW3o&#10;IHAu/AIWLFqO8VPc0G/4OHHsJmCGmx927ztQcKy1tB6CVD9MGX8Dyij+LuLi4iSsVfDTCkPLu9l6&#10;1nKgxZiYGAlrmcavytS+Wu8VWlpaFVuPBawlEJtf97eFACUH4GK8UYqxW615j5298i5Oe8+R+3p5&#10;7SYZHsGav/af3zyQG7eqozzDWkI9+Zk8oR4Bn4R9hkcm52me1RvCrWZDuLzYCDM4gFbNJsIaY1K1&#10;BvD53b9xWnTGkyIvISs+AbkMfxCfhMitezCo3q8x48V3JfwlOPSq1RhutRthXKVXMeaZlzDx6Zcw&#10;rdKb8H6J8LchNnzaFoeHTsLqz9vCtUp9uFZqgH3j3ZGbkoa85HRMfO19eL/8PjYOGY2crAzkis52&#10;ZOherBo7A4fE+Tw7Jxh9fl4NV9fvQSKyERsejjGvOGHPsPES7uamJ2O3tz/WjJqKY+tCkC06zrkZ&#10;GZjx10/hTlha3Ql+jo0xp4o4PmLqUdsJE6s54dB0X+n1kXj5CqbX/T2m1noHd05fEGkZyIyNw5CX&#10;G2GmQx1E7NomPYfpLZyTIY7D3VxkJiRjZbO+8HKoJ46hE6JFe9Pu5om2RWCS41tYWKmhHHhsetW3&#10;JPB1r/wWvKrWM8CrHSOoVSDXU3ruWmAtzyXLMQQDz6NpnmIfGOLBQ+zfpJcaY4LDW3CpUleU5/pv&#10;SfOpXg/+1cWyKEvPWrU96/XyIEyFaCCwLTQImmUqYa4yLmt7oFYcrGXMWiusLatpWKulpaX1+Iv3&#10;dev9mwNncXBYJYY1mO5qwNrAuYtw9NhJOU+5e/nnw1rC4IHDx2OV6I95+82RA5UFzl2QX3f8LXrW&#10;zpLztho6ZhKS+Q9+Uda512DxvDE8g69euw5XsY0xk2bKGJVKPfoPN+cMXY+KRosOPTF01CSMmDAN&#10;i5atlnUdPX5KxppV0s8prcdVvLaV8TetTF3zhLWM9RoZGZkPP22BaHk2W89axuRmDF7C2rCwMAmi&#10;VR9V/861tB4fPRawNvHilUJwkrbidx/JvJyMTMx789dF8u/H5r5UfkMpEFZn3jY6covf/muR/LgT&#10;hQcKuB+pm395hbX5wExMDWBrmDcHyaLVoEcmP9VvJGO5ugnzIACs1hD+VRoisGpjBDo2xUxhk2u/&#10;A9/3/oNZv/8CAY3/iekOTeFRpRFmiTyGUwhwaChhold1J7jLGLgmVCR4FMZ6XRzrY1rlOpgh8l1q&#10;OMGFZer8Bos//ARbmnWGhzgvhMjjatTDpqFjkRIVg7uZWbibkyveHu4iOzkF3Z6piStbDiFVHPub&#10;4oE89iUn7Bg0Fpk56TKUQb/X3sPY55ywqcsosW4uctMz4PqH/8GTnqccZMyhMYKqNoGnQwN4124k&#10;47hOb/KhjMGbmZ2OoNZ9MK9lL+RlZYrfSiqWdR2IaaL9fqLNC/7zDTZ2HIG5v/oCwf9tgVPLVyIz&#10;TZRLSsP06vWll3JyyH5xPdxFbFgEJlWrK8MfjHv911jSfRDOixecowuXYW23fpjiWM84PyLfy9EJ&#10;bpXfknCW8WR9xDKPm5wnVBXHRM3Lc2bCWQloGYuX50wcaxeHeojcFIqILTsQ7jobrmK9QAfGynWC&#10;Pz2JRXkZDkHUo64RK7S1nd6PqUHPpHHexuQ+SxPbMKfWPHt1aiubaVirpaWlpfVDifd9ghHq6pWo&#10;QiEJ5s5dgtsJBqy9eOkKxk1ykfNK3foMyYelxXnWUqdPn8Pq1SFIiE9A934FIDZg9nxERF7CgcPH&#10;ELrT+FqQsoW1N27ESKDM51CW2B4/keZ8l75DZdxe9Xy6dPEyNm/fJecpto1A+ObNW2aKllbFlLUf&#10;xil/tzSV9rjAWg6QRo9a/saLg7VK1mOipaVVMfVYwFp6k9rCyQ2ftJZ5hJS2efdjCxv+EZHL1n2v&#10;2Lf0eJ3z4ttFPF8flJ10C5D7fDVke5FtbGvbS+Z9H6kbfrn1rDWhmQx5YBrjnBYCaWJ+lgPj1zKP&#10;HrKNpclYtw7CqjZEYLUm8BfmI8p41mgizdvBCYGOIq9SPQQ6sIwRA9dXzHNdH4cGEuDS/Ks4wb+6&#10;sY4Xy4j1vQh2CXLFPEMPuFZjfFWx/VpN5aBh06o1gNub72P9Nx2xb9B4bO42FLN+/2+Me64urgSt&#10;RfbN27hz8ixmvPY2XOr9FimRMcjKycSV46dwzG8Bcm+nIC2b3rbpCPzTpxKk+lZvID1qA7i/NZvC&#10;rcobCBLHaZLY/rX1W2WH/vTOA4jcewS5uZlIuXwFk155R4aQYOzXaWKfXD4Udf39W9GWjzHud/9E&#10;WkIyckRnIPjfX8ClZj0kbNwj6rmL2PMRmFyzPia8/jai9on60tMkcE6LS0BeThaiduzDdFG3jDP7&#10;zp9xxnsW9gybimkv/wZu9X8D36Z/grv4bcysTK9YA6jSI9ZTtFV51ErQTgBbszHcHevDpVp93BLb&#10;zc3LRPr1WBlH2LdaU8yt3Aizqxrxark91kUYrKCsdVqcyXxh9xqcjLCWx5jHrMCD2zSxLGGuyCMk&#10;L6if2y4wBXTt1a/t3qZhrZaWlpbWoxDDD6jnws2YWAlNrVq8bDVOnz0n5+PoWetl37OWdXTqMQgL&#10;lqzEvgOHZRphTOvOveDtF4Sly9ag18CR0nuX6mkH1o4ePw0xog3JySkSTPGZxMHAZrr7IdKMHRse&#10;fgHBi5bJ+ZibsejWdyjcPAPg4R0kwy0whu+OPfuRcPuOLEOxbdbYu1pa5VHWfhinvG5pKo2/CYYK&#10;qOiwlmA2OjpaetqrMAhMY2gE29+p9ZhoaWlVTD0WsPbEzKIxaQm8KAJW27z7sa2tu8v6Trj4lRm2&#10;zq7ZGCt+/zH2D5mAI2NnILRzfxmmYXatxnbL37e9+Wtkmf/9D37t/UJ59C7OTEySefcrdcMvt7CW&#10;ZoVgjmIqzBhczICWEuCJPMI1wlYCVEJTj1oN4FOdMW4bivUaYFbl+phbqT5mV6kv1qkv46B61KwL&#10;75p1RDnj031fYd4SBhvA1p8enVWdJLDl4GZ+hL/VmsBXpMmBzQiACXRFnhfjqYp2+FTl9sRUtN2z&#10;dhNMqd4Ak2rUh0vV+nB35GBdor0E/A0+xPLffYzpIt9FXDcBH3yKGzsPIe/2baTdiMUWFx/k3BUd&#10;6sxM+P35YwS8UE8OHsb2eXE7Dg3gL9b1rvaW2E5TzP7oO+SlZSE7Mxvp4nzmZWdh66iJcKtSD4FV&#10;G2F0rXq4sWm7vJ6yU1KQKTo4afEJyMzMQaa4DtY26wDX6vUQtX0PUvPu4ta5CIyrVger2/aU9eaJ&#10;Olf2Gg2Xhv/CMb8lyMvNxNm1azHu5abw+ucXyEpJEm3NxaHZa5F47RpyMpKQcuMWDrnMweRX3xHH&#10;pZ70VvYRx2xS5TqYUqUOplepi+mV6sBd5NFzmIOthQweg2NzF+HKihAMf6kRPF9silmi/bMqieMt&#10;z3dhAGsP2jJNpVvLGtdTQVq+yTxzymtNHGPlYWuFtMZUlGMbxPUh1+V1Is63vDa5jrlesV62sgzX&#10;NcuKNJr2yi0wDWu1tLS0tMqjCE/UYGXpaRk4eOionLenCVPd0KFbfxnDltqyfSeWrliLs2Hn5SBk&#10;fQePRrzpxduj/zA5VSKs7TlghAyZMHbyTGzbtks+k7r3HyFDKvQZNFo+v8LDIxC8eLlcp//QMTh3&#10;LtwAWqIfxzAMbK+rZwAuXIiUZag9ew9i/NSCGLksw0HWCKoLpJ9/Wo9W1n6YmlfLFK9b9g8vXryY&#10;Dz9tgWh5N7aZcDYqKqoQrKVpWKul9XjqsYC1e/uPKQQmaeHBS2Xe8eneRfLux46MmyHrow6OnCLj&#10;xNorZ2v0xI3edaDIzTI7LR3nghZiQb3fFS7/Pb1ur240RpQ9MtG1SN65wIUy736l9qH8xqwVU9Py&#10;4ZZp9LalEaJJACqm/o6Mr0qAZoBamh8/n6/WEF41+Bl9A7FufTCcgHeNehLY+lYnsBV5NRqJqfGZ&#10;vjE1wJw0gjlpBLKNJLT1FSaBLWFxVbEtwjoJdhtjVpVGMgyDDBFQvaFsn5eDaBPr4L7VelvU31SG&#10;GPCt/baEy/zkf0rV+ghq9Gd4vvEr6RG7q9dInJzmBe93/iJDBxAee1ZvAreab0uAHOhYD+4v1cfM&#10;qm9gZq2muHMqEplZOUgRHe7kqzcw7o0mWPDSuwgUeUEf/hd3szOQmZGCzUMnIuj3/8X05q3Ey0aa&#10;6AzcxfbvesJNHJcrOw1YG3c2AiPEsTnq4Ye7GdnSXNr2gPefmmFo478iO+kOchJuwbfR3xD44ZfI&#10;TEpGVk6eHO048tAe3LokXhhycpCdmYM9Y2aIY1MPLuI4T331t9jvEoio0IO4ee4CLmzbjSWdemOC&#10;ODdeYp/cqr+DMc/WwcRnX4c7Ibowf2EBPO5iysHgeD4ZE9cKZXm9qGUeawVirfkSjIplru9TowDm&#10;8pwa88a1xWtKwlqaOGf05lbXmxzgTKQx5IZLLYbdMMqwLK8ZglrplcuyIs16PStT2803mabSLfPi&#10;upBt49SmjsfZNKzV0tLS0qrouhl7C2s3bJbzBKH9Bo9FckqKXKbOhYVLT12q18ARcqpEWDt1ppd8&#10;DmWJdTMZUkvMM1wC+1nrQ7Zg89adEtbOM2Htd226FYE7lIdPECIiLppLQNe+QzBy7NR8OJuTnYN2&#10;Xfpg1dpNcpkKu3ABJ0+eMpcIxvKQJt5ztLQelmz7YbbL7L+xH3fp0iUJPR8HWMswCPSqPXv2rIxj&#10;q2Gtltbjp8cC1vITf1swGRVqxHba229Ukbz7sQNDJsj6lE57zZaflNsra7XYowUDEdhTanSM9Hqd&#10;U6sJVv/tK4QFLbJbT2lt2a//JW/MBF+2eev/19Lc6v1J3fDLbcxaW8sHWYWtIN2AX/SKNebpIdtQ&#10;glUOIOZRsyE8axLiMl1BXBPQSmtsxsK1mjW9oKz8lF/UaXziT6jYGD6ODaXnbUDVRgh0FFOxXYZP&#10;4PbpmetPj0wHet6K9Qh86QnsINohph4ODeTAaJ4cHK32O/Co1RTTRdqE597ETLEtAl0DHJrb5Laq&#10;M/xCXfjU5jFoirW9RkpfiFxxXneNdcV0x7qi/jdEnQ0x/dV3kXc3Dymiw792yCSME9fnsh4DkCGW&#10;80T5Vc27YHqt+rixbTfSCGvDIjHU8Q2c9AtEToYok5knYyhnpaQiOT4euVkZyMtIxtLP22POB58h&#10;+3YKckRn/lTgcgxyfB2dq9RGHOFxdi4Sz0Vg6vOvYzIHMPv/7P0FfBzHtvYL3++7533P2WfvJLYY&#10;7MQxCkZodthhjuOAw8xMThyOY7ZlMbNkZmZmlJmZURbTjKTn1lMzJbdGI8eUOFbq8W+5u6uqq7ur&#10;e7pq/lqzauk6mCvLxbNXhepiiwypYKkox9nl6xHtHoJjU5bhzPotOJgyAtGeAQh388FPrq3Qt6kJ&#10;4c1DRFv4YWijVqItzsNaGp8P3nMFZ43rxnzCWt47Gf+W95DevixDE2WkB6287zbgKu4N4TzvXbJY&#10;Jol2TxbHTnIX98vdV9wXPk88Bs26v/QAtj2TtZ5fYTXnI71xraEg5D6E/iI/judI4/1W6zVm3b8G&#10;Losy9vU3BNOwVktLS0urIahKjKesS4KlfNGvyE0ppvUfGCGXb77/BeKS0jF+8nRs3LINx8V3iYHh&#10;sXJiNNVPsU/69JufJazlT8C/+aEPdmzfJSdM4+DvpTc/qilrVDRh7V4rrD1y5CgiY1Kwc9dezJ2/&#10;WKaxrt79wmTYhDNnc2XaBnEO82351O7d+/DS2x+jrOz85GZaWn+m7MdixnWKz3pBQUGDgbUMk8I4&#10;tYS1W7duleBWw1otrYanBgtrz27ZYc17/dM6eZdjs59/V9anxJff0QXLMKx1F4flaQve/uKiXpLl&#10;4oVrKS2TZfeOv/KwDaW2wdOwlnUnVis5dUbmXY7UtVw3sNaBqZ+Rn4e2RrhV2xSUUz9dJyyV8Ws9&#10;CfyssK3mJ/DC6oJbowXWeODWgriiHnk8wj2xTnAs45valhL6iWOnugcjVSwZziHJxRpmIdHFD4n0&#10;wHUxWb11xTnEuhEqBoulDU6ybnEc++tiGIEBtwRi6rNvYcnnPyGsVQfEeQcizssPQ13biPpCsDZq&#10;OCrFF4dKcb/z9u2BpbwcxeVmlInnYNIbH8t4ssXTlsNim2Csr7cfZn/UC5aiUlSZq/Bt605I6fQo&#10;sl98D4t+G4QdWSMw+omXkHZnN1SdK5HQd/qbPTHiJl+McA/B4eGzxGCqGsVHT6BfkwBMe+EDGdah&#10;oqoCBxcvRXj7B5D02AvImTIJp1atxTfurXByzTaUVplRsHETYsX1hjdvhzPrNqHgyAnxuSpBSX4e&#10;Tm7YjMhHXsAQZz+ki3Zh+IRBTq0x5MaWiHH2RYyTD+KcfJHMduL9IBw1tBevM8lb3HeP2jF05eR1&#10;wuKEcZ0hNqS3Np8LcV/SeI8Ia8V9SblRHPs/vvL+EoazXLoLITDjIlufJd6/us+r7TzEc8B9o8W+&#10;8WKZ7WT9Y8KQJkHIcOKxeV8Jhf3E0l/+sUHe+zpmfVblOuvnMeVxr1+Qq2GtlpaWltY/QYQx7Gvy&#10;8/Jx9OhxbN6yDavWrJfbv/QeiC+//Q0//DoQo8ZOluU+/PJ7VNkAzubN2/HjrwMwYuwkuf3eZ99J&#10;uGsvwtq9Nlj7a78wHDpwSIZm+OiLXjKNsPZHcaz9+w/JCdV4nI1btmPBAius5XZ4VAJGjp5QE39X&#10;S+uvUn1jMY7fCDgPHDhw3cPao0ePykkPGYNXwVqGRHDkKa+lpXV9q8HC2rw9+2Xe7B7v1cm7HBvW&#10;oiOqHAxq2ClMebgH0t1NdfY5tmSlrdTFae/Yqci6ORQjAu6qU9el2J6RE2V92zNG18nbP2mWzLsc&#10;qQ7weoa1F7QakGWDWTVLgi3bssZEHqGcWCaLZc2kZjX7CxN1KpNemDarAbiijDXNCv4UXKsBwcbj&#10;iTTpAezKUA0EuwFi24QUgyUTJDr7It7Z7zyIFvWqa1M/kedxCB6jvQMR4eGPwc5tECX2p2cqIS5B&#10;H/MHuvhi2mtfoHTlBhTkbMSoT75C2ZkC6Y077vWPMNTLhHMLVonBfpWc6KuPR2sM8umIitO5MFtK&#10;sWfYRPQR5/qjOKdvG7XGgGbBGOjWRsbUNefTY6QKw9/+HIle4rybBOPA8OmckwxFR45jQJsOWNMv&#10;EmWlZdLDt99D3ZHRQjxv4vPxW1M/RJo6ob+rP46u3ITyKgsKt26S3sW9b7gVRYePovTcWZSfPImK&#10;s7koNpfDYq7E6G5vYpg4l0GBHVB5MheF63ZhYvdPkNLxSUz/9DukP/w8Brj4IIbtL66f7cc2I6iV&#10;Xqne4l43CbHdL9GWXuKeMWSFaFveS+tEYwSxvD8incBclPvVtQ1mvvAext73DMKaBSFK1MNJ6rIb&#10;mWRbRzS13Xtxn4z3nPdNrVsBrLhHXtbzGtFIHFOcZ5jYl9CXsJbhPFLcfEQ+4yszFjOfy0Ckuorn&#10;QTwvVoBrrfM8jDY8G0xXz8t1ZBrWamlpaWn9E2Xsf2iENSUlJSgqLJLbGzZsrum3+AdyQtbMEdYw&#10;cceOncDLb9H7tUJuU+zFohOtYRA41n/3057oMyAcn339I5599V0U5BfUwFrWPyg8Fjt27sEGCWuX&#10;yDryRJkvev4i+uJ89Bl4PtatltafLT6TfN65VFLrTC8qKsLBgwcl9ORkXY6A6N/ZeN4MeUDPWn7O&#10;Od7duXOnzDPCWl6zsQ20tLSuXzVYWJu7bZfMm/XcO3XyLsuad8Dyb35z+PJjWu7m7RIMD2vZUcap&#10;ZezZMxu32kpchGwvVv5cacnHvRyfw0XaqKB7ZF0VBYV18hZ/9J3tgJcude0NFtZehEloR7Cl0mpg&#10;l9Uk/JLl7MyWJ83dOtmZdQIsgrrzRoiroK8R8BIKWo2gkB6z/sII7kxWc7fG200RafzJfbwr47Ba&#10;f85vbxL+uQcg2StYepbGuYmyBJAiTXn0Ev7xJ/bhbn747V9N8Ot/mqKvaxsk+nTGuHufRUbwfRjs&#10;7Y9NA2OQu3oTji9djYFePogU5zKi+9swFxTL56WspBRHd+1B7v690uO17y1BCHvoSZQV5aFaDJyG&#10;v/M5IhmyoFkA9o6chgrx/BefOI1+rTpgXZ8YWErLZbnfO94vw0Wkuvgg/IZmSPcMRsSNrXFq7TZU&#10;VFUif+smDGkirsFZlAl+ED+7BuDr/22BAe6h2D5sCsrKLSjasEVcT3NE+rRHdYVFHMuC0zv2wVJc&#10;Lh7uSnmcgr3HEd3pCaQThrua8Js43uA2tyG+84OIC74bYeL6Ip195D0lYCWMldDd1m7JDFshLE6U&#10;ixH3gXF9w+7vJsOSVFUU4/jCJegt2o0gN0Xsw0ngYkUZFW5B3RsrSLVtc8kwCp7+iBH3n+B1RGO2&#10;RSAivQhxRR3ifDi5XaoLJ5ET23w2JMBl6A5f8VyJc+ZxRFqMqC9aPEsMoSEnyBPPoPQoFumOnpe/&#10;u2lYq6WlpaWl9cdi3NlSQyzZPfsO4Nc+Q/B5z5/x3U+/yz4uLCoBe3bvxagxE7F6bY6tJHBg/0Gk&#10;ZgyvgbVURXkF3vnoK2zdsVuGQWA/OHnaLGQPH4dTp06j76AI5NomRdPS+rPF588Ia9XYTBm9UQ8f&#10;Pnxdw1p60RI4EzxzXEpYy/Tjx49rWKul1QDVIGDtsi9+rgMlT62zxoqd+9ondfIux3KGxGHhO19h&#10;3/hpfAvKuh2J4Qy2JQ/DjKdex+n154PtX4zMhUUy3AJhr6NzuBQjHKqsMNeZsGyE/52ovsyfSagX&#10;/z8Z1l6pKVhr9cK0LqVXri1d/hSe8EwCNIMx32YS1jL2qTLG1aXJeKi2pTAJXh2egxXiJTmbkCrq&#10;SyHUc6FnrtUrlLFzOSFZskugjKsbR+/RpqFykqy4W0IlGJQxc5uEYECj5uj3v01lHNwIT39RJgAD&#10;XH2RffcT2J45GiW798FSUICS07k4OncZYm7phOQ7nkJFUSGqzJWY9PoXSPT2R7x3MA5mT0NVZTWK&#10;TpzEgFbtMOKxV1BVXAFzeQmy3/wUaU6hyHDi+QQg3tkfMTe0wYmVm1FRbUH+tm0IF3UMEec1vPsb&#10;WNE3EnMHRGDSNz9jQVwGSixmVIljDvILRf+WQaiuqEZpVaWMpbsicxhWZmTBXFyCIvFsl+zahwFe&#10;Pujb+FbkL18vPpelojzj5lajQqyvj85Ev1vaI9krBIxHmyCuO4GezYxRy3YV7R4r7kOUd6Bsnz0T&#10;ZqJcHCvPXAxLUR4GtOsqz5XtlSHKZTZm6AIrKJdwVtRRy+R98ZdhGhjqgfeO7ZDuLNpB3GfGVY7x&#10;CJaT1qW5BstQGawnhfuJ84rw9kNYU4Zg8MPwxv5Ic6EHtdhHelFb77n1jwaO4f7f3TSs1dLS0tLS&#10;ujwRvpaVl8tJyaiTYgxWIsZD02fOQVlZmUyjCHrf/fgbUa4c3//a35YKzJq7EHFJGVgwf7GoqxJv&#10;ffw1pkyfhfDoJPT8qQ9mzJlvK6ml9eeK4zB7WKu2afRGvd5hLZcM5cD4u8qz1hGsNbaDlpbW9asG&#10;AWtzBsfWApK0A1Oss5Q6ArmXY4s//FbWV1Fg/WnRn6FhrTs7PPblWFl+Ad/WmHxv9zp5jAl6OVLX&#10;rWHtFZgBujo0UUYBWsJco1knmaIRtlrBnnU/tW6DuAS2NHfH8E3tQ6jIOLkMrSCXtnpluAW3AOm5&#10;mezMOKhBSBB5SZ4EguIYrgHW2Lmijlg3E9JuaYdoVz8keAcj1t1fnEMgYkT6QOdWGODpgwTfLghr&#10;Foo+YjvMxR/DQx/CkbGzkJ+zHZNf/hjxTU1I9A7CkRGzIYYWKDx5EoNbd8AQr1CcXr1ZhlQoP3sO&#10;2U++hUHB9yDmsWcwucfbGNioDU7aYG3B5q3o0yQIU9//ApZqM8xVxSjYvw9nd+xBcW4e8istqBJf&#10;NPqb2mGgf0dUm6tRXlaOffMW4etGzfD9f5pi3ZBEWEQZc2ExYlu1Q4JTG8zvH4PCbXtwaNEqnFi6&#10;BuVnzqLCUo5dE2ejH2PSijKJnq1EG/ki3TkU8W6hiLBB0GhxL1K7PARLXjEsJWYUHTqJypIy5MRn&#10;oo+rD1JFO6c4t0G6i2/N/Tt/L89DW3mfRPsmuxCsBiNS5A1hG4t0CdPFcSJEWkxgVwxs3gFDGcNY&#10;7usvyvsjRdzfGG9RRrQzvXATPPwQ6e2LaG969Ip6ec/cCfc1rDWahrVaWlpaWlrndeLESelNu2iR&#10;dRJnpc96/oxFi5djy7YdSEzNsqVCAuBev/TTsTS1/hJxHHYhWFtaWtogYC0nScvPz5cxazWs1dJq&#10;2GoQsHbvuKl1gOSmiCSZt35AdJ28y7GxHR760196jiYEu1zbmTlG1rkxPLFO3sk1G2TepUpdv4a1&#10;V88ITmUIBW7bYK1DoGsDuASnhLXSM5dA12bGmLk18Ue5bjiWMmudgRKqyp/y20xOeCbyaYxvKr1s&#10;bcdh/SnCCGpTXQOR7irS+LN7Trjm5IcUOeEZQzFYPTUTXE1y4qyYW9oivllbJDYJlXUmeofI0AqD&#10;G7XEEJc2iGoShJimwRjo3Bpznn0Pu5NHYM/IcYho3hYpnqEYYrobpzfuEM+eGHRUVqGkoBDmonPI&#10;37UHPb3a4Ni6zSivrkDB5m34uWkI9o8cj/LKYpScOYtvvPwx2KstZnwlvigUV6LaUoW+fm3Rj7DW&#10;IgZuFmBrfDYiXVoLa4NZX/6CspISVJUUIrHdPZjo2R4DXduit3tb/HBja/z4n1aIfvYNlBYXSa/1&#10;sMC7kSSuPcGjjbhuQtEQxLuHSo/aBHc/DLypBbYPG4OyymqUHTmNvo88DUuxOLejJzGwRQeMcBLt&#10;5+aLWG8/xLn6I8ZFLF18rffPBmrp7UqLF/WnebVDrHMgJj/1NtJffAep9z6JaB7XK0i0YzBOLVuL&#10;XDFoOzBxBsIIyZv4I87dH8NcQ5HyH38MvaENhjKEg6sf0lx9xX3isXyE+SKR8XV5XHHPZKgPw/Py&#10;dzcNa7W0tLS0tK6d+Mdv/sR8394DMl6uUTEJaTh67LhtS0vrz5X9mMy4bCietYS1nCyN411OOMZr&#10;McJajlU1rNXSahhqELD23LZddYDkgre/lHm7ho+rk3e5tsMGQP8sZbfo4PC4l2Mzu70h6zyds7lO&#10;3p7Rk2XepUq99DWs/YtMgtfzdh7eWmGsI6MXpgS6BKsX8JQ8X5cNzirzspmoS8Jcem+ybkI8sa6O&#10;QSArPXwZo5XHlGEUAsE4rIzZym166iZ4hYh9g0VeEFLdgkWeSKOHqHdbxDcJRpyoN9aLFiQ9UcMa&#10;t8KQRi0Q3TQIUWKbk3eF3RKKBV/8hJPTFyJv3UYcXb0ea/tFY5DY9+S6rahEFYq278Zgj3bIfvQN&#10;VJstsBSWYuIP/RH7zCs4Re/csirx4Fow2NQJ/fy6yGe5sqoaWxKyEObaElFOrTDr619RZKmApboM&#10;Q27viqGufhj7xtfYO34mtk2ZjpwxEzE7JQ2lhQWoEuUmv/whsj1CxLXx2kU7ss3YNq4mGZ4gsuP9&#10;qMjNR2V1FdYOTUQvl1tRtGM7KkrLMP2LnxHt1kaU90eMuFej7+yONb8MxcxXvkBf7xBEtmiPuFvb&#10;IdLZF5EuvoghsHUNxpAb/LE3axIqy4pRdugoYlp1ku0e2SQQZ5avhdlciMJjR/GrZ0skN/FD2M2B&#10;GHRrF0x/8UvM/2kwFgwciox7uyG9cQCGOTGuLcMhENQTCtvu9QXM0bN0rU3DWi0tLS0trb+n+J2B&#10;pqX1V8nRmIzbDSkMAv84Qu9aDWu1tBq2GgSsrRIvp+wWHWsByakPvyDzTqxYWyv9SmyE7+04t2OP&#10;rPfPkKNjXrY17yDrLDh4uE7e6p8HybxLlXrpa1h7jc0GWdX6eZhrB9c8HcM1euCq2Ljnwa4t1IJY&#10;qvyayc2UcXIzmqjb3uTx3ALlz+/pFWrdpkeoWLoGyvi3qc4B0iOXE4UlOPtLyJvKSa6c/eT5y5/u&#10;i/2SvEMQ48aJswgTWX8Qhrr64ucbm6G/hw8GePhhsLOP9ESd/MybWNk3DBv7RCDOPRSDnIOxNDJF&#10;Alu+F8wlxTi1fz9K6ZlrqUSEbxdEtboN1ZVi0Cae51XpWaK+1oht3BoLvuiN8rIKWMrLkdjlQcR3&#10;uBeVYr3aUoLjuzZjw+RpOLBkNSylJXIysgkffSNj+CbZJotjHFhO/JbpYkJfp1bYmD0W5ZVVKDtz&#10;GmHNAzHa1YS5n34HS1k5Tm3Yit8924DhJyI9gjH6jY9QbhFfaEotWJQwHPn7DqLk1Gmc3boXkz77&#10;FWGewYhtczvi7ngCOaMmosRchOLTx/BT00DENfZBeBN/DH/oBczo1RcrIpNkzN3MpuI8WoXi9IqN&#10;qCyuEG1i5qcYC6JjMECca5pLsGhfcd7u1qWcLM0WwkF59NZ6nnhvxHPwdzMNa7W0tLS0tLS0tChH&#10;YzJuNxRYywnGeC30rt2xYwc2btyIY8eO1QqDoMekWloNQw0C1lKjQ++rBSTHtntAppedy6szydZl&#10;m6hnWKtOOLlqnaz7akp6wF6t87QZVXLqTJ30Wc+9I/MuVerFf01hrVewhIFqO8HNBP5svFYZbdIu&#10;BNeMnrVyMjNhKQSpXNrWVeiFGhNlCXVrQC6Xcl2FUAhEnJd1vcY7l0ZvW5qEtox3K5YMm+AWID1z&#10;kyWUNSHBxV+GUWAMXU58xiW9dFkmXhyX3rdRnozRaj0fhl4I9w5Ef7fWGOzcGrFu/mAYiQGNWmLk&#10;fd2x/teBmPPpt0h/5nXkLs9B+YHjGNqqA6Ja3y6f5UphW1NHINzFR9qsr39HSVkFKsvKJagd+ciz&#10;qKqugqWoCDEPPo9+N5gQ3f5xmPOKZEiGKR9+i5hbOyDOLRgp7sGI8SRg9hXnK67jrifFuycfZeIY&#10;WxYsQJ/gDkho2QGftghC3tmzsJSZMar7G4hhe4lrHf/cWyi3mHGusgLV5RbkbtoGc3GBjI9bWmHB&#10;qOfeQ8J9T6MivwClpfkorbTAXFqGdakjMafnzxjQIgRJAfdhqNft+P1G0ZbewQj7P56Y8+qnKBP7&#10;l5dasHXUDMz47GfMePVj9HPnhGOiHXkvXIOtsFm0X5ycMI3nFFCzVHYhT+1raRrWamlpaWlpaWlp&#10;UY7GZNxuaJ61nGSMnrX8Tn706NFasFZLS6thqMHA2sn3PVsLSBLQmotL5Qtr/G2P1cq7Epv/xufY&#10;GJGE/ZNnSu+6q6UFb3/h8HhXYlR5XkGd9HGiPS5H6uX/V8FawsY4Z19E/asZYm9qLWHRyA4PY9y9&#10;z2K2uA9z3v0Ks1//HPM//A6zXvsEY+56WoLBof/lhoj/4414sa+jev/xRhAq7LxHbm2zQrza62qS&#10;M6P3LddlTFthCugSPKqQCoSqXBKgGr1wZWgFZWJbQV15fAJBrrtxKeqQMDfEGjdXxsQVea4mGTuX&#10;afHuDJVgBYvcj88It2ObBGOwtz8Gu/nIcAtDXdsgXKxHNQvGoCYBWPDOV9gcnoQ1H36P+MY+GOzq&#10;i9nf9kWVeMZpUXc8iDDvAFTmFaGirAxHlq7DpNd64tjcVSiqssAsykx/71ukebUV5xqCBHFuCa5+&#10;Etj+7uaHrWmjpIcuPWvp4WspK0TF6bPIO3wUZwvyUGKuwMEp8zHAw0dcswmzn34LFksFKsU7ZcWg&#10;JHz+75vRr21XFB86hmKLGTvGTEZ4cFccWbEOFfnnUFJZjmpRL6FxRWEe+gTchuPTFqBk/wmcmLkK&#10;37doi10JKdg3bQYqLBaU5OahV6cHEOYs2km0YV+nWxHh2lLcPz8JyPlcsA0lcDe0aaKE7hrWalir&#10;paWlpaWlpfX3l6MxGbcbCqzdt28fioqKasIg5OTk4MiRI+J7hKXmWrW0tBqGGgysXdt7aB0ouXfc&#10;NJm37Muf6+RdtrXshIqCQocdwZVodOA9jo93BUaZi4rrpA9r0VHmXarU9f6psNYjELE3tpIgb8ID&#10;z2PZd31wbNkalHIW/qISVIqOiJBcgirbPeBP2mWaMAnGysulV+PpjVuxbnCshLuJ3rU9crUZjJCU&#10;YNa2rNdsQJbrBLb0xlSeuFyXIFdYjcetKFOzThPHqjG5HSi9cBm3Nt7mkSvDLHBpS5fxVAlvXTmx&#10;GT1AA6TXL48f4+QvwW2aWOfkZ3FOvhJEEuIyvm6su7+sJ6pRawkgU5q1Q7iLL6LFMcI9TejbuIX0&#10;yI32MMmJzuJad8SEx1/C4g++RWLQnYiml2nbR1Fy9LT1ORPP16Edu5EvBnsWsU3P2nTvUCQQIHuK&#10;83LxQXTTYPS/8xGYT5xFVXkZTm7eid0LlqHg2BlUFotnt8L63JZVVqCysBix7e9BjGsbTHrhPfHc&#10;ivdKVTUyHn0Fmd4dMcjZD9unzkOp+LydWbsOP9/UBp/+lxtWpWShsrQUZafOIevVjzHz98EY2Koj&#10;jk5fAPO5QpzadgB9THfI41RVmeXgrbKoCqfPnEL+xk2Ia3kn1v8cjolvfYGs4Acx6KaWGODWGuHO&#10;bSScTRZGMEuTkFaBW9GmcgK8v5lpWKulpaWlpaWlpUU5GpNxu6HA2j179sgQCBrWamk1fDUYWFt6&#10;uu7P/ee/+bnMOzBl9tULhSBs6ec/XdUX4fElK5HdzPGxrsQoS2lZvXmXKnXNfwaspRctfwY/+rYn&#10;cGDGfFiKS+WxlHhsGmGJMv7cQy2VcVuVVecrVlBRWIwjC5dj5mufILlpWwmi/o7g6W9rHudNthuX&#10;9Zm7rSwhrg3gWgGqFdIaoS/NCHFrJjoTRs9chlXgJGMS5LpZvUIJbzkpGUGuDKkgvVqFiXTpEcoJ&#10;v1wDkC7y0mz5qdyPMJfPmWcAYkQZQtpEb3EOjK0r0qNF+lAPf/R3aokhrm1E/QGIE/m9G7XEqEdf&#10;xMRn30I/n47YmjoS55asw/wXP0bCLW0lFE5yNyG7sS8GOrfB6hHjxGekDFVlZkR2fQy/iLp+d2+L&#10;gc3uREzw/Uh84kWc3rkb5ZUWrB4SI67RhNEvvgtLBWPhViP7sZeR4BWMvu4+2DFrPsrMZTgpBpWD&#10;XIMQ4RqIdVmjUF6ej9KTpxDufxeiRDv0d/PHoXmLUVpahJObd6NX4zYY9fZn2LduDSot4nNRYpaf&#10;KUt+IX4KvgN5e4/AbKnGohHTsTplHCpPnUTp3sMY0qwDfvEOwODbHkD6A88grt29CBPnN+imFrLt&#10;5OdUWLIwPhdWj2iDibS/+nOlYa2WlpaWlpaWlhblaEzG7esd1tJ47rt375YhEAhrGbOW38mNsFZJ&#10;j021tK5/NRhYS43wua0WkBzT9n75kqoyWzC8TZdaeVdkzdphbZ8IVNm9FC9H9NabeHc3x8e5QqPM&#10;xSX15l2q1Av/asLaBMYo9QzEnHe+QuHhY7J+SnUwhCPsfHjM0tJSuSwvL4fZbJbGbeM688rKyqRx&#10;m/sqgKtUdu4c9oybitG3P4GYG1pIcOvo3LRdpBHM2ozw1bju0AhzhcnQBlwS6NrWa0FcYUwjuHUE&#10;cmOF0XuXHp+EuTEyjcA2UOwXiBRXWgBSxTphLb1v0zyCxfHEM+diEscQS7FOz1zGxk32CpawN9rV&#10;T8LbBFd/uR3VJARZ7u2Q7sL4rgEIa9wG/W68VYZiiCAMFnUkOPkh3S0EKc07IXf6EpTsP4xDU+di&#10;UBMT4r1bIsWD4QZ43q0R4d4cUz//UTyzlSjefwS9m4Vg7MsfwMLQBuJZHfZgD9Guwejr0UbCWj7b&#10;Z3M2IsY5GAmNg7B52EgUWQpRcvYYhjTviOEuwYgU53Fg7gKUmktwavNu9L/JD797B2FJYgYqxPuv&#10;9EQufgm8CxG+d6CXlx/y9h5AYXmJOCY90hmmoRQlx05iUJeHkbdxB6oqLeIzY/UCrhKfo02R2egn&#10;2iTW3U9+XhODuiK8eQdEsQ3phcv2cmObMhwF7995gEvIq54V3tdaz85VMA1rtbS0tLS0tLS0KEdj&#10;Mm43NFhL79qdO3dqWKul1YDVoGDttMdfqQMlT67OkXnzXv2kTt6VWNYtbTHtsZdxctX6K4K221NH&#10;XvWJxZRRFYVF9eZdqtQLnxD0SmEtwU5cozaY98F3KDh0rKZuLglEeAwCV3Y89Ji9nA6H5bkv61Km&#10;6qIsZRU4uW4jJj36CuKcfKR3pqNz1XaZRjBHcGdcNyxrTAJXqymIS2N4hTSCXNcgyFi4wghplXcu&#10;t40eudITlybTA0UZqzGkhlq3bgeIc7BCRE4GRnCbLNLjxf2PF88lz53r9Nol5CU4TXYJRKxrACLp&#10;6cuyN7dDjKhnlHMQot38xHEDkOgViqib/BDu7IehjPt6azuEe/gj8max7u2LaE9/hDdpjWSvFhjc&#10;oj3yDx6XXq9TP/sFE577AGZLhXz2sx55CQleQejj4YNts+ajXKTn5mxCZOMAxN/oh42RKTCb81GS&#10;ewa/39IOYzw6IEqc78G581BiIazdgwH/00qcVxA2p2SLshaUnD6LiMD7kOneDn1dfFC4fR+qCktQ&#10;KT4DI776HlH3Po6Iex5D35adsCd+JE6t3oCc0RNwYO5SmItKkF9RiD0jJmPALeL6xHWUbNuHkpO5&#10;WJeUgWRxvcMbBSLj9qcwsvsbSGp3H6K9g+t63dYx6/23euxan4s6z9BFmIa1WlpaWlpaWlpalKMx&#10;GbcbEqwlqOUkY1zfuHGjnGBMw1otrYanBgVrc3fsqgMll37xk8w7umj5ZYdCyLylbc2+XEoTaRne&#10;QRgZcBe2JQ+Tx7hUndu5B8Pb1PYGvmomzpEqPZNbJ2+E7+0y71KlXvhXCms5aRjDHTAWrRLrZidD&#10;z1jW7wiKXKnUMVg/vRWNndixpasx6ZGXz3sHOjhvbVffFKRT4M5oyttWTmAmtglpCWgJahm3NtUG&#10;cRW8ZTkat2tMHOP8MtC6tMXFte5r9cqlJ61c0gh0CRDdApDqEoCsG33lz/5j3QMwtEkQor1DxHog&#10;IpsGI8HZhOgmBLgmRHiakOwVKtJDEdskRELizMb+4pnyF+fKugIR7RUgYXGkiw+SH3wG47/ohaWf&#10;/4oJ97yAU+s2ouDYCYx8+EVkiOsY5OKL3XMXo1x8Fk6LQeWv4hhJzTpi0uufwFxegLKKYoz45Fv8&#10;5uGPMA8TDhHWVpbg1JY9GPTfrREjjrclKRtmS6WEtWHtuyJdnN+vrq2Rv3M3LMVF2L1kFX509UOK&#10;WzDCxTnHiuNGOQXhhxuao5eTHz6/oQ3ieryHyupK6aU/NOh20QbBKNx5AGWlZVg1ZgyGOLeQHvJT&#10;v+gtwziYT55BatdnRZsQuos24WfK1qZsE4JxK7w3gtvzliTugaNnpT7TsFZLS0tLS0tLS4tyNCbj&#10;dkOCtZxgjLCW8WsJa+lZy++2WlpaDUsNCtZSdcCkz20SMlBj2z9YJ/9ibOpDPbD6l0GY99onmNX9&#10;TSx6/xus6R2GY0tWyZ8tX46Kjh6/7PO5GCNElsc5crxO3qR7u8u8S5Xq+K4E1iY4+WLFL4NhLrXG&#10;pGWdCqBy+WdAWkeih60Kp6Cui5OT7ZsyB9mB9yLexV/CJEfXoO1PNAnxrGYPb40mQa4N4kqPXLFO&#10;eEtPXE52RkAr49yKpYKEcmnbX8JacTzCW3rjxntZy9cslYl94j1NMhxCskcw0sRntk/Lthjs7o9+&#10;Tq1EnjimiwkjGgcg2tkfMc5+CG8SgAhRPvKWYAlxZbgFcfw0l0DEeBHYBsqQCkmNfEV5H0Q39kGs&#10;swm/u/kizNQJ0d5ByHINQYSrHxZ++iP2TZqJI6OmYKCHSQLmgeIcz27dA0uVGRUlxTi2dTvC/Lvg&#10;yNz5KDUzZu0e9PvflmL/AGxOGlYDa2NCuiJbtE9/Fx8U7NmLsooS7Jq/BAMa+WCYk7g+0Y7xbsGY&#10;+/lPODxnMfbNX46tM+Zj+YRJ4j1ngVl8XpIe7IYw0SZFuw5Kr9ycUeMQ5dxKXHMgRnz8Paorq1B5&#10;Nh/J9z4ngbaEtaKtEt0IYsUx2KbivMJuaIOIG3wQc6OfDE0hY0iLeiWspfFZuEjTsFZLS0tLS0tL&#10;S4tyNCbjdkOYYMwe1nKd38kPHTokv0sbpcemWlrXvxocrF325c+14WSzdtiRMUrmbY5OvSzv2sym&#10;oZj+5GvI33dQ1nOlOp2zGWM7PHjZnr4XY0s/+1Ee69yOPXXy5r72qcy7VKkX/mXDWq8QHJi5QNZB&#10;EXzYA9O/WipMgvGvkeUFhVjaqx+SvUOs8MjRtWi7NmaDrTUm0mptGyzBI0BOSJZMUOhuNXp1cpuw&#10;V3l7WpdBNV66Ki4uYW2sVwAim5pk+IOwW9uhaMsenF2eg7OL1mDtwAiEE8p6+Euv27Q7Hsbc59+X&#10;k5dlO/EcAhHn5o9kUVdc02BEi/rogcrQCtnOgUhzDUS6cwCyGltBKUFzmljPIGx29ke0dyDC3XzR&#10;/6ZbESv2IyxmiIcoryBE3tIOy38LQ96qHJTs2oOhPp1wfOY88Zmy4MyOA/jt3y0wQJx7TuowVJot&#10;KD5zBpGh90iP3b6ubVCwdz+KK0qxe+5SDGjcWqSL8xTnNf6xV1BRVoTSqlIcnL0UW9MnYNvSZai2&#10;lInPSAVSnn4J/b2DkLf3IIrF9vrRYxHTuBXCmgZh1Jc/yT9eVZ7LR+Ldz4g2sXnW2mBtijj3RLHd&#10;290PW8OTsSIsFtNf+0yCbca9TRJLQnUNa7W0tLS0tP7Zsu9T6+tnG1rfq66zvuvV+mM5ajuO3wg3&#10;CTWvd1hLb1p7WHvw4EEZPtAo/QxpaV3/anCw1lJWXgdOjg65D5Vms/ScvJKwA8Nad8bK7/qg5ORp&#10;29EuTTyHDUMTkN2ig8P6r6apEAME1fZ56wfGyLxLlXrhXyqsZSzYDJ/bcXbLjpo6lDctO89r3ZHw&#10;+Aoc87xUGtsw5Za2lwyPtP3FRggozN4jlyCW3racaCzewx9xnn4izU/+LJ9hCRhKwQpurfCW3rly&#10;sjNh1pi4Il3kpzX2Q5pXKH5rGozCg0fwZXAnfHZrILYuW4jpz7+L6JuDMfDft+LUxDlIffhZhLsF&#10;YFjjYKR6hSDGMwDpnqEY9O8WEgQnuJsQ+a9m4ngmhHsJa2JCklegjG1Lj1uGXpAToNHT1CtIpsU3&#10;CUacdxCGijISZorriRL1Rrj54ZebmmFwy1CEeYrPWGhXjHrhDcz5+FuEOftigLsP1oTFoOz0WRSf&#10;PIUIhkFwC8avHj7I338I5eZS7Jq9BL1dWov6/RAlzmf4ux+j1FIIc6UZA/3ux2//7YfIp99AdaUF&#10;VRVmZDzaAxHebXFux14UVlZg/chxiL+pjTj/QIz+5jf5uanML0RS12clrE0xwFqC61SR9u2NzXFu&#10;2xYJhPO2bUO/ZlaImyxhrdXD1uF9rsc0rNXS0tLS0mo4kmMJ8Z1N9atcsv+1/86g0u3TjGaUo3Rj&#10;mn2eI11MvqMyKt1o9mKauk5H16t1+WJbclKuAwcO1EBPR0D0726EzLt27aqJWUtwq2GtllbDVYOD&#10;tXwpTXmwRy04SQ/W/ZNnyvwdaSOvyKM18+ZQZLfoiNk93hN1zkJZ7jlZ74VUeOgocgbHYUy7+6WX&#10;rqN6r7ZVVlg9RWc9906dvIMG79ZLkXrhXwqs5URNWaa7kb//cM3+7ExYx9+tA+H5ENYS2rJTp4pP&#10;nsakJ15FvLOfw+vT9vc0CWzdA2VIhCS3AMR7BEggKYEtvTiZ7hqMRDdh0rPTCmilEdZKYGv1xCVg&#10;jBJ1DmrSHsVb92PfhHnIGZCMU+tyMOLBFzD/rS8w56m3MbR1Z4Rzoq6mHRD9bx8MauyDwU6t8dO/&#10;b8HaL3sjvlUXJLbsjMPzliLq5hAk00NWAlgTIsQyokmgBMsZwhjbNtrThPCmwYj3DkKMt0gT+QlO&#10;fshwD0ak2I70MCHFIxhRTYLQ7xaTuLZAZLqxjK+83pgmwRggrjm8TTukdH0MfW8V1+wdiiFu/jg6&#10;ejrKdh/GvvGzMeim1kgU7UI4PTTwTpSePgOzuQxHl27AnJ6DkHf4KM5WFKHKbMGwJ15A2E2tULR+&#10;F8zlZmyaNB1D/9MKQxoHYFTP87A2/p7uMmZtqhvP0V+2JcE1vYl7/09L5G/ahqLqEpzbvA39vUKQ&#10;IsrGuVnvjYa1WlpaWlpa/1yxP1X9rVo3GkGugrmO0hzZH8lRWeO2o3zKmK6M5+Mo3ZGp83eUp8x4&#10;nPpkLG80LavYxg0F1u7cuVNeC2Ht3r17ZcxaDWu1tBqmGhyspQoOHa0DKOlRW2kDhMN9utTJv1Qj&#10;8M1sGiInHxvb6WEJbNb+PhQbwuKRMzAa6/pGYMrDL2Bc50eQ0STYCoj/xLAHRsu6ORRVlaLzt1jE&#10;dt1j5m7baWupS5N64V80rPUIRFqLTsjbvV/uR5WWltZ4r/5dxQ7d6GVLj+hlvfpKD2GH16ntb2dW&#10;79pAOVkYQSE9VeNlzFc/xHv6I9bThGhRLkaUYTnljVvbAqUnawp/wu8ShIG3tEPJzsOIfvw1ZLzx&#10;NY7nbMDgtvdiYXgU1vWJwHeN2qBk425EdnwQuzMnonDNRuxOGobMZ15D4cEDmPndzxhAz/47Hseg&#10;Fu0wyKk1+jZqjtRGJoxqFIhIzwAJhof92zohV5SbSRwzGImNfcU5ByDd2YRM92DEMZ4yvW/5+RLn&#10;lurkb/W+pWeqs598TuO8xP7ObUR9gRjpEYo0UW+S2D/FKRDpHiEY2rgNwt19ESfeYfGNrAA4yUXU&#10;5dEWwx56EWd27xOfA/GlR3wWDi9eA3N1JarE5yCj+0uIdfbH+uypKBPb5rIiTP/se6Q++grK9hyD&#10;uaIUlYVFSLz3WXE+BN0mUafVIzhStHuGaMf+/6cFSnJ2oqq6HEXrtyPGPUSGgIjzsl4TzdE9rc80&#10;rNXS0tLS0mp4Yr/KfleZ2lZgVqWrbZVmL2M9l9pXq/JcKjNK1avqpjlKU2YUt9V525czmip7OaZl&#10;Fe9FQ4G1O3bsqIG19KxlGmPx8vu5lpZWw1KDhLXsnKY+8mIdSLkre6zMLzlxqk7elRhBrNEyb25b&#10;a9vRPn+mLf3iZ3mdFYVFDvMZk/VypDr9i4W1cU6+OLE6p2Y/BWqvh8EDz5FxbFUsW25vyxiN6H/d&#10;6vBatf29TMJW9wDEckIrd8apDUAqYbu7v9j2E+mMCWtCDOPIuouyxv1tsJaAkZA03NtfpAfj91Zt&#10;UbR7HyLaP4Av/nUzYnr1wt7kYZg6IAxzv++LH1u0x8mVOYi67QkU5ezEj/c9jGEPv4DBwfegYNdu&#10;nJi9EJO6vYvSTXvxQ7MArO4djq3JmZjQtRsSG/ki0isIUd48h1D8+u9b0e8/LbBl6kzMeeMrxDr7&#10;Idst2BoiwSsQaU68HmvYgBHOQchwDkCMh78EpEmijmgPhnoIQqaTCQkuJumFmyyugW0R7eovwXC8&#10;eE8lNwlFRNNgRHgSZDOObgCixef2R482SL7jUWR3fQaDb26HHWFpODR3EUY8/CySbvTDkA6PofjU&#10;OZRVV6DSbA1nwonFzBXFMOfnI1Z61tpgrWhztmWUaHPCaHrWFm7aiZLqchTm7ECMc6iEuFFe/hrW&#10;amlpaWlpack+lRCT3xuM0FOON2xQlsZ89d1C9cPGJctyYinCrdzcXGn8CTm9EOmYwe80HOsb61T7&#10;G2Ws3yiVbsy336aMaUYzHpNLnofRmGbc3z5flVH5yrRqi23EZ4AeqISe1zuszRdjbcatVbD2yJEj&#10;Nd9ZlfSzoKV1/atBwlqqYO9Bh6BShS2Y1f0th/kNwQqPHJPXuDk2vU7e1EdekHmXI/XCvxhYm+Dq&#10;L+Emxf04IOKA4noTz5nXqwZLe6fORlyjNg6vWdvfxxSsZQiBWBdfpLuHIJWA08UaEzZJPJ8prn5I&#10;lj+7P+/RWdcCEOfhJ8FolHcIlvYbigMLVyJvxwE5sde4rs8j673PcWLZeiQ/9wZKDhzG4LYPok/A&#10;PZgTk4pjSzbha2dfnJy/Bkn3PY++rW5H0f5j+LJFMMa+9gmGPt4N57btRPgdDyLGg+EAQtC3TQds&#10;yB6JhV/2wboFczH2854Y6OKD39xaovdNzRHj5o8kFxMyvEIR5eKHxCYhyHIJRmbnhzCiyyNIdvKz&#10;eqqK60zxDEasZwBi3UxIFvvEewVKD9wYL16XuD53TpwWjIE3izRPExJEuQSW9w5GhndbpLiFIMo1&#10;ED87t8FvN96KIYw/yxi8XkHo17w91gyIQO60eVgh3jVp734KS0ERKotLEH/3M+L4geJ6TKIOAvJA&#10;xHr4Ik209483tET+ll04V12Oc5t3YLC47lRxLrFevjXt7uie1mca1mppaWlpaTUccexN8GQEtWpb&#10;9bVcMk8BS9UPc8x+5syZmliea9eulX34qlWrsHTpUixevBjLly/HmjVrsG7dOgm6tm3bJsvT65LQ&#10;6+TJkxLqEojR0cR4TKPUMZWpNHVO6twdmSMxnfsYzb6sfb6jMtSFjtMQpa5XXbP99bOdGgqsNYZB&#10;4HPLazl69Kj8fBhl3wZaWlrXnxosrKWWffVLHVg57dGX5U975URkLTvWyb/ebVTQPTL8AZXdvO5E&#10;ZgS4lyv1wv8jWEvYMvPlj2T4AFWeg6zrtcNgB2+MY3tg5gLEO/s6vHZtfw9LlB6zAYjnxFVc5yRh&#10;7iFI9ApFjHug9DJNdw5CemOr16eKlVrLRHqSawCSXf2Q4sZlAPrf1AJ9//cWYc3xk0sbJDcOwiBX&#10;X8z57Bes+q4fNo2ahLi7n0T+gnVYljYMRbsPY2D7B3BizirMeudb9PK7HYX7T+B73y44NHslDoyY&#10;iOKd+zD8tfeQ4NUeg/5PC+zIHItNk6Zi1sufwXzyFFLf+wyjX/0AZ5asxPFpcxAp9o1v2g5x4tzj&#10;moTgh5t98HuTQEz8qTe2Z49CBK/VORjRXkFI9hDX2cgkrpXXFCxj2aY7ByBTbCe5sH38EfbvWxEl&#10;9g/39pPbiW5+SHLyxXCnIIz4t6jLIxQDmlg9c+kZm+DsL+vN9miHgf/bDH3+dTMiG/tgqKsJ0a06&#10;IqPLw4ho3k62X6Y4RrowTuIW5+kr49f++J/mKNi4A+WV5cjftAMDvES9Hoy564sEGzh3dE/rMw1r&#10;tbS0tLS0Go7Y1xq9XbnkdwkFa5lm7I+ZRk/Z06dPy9nxV65cienTp2PMmDEYMWIERo4cKY3rw4cP&#10;l8Zt9u/jx4/H5MmTMWPGDDl2WLRoEVasWFEDcjmZ07Fjx2TdhMAcC6jJnXhMGs/V0fjgQrIfOxi3&#10;jXaputL9r1fZX7P99fP+EHBez2EQ1HnzGadXrTEMghHWGtvC2AZaWlrXnxo0rC09k4sRfnfUBpbN&#10;2mHv+Gky/+yW7bXzrncT17Z/yix5bcXHTzosc3brDpl/OVIv/AvBWoKWjDa3ofxcviyrBljXe2fB&#10;8yewVdexe/x0JOoYtn9jU9A1QNwnAsggRHu3RUTr2/GDhx9+dfZDlGsA0t2DraBWmAK2ahlvW8Yx&#10;vICnP5K8mOYvgWeKV6jYDkHCTQxPEIKYG1oh6ibGoG2BKLdADBGWee9zSO76DHqL/RJvfwzH567F&#10;2OffwZk9B/BD0B04t/Mg+nR7Hue27saolwlrO+K3/22FPRPnIuPjrzCkcTByZszFiA+/wf6FyzDx&#10;+x+R9NmnODF5NgY38kWmVwdEtOmME0tW4MyCFVg/bQo2jhyL7xu1Qvpd3ZD0WA/84u6LVOcQRDfy&#10;w0Bx7oOd2iDToy2SG5swsHkwMl99C4cShiOscSvEMWQBw0WI64vzNCHMi/BWPOPi+hnvN7aJ1Vs5&#10;he0mri9WlItlO4n2jhXlMkQ7cEK2GHG9sV4BMq5uqgtDUFi9eWM9fWX+9ze2RMHGXaisKkf+Rius&#10;TRHtG+fhU9P2ju+pY9OwVktLS0tLq+GI/Sn7W36HIIDikmZMV9tcElodOnRIQtpJkyZJKMv+W/Xn&#10;3OaYgICW2+zXFcRV/bwyAl72/xMmTMCUKVMk9J05c6YcVyxcuFCC3JycnBpvXB73xIkTcuzB81Bz&#10;Xijj+fGcHY0THG0bTe1nr/ryVVp9+zVkqTZR121cp9gmDQHWcslJxfisEdgS3HKCMUewVktL6/pX&#10;g4a11O7Rk+oAy8wmISg5flLmb0sdXif/erUxbe+HpdQ6E+SUB3vUyZ9wxxPSq/hypV789cJaj0AJ&#10;xrZljpHlWL4hgFqjFLBlO26ISpXhHmq1gba/iVlBbTI9RV05qVgQolp1QcmmfTi5ZB12DxcD8Ne+&#10;RLhnsBXQEjq6maRxXaUluQVKr9QkZz+RZkKauN8Jos5ogltRf5SXCXHuvojx9ENsExNiRBkCzhSC&#10;XBcTYrm/WwgSnQMQ18gHcU1CEdmiIwaI46Tf0x1LfhyI1VFJGPnSmyLNH/2ahWLMC+/h9NZtGPfC&#10;uzh94CCGv/UZdi9bhVm9+mDZ579iy0/hEgZHugRjzvvfYvvs+ejl7oPNI8ZjcVIasp56Hflb9mJe&#10;UhI2JGdjYMvO2JE0EtM//x5LvvkdQ8W5Jd3SCb94+2NnxhgMbt1BXHcw4hv7I90zFEk3+CDdlZ6w&#10;AeI6AxDTuBXSxLmFe5swqPGtSBbnnt3YDxEevtZJwXgt9EJ2ZhgDTt5mhdsErwS1DIEQKdor2ssP&#10;KaLNfrihBfI37YS5qhx5m3agnzifFLa/aEM5GRzbvc79rN80rNXS0tLS0mo4Yn+qoKMyiuCTQIrb&#10;LENYtX//fhnSYN68eRKw0ms2Oztb9t/sx+k5y36c2wSx3Kapfp7GdeYr71tlCuZySWM93JcQl564&#10;s2fPlsclxGWIBcJigtytW7fKn6ormMuwChxDMHYuz/9ixgtqXFGfKWCt2oJm317/JBnbxritxDZp&#10;SLCWzz49vPmcaVirpdVw1eBhLaHa3Fc+qgMuR4fcW/Mz/RU9f0fmzaF1ylxPxvM/MG2uvB56FGc5&#10;KLMpKkXmX67Ui78+WEuvu7H3PFMDhFmOA4mGJHb2/MkT24LhJhZ/+YuM82lsB21/A7PB1kQ5mRhB&#10;awjCWndG2YlzeN/UDuHPvoZzW/Yh6a5uCGvUSsaBJahNtu1L2MtJxQgOE//jg0yPUAxpykm4TMh2&#10;8ke6s7+cvCtK5Md6+SHOwxcR3n6IEseKokeqB715CXID5OciVdTLScKSvKznx9i58aKOKFc/DGjc&#10;ChGuvsh0ZXxdfyS4BCP72dcx98f+mBebhHHPvIfxT72DE0s2YlV0GpZ+0wdDxPVEe7TFuO7vYPuc&#10;JfjohlswtVdfzI5NwaqEETg8YQamfPczzDsO48c770dR7lmM/uhL7JuxELN79sbMb3pje3Q63v9v&#10;T2wLS0as3z0Y1+0tDGx7N7I6P45o1wBkuYRgiKsPBju1FNdpwvDAu3Fw2Ur8fosJ4U0DEdksWD77&#10;6TJEBENFELb6ynAGVljrLz11010CkSYsTuQTyv5Az9pNu2CpZhiEnejvHYIU0d4S1rK9Zdsb7uUf&#10;mIa1WlpaWlpaDUfsT/n9QY61Rb+rPFRVX8txOAEo4dXcuXNrwh2wz1b9t4Kw7MOVsZwyNT5QZVV5&#10;lWfch0vWrUzlcd0e7LKOiRMnYurUqZg1a5YEuYS4/N7EiaEIlxkX9/jx49Ij1xhagTCX350cjTXs&#10;pdrCaNyPZkz7p8r++tkuDQ3W8nqMsFZ95/4n33ctrYamBg9rqbKzuRgdfG8tcJnVrB1mdntDgkVC&#10;23lvfIbMW9rWKnM92czub9bEqp3+5Gvy+oz5w1p3lhD3SqRe/vXB2tibWuPQnEWyDDsMlrsc/d07&#10;GXb4HChSjH084eEXpRehsS20XWOzQb9Ed/683g/prsGIaNlZvAvy0f+uxzA44E7snTUHGR98jMmf&#10;/Ij0J17GtIdeQ19nH0S27IBBDAsg6ul3U3Ns6h+FhCaEtQGIbmpCqruf9C7Nakyv0kA5MVeGsziO&#10;OFaSSE9zC0C2c6AElcleIYhz8UOsU2sk3hqCIR4+iPb0Qzw9ct0IeenJy0m4xLarnzhOIFJu8kWS&#10;iz+GiOP0c26NeGdxXKcgRAd1RfxTLyKyQ1eEi33S3EIQ7h2KQ9Pn49Ck+TIO7Jr0kRjxzufYs3gp&#10;3vUNxOjHX0Wfjvcid/8h9LolBAt+HICNqaMx5ZufsHPERHzz7+Yo3rYPA+/vhtNzluPEomU4Mnk+&#10;1qcOx68Ezi++JuNcT333c/Tz9EfmQ90R5h2EIW7+GPCvZoi+yQejGgeLawpEkvgMENzy+pNEfoJo&#10;F4JqTuiW6hqIBAJde1i72QhrxfE0rNXS0tLS0vrHS0FH9X1CedRywi8CN04Upjxk2U8rz1f23Uw3&#10;wleasX9n367gKvehsYwR2hrNEcBVxjpUPaqcqpvbrI8ev4yLS4/cadOmSa9cFVqBHrmcBE1NHEVP&#10;XMbHJbzltfLaGRNXGduD7aDaxyjjeETZP1X2189244RxhOWEnmxvexj6d7f6YC2vhXGVjbD2n3zv&#10;tbQakv4RsJY6tXZDLXhJI5xd9EFPmW8RHeKclz6sAzmvBxveugsKDx2V13F86SqHZZZ+/pPMvxKp&#10;F399sHb07U/IfIrhAlSncSGpDsXYsdin2dvfQRw0ctBEFR07ibQWnS/559va/jzjveBkVWkuJiS7&#10;+SPNLRhDW3VG6dlcrEwfgaPTl+PQqCn41q8tTuzegyOzF2LB579hRWIWTq5cjxPLNmJI806Y+3Vv&#10;VJzLQ9SD3cR2ewy5sRWG/HcTDHRrJeoXx/IIxVBXH4xuzONavXkZBzfVyYSIpkEI8/JHQtNgpIlz&#10;iXD3QaSHD+JdreECUt2s55bgxjANJoR7+iLcyxfRTQOQzonNxLkniDpjPAPEMkiGXogR+9ADOFbs&#10;H+7hh5gmwRgi6k4M7IrItvdh9OOv4afGrbAmOhGHV6/FoakL8UtAJxQcOYbvbg7Esv4R2JQ2CtM+&#10;/xk7xk5Gt/9yQuGeg+h972M4MXMJwl98Cz/4dUTe5h2IuvNxlJw6hakvf4LtiSOR3fUZnN65B71c&#10;/bBQtMux8fMx6dWPkexMD1x/xLe/DwPc2iCOYNZZXJc4L8a0jfa2xbH14ARjGtZqaWlpaWlpXViq&#10;X1VgkmNueqEyxIDypmXIAyMkVXCUfbgxTfXpKl2lqTLGchcy4740Y50qTW2zTgVyaQS4ygtXeeKy&#10;DL1wCXHpiatCK9Abd9myZTK8A70mec3bt2+XkI7euLm5uXJMwrilbBc9/qgr+3EZv5Oyzfbt2yfh&#10;ZkOBtZwAj+lGWKs+M/ZtoKWldf3pHwNrqc0xaXUgZtYtbbHiu74yv7K8ArOef+e6A7b7Js2U528p&#10;L8eYdg/IicaM+cNadUbZFXrVUuqF7wjWxjX2wba0kTKfHcTFeNWqToRm7FTsO5kL2bUSj63+wk3t&#10;mzYH8c4+tSCStmtnjH1KWMhwBZwQK84rCAN8OqD0zDm83sgb/V390NvFB/1cfZC7ficG3vYA+vjd&#10;hqL9+/Fpq0CEPfAkzu3YhoF3PgrLmVNYlTUSv3a5H8fmLZcwd8ZzHyPWpS36ic9X0pMvIr5JO0S6&#10;B6Ff41YY9D83I9Y5AAl3PYb81Tn4xa2lPH5E8xDkZk9B8s1txXYgUsV5ESbT6zTRLQCJXiHIYKxY&#10;DxOSXP2RJeqgx220lwlpjawxc5PcfTHcyR+ZIj/C2x+R3gHIcA5ChlswIsUxokR6tntbDBTn8Ztz&#10;C8SIemOahiL59scwxCMYE59/Dwt+HIhfg29Hwb7DODR2GiotFvS97wmcnLsccc+9jgGtOuLkpo1I&#10;6f4KTuzajQ//cyuG3toFQ0MewNljxzHo/qdRuPsAfurcFQfW5iAs+D6cXJ6DXRNnoHDhOoQ37yhj&#10;9TLer4Sv9Dp3t8b21bBWS0tLS0vrn6nL6S851qZHJL1pV61aJT1TjZ6rCozSFDS1T7P3tOWSacoz&#10;l2nGff/IWI5mD4BVHtNVnsrnuRjhLbeN+UwjxCWApvEama5CKhDkElIvX74c69atw/r16yWkI6xT&#10;oRVUWAW2F2EeHWccjVuuRJcz3rnYfVS5iy1/IdnXwe9rHB8S1l6KZy3LOrI/KmeffzVM1ctrIKhX&#10;MWuZxrAaGtZqaTU8/aNgLV9Y89/4rBbIpBHOrvpxgLWMeLktZwzbpn//GLYEzev7R9a8iOe99olD&#10;0Lzim99k/pVKHccRrI3+dwtUW6wdAwdW9Q4ORBWyGrms3SmrjkV1MkZzlM60S5E6ztUS62JbqHpn&#10;vfqpFUwZQJK2a2OJHlZgywmtYlx9EdUkEIPatMOR7In4rXEbJLuHIFaU+9mzDc7u2ouYOx9FZPOO&#10;KNyxD4NNd+D3Zm1RVVaOH519UH46D984tcLi3kOxfuoUfNCuE/K27sdH/m1RcvIMdkycjtI1uzEg&#10;pCvm/TwQR6YuwKyPf0GfVh3Qx68z+rVohx/+pynWvPsNRnd/DUM9/WVIBU56xjAKKeJc4txCkNX5&#10;EcQ36ygnJIsR6RluQch2MiHZxR9ZLkGI8yCgpVeuLzI54ZmrH2K8AsS1EPaaENbEhKhmwYh19kWC&#10;ix8yPYKR6eSPePFMEhYT6Ebf2AYRN7QUxw5Bn0YtEN6iI9LufgoDTbdj2U+DkXrfM4hr0QFlew7g&#10;l4COKDpyEtM//h6TnnoffYO74uzRYxj6yHPIW7sJa4fGYe+EqZj+0qfYP2seJg4MR9+AOzHIu704&#10;x3ZI5sRqvD43f6S7mMT5alirpaWlpaX1TxT7SPahBEr2Y3hjP6rSWYYxXAmh+J2DYQMU9KQpMKrg&#10;p9q2B6iO0lS6vRnzjWZ/THsYa9xfrTPfERC2r88+zd5UvrFeZaybIRYmTZokITbHPvTIZXvRE5cQ&#10;l+3HsAocwzCsAgEuv7vwu5oy3hPV7salWjeK90WNheorYy+1z4XKMo9leC7qGbHXhY5XX55KY530&#10;SCbopKeyEYJeyOwhrL0ZyymPXWP61TRVL/9wwXtJWMs4yEw3wtoLtZOWltb1pX8UrFWaeM/TdYBm&#10;1s2hWPbVL6gSnRa1NTGrTpm/kxHKLvn0e3mu1I70kQ4nSRsVeI+txJVLvfjtYW2isHnvfi3zWEbF&#10;c3Uo0fdW00RVLFtFY+dsMxlD2NBRy87dtjSmcf1iOiKWUeXUuqNtlXap4n4K2JqLSpDYJEQCJ3ug&#10;pO2vNQn9GHrAyx9RzUJk6IAkr2AMcGqBSBdfDPNuh1hXfwzyCsCcD75Ggv+dSHQOwuKPf8K5LTuQ&#10;t28vDo8cj56NWqJs216EBdyJWV/1xvYJ0zHpk16Y8XMYEt/6AOe27sSXN7bAkP+6FcnPvYH8g/uR&#10;cH93bP4xHAnPvYmSrXvwkUdr7E2fgCML1mH2j0PQ3zUAmR5tkSKON6RJEH7/3+b44f/ngcPp47Cg&#10;z2Ak/scfse6BiG0ailSPEKT634HhdzyMoR4mORFaLMMmMP6reNaiPazhERLFdTA2b4K7SHcPQIKH&#10;FdImuQVgqMiLbGpCpMiPZzlRB6FpsnsQUrxCkOwZLMMVDLqpFRKcTci6KQDhN7ZEtHcIBphuw8qB&#10;KdiZOQMZXZ7E6a278G2rUOSuyMHYXr9gxMdfIcrvToSb7sKvT/RAxcGTGOJ7B9I824s25+RrwjxN&#10;YinO29NHw1otLS0tLa1/oIx95R8ZQ40RrNFrkDFdCSLZLyuAqfpm9tNGmGmEmDS1bezb7U3tbzSm&#10;O6pLlVfnoM6DZtynvrpVun2+fbrRVBl1THrcKs9iZfYTnDE+roqLy0nO5s2bhyVLlsixTE5OjoR7&#10;hHwEl5yYijCX3rhsd0f3w2jqe5gjGfONZdS+fyRVrj6rTxdThtdGr+Pdu3fXGwaBEFfZtm3bam0T&#10;fnNZ3z726X+GGWEt/5DBMAi8j0yjV7WCtVpaWg1H/0hYS43t8FAdsMnwAdMeexmWklJZpvTMWWS3&#10;6Cg9WOuUvZYmznPxx73kObJjOjxncb2hGw7PWiDLXQ2pTtAe1sY5+WDflDkyjx0F/0pbn1gF++9q&#10;0Z9UVFWjnB06IWyFRXakFRYzKqsqJbi1sC6RZhFpXFcgl+UvFdbS1OBB1mFbN+bTLkc8bxq1c9Rk&#10;DWv/BkbPWk76FucdhGjGh3UPRLozJ/IKQHyTIES4+CDFOwQJTn6IFhbu5IsMt1DEiDIDW7dD/85d&#10;EdPIH9HuwUh//k0UzF6OyLufwOnlG7A2fSS2p41Fz8DOKDt6Gn38umBY09uQ8dBLOLZuE376T0tE&#10;3BiA/vc9jiPLVyH8jbdQsGUPvvIyYceo6ZjT8zcMbUzP2BAMbH8/9s5aiN1T52PzuMlY0S8Scf/t&#10;jwHN2qOfOM8BjXyR/cRLOL12PXo1boZsz7Yy7EGSVwiim4Qg1vcODLvtcQz1oLewHzJEvcOc/OVE&#10;X4x3yxALDLeQ4G5ClDeBKcMq+CNCnEu0pz+ixJIxcTlJWryXaDeGZXAJwDCvtmKfQAx298fgxr7o&#10;878txedcnI+zr9gnBINbdcCsz37Gwl8GY1CL9jgyegZOLVyDsu0HkdrlScQ5B8r940S9ss3FZ4IT&#10;q2lYq6WlpaWl9c8S+0eOvdX429hvKmMenT3oLXj48GGsXLlSeoxmZ2cjIyNDAkn2zeyTFbAkxFSA&#10;1Ag9VRpN7UNTZRT85FKZ2vePTJU31ulo/z8qo87Z0b71mbFObhuvkXlGgEuzD6vAckZPXIZV4ERt&#10;bGt+ryP4YzzUgwcPyntAb00CTkJBNdmZAroXK5Y13vNLldrPkSlxXT1fxnRKbRthLaGnAp8KtipT&#10;kFbBUWM5Y9qf7UXryNSxCGsZBoGAnfeM53by5El5/VpaWg1L/1hYy/i0E+/p5hBwjuv4MAoOHJbl&#10;zMUl0uOW0NZR2b/cmrXD5shkeW7sgI4uXO64nLD5r38qy10tqQ7PHtZG/etWlOfly3yCWvuO0ihm&#10;VdVYNSxihZ14pdki7gmhZyVOrlmLJYPDsX/cFOSt34qSg8dgPp2H6tLyGlArBwtiX9bH4503HsR6&#10;LIppFxoYymPblvb5lyLlXUvxJ+n2QEnbX2uJ7kEyZm2qM+PC0pvUJD1S6XUa5+mP+CYBiHFpIycD&#10;S3TyR6JXEKIl0AxEhkiLdw9EmpMJcV7BiBD79vc0IdIzFOHOJkx4/DWMvacHYtxCMeHZ95C3ci0K&#10;Fq9Fwl2PI3/DZsz9bQBWff4boh7qjjNrNmBAt2dwYskqfHpja4x+7VNsHT8F/Tz8Eenkh80D4rEx&#10;YzR+CbgLZ/fuw5Qf+2LC0+/h+PZt2DtjEca/8QVSHn0Jx5euRN9GPkgQ55rtGoqBN7ZBX7cAZD36&#10;Io4uXoPBzq2Q4umHRF6bl3ViMnq1xom2yHAJlGEI4sUxk8U1MiyBXBfXlSi2uU5P3GROaiauO17G&#10;xvWXcDXeO0R6+cZ5hiDNNUjsE4QsJ9G2ribE3NBanFNLUSYYP994M366WVyTT2cMZOxmrxAZp5b1&#10;EprH83w8NKzV0tLS0tL6p4l9J8ft/I6gxt3GsTfFfEJBAkJCMHqEEirSq5V9soKMjOHK/pnwkf08&#10;l+ynFcBV/baCoEaIyXUj3FRljKbSaaxH1aWMZRQkVWa/r1q3399+X7XfxZqjOo1126epdPt92Raq&#10;rZjOc2H7Ki9iglw10RnjBBMSEnIeOnSoZoIzwkLGxeVSgVz7kAqXIuNYypGpMnxmjM8NxXUel88Q&#10;84xS5ZhHD2JehwKv9ZkCspzcjaagrCOz38c+/Woa6+W5E6az3TkuJawlYD516pRsAy0trYalfyys&#10;pehBO/vF9x2CzjQ3P+weOcFWEji5KgcT7+6GTO/gazIBGY85OvQ+HF+2Wp4PO58DU+fWG1t3fOdH&#10;ZbmrKdXh2cPaYaEPyPARzL9gCAQhdqEEtRaxUl0pOl1hFtGxllRbUGIuQ4XoeEbc9jRS/tcX4Te2&#10;QZRrKMJv6YTEwPsx9uGXMfPzH7B19EQxICgRnZIY8BHYWth523fq1nM1pqkOXg0SlalOXy3t7WKk&#10;BqHUqZwt2rv2Whtj1vIeuFmNnp2xXgwPIMzVD4nuBJQmJLj5S0/SJEJK9wCEe/kjzdlkDZsg6ol3&#10;NyFD7M8yyS6MLxtknbSrsXUiL8LbX7x90M/LDzHimGEt2mPBd79i7uc/I/P2x3E4ayw+926FM+u3&#10;YEH/KJxaug5Lfh+Mfm5tMNTFD5t+j8K6QXH45QYf5KSPwOgffsXWaQswKy0Rye99jNytO5Hw1Ms4&#10;vmY9fv9PK8Q1CcUAF1/kZI7BoaUbsCoxCyfmrMEvzr6IaXM7kkO64jePNogW1xLVWKQ5+yNOnGOa&#10;mxVe85oJa+O8TBLcpkqvV5HvKq7X5oGbxHzx/mNYBYLr5MaiDVyDEenthyjRPoSwMR7+yHAhjGX7&#10;iqV3EGJvDkYiJ3QT70iGa0gR5ZJd/W3tzra0hl/QsFZLS0tLS+ufI/aP7D+VcezNcbMRrjGN0I99&#10;OCfL4k/0CQcJpvgTdH7voAcof87Pn/Xzp/4EjvQeVTBWAVsFMxUQVZCSaY7CGhhBpto2mipnLG/M&#10;oxnhq33djso42r4UU3Ubz5vprJPXp+CrKmu/n9rXvu3YnsxT9SgvXBVSgeOr+fPny9i4BLmc7IwQ&#10;kROd8V7Rw5Men/w+qL5j2Zv9eEmNoYxl7L+jqX2M60ap/RzlUfyOxnMj3DR6xV7IjLDWCE0JTJU5&#10;8sSlGctfLWO9PB4/FwyDwM8KPxs0DWu1tBqm/tGwlqoUL++ln/7gEHjSi3XGk68jb89+WdYiBhF7&#10;xkzBuE6PIOvmvyY0QtYt7TCsZSes+qGf9F6lqswWbAiLR2bTEIf7jDLdjYr8Qln2akp1gPawdum3&#10;fWriyjLvQmIN9Kg1C6siZLVUwSw6l7KqSrGswLrkLAx0C0QiZ8p3JRwLRrpLsJwsij+rHurkh4RG&#10;QSg6cEC0g+jIxf6VXIpjE/pavW1rd+hV1Tw3hlTgX3yt4RXYoXGQaFyqjp7ral9V18WIQfvlPqKO&#10;rIB7kESQZQeWtP1FJmGtFdgajffEuJ3gFoBkwlz3AMR6mBBLz1oXax49TWXcV1c/8Sz6i7Li2aPX&#10;qZu/OEYgogh7xTOZQpjrGoQUsR/B8ECnNhjM+LAehJYBiBF1DXL3x+zXv8SIJ17HELFvGuPENglG&#10;RNu7kbt9N+YOjETRwcOY1OtXLB+SiOlDhiLywe7I6vEush57CSdWrsfAf7WUnr9xXR5Aae45/Nby&#10;dsyJSMCeFWvw0+0PIm/tVqzLmIA9GRPxbePWWDMoCcOfewfT3umJqCZtpedwpCsnHwtAuIsP4l3o&#10;TSvqa2KdzCzGKwjhTTgRmAlRt4j2EMeKcvKR6YnOgYj28kOcsARPE8K9/WWbsM0Ie+M9RDuJa85q&#10;1Aapon2iPHzF0oQU0YbR3gHy8xvPeLqiLTSs1dLS0tLS+ueI/aMaY1NcqrG36j9VGsfSBH1cV2UJ&#10;cdkH06uTQJATZzGeLb+LrFmzBmvXrpVLAkSCREJFAkaCRvbnKhwAlwSS9oBS9fUKYtqPBbhUeTSW&#10;VeVVOWM+91H7qXVl9uXU/hdr3EdBWJqxPmM5R/mqjKrDWI8qq8ZNal21DdtJhVRgO7IOejlPmTJF&#10;xsfluGvRokVYvnx5DcDlPWJYBRp/us/7x1AEvJeEjbzHFxo7Xc64ivuo73TG/RWsVeBfQVijXQpo&#10;NQJbbnO/+uDu1TIFa/nHDHtYS69h9Zm5nHbT0tL6e+ofD2upKkslNkenYFirTnXAJ2EpQyCs/T0M&#10;lWXlsny16AT2jp2KqQ+/gCy78lfL5GRhzTtgwTtf4dz23fK4VOGBw5j2+CsSJDvaj2D33I49ttJX&#10;V+rlXwvWegRi5+gpMl39/OVC4jCN9RDWVtMzVlg5Y9SWmVG89wgi29yFdR//htH3PIVM50CkOvsh&#10;3TUAWS4mpIv1TI8gpLqFYOrXP6Fa3DeLOGZRtRjsVYh16aVLOGsd+PFcaISzVeVisFdpQX5VKcxn&#10;zsFy7Cyqi8tlHZU00amrOLmVorNjuAXWIa+ZdhHiwEB5155Ys0H+VNwRXNJ2bYwT4UmIK5e1oW0t&#10;c7curR659Db1k6AxjmEBxDLZzRcJHvSk5YRZnMjLhGRnYQynIOpmfNwUYTEEvOJ4UZ4BiPIOwlCX&#10;QES5Bot9gqXHabJ7AKLFM5LY9n6MePEdjH3ydcx57kPEeoTi4NTZODhjHnYnDEfmgz1weu1G9P9P&#10;KwxpGoA4020oPXoMvW4U5/T8W9i/ZBXSP/gCJ8TgcOT7X6FozwH07HwPqs/mYV3/GCzNGI5NScOQ&#10;/djL2D9iGn5x8cHsd75GfKcHkNnhEfRuHoToFh0QJq4jzjsYw27wR3jjVuI6A5B2awecnbUUg1t2&#10;sMbEdfFDivgsRnj5IbuxFXTT0l1Fe7n6Il2UiRX1x3ozz/oHl1hPa5sSdmtYq6WlpaWl9c8S+0c1&#10;Jjf2marf5JL9K/O5VH2tSlPphFH8DsIl0zjmJsjlT8IZ65bAil6H9J7k9xR6fjImK2Oz0jN0+vTp&#10;mDp1qvTKJWg0ep4qgKuMfb8RVirYSbMfLyiwqcxY1h6MGvPsYenFGut0ZCrfeN6qPI9nPDeVrvYx&#10;7qfKGMuqPJWvPHeNxzbuwzzCcsJcGgE6YTrBOoEmASMBLsNeMKwCQ2CosAoEkYT26j6r5+RixLLq&#10;mTHux7rOnj0rwbE9ZKU5ArdGSGosayzvKI2m9r2axmOw3Y4dO1bjhc5nnaZhrZZWw5SGtQYdX7oa&#10;I/3vdAhBrWEI7sf2tBGoKCyS5SsrzDi7eTvW/j4UY9s9gAzvIIf7XqwR0HIys5Gmu7DmtyEo2HdQ&#10;QkN5LPEC3hKbhmGtOzvcl8b9+LNp8ZaW+1xtqZe/EdYSSB5dtqYm/Y/EGghTK6rNqGInLAZfpeYK&#10;Ccynf90PAwLvgXn3QcS3uxdx7gGQMUY9TEj2CECmW4D0+tsTlYz+niEo3nsApRUlKBFtRA9d2Tlz&#10;kEdPWnEMOcgTZq6sQoUwszi/CjEAmPrSZxjq1xUpdz2PCc9/goXfDcCW9NE4Mn8pCnfuRlVpmRgA&#10;inMS+7AuMZyU185/fyTlXctryw6+1yFc0vb3MgJW6YVrXFfgto6JZ1AsGS5Ahgxw9Uekt0j3CpKx&#10;cTlZ11Avk5yoi9uEvfFunEzMhBHObZF2kzgmQyl4+oh9GDc2CJmNgxDXyIQw7xBESo/yEAxx9kFy&#10;0D2Ia94RyT53YP6b32Dof1ohplkIhoq8faOmYv/EeTg8YwGOrFiPhMd6YO+alfip0z3IeOZ1fNcq&#10;FGW79iH61k4Yet+TOJSzGRFPvYozSzfhU3c/7Jw8G9mff4vtySNRsH039kydi70jpqCPZzAyAx/C&#10;9J/6YkyPd9DXzYTY+7vJCcWG/qcZwv+3KaJc22BgM3+kuYnrFu2VLPbJdg4Uy0AMcm2FoZ5+iOR1&#10;i+tMcbV6xNMjOd7dV8NaLS0tLS2tf6DYfxrN2Gfa96NcOipXnzj+J6givOV3EXrmKoDLn+QT0hEK&#10;EuQS1tE7kcCQfTu9QQkSCW/Z97PPNxrBowKSRhhJU2MFR7Cyvv2N6ZcDa1X9apv1sh5jzFljOeO5&#10;qeOq/VlWnZujfZQ5qoNpapvG8ZLyYOb4i+sK7DKf5QnJaYS4NK7TA1p55a5YsUJ65RJ27tmzR0JJ&#10;euI6CqugnhF1741g197UM8LngeECjh49Kr2zeQzGsKUHMJ8JIxTl88HvujQjfFUw1t6LVgFgYz1X&#10;0xQQNsJaPtcEtTx/tpOGtVpaDU8a1tqp7Kz4ov/SBw5hKIEtQw+MDLgbq37oj7IzuXIfvhTNRcXI&#10;33cAu0ZMwLzXP5WTlNEjN93dhHSPALmv2j/LBmXTRB7T0j0DMe3xV7F+QBRyd+yWk5oZxTrHtH1A&#10;7sPyjs5tbIeHkL/3gG2PP0fq5W+EtfHOfsjbu68m/Y/EGqwTi7FTNaOqQnSw5WU4vmItfvduiy3D&#10;xmNrdAb6uQZieOdHJBDKdOHERoFIdg5AmHsgDi5cjOwHX8SMT75HVWUFKsorYK4S90B24qJjtoVC&#10;UB26pdKCcunFa8bRyXMQ4xSIFNcQpIp6UxoHIKmxP2KdTQh3aoMhngEY8eYnqCwvRblZDADE/rDw&#10;fEXdEtxeWBwM0KiNCVmId/FzCJi0XR9GcFgb1lphYq2lMkJJkRbP/cTzmiae12SRzj80yBALrgw1&#10;EIIYsZ7IkAIePshw8keWczCy3NoiUZRPcQ9BVJNgWV+ySwAGewdgSJMgDBXPa3LTdohzaSO9guMb&#10;B2LEQy8h9rbHsPKVr/Cbcxss7jsE5xYsQ+GyTfipeSAqT51GpP/tiH3gaRxbvw1DH3wBZ5dtx0fO&#10;vtg6egbGvvMtNoZlY2lMGl53dse5Q4fR68GHcXrjVixPz8bmuGEY+cybOJOzA/0b+WPjz9HYlS0G&#10;9W9+ikHiHMLEefXyaoNfbmyG/v++VZRpjvmvfIQRdzyBuKZtxXUGy89tmosVxBJQa1irpaWlpaX1&#10;z5Uam9urvNyCzbuOY/L8bRg+NQcT52zBig0HsWrTYWzZdQJnzhXbStaVqvNC/TDzOD6nUwU9ODlW&#10;UOCOHp4EXoRiOTk5MqQCf86/dOlSLFiwQP7Mn2CRQJTjAgUkjVCSYwUj6OS2MjWmMMJNY9nLNdZh&#10;b47K0Yx5PC5NwVrmGc9JAV9jeS5ZhtdqhLBqP+Yb61Fpaj+Vxn1VSAVjG7IMj6u8cekNzfZnnGLe&#10;D+WNy9i4BO4MBWAfVkF9/6pPhJkqzAY9ebkfvXoJPfksEIIePnxYhtpgzGTCXB6PQFR54trDWgVs&#10;CVKNcPVqmz2s5R8jeO08N54jr8Ee1uqxqZbW9S8Nax2IXpF7xkxGdsu6YRFqrFk7ZDQNwcR7nsah&#10;OQtte9pejKKzsJSVy7ix53bukZOCHVmwDIdmzseOtJHYP3kWTq7OwZkNW1GWm4dK0WnwmEYVHzuB&#10;tX2GYlRQV6vHbT2QljbtsZdQagPHf6bUC78WrG3sIwE3pUIAXEisQXm9EqCWV5ShpCgfUx5+A5kP&#10;v4iSPQcxwDUEq36NwOHkURKoZnFG/8aBSAt4AIue/QRJd3ZD4YK16HXDrSg9dBTFou2qLVYoWym9&#10;aq0DNpqEpyLfYilH+bk8xN35JEaJ/ZNubSchMCdeSnHlT9dpnIjJhERxrFNr1qHEYhb70UvW5rFL&#10;CGy9jHrFY/KvnVTxiVMSrDkCTNqud7MCWhlOQWzXAFumuZ9fV2b1Lg1CjEcAoj05MZcvopv4ItEr&#10;ABFNghDu5o8MAlk3se3hj0gvE2JFeqSnv5z4K9UpRMbXZdiFgbeaxHYQ4tyCMejWthjk6odkz1Dx&#10;WfTD4GbBSPIOQbirP6a98B4ixPshqfPDOJQ9ET+1aI+CzXuweuR4mE+cw4S3v8G++PFY0S8WP7oE&#10;4MzWPYh94VUU5mzF97eGIM2lPX70DkDe4f34/BYTorq/jJ8e746Ncxdi2KOvYnVcJvJWrkXu7NWY&#10;2ycccR0fE++5RdiUkIaBTYIR7RUszjkQmeLzG+/phyhvXxn64fsbWyJ/006Yq6ywth9hrWgjDWu1&#10;tLS0tLT+GeL4vKCwCNFZS/DEB1l44M20GnvwLevyobfT5TqXtMffz0T3T4bh+c9H4PuwWZg8bytO&#10;nilw2DfXp5rvBsIU4OWSxjTCPHpgEn4RBhLkEpbR45NhFegBqsIq0CtU/cxfeYuq8AocOyggyaUa&#10;T6jl5Y5PODZR8NQIR1WdyhQcVWbc12hMZ3l1Xqqc/b6qnIrza18vr1nBX6OxDOs2Xrf9flwaj+Go&#10;HI2wnNCc4SwYm5hAnWEVCDEJcAneGQ6A40B64/I+0ghy+R2VMJNL47jNaArmsjyBvoK5jHVLr2w+&#10;C/TIJchVHrmEpwS5CqYaAa69qTI0exh7Mcb9eDyCauUlzG2eC69ZfQ54LWqp1rW0tK5PaVh7ATEE&#10;waIPejoEpMqUxywn2xnX6VFsGJogJwyylJTKiaZqdBEvy9wtO7D610EYf9tjSHPzq6nb0XGV5QyM&#10;rgmV8GdLvfCNsDaucRtUFFn/2s0OrpZYXJlNclPUYzYT1opO0VyKTYlZiHANQu6qdRj71ueI878f&#10;Vbl5iGl5G2LcgxBxcxAynIKQZLofZdv2YahbKI4vW4HsR17FuHe+hrnKIuPR0gu2nDFrbcbjyAGY&#10;yKuymLEhMh0/ifYsWL8JmV0eRqaoJ905FNnObZHpFIx092DEuZuQEtoVY597B5WWclSbRcdOAFwp&#10;BnS8n4ZrqU/qL5s89oSHXnAImLQ1XFOhFKyTnNWGtsZYuQke1pAK8TTu68b4uMKY7hmIaDcThrsE&#10;IVt8NhLc2yLdifn+GOrpg2yRPuLfAYhzE/sSjHqYMPoGE9K8gsW+YtvFD8mc4KyxHyK8AjG4cSsk&#10;uQaK9SDE3fEwsh57AaPveBprPvkNy77ti689fZG3/zDCHngSh5etxKzf+mNYwH0Y2qYLivcdwPfu&#10;vjizfANOjl8iPj+7MKNnf8yOTMasuER81LgFyvLyMSD4Lhxdswqnc3Kw6t1eCHf1Q7R3ENJdTOK6&#10;/aUncZJY/6FRKyusrSxD3qYd6CvOl97HcaKMjBesYa2WlpaWllaDFPvK4uISfNZnEu59PUXafW+k&#10;Sruf9qZtKcwIcI0Ql0sjxH34nXQ88k4GHn03Az2+GIm44Suxbc9Jh33zxfTVLMP+nvCW33nohEGA&#10;R29GjgXo0ciwCvTApFcj4RxB7pIlSyREpCcuwa0RVCrwyKURRtZn9mMStW99+UxzVK8xX207ylPr&#10;NI5/VBmagqXMU+Mi+/IqX52D8Tzst437KjOW5TEIhOlxy6U6prEe7mP0xGUsYsLz2bNnS29oxsel&#10;Ry6/rxJmEuQSvvO+cZzIe1uf1P1XcNcYXoPPAUEpnwMF9OmNq8IqKC9cI5h1ZAq+2gPZCxnLM8wC&#10;j0cYrSZM4/U5GqM6ev61tLSuL2lYexHK33cQUx58Xk745QiY1rJm7ZDhGYjkRq2Q2SQYk7p2x6L3&#10;e2LV9/1lHFrC3E3RKVjeszcWvvs1Jtz5JIb73IY0etZdQszbcR0eRu72XbYz/GvFDmv9+vVWWNuo&#10;DSylZTKdnViN2DeQbbLfEOvsK2SnwX9V/Ku26ATpVbv/EBL87sX8b37B4dlz8JuLCXtmzsPGnyPx&#10;q08XnMmcgHjXIEy4+xlkhz6KFdHJWNWrP2I6PoT8Hbvx841+KNuxX0JfS7k1Nm212TqBWRk9bcvE&#10;IMtSgZKjJzC02W3SY3f32CkY6haMaCc/CdQ4I36Km1h6tEVam7uQv3QV+jXrgOMr16GqXHTOZoZZ&#10;oMcuz/6PpTp4anvWOMQ5+TqETNr+uSZDKNAIbuW6AeyqdGEMI8B4t/HiOU0R65FefiLdJPPivEKE&#10;BSHe2Qfx7v7IFOViPPwQ6e2PZE8Tkhr7IE2kJYr3SpxXADLEZyvLySRDMhDuRoky/VxaSSgcLepP&#10;87kD0S4BSGjdBVsT0nB06lykPfIcinO24xvnFig/fgqxT7+GndPmYurPgzE7PBHzfwtD/8bBKD+V&#10;i+9uDsa24WMwq28/fN+oOaLFuRHWpvAc3E3ynFLFcb763+bI27IbZvG5PLdxF/p6h0rv4QR335rr&#10;dtRm9ZmGtVpaWlpaWn+d2N+xP6RxXXmqqnS1bewzuZ6Xl48+cbNw9yvJuOfV89b1NVqKNAVwFcS1&#10;h7n3GWCuI6CrYK69V+5b34/DsMk52HPwLPIKSlFQVIbiUjG+N1++wwuvkSCXP6lXAJdejwrcEaQR&#10;sCmvXP6sn165hIr0wCV0VFBSGb1w1TrzFJy0N45RjJ6sXFcwU4FTZSyv6lFljNDV3rvVeBxuq2Oo&#10;MqoOVY+xvL0ZyypzVEatq+MZ89V50bjN8jyuMraT8mJmuzGfZdnGhLgcEy5cuFBONkfPaHrkMtwF&#10;ASjvEb1y6TlL+MkxJIEsv8f90bhOeeIa4yNzf3q8EuLS+Dwor1x65KqwCnwueA40et0qGMt1o2eu&#10;AroqDAP3JXjmM2eEtTyu+jyq5eWK+yrT0tK6ttKw9hJEaDvn5Q8xvE0XhwD1j0zGnBUm1//AY7Y+&#10;G9P2fuzMHF0nbMJfqTqw1uZRa/Ss5fudoLZajIG4rPF2rbR2IhWcwKusDPO+6o1wU1cUb92BuHu7&#10;Y8Izb6Ng/z4MaByEJdFxODB8AuIbh2Duy59jT8Y4DGzZBSXbd2Jg03Y4NX8ZJjz/Ica+/In0gK0s&#10;t8BcXinBKmPYSiAsBlGMNzvp3a8R738visTgKSb4Qcx/5ydMe+VDJLn4Ic3VD+keVk/H2JtDsT1z&#10;PMa/3RNZou7KkjLZGTMMwvnOS1wTr9F6qQ6lQiHk7T+E2JtaO4RM2rQ5svOTnNUFuMozN0FaAOJE&#10;ukxzMyHeMwDhTUyIahKALBd/ke+PZA+TeMZ9keDqjzgXerb6IcOdk3/5Y7CHD6KbByHTPRCpzv5I&#10;dPJHqlcIUpwD8LtTK3zr0VrGpU32bosYtwBEB9yJzT8PwYqev8u4tXN/H4IF3/2On11NKDudi99v&#10;bYd1g2KQk5SJPq6ibnFe0V7i/NwZ9sGE1KbBMsb1dyLv7MZtMFtK5K8JejcVx+RkZKIMw0VoWKul&#10;paWlpfX3Ffs79ofK7GGtHDfbtml05jh0+Biis5bh15j5eOaz4bjrlSTcrezVZGlWeJtigLhWgGsP&#10;cZUpiGuEufVBXOWVaw9xn/woC/0S5mP+it04dPQsTucWSYjL7yyXKnW9SmwDfmfiT+rphUnIRohL&#10;6MbvUYzHSng4b948CXE50Rl/4k/ASI9RQlTCSY5FFMBVEFeNTxSw5LhFrdvDTgU41fhGbXOpxjvG&#10;dVXGPo1LVZb7KzOWtTeVZ1/eURmVro53OWasy3hMe1NtxnZmSAsVVoH3hQCUYJWxYRlWgfeO4RA4&#10;DiQkJczlfeX9rW9cqD4XKqwC9+P4lPUpr2w+CwTFXNIIcnlsBWaVEdgS4NJLmJ613J/1EQYT3jqC&#10;tUZTz6W91Sf7MsZtmn3dWlpaf540rL0MlZw6jZXf9sGE2x/HsJYdHULVq2nDWnXCpHufwa7hE2T8&#10;1GstdlD8S6CCteYSK5i096wVr3TpRStf7lyKl3qlDH/ApRmn127B7y06Y31KFrbED8OAJu2QtyYH&#10;E1/+BBEdHkH5/sOIue0xDH/kFQxtdTtOLV+D9E5PYOWAKCz5eTDSgx5C3pat+O2Wtji3ZSfMZaVy&#10;gGhh2AKz7S/95jKcWLQKvzr74+CYKVjZLxIDfe5AwdodmNztbWQ5BWKEK3+mHYSpj76GvUPSENPh&#10;MXFum/Fbs044KZYVFeWwmC2optcur0sar0tepu2/2lIxkSwlZRh9+5MOIZM2bZdq5+Gtgrq2bZtZ&#10;IW6gDHkQ524Np5DqYkKqM71uCXLFPi5+iHH2RcotoYgXy0QXXwlvORlapAxFECD2CUS8VzBiXOl9&#10;zjALnCzNX3yObkGYa2tEMAZt0yDEegUhyisQ0196D1E3t8XggNtxYtI87HjvB0S6iWOK/EQ3fxmP&#10;Nt7NDyninHv+uxkKN+1AZVkJzm3chr7NQiVMTiOQ5jnz/G3XezGmYa2WlpaWltZfK/Z57BPlWFuY&#10;6gcVwFLbBFWzF23Amk2H5H6EoOcKStG5RzzuejkJdwrjktC2BuAS3tqWCtyeh7jnAe6FIC6BrT3A&#10;ZYgFe4irzB7iPvZeBl74ahR6DpqBsTM3Y9f+0zh6Mh9FJeU1166u82LEsvyOwu9Q/L5Epw56ZKqY&#10;qASD9MAkvCOw4/cswkNCRAJcxmtVYxNCXK5zfKLALeEk12kqT41hlDGd9RhhqFpXgJPbxnyjqWMr&#10;M5azh6OqLpZTx1THMJqq174utX45ZqxfnQ/bQhnbSIFvbnMfdZ4qrALbnPCcEJ33gFCdoRXoJU1g&#10;Sk9Z3jd60/J+qpi46vNgfD64rfJpXCfEpXFfji/pmU2PXOWdrSY5I4jl80BgS1jLdZajJy/LMm4u&#10;QS+fIx6HUs+nOia3HZkjOcrjtroeZepauK6lpfXnScPaK1BleQWOLlyOZV/8jMn3PYMRvrc7hK2X&#10;ZS06Ymz7B7Hsy19wcuU62xH/HqoFa+uJWcvXPMMGWOjhKqyKHraV9HitRJGlHBYxQEl/4nUkPvYC&#10;CtZvQYSpK5b8EoYDU2ejX2MTjs+ch1k/9kH/lp1QsH03pr72Baa+9Tl2ZYxGb5/OKN2+F796BOPQ&#10;pJkYxxno3/wclaJOxsHkhGLVpWJAVFmOysJ8xNzRDcOffgN5ORsQ7d4OaxNSsDV1OAY37YDxXbsj&#10;2dkf0S3bIaJZB+Qd2IOhvndhR9poTP+wF8Y/+wkqxHVVsEMS58/4wPTaZRxb6TnMC3XQ36mOmpr/&#10;fk8JoRyBJm3arobVeOJyXW7Xhrg0QlwulXduvIs/MlzEtlcworwDEevGicoYMiEI6a6ByGxkQrJr&#10;gIS+BL300I25ORAxnn5iH3+ksLyLD6K9fBHp3Ep6xQ7xCkBfD1HOO1hOpkZvX6sHsL/Y9ke8qz8G&#10;O7XBxNc/xYLIBGyMTMUAr0CkeAZLqCs9a4U5usb6TMNaLS0tLS2tv14K2nDMq4COAjg0gqwFyzbg&#10;th7xOHG6UO7z4W+T8GnfqSItAXe8lCjtTmUGeCuXNnhbG+IavXDPQ1xjKAVHEJfglkuHEFeYgrbK&#10;A1etK4Crlk9+mIX3f56A/okLMXbWZsxZthtrNh2R4RUKi+3m7rhIsa0U0CO8U7Fx6YVJcEeASw9K&#10;elnSw5LAUIFcNckZISPHLgqUGoGk8sZluoKiCmaqdQU1VbojU+MjZQqy0hyVpzkqX1++SlPnYcy7&#10;2ubo2Dyusd24rsaBPG8CXQVyCXEJcFesWCG9cRmygB6xvE+ErPSiJsxVnri8t/WNE5nOz42CuCxP&#10;b2zljatALj1pFahlPuvns8Hj0fvXeAwu+Uypz6YjU+XU59VoRtnvx3xj3VpaWn+eNKy9CuKLinFb&#10;c7fuxO4REyS8nfJQDwxv3dkxiHVgBL2cWGz+G59hU0wqTq3dID1R/44irOVf9+K8gxBzQ0uUnjor&#10;0+vCWjFoq660Qk6LeLFXVaNc7FtRUYptI8ZhsEcwzsxdglkf90RCx4dQsn0P4kIfxahXP0HJpp0Y&#10;6tUZW/onocxSidwVmzC4eUfkigFK9G2PY82QRKzsHYmkdo8gb81GDLq5E06v34SqcsYZKkep6EAY&#10;b3ZtZAp+8PRH3sYtmNTjI6R0eQr5W7YiJrgrZn35Mw6Mmoiwf92KTWFRyLztCSz8+CfsislAesB9&#10;OLtmLcKbdcbJNRtQUUWPXWsnVSkuTk46RgjNNAe3iR0ZO01qe9ZYHbdW27Uxj/N2IZBbY+5Wj9xk&#10;twCkuwQi3T0IyS4mZLoHI1Wsx7v4IbIJJ0UzIdmJnrKBiPY2IcXNhESxDydKi/IMkB618SJPevmK&#10;OjlxGidS4zEIgKNcTejj4osBor5oUX+C2D/B3RqLl+bwWuoxDWu1tLS0tLT+etlDG24reEuYtDZn&#10;C579NBtRw1bIOLEUoWzb7jG4/YV4CXE7PReH219MwB3SrPCWSyvATaoDcaXZAK40W17n5+Pl8jzE&#10;NYLcC3vi0hxD3PPg1ghyHUFcWrePsvHNwOlIH78GS9ftw/7DZ1BcenkAl1JtyvZku/L7F9uV4xyC&#10;Onp3KojL72WMi0vvT8ZmVWEV+BN/AkbGb+W4hmMaFd+VpqCkEUzSFDi1HxspqKnKOiqjjHksp+pm&#10;Gs/BvpwxXR33QvVeqdVXP9PU9fN87cuofAV0VXxhpiuvXBUjl/eAYS6UNyy9XwlwCVsJ4ekJy/to&#10;9Mx1NMakjONMlmFZ7kNoy7poBLsK1qpyNK5fSMayRruQ1DH+qG4tLa0rl4a1f7JKT5/F6ZzNOLJg&#10;GfaOm4Y9oydh3/hp2D16Cg5On4fjy9bg3I49KDlxyvrSuw5efBws8C+Ih5asxLaM0Sg9myvTFZyk&#10;rC9xdhJiACde+pWV1SgXS4YqKD95FmkhDyDRNRiT7ngWsWK58qn3sPTD7xHjGoLiNRuQ2bU7srq+&#10;AEtRCSotouMotyD9zc8w7aWPcGj4RAxu0h5VB0+it1dbbB8xHhNf+AjjXnxflCtDeYUZ56otKNqy&#10;D2E+d2PV931xeOp8DHRpj33TF2DBl70RaboHxZu2I/b+Z5Hq1R4jH3sR51asQaR7BxTR0zeoKzYn&#10;p2HWx99izJNvolJ0ihUckFbxesS1iWup6agc3DKmsyOlzmzdKaG2I9CkTds1MyPEtUHS+izJLUCC&#10;XALZWE8b0HVhyAJOzBckPrf+SPYKRqory4htDxPiPDhpWCCS6SkrYS1j5ZqQJvbLcglEtkswMoWl&#10;iXUeI94ryOb9a3eef2Aa1mppaWlpaV0bGfs/tU7nDf6k/9VvsvH4+5mwyDBi1jKFxWVYsvYgbu+R&#10;gLD0pYjOXi69VW97IQGhT0ejS494CW9pNd63RohbA3KtEJfpI6dtwu6DZ/BFv2k1ENcYSkGZEeJ2&#10;Fcs/hrjnAW5tkOsY4trDW2VPfpCFZz4djrd/HI+wtCWYuWQnVm88hOKS8ho4ptrnj6TKE+Dy+xjb&#10;mqbgHT0sCXJVSAXGQeV3No5j6Ak6e/ZsCRQJF9VP/+3XOQYygksat5Vxm+MjNUYy5qvxE+vjun1Z&#10;Yz2qvNpH7UdT8PbPMB7X/rwdGcuq8zCm81oUsDV64Br3obEtCcknT54sbcaMGRKiL1iwQE42R7hO&#10;mKtALu8bx5oMkcF7yu/VNPUHEOO9N66rbePnkPvQmP5HYvlLMXVs4zG1tLT+HGlYq3XJYsfBv+Iq&#10;GKnEQYOSeqErz1pO9lVCD9tyM2Z+1xdhrdtjzS+DEX1LZ8T634PklrdhsLs/hjYJRmrrLsi8wYSM&#10;9o9i7vd9sC0uAwdFx3Z08gwM9G6Ls6Jji739SSweEIWciDTEiXK567fg92btcHJVDkrMJTBXWjDz&#10;lW8wNOB+WM6cQWyHBzHhxQ9xdnUOIrw7Y0tCNnZEZ6G/RyiOTZiGnxo1R/6adch64EXM+/xXrEnJ&#10;RFzIfTi9ei36Ne+IM4tzUFVhQSknRjOLzs9Cr2F2WMLq6adU+xQdO2EFYw5AkzZtfzcjvFUgV8Lc&#10;Gmh7AajrbgW3SS4mJLsFIdYGa5PcAuU2gW2yWGcM3QTGx3X1Q4aTH9Kc/ZHiwni2AaK8nmBMS0tL&#10;S0vrelB9/R7T6DWYNnKeBLBdeiTgsXczcCbPGjJtxqJdGD9nK5bnHKrZv6C4DOu2HMWxUwXo8cVI&#10;dH4uDo+IfT74ZRK6fzIMbQ0QV9b5PL1xrfCWaTMW7ZT1/Bgxpwbk1oRSoCmAawdxCW4vBeKqUApc&#10;1kDcN20A17Z0BHHVuj3IZVzcF78ciY9+m4ReYbOQOGo1FqzcJ+PjnjlnbS9KtbWjMYhRqpwCuYR+&#10;/Ek9vTeNsXEZD1XFQiXIXbt2rfTIXbhwoZzsjKEVCBoJIbOzs6UpL1IjlKRxXYFPZUxTwNK+DNeN&#10;xjQ11jLmq/r/DLOv33hMtW4sw3V1jirNeH3q3NleCuJyyTTup9JpxvZjG9PrmQCdIS3Y/rwPHHMy&#10;tALj1PIe7d+/X943BXP5/ZL3WH1+HMkIU9XSaMb8SzGKS+P+Wlpaf540rNW6ZBHWsvPgX3CN4sDA&#10;+EKnlTNcgFkMGiqrkFdVAfPOgxjatD3G3v4U1n7dF0M8QnBs9FQseP4jpHZ+DLkzlmKIkwnDHn8Z&#10;k9/8CsPueB5hAbdh4K2BGNokCAmNgzH+sbewb9o89HYOQMXeg+jbvAN2po/BpA96YuSz78qJi/bP&#10;mocBzkHYP2YSVg2MQR/PYBRt3YGRT7+JrPueR/GGrRhq6orlPfuh2mLGojd7IbXrszi7eB0GNu2E&#10;gg3bENHuAexMHIGJ73+D9KffR1V+OYrM5TBbONkY4/GKa6P3sO367aXgdXleAYaH3O8QNGnTdj3Z&#10;H8XFVcY4tQx9IOPPEtZKaCvS3RgigROP+QnzR6ynnzB/CXGtsXT1BGNaWlpaWlp/dylYYxS3reEP&#10;NuOulxMlWKV1eCYWJ88UyTIMe0CIyj6zrMKM936eiM/7TRXfLayTI73Scwz6xC1AeYVFbtPZg/Fu&#10;H303Q4LU32Ln4ceI2WCM2vaiXtY/3QZrfwifXRNCocYb1wZvecz6IK69J66EuK8kyzLnYe55gFsf&#10;xJXwluDWAG+tk5rVndhMwVtHEPdhG8jt8cUI0RbzET9iBUZMycHG7UfldV6MjGMTR8Z7xe8p/C7H&#10;mKj07GRYBXp5MvYq5yZhPFb+nJ8gkeMqhlQgyKWXKL1fCR0VnFShFYxQl+MnluFSmT0EZRrLKlNl&#10;jOX+alPHV2Y8f+YrUGv0ADaWUVDWWJ9aMp9Ldb1crw/m0iuX8XEJ0JUnLmMWq0nFeL84yRghLu8h&#10;x6mE8/TKJcz9I9k/D1wqGfOUjGnGdC0trT9PGtZqXbTUi5k/q+DPavhTG6PUzzTUS5wvfv70yWIG&#10;KsxmVJWWIeOxl5HiEoQE91Ak/ccfWW7tkNAkFDEegRjV5i5MvL07+vvcAfOR4ygqK4altALmsnKY&#10;T+XhTM5GbErIQp8mHXBm4y6khz6MhT/2w+aYNCS1fUzOLN/n1rY4O28Jkm5/EmNeeBflu/djiFdb&#10;rBmQgD2jpqC3eyCOL12OiR9+gwHB96Ps0HEUmktQtvcIfnAOxonZSzD83uew8JMfsTYtG0PaPYSi&#10;rbvxu3cH5C3bhFJzOcrYoYnrqpQdG2Ft3Q6L10+oLdtAdJoTHuzhEDRp09ZQTHrW2qw2vK29LUGu&#10;J+PbmhDvZUKcWBLsMtQC81jGUf31mYa1WlpaWlpaf53UGN845qf4PYAg6cdBY2pArYS1z56HtfSQ&#10;JezkHkdO5KP9MzEiPwYbdxyTaS98NQql5dbYm9mTc6TX6YzFu/D4+xkoKCqX6WUi32ypxLhZW9BJ&#10;1C1hrUjvOXiGBLI8RkeRTu9bazxcWwgFwlt7iGsze4jL0AV94xfijV5jrRDXAHIVvL1YiHuvDeLa&#10;g1wjxCWwNS4JbR1B3IffScdjoi2eEufX/ZNs/BQ+B7OW7JL3gvdE3YuLFctzP+PP7blO4EfPXBUj&#10;l1CQE1nR25PQkBCXHqGEiQyroCY5I2Ckx6gKg8BxFOGt0dtUAUtHpsZfxvHYn2HqeOp87M9JlTEu&#10;jfs5MgVxjdtqH2M609TxmM42MsJa4/mwLMuo8BBsX7YzgTnBufLKJczlxHOMYcwQGJyMjPeN94/3&#10;kmCeZrzPxjGto+eGacZ0rnO/y33WtLS0Ll0a1mpdlIwvbL7k+ZMM/iXPKOazQ+CSL/GqKr7Qq1As&#10;ypvLy3Bk9HREuwUh2zlATlaU7haMVJdApHgEIcU1EOmN/THExR8rwmJhqRQdCwcLDDdQIQaDZaJu&#10;s+gkysyY9OJHGPXUKzg7fzH6i7rKdh3AgFu7YGfaWMz64GvEtO6Cgbe0RdGWLRje/U2k+HSF+dgx&#10;xPneixkffYtj0+ch0j0Ye/okoeL0OVhKiuW5rv0+DLH3PYsTy1ai780dULBqG2L8H8Lu+PGY+m5P&#10;JD7wLKrLK1DKOLzinCoYv5bX6miGMSHVGYpCmP7cuw5BkzZt/ySzeuYGWs0AcCWgNSwd7VufaVir&#10;paWlpaX118rY76m+kV59CxctrQVqHcFaAlFO0HviTCHad4+VsHbN5iMS1r7yzWjp6EHPWuZx/7bd&#10;oxGZuVzuP372Vvg9OhQpY9fI4zMW7DSbZ+3hE/k15zROlOOxusjjx6Hjc3G46xUryL2Nk5vJuLjn&#10;Ye7topyEuDaY+9b342Q9m3aekGXsgS7hrfTItUHci4W59kBXWf1euee9cY2mPHIdAV1OdPZ77HxM&#10;mLMVc5ftwb7DZyXc5ncydd+UXax4j/kdj/CP4yFOakWAe+TIERlWgZ6e9mEVVEgF5YVrDyXVGEuN&#10;uxTMvJAZx2lXw/6obqbbw1NHZsxT9SlAa9xfbavr5zb3YVnjvqqcvXEfo/eyMu6v4uIS4Bpj465Z&#10;s6YmrAJhrgqrQKer4uJi+X3V/rmwNyVjGp8JY56WltbVl4a1Whcl9WKmFKzlX+6MYj7j6PDlrf7y&#10;xoFBeVUlSg8eRUTgPchwD0aaqz/S3QKRIizNI0hsByLLKRDZTkFIvudpWEpLYalguIFKWKqqUVFl&#10;QaW5GuWirlIxUCjevg/feQeiaPtepHbphgXf9sbGiFTEtXsUJ2ctQKxbAJZ9+zsOTpqBvp6hOD5l&#10;Hpb+NBADb+2Eoo3bkXHvM4i8pSMGeISgn3c7RJvux+gnX8filz7FEDc/bI9Px4i7n8asj3piR3Q2&#10;BrR9AKX7DuG3JqE4vSIHZdUWmOlRaxHGycZsbaPaR6kG1grNfOUTh6BJmzZtVpOxci/DNKzV0tLS&#10;0tL662Xs/9g/Mi5q6rDptUCtgrXHTxfIcoxh26VHHHbus06sHJW1HC98MQJn84olrH3xq1Ewmy2o&#10;MFfK/bh/p+fjJJylTpwtlJ604RnL5Pa42VswdeEOub5px3G899MECSepbwfPlJ6767cclb+Go0rL&#10;KtBTpLNO1t35+Xh5nHteSUKn58TxxPkRzr7RywprN+48IcsZQW6NV64N3NaYDeBeGOKeB7kXArjK&#10;K9chxBVWn1eugreOIC69cr8aMBWpY1dj8Zq9OH4qD3mFZSgsLpdwnPfjcsT96LVJ8FdQUCAhIEEu&#10;f6ZPOMh5TggL6ZFLeEiIyHEawSI9c+mVS49RAkpCyKysLBknV3njqrGYEWQ6Grddiak6FTQ1pitQ&#10;ajwuyylT5ZSpMsq4L69BbbOMgqzMY5ryRDbWo0ztR1N1qWNz294jl9tsOxWWgnWwfrYzQ1nQE3fJ&#10;kiVybEuAS294fq8/fPhwzURnHEszRAbvKf8Iw/t7uc+HlpbW5UvDWq2LEl/QyvgTCr7Q+XK3V81P&#10;/y3WWSgruW0xY+4PfZHoGoQ0ZxPS3AOQ5hYkPWrT3AKR6hSADI8QDHULwLG5S1FUVYLKSrE/6yGs&#10;rTaLpRi4ifViS6WorxLj3umJzEdfxvEly9H31g4oWb8VgwPvQlbIQ4hyC8aCbu+J9Ycxpts7KN13&#10;BP3dg7E2KhG7M8bg1+YdcHj2fJxZvxG7ZszByuh0TH/7OyQ/+TKyA+5DYmNfJHsGYYiHH0YEdkXq&#10;TSbMfuEDjAh+GFm3dxPHt6CUXrVmeg+LNqkH2CpoTc1+43OHoEmbNm1XZhrWamlpaWlp/fVin6j6&#10;RTpr0Lvy3V7DaiCt0Z7+OFtOokVPVwLbR95Jx/FTVoBLMEtoSNGzdvXmI9LzNmnMGglR6QkblrZU&#10;5q/dcgRL1h2QIRTyCkpliIQpC7bLvF5DRf094tHjy5HyvPYcPCMnKaNYf0TmMuw9fFbkVePrgdNl&#10;/Ny4katkHs9j/5Fz+KzvVJn++ndj5X4bdxyXdRIw0/vW6ol7PrSCEd7e8ZI1Lq6Mj1sPxK0FcmsB&#10;3IuDuMpUWIUakCutrvetPcR9qB6IS/vgl4lIGr0auw+cFu2bh3P54vuYg3FPfTKOh9j+/A7E74IE&#10;fXw+jCCXcJDfIxXIXblypZxga9asWdJDVP3Un0uCRo7JCB05JlOg0wgo7c0ecipTAFSZfXkFQWn2&#10;5Y31GPPUtnFftT+XLMNz5XUoKHsxZl+Xqofny3oYboJp6hpUGXU9xvbhNs1YP411sI0JcgnO6ZGr&#10;Qirw3tBbmveJ3tP0pqZntZq4jksVWoH3mvf9cqWem0uV2u9y9zXqSurS0vqzpGGt1iWJnS9fzAQi&#10;fIHbv9DYKStgS7NYynFSdMIDbw3FMOcApLiakMbwB3KG+CBkuAQh0zUU4Z6BmPreV6hijKSqCuvk&#10;XcLkS7PKLEx0ApzUy8wYsGaU7juKnxr74NTKNch8oAcWfdEbW36NxIibQpHmHowkJ39EtuyEoh07&#10;MerptxHX5QmUbtuLgUF3Y37P/qgsK5dWXinOV3QwVRUWcTwLynYfQnTTjtjWPxZjH34ZWQFdMfux&#10;VxHX2B+JgXej/7/b4NjcJeIay1AprpUhEAhra87V0B5Wz2IFa79wCJq0adN2ZaZhrZaWlpaW1l8v&#10;Y99Hr1pOSHXvq+cnFjOa1aOWIQjObxOKvv/zROlN+92QmVi4ai+e/2Ikujwfj32Hc0WfS49NC46d&#10;KpDpXN914IyEjISnhJmEkcqz9teYebJuTkbGX+eViO8LKWPXyjxCSHrZPvF+pjzn7XtPyeMy5ALL&#10;Tpi9FcdPF4pxe5WEyq99N0buR1jL+LffDpmFfokL8dLXo9GFYRR4HS9a4a3VasfHrYG4Yl0CXGX1&#10;QFx7L9zaMDdFTq5WH8RVXrj3vX4e3tZAXJs3rmOIa/XArQVz7SAuJzp747ux+H7obCSPWSNDK+Rs&#10;P4ZTZ4tqvvtcirgPvyeqmLjKG5djLE6SRZDLX24yPi4hIcMq8LmiNyg9cQkVCSoVhFRjNgUjjabG&#10;ckbYqfZTZYzbLKMgqIKq9uVVOWN9XNrvZ2/G/WjqvGjGeo3prEuZfTlHaTT7bWMajefLsa0KR2E0&#10;prM8vZzZzgxhQYBLI0RXsXHpIU2Yy3uze/dueb/ojcv7yPtKFsD7bDT1rnD0vBjzHOVfSPbHoC6m&#10;LuYZ96G4rb67X2hfLa2/UhrWal2U1EuPLzK+hPky5iRj/MuaUSzDzleVsxSWILvHu0h2CcJIF3rV&#10;mpDuFoR0glq3QIxyDkKmSyiG+N2B/E3bxUCsDJYKM0r5ArXw5Vsp/7pOkFpVKc7BLJb0aBVps97t&#10;iWH39cDJRSvQv2k7jOnUHfGMfSuMExaNv/spnB45FX2dTDg+fznmfN0bA0LvR9Gho7CYGWidf+2t&#10;tAJgm1UUlWFBz0FIav8oZr3wARK82+PoqGmIuKU9dgyMwdJPv0fGXc+gqqwCpWJ/S6W1Q1Ivdq4r&#10;8foVrNVhELRp+3NMw1otLS0tLa2/XsZ+j5Bt1qzZNTD2Yo3hCKyeq/Fo3z2mJjzBbWL7q4HTMHrG&#10;ZgkIH3grFb1j5yNfjNPp7Umv2tO5xXji/QwZs5bnsnX3SQkY+yYsEP11tYSvyiM3etgKWS+hpNlc&#10;iaLicvRPXCTz5izdhbZPR+P+N1LERQGHjp3Dy9+Mlnkbth/HQ2+lo7TMOunZ29+PqwWdHZodxK0B&#10;uEYzAlxhNQDXAHEdhVKoDXGt1vW18yDXIcR1AG8dQdwakFsPwJUQl164YvnIOxnSE7df/AKMmLJe&#10;gvZte07i0PE85OaVyPa/XLGd+R2K3yc59iIIpGcnwSDDKvCn+4yLS29cxsblZGf0yiVMJFgkbOTY&#10;jaEAGAbAPsarGhsaIaYCmWpdjQXt12kKpBrTVBllLEOzT1fljWafbzwPo9mXUWbMN647Ov6FTO1r&#10;rFuBXdWOXGdZtrGa4IxhLXgf6CFNb1xC9r1798p7xpjGnOyMXrm8l4TzdPpyNJ62F58D4zuGUmkq&#10;nfUY0+ytPjkqw3XWp+pUafbltLT+SmlYq3VRsn+BccmfsNC71l78iymNHW3x8TMY+clPGPvwa0jx&#10;uxsRTUMR6xyMiJt8EdHYB0kuAQh3DcKKgYmoKrd55VYyVq04TiWPYzWzOCZNwluRX1ZVgfIjJ/C7&#10;cxCOTpmLsV26Ic0pFCmiLoLgJM4u7xWMZK/2mPD2Z8hdsQ6/e4RgU/pYlFvKUUqPWtYl6rZYqlDJ&#10;icwqhVWYUbj/GIa2uQNJDNng7C/Bb7J7KOJuFnXd0x2DGvth35R5KDczzAPrEOcq28Z6rnyfs41q&#10;YK1Yn/bcew5BkzZt2q7MNKzV0tLS0tL662Xs+xjrctKUuvFqr8QIbjk5WIdnYmVsWUJS/oz/u7CZ&#10;0mM2ffw6PP2x6OtnbEZZuVlOUsbYqxzXU9HZK/Dgm2lyff+RXAlJ3+g1Vp7z2bwS6YlLjZi6UR6P&#10;YQ7KRT3FJRV496cJMm/9tmPYuPO4jKebOm6tnKjM/jwv1ep44Sp7yQBxX7aGVCC8rfHGtUHcGpAr&#10;rS68tdp5L9w/gri1YK4wYzzcWhBXLAls7SFuTSgF2zpDXDz3+Qh8NWA6fomai0lzt2HHvlMoLi2/&#10;4DjKKG7L71e2Jb9PSScgYfyuSGchjstOnTolgSC9OwkICQs5Zlu0aJEEiSomLo1hFYyhFRRw5ThP&#10;AUmOHWlc5xhQjQdpCmQyTe2v0o2mxpFGU+BUlWE9yphuhL8KKitjGWO9TFOesCrPmH8lZjwnZY7O&#10;yb68Oj6vgyCX7azi4ypvXHri0tGLsYzVBGf0xmVoBd5PhspQnrnKHD0v9cnRc/RHUvsYzShu8xwu&#10;5Ty0tK6mNKzVuijxZcWOUnmKcpt/KeNf0uxfbCzDv5pZRGdK79WqStHZlpSj4pR4Ke87iNPLcrA3&#10;cyJW/B6Oie99jdHvfIWKQ2esM5XSWF5CT4OJes9vV8EiQWsV5nzRB4kdHkV6yH0Y5doWqe7BSHcP&#10;wbDGgUh2C0ZU0/Yo338QqY/1wKj7X4G5oBjm8lKY2fGLY/Cv8/TY5TFpHOCZLRVY8msYUm70R7xn&#10;ADLcg5DuEoQUV9YZgBRxjNSHX0RlRbmwKpRXi3Mh7BVLC8+PfFbUba6wxe8VHc/Yrk8jkQDZAWzS&#10;pk3b5ZuGtVpaWlpaWn+9jH0fYVn/yFEIeiIK7brHyFAGBJKOYOWVGIEtwydYQa4V4jKdkJEQ9Ifw&#10;OXICskGpi0VZK/DNnLRenueZc8XSo5YaM3MTHn0vQ477T5wuRMfnYmXd7Oc54dY7NljLfSziu0l+&#10;YZn0/LU/n6tmNi9cCXEJbeuDuAZzBHIdeeMqePtHELcG5AqrBXAN3rj28NYe4j74th3IJcQV9ohY&#10;Z3iKV78dg8/7TsNPkXMRnb1cek0zJMXljKNYnt85CW9VXFwVVoFhORhWgV65nGeFXrkbN26U4znC&#10;Q8ZmVWEVCBc57lPgUY39aApCckzIbQVJVTqXyoxAVkFNYx1/ZNyfpkCwgsGOyhmXRlPnos6fZl/m&#10;Qqb2UeeszslYp7F92B6OTLUR9+V1MEQE25ptzpAKHKfTI5cTndFDml65W7duleEv+IcfQniO5wlx&#10;FbRVz4haV+K2fRqlytunKzGd+ym+QbtQPVpa10Ia1mpdlPiSUi8yJc4SyZ+i8K9gRrEsf7oiO09h&#10;HOQQwpZVWVBSxe1yVFQyLq14+Yr06rIKVJRbUF5pfdlKgGoza33CuJQmXqzVVdIrtlQct/jAMfT1&#10;aosslxCkeAQg3jsISe5ByHIOEushSHYJxarPfsNvHiYcmb9MHLtCHMcKV62eu9aXsjyeWFpEXrm5&#10;AoWio4jzuxuZop5k9wCxDESGRxDSXU0Y5hSI8JvbYv+UueK8xTlAnLNZXGMVJ0MT5yzqFZWhvMza&#10;LvS6zd2+B3vGT8eyH/th/IM9kNQkBEP/rwci/q834uhhTPDkVRtCadOm7Y9Nw1otLS0tLa1rIzWG&#10;JmRZuWotZi7aisHJC/B6z1G486UEGV4g6MlIBDweKddv62GdoMshsLwCI2glnO38fBzaPxsr4avK&#10;4/ob34/DxLnbsHrTYURlL8ftLyVKkDtu9hZ5HcdO5ctJy8QFYdOuEzVhENZuPoqVGw+Ja6zG4+9n&#10;1jrmn2q2NlKhFC4EcWsmNhMmwa2CuDZ4e2GIe97qA7g1EFcsCW3tIa4jT1xlEuBKT9x6vHEJct/J&#10;wItfjZRhFfonLETS6FVYsmYfTp4tREmZWd6Hy5V6PvldleM4/hyfXp307uSEeCqsQk5OjgytwPHe&#10;8uXLZVgFeobSQ5SwkWNBhlIwet5yW4VXMEJStW40+/Glcdu+jAKk9uYoX+1vf1xuK1P7XYypfVQ9&#10;TDMem2Y8jn05Y1mmsy7CWxVGQbWZEeiyfdnOBLmE6PSKpjMY7wXvy7Zt2+S94i96VWgFwlxCeekc&#10;ZrFccAyungF7IKvMmK7yjOtaWtdSGtZqXbSMLzYaX478iyX/mm4v9fMFessyvABBpqWyWmxbX5ZF&#10;1RUorjKjuLJcAtxy8UIk6GSIA/WCpDmSgqolwqrLLJj3eW8M/Z/WSPxXKyQ6MSZuMIY5B2OEsJRG&#10;JsR5hGLqJz9JT9hScxlKOSmYDdbSA5YUWF4TjynqrCwnZC7HooGRSL8pEEmegUh1NyFZWIprALJc&#10;ApHoHoy0e7qhqrBEXIcFVeZKiIuExQZrWV9ZqXVmW6NU2/E4FYXFKDl1BrnbdmHnqElY8Mn3GNHu&#10;IUT9TzOE/b+uiP6fW6zeuF7BdQCVNm3arKZhrZaWlpaW1rUR+z4CE8apXLc+B6fOnMPps1bLFf1m&#10;YVERTp7OxbK1uxGdtRRv9hqDO19ORGi3aAQ8HgH/RyOsEJdg0ggrr7LRA7f9M7HSVEgFa3ocvh0y&#10;E9v2nEJBUTkWrtknoeSb34+TTiIbd5zAPa8kyfAKBYVl0mvYvu5rZVaQ6yCcgjArvLVBXAVvbQC3&#10;DsRV9qrjkAqOPHEVvLWHuDUgV5pjgEtwawW4diEVCG8NEFfZE+9nyQnmGFIhY8I6bNpxVD5zHJPV&#10;NwazTzOWo6nvmfxOyrroZMSf43Osp2LkEhLS45Oen4S38+bNk+NLeoYyXqsKqaAmFiN4VFBSQU+j&#10;GaHupZoamzrKY71qvEpjmiqr9rscU/Ub0+zBrb0pYKuMaaxDXb86T2O9LKeOpa5BleeSbTt16tRa&#10;MJdhFRjygn8kouc0f+1Lb2oCXBVagYBejduN95zGbZVuNJVmBLgqXUvrWkjDWq1LEl9axpcXX4T8&#10;qyTBrFHM489RGGO2klbz0jO8LM2VqC63Lul5W8XJw2x53L++l6MMkSDqsojyhKqWokIcnLsAOfEp&#10;mPn598i8/xnEmG7HIM8A9G3UEv2d26Ds8GlUlBaiuLpc7itBraiebFXWKTbUsSvFgKzSbEbR4aOI&#10;bnMbsl0CkeZGYBuIZGFp7kFIcQtGTNMQ7BkxRZyD7a96BNE8bxmigZOXVVgrvwip65XnQU/kCjPM&#10;xSXI3bkHm5OHYUaPD5DkHYIh/48zwv4fV8Q1amOFVRrkavuHm4a1WlpaWlpa10bsF/lTZf6EOWfD&#10;ZglrlZ08Tcu12Tmc4FKkFxYUiO8G5SgtLUbO1oNIGrkcb38/FncT4j4dLQGu3yPhaNvNCkb/TIhL&#10;I7gNFcfq8GyMzfs3XkLK32LnI37kKhl2IWvSeumA0jtmnsM6rqnZvHBpCuDWTGxGz1vD0h7i1htK&#10;oQbgOoK4BLf1eeJa4a1arwtw60JcAlsrxK0bD5emYuGqeLgK4jKswmPvZeLJD7LQa8gsjJm5GSfO&#10;FNqezEuXGsvx+6qKi0vox1+S5ufny/ElPXP5M33Gx1UTndETlwCRMFF54SowaQwNQGNefaCS28Y8&#10;lW40tT9NlWGasV4jKL1UU/saz8toLGO/bUwz1sO2MJr9vsqM7WVsN3rgEnxzneVYJ0NWEJATlDOs&#10;AmMS0wjQeQ8Y4oLG+0JvXAJcxSjUOF3dZxrfX2rdKKYrc5SvpfVXScNarUuS8cWmtvki5M9J7KW8&#10;a9VLzriPvak6CXb/6MUogW91lYSk5kozyi1cVtTsU83QChXiuHkFOLd5K86sWYeq8hKYOSlZpfWv&#10;bIxTKxaivK1SIcbCZV6lOGczvYHNlVjwWziSnQIxzDkImS5BSHUNRppbKFKdA5DuGoLhdz6LirxC&#10;lMtwD9ZYutVVZtHR2yYXu8qqZqgIUW+ZuLajy1Zhdb8oTHjwBSS4+CPi396I+XcLJLgFINGDFijN&#10;EeDSpq2hmIa1WlpaWlpa10bsF+nJxnigGzZuqQVrL8ZqIK6wouIiMcYtR1lpMTZvP4TM8avxSe+J&#10;eOTtNHR5Pg6Bj0fC9Fi4BKqMicuQCre9YPWQ/TOMEFfFxG33dAwCn4jAEx9k1njlXndWA3KtMNeh&#10;V66EubVNhVZQQLfGC7dmaYW5tYGu1RwBXeWNK5dv1BdaoTbQpRHkGq0W0CXAVUsbyOVkcp/2mYKo&#10;rGXYtPM4cvNKZDziMs6n4mA8d7HivvTE5biQcXH5k3wVWoEOTPwsEBbS+5M/56dXLic7ozcuvXAJ&#10;HgkgOU7Nzs6WS/vQADT7MalaV2BWAVEulalt5rPclYyDHZ2HSld1q3z7cjwHte6ovDGvPlPXxP0U&#10;xFXrbCtHoRVUGxLocnIzjt8J1eklTS9c3i+jgxnH7ryfRrMfz+sxvta1lIa1Wpct9fLiXx/5AuTS&#10;XuXlF/iZCldtpvJUWfXCdCSC2krC2iqrRyv/0l1BT9kKAtZqWMwEuSJNpJcRbIp6SqvNYllhhcGi&#10;rHVyMdZlPQWKHrsSBIt9LGKfClF36f5jGNy6E5JdA5DuHignG8twC0aGq3XSsShXE3aNnybKmlHC&#10;MAiEteJY5grHM57+WWIIBxo9cgsOHsWeiTOx9JvfMfbu7khqFoQ4Zx8kuPoj3tVPLIW5mRyCL23a&#10;rjfTsFZLS0tLS+vaiH2fgrU5G2t71l6JEd4S4nK9qLBQjPXLpIfjph2HMHLqOvQaPAPPfZqNe19N&#10;Qttu0RLkMkRBp+fj0bnH+TAH2i7e6njlOoS4Vq9ce4B73ivXBnElyLXB3DoA948hrtHOe+TWhbiE&#10;tlwS2NoD3FoQV5jRK/fVnqMRnrEEi1bvweHj53Auv1h8d7xw7FOjWE79atQobvNXp/TI5edCeeLS&#10;y5M/21+zZo30/OTkWgS4jItLj1x6h9JTlDDXCCiNAFIZwSSXjgCnGr9yyTpU2sWafV00BU0vVMZR&#10;njJ13vZjcmOdat24n/E6VDtw3d5Uea6rY9FUvTRCbHrfEqIz5i3vj3FMr+4n0+yfAaY5Gv9raf0V&#10;0rBW67JlfHkRkKxbt06uG8UXHyHuH3V+zHdkjiRyZB5j19LM1VUoqapEiVi3VIuOU3rnWpec3Ixx&#10;csstFhnnVsbEFeWs9VthrZIMr0BYK/bhJGellWZYRIe7OikDyfd3Q6zPbYhwD0CUix/inP2R0NgX&#10;aY0DkXh7N1TkFqFI1E3ISxhcWlJqq/Xai964tIrCIpzesAVb00dh4ac/YMxdTyHNpyMSPYMQz2ty&#10;ao14J1/tjavtujINa7W0tLS0tK6dCFGtsHZTHeh6ta0WxC0qRFk5PRzzsWXnYUycswl94+bize/H&#10;4JF30tDhmVgEPRElIW7HZ2NlOAPlKavt4owhKJQXrsPQCgrivqxCK1hB7oVDKxjhbUrNsv7QClar&#10;F+I6mODs8iBuhpzs7PXvxuH3uPlIn7Aeo6dvxN5DZ1DBX2xexliP34PpWMTQgMXFxRLgcpxKD08a&#10;Y60yPi5jPhPmcry5ePFiCXIJby8UPoDpHKMSYioPU45bVZ6j8n9k9uUV7KSpMvbrjs5RQVRjGWXG&#10;/VV5Vc6YZ59P4/4E2ipOMNN4LBpDJNBYXsFdmoK3rJttyu8InLiMIJ1g3dGvgJW4beQdWlp/tTSs&#10;1bpsGV9qjM/KAN/0sLWXMcD3xcrRC1OJqcrUC1T9Ney88eVqhbZVhJVmUR9jyoo8C+uuFPvTDKel&#10;IK7yri0VBYorK1BpMUP0sjCfPYtz23bg8IIl2Jw2HAu+/Q2Tn3sPA+9+CjtnL0F1uTUWbqVZHIP7&#10;/M0l25htZzaj+MQpHFm0EpviMzDv/Z4Yc+9TSPe5TcKw2JtaIbZRSyS4+Emwaw/LtGm7lqZhrZaW&#10;lpaW1l8r9oeq32NsTwlrN2ysA1f/KjNCXMLjktIS5ObmYfueo5i1eBsiMhbj096T0O2jLDmpWMhT&#10;UWj7dEwNyNUQ9yLtReuyVigFBW+NMNdmVm9cO4hrg7Y1EPdVmzeuQ4h7HuA6griEtlwS2tYAXFso&#10;BUcQV5mCuPYgtyaUglgqiEuA+/I3o/BV/2niOVqKqQu3Y+m6A9iw/Rh27T+NkrKLn6PEXvwM8Xsy&#10;P0N8bs+K75oEuPxOzbi427dvl58tOkRxLMqwCpxkizCXHrn8uT/hpDGkgr0HqgKeRuh5KWbc/2Lr&#10;MJZTEFaZsZzRjPnGYylAyzz7dKYZr9N+f2XG9uDYnlB3yZIlMmyFfWgEyji2V6aldS2kYa3WRau+&#10;l5ba5l8M+dJjDFujmMeOyLjP1ZI6tho01mcS4BLo2qAuIa0ySX2FRKrYFufK8qIcAXBZldUjt9LM&#10;ScfEvoyHWynqEku5zknRSkpRXlCEcpFeJuoocRAO4roS20x6GVfBLK4tb89+HJyzCBuiUzH33W8w&#10;5t5uSG/dBfFOPoi+oRlib2yFRPcAhyBNm7Y/2zSs1dLS0tLS+mulxt0U43du2rTpmsLa+sw6uVku&#10;Tov1/IICGRf3zNlz2HPgOBav2Y3UsSvx3ZDp6PH5cAkeQ7tFy7AKnNys/TNWiKu8S+uAS23nzQZx&#10;aVaQy3i4djFx6wBcm/etMnuIq6wWxD1vlwxxDeYI4BrhrRHiKg/c8xA3owbiPvJuBp7/fAR+GDoL&#10;aePWYN7y3Vi96RD2HDyDktKLg7jGcaTR+BkjROTniyCX41uCXELcXbt21YBcjlEJHhlaQYFchleY&#10;OnWqhJIc03IsS4ir4ruqGK/K61QZwaYaAxvBpwKdNAVAjXlcsjwBqoKozFdlVDmasX5jObVtrNNY&#10;H7d5jgpGM4153Jfp6ppYTuUZ61N1cqnagO20fv16HDp0SHo/K6n2vxipssq0tK6mNKzVumipl5Hy&#10;YlXiusrjzzv4Uw4ujWJnY/9Xq6shHvfyjPuyAms9lNwUiYxnq7xrKyWU5TWL868yw1JtgbnaGu7A&#10;wtAClRWwmMslzLUIqxBpxaJTbaiSbWdrm7Jz+Ti7dRcOzFyAnMgUzHnnC4y6/QkkNwlF1P/ejEhh&#10;cU4+VqjmVReyadN2NUzDWi0tLS0trb9Wqs/jks4anMTnzwyDoKArjduEr2dy86Wdzs3D6bN5Mv3E&#10;qbPSVLn6TNV1+uw55OXnI7+gUNSZi4NHT2HdlgMYM209esfMwavfjJJgMfTpaIR0E2bzyNUQ99Kt&#10;FsQluFUAVyzZxnfY4uGeD6lwHuIqs4e4jrxxLwRxlSmIWxvk1gW4tIfeSsN93EesP/h2PZ64BlMQ&#10;l8YJ6TjR2TeDZiBh1Cqs3HAIpWXie6Pdd+k/Ej9nLM/9GF6Qv2ilI5QxvAKdpTjRGX/lSpC7YcMG&#10;LF++HPPmzauBtyp8gIKZap1jXQVCjdDWHnSqMTLX7U2NnZWpsqo866VxWx1b5dHUOTHNfvyuyhjP&#10;Qx2H22q8rsoZ9zXur0xdK49H72R+b+AEcWxbtrMyNb5X7ztHUvdF2YXKamldqjSs1bpoqY6C0FW9&#10;jGhcZzrFZb4Y9PAvfsa/UFHsWFj2r5Y6T6PVyG5V5NYpy2uyetpaxNKC6krxIreZnIiMeTZP24pS&#10;64Rq/0TJ9qoSz4O4zyUnz+Dstl3SI3ddWAJmvvoRhgXfJ71ww//bC9H/vhWJepIzbVfBNKzV0tLS&#10;0tK6NmLfdx7WXr0JxmgKqJ7NzUdRcYn4HmGu+c6hTH0fsYY/s26Xi3Isf/Zcga0Ox/XbG8vVQFyx&#10;nZuXL41A98Tps9i5/zhmLNyKISkL8GavMbj75UQJbkOejELgE5HSI7cLoaQdpNRWj71oXVohbm14&#10;W7O0gVwjvLWHuDXgVi4dQ9yuYukY4lo9cNW6grdGiHvfG2mIHbMFkWlL8MArybLsAzYvXEeeuDUQ&#10;V5hxUjMJcYU9/XE23vphPD78dRK+HjgDSWPWYMqCHZizbDeOn67t7HQp4udAPv/l1gnOOB5mXFYC&#10;XE6qRRjJ7+eMjcuYrZxsa8WKFVi4cKH0yJ02bZoc83L8rLxUlXE8bISg3FZpCpgqYx32Zsw3Qlbm&#10;qbE2t1X9qmx9dag8Y3m1finGY/NaCbEJtvfv3y/H++q9ot431ndMbYir5CjPmK+ldSXSsFbrksSX&#10;kCNYq7ZVGb7oGBKBAzijCHCZ/3cXL0VejlyehzE09TJWxji4sg3EsqTszwn3cD2rpu1E+5hLy1By&#10;6gzO7WZohcVY3T8Ck598FSm3tMPQ//JA+H95IrZRGyuI8wquA+a0abM3DWu1tLS0tLSujdj3XW1Y&#10;K2Hp2TyUijEjx9bse8vLK5BfUIRz+YXIzStEYVGJBLK0kpIysSzFubwCnM3NQ54oU2Ybj6t9c2vA&#10;7YU9buuzmn1P06M3TxqPxWMePXEWS1bvRtyoVXgo6F20u/NnBD8yBCHPJiD05XR0eCnFCiVtVgtY&#10;ajtvNnhbG+I6DqVAM3rhGiEuoW1diHse3tYGuX/sifv4x8OQPmw+nvpsJD7+fSYmLNiC536dLNYn&#10;Se/ZO56LRZcXk6T3LaEtvXEVyCXUtQe4VohrCKVgALmPvpuJ7p8MQ48vR6Ff/AJMX7Qd+w+fcTj+&#10;vJCMY1NlrMMYVoGeuAyrwBAAe/bswbZt27BmzRoZUkGFVeB4mrFx6ZXLyblUWAUCXE5qpiY2M8Jd&#10;BXLVGFoZ9zN6ziqzh7DM59KYzzRjurF+lXc5ps6fsHby5MmYP3++5Bf0VFa8g8a2Mxrb05FUO9eX&#10;r6V1qdKwVuuSxJePemkpcV29zNTLiWkqJAI7BSXm23vc/t3Fc67PjPkcDBrbReuPVdOWot0speUo&#10;LxAD8ENHsX/6PCz59neM7vIEov7VDEP+/06I/L83I9EtQIdU0FbLNKzV0tLS0tK6NmLfd7VgrYS0&#10;YllhNst6Oa4+ey5ffJ8okl619fa3hk2Vz/66VAJegt3imjRC3iuBtkYzeuKeFNu5pRWId/JFqrs/&#10;hrm2Rrq7HwZ6d8IHzR/Fw6Y30f62HyXEDX4+ESES4qZaoaSCldoubDZ4WwfiEt4aQG59EFd54kqQ&#10;S2jL5Su1we35ic3OA9y7X8/A9Jlb8Vz/WcieugNv/jAeWftO4bkfJmPCoBFijLgFk2etR+T4Degd&#10;MUV6497zWjLaPxOHb4dMroG4NQD3zdS6XrgG79saiGsLpSAh7nuZeOKDbHT7OFvGyB2QuAiL1+yr&#10;+U5e5zPxBzJ+Tggl+fN/euTSFMylVy5BLr1xGZOanric4IwQl3Fx6YmrwirQjCEWjONpe7iqTEFY&#10;tb9xH5oxn3Wr+pmm6rSv62JNnSdhrfq+QNDMNF4fr5kcQ7Utl2pdtbVaV9tKLKeldbWkYa3WRYkv&#10;IuOLyl7GF5bxZcafYTB2DkMgKDGdwJbL613qOtnRGa9R6yqKbVxZhUoxUC84cAQ7hk/AnDe/QHqr&#10;Lhj6X+4Y+v+6Ie6m1kj0CJTeuHLpAOppa5imYa2WlpaWlta1Efu+K4W1CngWl1h/fcc5IDgJWOkV&#10;zLJvLwJgesEqx4rC4pKaY9ufz+VarjjfeGe/WmOURIOluftjlGtLDHNtgzDPdvjolgfwqO9r6NDl&#10;O4Q8NAjBzybYIG4KuvSwAkmGVXAILrXVNtFWap0hFaxA1zHM5bqCuRf0ylX2ahI6PhODp95LE9sZ&#10;mLxsB76ZvB6PfDUJQz5Mw9YNW5A+aQNmL85B6owt6PR8KhYv24kZSzdg+Zp1SF68B7/3GonnvpuA&#10;Jz4ehgGxM8X9jcNTv0zHp1+PwP1vcsIza+gFwlsCXSPMrQG6NnMUWuHRdzPw9EfZGJi8CPNX7sXa&#10;LUdxrqBUzq/CECGXM05leUJcfmcnvOU4+OzZszh16pT0yD169KgMG0CwuXXrVqxbtw5Lly6VY3AV&#10;H5cQ1d4Ll9v243NuK6DLfRTw5TrzlCkoawTCTFPpl2IEttxPHVeN+ZnOa+C18ft9fW3HNMJy5YF7&#10;qe2rpXUx0rBW66LEFxAHN0ZYUV+a0cuWxr/Q8aXOFz3TVTnCTS6vd/Ea+JfIhnAt15sIcWn0yD2x&#10;Ogc54UmY1v1tpN7aAdFOtyLmxlaId/VHgptJeuVqkNvwTMNaLS0tLS2tayP2fVcCawlLGRPWIr4f&#10;sI9laAF60f5ZIrTNPWc9BkMsnM0twIlTVwfYOoK1FzIC3CTPQOmBO8K1FbLcfDDEqx0+v/l+dPN5&#10;GXd0/BodHuiLUMbF7ZGM9i8kobMEknpSs4s2BXElvD1vEt4aYa7NHHrlEuC+nGgLn0B4m4y7RT5j&#10;Fnd+ORkPvJeFr38Yg+/jl2LY+CXieEkYO3UlwpKXYPmGHGzO2YvlwlZv3Iaf4+Zj5OLtWLVmOwaP&#10;y8GQsOn4qM80PP1BBnrHz8VdLzGcgi1eroS45z1yHYHcGq9csazjlWtbPvF+JnqFzcCE2Ztw8Ggu&#10;8gpKUVRSgZIyM8rKLeJzd/njV37+CXRLSkpkWAXGxmVIBcJbTnDGsAorV66UHrmLFy+WYQYYH3fW&#10;rFkyrAJhKSFuVlaWHLcT5DJNeb5yPM5xONMV5FVglvnKjOP3izHWQVP7G+tUeTxnehcb2QXfUWq8&#10;r7YV91B5Kl9L62pIw1qti5b9C0i9oLg0ypiu9uE2/zLHv8IdPnxY/hWK+YSc9vtfT+K1XauJ07Tq&#10;l3zu+BxykomjJ7B/xnys6h2GSY+/gjTfTmKAbJIAl4PqeBcfJLj61xlEa7s+TMNaLS0tLS2tayP2&#10;fZcLawlqGeaAfWuZ+D6QV1D4l/WlnJGfMXArK8WxxTrDGDg6x0uxS4W1jszoiZvu7o8Rrq2R4e6L&#10;MM/2+ObmrnihzfN4oP0nuO2eX9DuiQiEPJeA9s8noPMLiejyojB7WKnNsSmIK8whxDXA207dhuDh&#10;VyPR4akhaPdUODo/FyP2j7cBXQVxrWEVCHcZWqFLj3g89m46Pvh5FH4dtgoj42dj3IIdiB21HJnz&#10;tyA9YT7GTV6DuNnbsH3DDizbcRCLNu3C6MW7kZm5GIMm5OB9et1y0rM302QoBQLcpz/OEssUqyeu&#10;SOPywbfPw9yLgrg2ozcu7Y1eYzF86gYcOn4Op3OLUFRs/W5+MZ9FllNlueT3e5oKq0CHLYJcOmzR&#10;K5ccgBOdMS4sQS7B7aRJk2qgKSEtTY3D1TrH4grUKrBqXGdZLi/WuJ+qTx1HbTOf64zPy/E/IbS6&#10;TkfcQ127sr/qHab1z5CGtVoXLb58jC+g+l5K6qXl6IXGFzhhyvHjx+XPKDjAu14mHbMXr5Oglh2S&#10;1vUjQlw+b2bOFLx1J3aNmoxlvfph4iMvITP4TqQ0DUW8iz9iGrdCXGMfJLoHOBxQa/t7mIa1Wlpa&#10;Wlpa10bs+y4H1hLUcqIwevUxpiwnCbsW/WhhoTh2KeFUNc6ezb+isAhXA9bWZwrg0hOX4RSGufnI&#10;5VDPtujV5G680bo7Hg99H3ff2QvtHx2M0O5xaP9cPDq+mIjOLyahi80bV8fHvQizgVwrwE3EPc8P&#10;sT4rRSXYun0/Js9YgUHRE/DBt+l46q1odOkehg5PDUXnZ6PR+fk4uT9BrjWEghXi3v5yIjo+F4tO&#10;z8fjsQ8y8ex7GXhnyGwkJM7DiInLMHHJDizbtBurF2/BUz3HYlLaPEwWaZ3fyMbkaTmYPGYF7nop&#10;E8eP7MfHA+fi9a+zkDVuDb6KX4yH30hBj2/H4aG3rJ64hLV/6IlrMEcQ96kPs/Bx78kIz1yG0TM2&#10;YcqC7di6++T/x95/AER1rW3f+Pv/3u973+c5zzknOVEBTS92QOwtamJ619iiJjG9995M0SSa2KV3&#10;ELH33nvvXSwgoPQ2dBjK9d/XGhbZDKOiYgS9r3Ou7D27rr2dmXXvH/fcCxmW/MuOedWzVwXE1Zm4&#10;TOBiGYXDhw+rMgoc2IwlFBh/M5OW8TgBqoaoZpjL+FzH6Tp2vxTzmNzXDGg5z/if5vk56BizhFnW&#10;UV+3vSlOeX1kH3qZSFQbElgrqrEcfTFdyPzS0n9hs//y4jz/2sa/sLF4eVpamvriNm9Tl8V28rqk&#10;Tu31I0JcBXKNf9eCtAwk7diLo+GzsOnLEZj/zFBMcX8Qgbe2hde/71VmQO5vBM2Ogmrx32eBtSKR&#10;SCQSXRux77tUWFuZUWvsm5ubr7Jqr6WKOCZCTp7Rx5erbNvLBbZXE9aez5UQ18UGcac4tUSQsysm&#10;urTDT7fdj3ebPov+bV7Dw92/RMfHR6Ntn8noMMAHnYYEoothycS9uHsOsMHa84kQN+pkHFav3wvf&#10;0OX4/OepGPi2j7HfOHTqOx6d+09G5wHe6P6CcayKurga4vZgKYWBvgoMsxbtM1/Pw9cj5uGPmTsx&#10;YfIydH8p1IhJd2HDlsPoYbRl79ZtsGREY+OReCzbcAaLNx5F8Lwt2Lb/FH7xXosXPjbO/ekMPP56&#10;CB562ZbpS2BLiGsuqaBdBeKaQK4CuJVTG8AlyH323Sn4+NeF+DNwA2YuO4Cte2MRHZ+uIO6F5ChW&#10;5jz5AOEtv0MYv8fGxmLfvn2qXAJr3uryB2Yoy/icU76+XFirgSz31ce3X891hLdr1qxRrML8DKDB&#10;rKNl5msUia5UAmtFNZajL1otLnCivRsAAP/0SURBVOOXFG3eTv8FjWBTL9Pb0/xS09CToy4y25ZZ&#10;t6x5wzoxXFbXMlf1ddH6ekTXt8pZnN94b5cUFiI79izObdqOo6EzsOGznzDvmSEIb9UTPre0xOR/&#10;3gmvf92rSiw4CqrFtW+BtSKRSCQSXRux77uczFr2p8ymLTDiqrogXkeWJVs9l+Tm5V8WsL0WsPZ8&#10;NmfiBju3RphzKwS6uGGyiwd+v7UrPr33CQxxexGPdf4YnR4eibbPTVQQt+OQIHQeGqRq4zILVzJx&#10;Lw5rz6fc3AJEn0nAtp1HMWXGegz/YyaGvu+LBweOQee+Y9Hp+Uno0M8L3QZVQFwCXA1xh3CQNH9V&#10;XuHxt8Px3CtBahu/6ZvhO+cgIhbvwOrNsVi5YT8mhG1C6JIjCApfg6UbjuLoocM4ePwUZmyKQcSs&#10;7eg9rKIGrmEbtA1Cv8/m4ZVvZuFhO3hbDeIS3hpTPagZwe1fMNcGcP/KyA3H2z/Ox9djl2P4pFWY&#10;t+oIouPS1WfdUeKWvbgdf23LOJ5wdPfu3aq2LcskEJpqcGuO7blcZ8ZeijWs5b6M9WmdsWs+Jqcs&#10;h3DgwAGVXaufA8zXpMVlAmtFtS2BtaJLlvlLiPOOzC8sPeUXl55e7EuMAJQZt6xtQ1BLQKJHnkxI&#10;SFCZuAS5ycnJav3fLbad8FkyakVU5fvdeF8XZeci61QMzm3cgSMh07H+kx8w56EBCLqzAyb91+2G&#10;b4PPzc1tgXQTjypBtfjyLbBWJBKJRKJrI/Z9lwJrCUGLi5mkYVXlD+qSeC3ZRixXUlKKvPxLB7Z1&#10;Cdaez+ZM3GBnV5WNG+DiBh/j9fgmHfDN3Q9jWKtBeKLD++j84M9o+/R4tO/vgw5DgtBpaHDFAGc3&#10;li8X1jqS+rzkF+JcQioOHonBvCXb8fvEeRj2kS96D7JB3I59JqH98yyp4Ktq4qp6uBUmwL1/sK+C&#10;uQ8PC8JzH0zDwI+m4v0R8+ETsR3BEWuxft1i7D0cjUO7o+G3LRkPDvXDQ68E4aFXg/GwYR5z06aj&#10;6PvjYnz8USg+/HWxqn/b7QU/PPx6GJ57N7wKtDXDWwVw6Qp4WwXkanBbCXHD1fT5D6bijR/m4vvx&#10;K/FHADNyD2LF5pPYdyyh4q5UFWNtPmczno+JiVHlERjXE6ZqsGoGtGa4WlPrfez3Nb9m/E84zPkN&#10;GzaoWrtkFBT/HTXX0KoJ5xCJLlUCa0VXJH4haWtxnl+09l9WGtjaLzfvr+cdbcO/YPEvbgwKCXP5&#10;Jc7s26SkJAVyOeUyrmNJBUdg5UrENvD8dS3TV1Q3pd/HZVbjfZuRiazTZ5CwdTcOB0Zi9TtfYHqn&#10;J+H972YY/3+cMfm/74JfI1cENKkeWIsv7KsFa2kNa7dt26ZKtZiDMi3970yLRCKRSHQjiX3fpcDa&#10;rGxbuYGMTEvFEeqWeD3ZuXmqv8/OJbB1fB2OXB9g7flszsQNcnFDsIurysQNdHKFl4sHfr6zF95q&#10;3hdPebyFTj2Hw+PJsWjX3wftXwxBxxeDVDmF6zULtzZh7YXEQe/S0rMQfSYRK9fuwwTfhXjjU188&#10;8sKf6NJnDNo9N97wZHQZ5KOyb22Dmtkgbs8X/XG/GvDMtvyR10LwzKezMPzXBehlbNN7WJAyoW3P&#10;oX7YvOEgerwYiKff34Q/x83A2oNHsWHZboSu3I+wNYcwacpGvD9yEZ5+M0SVaejxkm1/Zua+PHyB&#10;grD2WbgK5FaBuHYDm1VMmYHLsgpPvx2Ol7+ehfD5e3HsdDKSUnMq7oRNjO353M3atoS2jMUJbCMj&#10;IyuBLc04ndaQ1QxcmXhhv8z82rwd5/VzA19znrCWy1lHl9CY33W6bbSO/TkVWCu6GhJYK/rbxC+v&#10;K/0C08cwW39h8guSf4njFymzcZmBGx0drQqXc95isVw2aNWgmOcRia5Ele9d42GltKgYhcYDS+7Z&#10;RCTu2It9kwOxdNA7CL6nM8b/bxfDTvD+d1NbMC3ZuA79d8DaHTt2qO8UR7BWJBKJRKIbVYxnagpr&#10;manK7bMJbI1pXRXbmGXJQVlpGTKNqaNrceT6DGvPZ3MmLjNwFcA1HO7UQmXmjrqtG9695yk87fY6&#10;Ot3/HTyeGIO2/f3QVkHcYAU76zvE7TlgTMU74+8X34vF1hJV2zk13YJN247AJ2gJ3v6MEHc0uvT5&#10;A22eGYc2z05El0HeNog7rCIT15jv9ZJ/ZVYuIa72kG+WIHTFUfR5LRBrV+7Hij0H4fvbQsxYfQg/&#10;z9+HMb/Mx6SAjdi1+zR2bl2FMT4LMWv1cXz4wyz4L9qHkZPmodMAH3Qb4u+4Hu4b58nGdQRxK0yA&#10;O+iTaYhNyKy8dg1E+fzOxKwtW7YocGqO0TVk1eCVUz1PuKvBq152IZu34bz5+OvXr1fgWHMHtkuL&#10;8wJrRVdDAmtF1530lzu/2FmygD9ZoHVGLr9odW1cFjLnlz+XO5IGwDyWfPmKrrb4HtMuKy5BaaHx&#10;/k3PwLmN27FjxHjMfuB5eP3jHoz5X//BxP99q9TGNXy1YC2Ds2nTpqkpa1U5+mONo4BNJBKJRKIb&#10;Rez/agprORATt8/Kya3Y+/zSsZB5Xr3+m7pbniszK1v18anpjq/H3tcjrD2fzRDX38WYZ1kFF1dM&#10;a9QMUw2Pb9wRH935GJ5p+RI6dv0GHo/9CY8BfvB4MRQdhwYpCFpfIG7n58eh53M/4YMvfTFz3kac&#10;S0yveJdcO/H9yQx1Pqey9vO+g6cQPGUZ3vvCB48R4j43Wg1axkzbXgra2kyAa4O4f7ljfx+VPcus&#10;2wFfz8af8/fii89nYePiwzh46Ax+/nUa5obvxZHjUVi99SRWrNuHeZuOYuSYpZi5YJPaz1YT96+B&#10;zDS85fTxN2zzhLZ6qlwBb82lFDTEfe7dCGzYGV1xtbbr5TM9EyeioqLUoF+6fq0Gsub4XVsv19DV&#10;vF1Nzf14riVLlqgEMF271vwMYLZIVJsSWCuq17rSL0dmzBLksh4l6+Cas3FZm4Y/fSak0X8tEzAj&#10;qgviYGelrPd2NhEn5y3Fug+/x9S2j8DzX3diYkVtXAbO/i5u8Hd2s2VEmILs68lXE9byGPzL/dGj&#10;RyvPYZ7WZMAEkUgkEomuV7H/qwmsZVYts2nTMy5e/sDcp+q4mzbm1P8UsNW+iuI5s3NyVbtrUr/2&#10;RoK1NbEGuhzgbFqjpohs1AwTXNrj0zseRt/mQ9C98+fo8MjvaNvPG22HhqDj4EB0G8yarI6h6bU2&#10;a8h26O+Lts97qZIEbR77Gd2eHo63P/NBxMx1OB2TaHwWClU9ZnNceq3U5ckf0GOov6pvq2zM91T2&#10;gwczcQd6VwDbQDVVIJdZuBXTDv294dHXE0+8HY5BrwTAb94ReIdtQcSc1Zi94igWz9yNtduOqG1V&#10;TVyzFby11chVIPc1PcCZHuTsL5irMnHNNmXlDvh4Gk5XDFKmvgOMKcesOXbsmBp8jBCVcbqO22nz&#10;QGEa0tLmGP9SzH117drNmzerZK/K76SKdpll/1okuhIJrBXVS+kvyfNJr7/YducT9yGE4V/xdDYu&#10;YS5Hp9QDnBHyMuNWIK6orqi81HgfGu9FK38udeAIDvlFYNWrn2CK+4PwbdISPv9pAb9GreHbqJWa&#10;+jvXf4h7tWEtA7QjR45UnsM8FVgrEolEohtZ7P9qAmuZpcptWV7gYuJ2Oq5mH6tdXF6GYpSh1Jiy&#10;lJSxQcUeV09WlkEzngUKC4svCmwF1l7cGuDSHNyMmbgRTi0wsXF7fHl7b7zQfCAe6vgRuvX+GR2e&#10;m4i2g/zR4QV/dB3sr0Aua+M6AqnX0l0G+aLjAB+07+eNdn3Go83jI3H/c7/grc98EThlFfYfjkFi&#10;Ugayc/KN9/HfB3E7P/mDah8zbLUJbVs/MgK79x7HrHnrMfy3qRj6njceGzoRHfuMQ7vnJqDrAG/0&#10;GOqHnkNN2bgVEJdlFbq8YFyzsc3T74Tjg+9n48GXbKUVdF1cXRtXm8C2cvqqLQvXHuLaQO5fWbna&#10;GuDOWnZIXZP6HiguVklWTKxivM9Yn8BWl0XQmbZmWMu4Xi+zj/drYu7H47MEA5O6tBzF//q7SySq&#10;DQmsFdVL6UDufNLrte2/NPlaW683b2NeT1cGikYHwUxbDmDGn0GwDi4HOeNf2cwg99y5cwryXm6N&#10;XJGoNqXex0aAWGq8H/OSUxG/djP2jPXFssHvIqJ9bwTe2U6BW59bWsCnQXMbyK0n2bhXs2YtQS2D&#10;O3NmLe+lnurvBb1MJBKJRKIbSez/LgZrCTmZbZiXbxtJ/XxSPanxH1XTv8SWCME/ipYY/SxdbMxb&#10;y4zlxjnLyi8TevEk9r6IsrNtP3tOz8x2eH3aAmsv3/YQN9KpOcKcWmJC4/b47rZeeKXp83iq3Tvo&#10;1es7dHx6LNr290HHgQSH/ug6NKAOQ1xfBXHbMhP3iV/Ro++veP1TP0wMWIqNW4/gxKmzSEu3GLFk&#10;7UPczk/YYK29Wz08Arl51T+LBQVFOHY8FguXbsUfk+fi7S+D8Oxrnujabxw69JmArv29jPvsi/sH&#10;+6Pni3aZuIZ1PVwu0/MPvkx4W3WAM0cQ1+yqEPcvcBs2f6/teYaff+PzyOfx06dPY+3atQqk6l/D&#10;MW6fN2+eiuM1rNXlD8zw9lLM/fWxjx8/Xi3u1+3SbbNfLxJdrgTWiuqlHH0Z6i9JvUxvo7czr9M6&#10;3zZ6Oac1EbclmGW2LSEta+rourhJSUnqNZczoKUJe5m1KxJdazETV71/CwqReTIa0YtWYuevE7Fk&#10;4NuI7Poogu/uBL9GrvC6+T5439wM/k5uDgPta+WrAWsZyOlgjj+z4l/RzefQ4jLtmn5XiEQikUh0&#10;vYh9X01gLftJ1n69oNiNGi4vAUqKS1FQYkVuVBxSD0Wh4Fwyyix5KC+0qjJQhLdWwxeT7ps5tdk8&#10;b7NefyFlZFnUNhfKrhVYW/s2Q1yWU2AWbohzK0xs3A4/3XY/3r7vWTzv8Toeuv9LdH58NNr29USH&#10;Ab7oPNgfXYYGqoxcR8DyWprlFDoN9EHH/szEnQCPJ39Hj36jMewjP/w+cT4WLt+JvQdOqWzckpLL&#10;H9j2UmHt+ZRfUIQTp+Kxcu1ueActw2c/RmDAOz7oMWAcOvUdjy79PVVJBYJcllmwwVsbtNVA9y+I&#10;G+QY4tqBXO0qEPe1YMxYcqASbPPzyMSpw4cPY8GCBWqcCSZZaDhL61hel0bQ2bc63r8U62Pv379f&#10;Pe9rsR3mZwFtkag2JLBWVC/l6MuQ846+LC9mRzrfOvN+tD6Xll5m3w7OMwOPQJeglkCJEJcZuBzg&#10;jPNcxk5HIK6oLki9d/k+Nt63BZlZSN1/BCdnL1YDnS154U1EdnocQbe3h9e/7oXnv+6Gzy0tHQba&#10;V9tXC9YyKGNwt2PHDvWHF/05159tLS7nZ9u8TCQSiUSiG0HsAy8Ga9PSs9R22bl5FXudR0Y3SzRl&#10;NfpTjoBfkJ6GkD7DMObOThjfvAdCevXHzFc/wsbvxuD02s0oKbeq7dk9K6uDVJV9311SXgYryymU&#10;EfaWoNSY6m0uJKvRHmb5cpC0ZAfXSAus/fusAW5AY3cFccOdWiLI2RWTG7fFb7d2xcf3PIHBbi/h&#10;sS6foPMjv6LdsxPRYYAPOg0OQOehrI1bHWJea3cd5IdOA30VxG1PiPv0aPTo/ycGv++D70bNQMSs&#10;9di07TDOnks13ssXf8/WFqw9nziwWcyZBGw22hQ2fR2Gj5qJoR/44YGB49Cl71h07jcJnY1r6fqC&#10;L3q96F8F3pohrr01wLXPxNXwdpT/enX9+rmaMfquXbtUiQLCWFpDWjOs1dmxl/NswH30oMPbtm1T&#10;v6rl+Sl+f+jvF7om3yciUU0lsFZ03Uh/WfLLU9v+i9P+C9W8Tsu8Dee1tczLzMtrIr0Pj82gz1xW&#10;gcEus281yCXEZVkFAl1m5pr/iicSXUvxJ4oEuSVFRchNSELSzv04OWsxtv04BosHvoYI94fUA8uk&#10;f9wOz3/eAz8nV1uA3aRqsF0bvlqwNiIiAvPnz1eDGPDzqT/rDAxp/Zrn5msdtIlEIpFIdKOIfeHF&#10;YK0lJ6+yxvv5ZfSp5UYMjzIUWYtRasTHB6fOwnj3Xgh3aouwhh4Ib9gO/o3awe8WD4xs2gVlaRko&#10;KDViaWPXMpZ6UujWJh1v0zy36qeN/lo9H5SVooR9tzFfYuxvjiEuJGYGX2iwMYG1196VENeFENcV&#10;oc6tEeTiCm8XD4xp0glf3f0IhrV8AU92eB9dHvwZbZ8ej/b9vdFhSCA6Dw1CtyG2TNy6NMgZM3E7&#10;q2xco519Jxpt/hM9+o9Fvze98NH34fAMWoqVa/cgNj5Zvce1rjasPZ+YiRt/LgV795/EnIVb8dvE&#10;eXj1E3889MJYdO07Fp2en4gOz3uiyyAfVRf3gWGmLFxTVm51kPsXxJ26eH+VzzcHBCewXbhwoYr9&#10;NZSlGdNrWKuXcd5R/H8+cx/CWu63bt06NQg5n+G12A5+j9CcF4lqSwJrRfVS+gva/IWoX+svS/2F&#10;eTFrcf5C++ptaPvttPR6bS392n7784nbaZCra+MS2PIveQS5NP+SSLNGLtdzO5HoWkq/z22DnOUh&#10;O/YckncfwIlZi7Dl+98x/8mhCL6nMyb939sx8b+awPumZiqgDmji4TDoromvFqzl/kuWLFF/MDEf&#10;X2CtSCQSiUQ2sS+8GKwtYCybV1ClL9ViT8rek5ly5eVGXE1gyySGpDR81/1RxIREIqBlN/g2dkeQ&#10;c1uEN/BASIO2iLy/L+Z99wtKiouQT+BaUhXW8lx0UVkRSq0FsCQlIGb1JuQePIHyjByUW0tRVmz0&#10;5yU2WFvT2Jz9PWvvOrpOgbV11+ZMXMJb1sUNdHGDv7Obysb96c4H8Gbz5/F027fRpddwtH1qHNox&#10;w3VoEDoaZjkFAty6AnG7veCnMlYVyB3ggw59J6Ptc+Nw/4AJeHLYJLzysR/aPPSNw30VrM39+xOA&#10;CozPR3JKJqJOxmP5mr0Y77sIb30RgEcHj0HXvmNUXdy2fSaj80AfBW11yYRKiMt5E7ydvfxwxZGh&#10;npk5dszmzZtVvVozrNVw9kpgLZ8LeEwem88YTOTgM7oWvz/0d05NvktEoppKYK2oXkp/KdbkC/F8&#10;2/K12dxG/cXdsP06LfvtaL6+FNkfm9ayf02Zt9PmOVXAaATIGRkZqjYu/8rHQuusr8nXzNIVieqK&#10;Kt+7JaUosuQg92wCUg8cRtT0+djw2Y+Yef9z8Lm5Bcb/v06Y9P/doQY5cxRw2/tqwVruu379evX5&#10;Yru17L8j9PfBpX4PiEQikUhU38V+8EKwVg0uZsSrluycKn2pFpeUGP9VpQ+M9UZ3ijJrEZb+8Btm&#10;vPsNtv/pifEdH0Bg43YIcWqPyIadMNG5LZIi5uP9Np1QfC4JxYS1pUacj7/6Yd03FxjTssJ8zHn7&#10;c4x28cCfjTtggtvDCHpkEBa8/in2+kWitKAIJWwb/1+9iVWUlpFpHLfMYXatwNr6Z3MmLuFtkGFO&#10;WVrB35iOur0b3r/vGTzr9iq6dP8WHo//ibb9vNHuxRB0fDEYXYfYIK4jKHqt3I0Q9wVjnnawvs0T&#10;vyFy1hpEn0mqeFdfO/E7gYMPZllykZCUjs3bj8A3ZCne/yoAjw/+A137GPebg7M9O9Fouz96mcGt&#10;MU3hH16MY/CZmM+9hKhLly6tjOPNcJbmcvpSYS2t91u2bBmOHDlSBdZS/M6hHX3PiUSXK4G1onor&#10;/WXIqb3NOt8yHchp0KK30+vMNu9v3uZyII3e3176mPbnu5D0sdgOXVaBZt1bBs9ZWVkKNjEDlxmC&#10;BLqcN/90QySidPmroxll2JdqvJdKa/YevFLp9zBNkGvNy0dBehbSj0ThSMg0rHjlI4Q1644J/9sF&#10;4/6fRvD61322wLqipMK+GfOrfAYvFdYy+DK/5j786zlrX/Hhk58jytzOyvZWfAdwXiQSiUSiG03s&#10;/y4Ga5m9mpGV7bCv5BLC2iKUodDoTwvKS5C//yS+bNMdGXsPYJzHI0hevALhzXqqzNqgBh7Y+/mv&#10;GPXA09jvG4rZX/6kQK2KnR3A2tLCYpxYvRGjXR9A0B0dMKWhB6Y1aIuIhu0Q5tQeo273QOau/ci3&#10;FhjbG8ep2P98IhTisbMsOdWuVWDt9WMzxNUmxA13aqE8/taO+Piux/Bcy5fQuctX8HjsD3j080Hb&#10;oaHo8GKIqolb1yBupV/wRQcC576e6Nh3Aro8NwoP9f8V73/pi8hZ63Amtm5AXH5+C4uKYcnOw96D&#10;pzDknUno9WKAGsRMTQ0/8mqQ2lZvzxKCGzZsUFCV8byGtmZYy1j/cmEtj8VSCwcOHKgsT6i/13Q7&#10;1HdRxTKR6EolsFZ0w0p/qWqbdaF1Zl1s/aWqJue8HPF4hLm6rAKBFuv7EODGxMSoTFyWWGCpBf5l&#10;kr4a7RDVPbFu27zoYryypgA+h4oxP9qKw+ml2JdWhkkHivDUkjw0nZqDB+blYsy+Qpy2sNabERSp&#10;nyzSFQe6ymJpBVt5hXyk7DmIPWP9MP/JF7F/xjwVGNEU/zihYa3+K7g52NIBG+tXaTDLKX/axPWs&#10;SRUZGYmtW7eqz4Ous+co+NKfEW2RSCQSiW4kse+7EKxNSs1AidGHpmVkVexRVew5rcZ/C8vLUMS+&#10;Ni8XEx4ZgANGHz/1lY+x9tvfserbXzGl63PwvLszvO/sjK3fjoL3cy8iddl6jPR4CMVGDFtQUmz0&#10;1eyLjVjAOChjG9V/F+Xj957PICp4Oqb07gu/Jm4IcW6D4IbMnmyDBd2fhc/TA1Ceb0FBuRVW/Zfr&#10;84jXm5llUdDWPrtWYO2NZQ10ObDZtEZNMd2wp0tbfHF7bzzfbDC6dvocbR8dBY/+3vB4MRQdhoag&#10;62A/3D/EAUC9RmY5he6DfSvmfdFhgC/aPe+Ddn0moM3jI9DpiR/w2geTEDZtFaJjk84bD/8d+nLE&#10;VNw/1N+4f/7oQRvznL7z0/yKLaAA6vHjx1XCBeN5xvh8FjAPMKZfm58NamINa3kcDj6syw/qe8Gp&#10;tkhUWxJYKxKJlNi5sJMjxGXdH0JcmmCXmbgMerXZWYvqv1ILyvHttkIsj7VWLHEsxh1MtLUa/+yp&#10;BWVYHV+C73cU4pFFubh/Xi7eXp+PmaeKcTa3DCn5Zci1lqtBOP4O6RFZLwRrdYBFc14HXRrU6m2m&#10;T5+ulvEnTiwpwvc6PxcXCk51YOZonUgkEolE17PY910WrDW6bEaSjD74x1+CWmbRHQmeiV8eegrn&#10;5q3EHx6PIH7levzZ4VEkLF4N33u6I94zHH+2eQhJq7dgbPsnsNc/HHM++h7FJUUoNo5TVm7010Z3&#10;zIHHrEZMu8kzCP59X8HpyHnw7Pg4Au/shFBnDwS7tMVElzbY9/N4jHuoD5K371EDm7EUw8WUlZNr&#10;xATl1a5VYK2Y1hA32KU1pjVqpjypcTt8dfuDeKHpQPTu8DE69/4F7ftMgscLgeg4JNBWtmCwbXCz&#10;q+4XfNFloA+6DPLFg8MCjGW+KhPY4baGCXQ79PdBu+e90a7PRLR5bCS6PvUTXvvQE36hK3DgSAzS&#10;M7KRl19oxMsXy02/fH01IhLdKwaA666BtzFlOYR0y1+/guNzLGvX6tifUx3nM8bnM8CVwFpOmdBx&#10;PlgrEtWmBNaKRDe4dOeiOxiCKTOYZfYAYS1BLsEtyygwE5eDnBGMMQuXZRdoDbdEdV+J+WX4YksB&#10;soquLLAixC0xXFACnLKUYvrJYny0uQDPLM3DoJV5GLGrECtirTiQVorYnFLkWWv3/cH3o/mPB+Yy&#10;CPYBGmEs52nO08yo5U+aOB8aGqrmWfOKQZgGtBd6T+v18r4XiUQi0Y0m9n0XK4NQUlKK9AxLxR5/&#10;iVCVMUSZEURYrSUoik3AL+0fR/rKbRjfux+OR8xB8AvvYstoH0x992vMfHoY/Pq9hN2/emL5L+Ph&#10;1+dVRM2cjzHdn0ROdBwKWbu2zAZri4y41RITj69b3Y+M1VsxvOOjODtlMSI6P4OpDdvBp1Eb7Pjw&#10;J/za9XEkzV2D354YjPJiK0qMY1xMbCsBdGZWdpVrFVgrPp81wLVl4rZGZKPmiHBqgUmN2+K723ri&#10;5ab98ES799DjgR/Q8amx8Bjghw6D/NHlBT90G+yvbAaoV2Jm0Pb5egE69/fGLxMXo+cbEej7VjB6&#10;DwtG10E+aj1NqKvmTTBXLa+Y7zrIDx0H+KJ9P2+07zsRbZ74Fd2eHYFhH3pjov8SbN5+FDGxfFbM&#10;htX4DrhSVYG1dn7blF3LX5GePHkSK1asUHBVw1Zzgob+Nd2lmM8OGtZu27ZNYK3ob5HAWpHoBhY7&#10;FQIpsy8mgjFa18W1WCzqr5gEuPHx8Sorl/OEaDTXs+OsybFFf4+KjAejDzYVIK/46gUVPLLOxs0s&#10;LMfOlFL4Hi7CBxvz8eKqPDWdeKAIi89YsS2pBPG5Zaq8wqWKmbXm9xb/gLBy5UpVyoDBlX1mrXmZ&#10;/gu7HjmW+6xdu7bymDUJunRwJgGaSCQSiW40se+7lJq12urXN0Z8UG70+0WlVhQXFmDxVyMw7aNv&#10;se9XXwT1ewsnQ+fD+9GhiJu5HJ69BiHvdDxC+r6BM3MX40+3h5G7aR9+7/k09vgGY8FXv6DEWmTE&#10;HBWDjeUWwu/Nj7Hu+zFY9sWvmP3Wl9gx1h9hDw3A5OZdEdC0Oxb1fwdLv/0Ve/70h0/voUjYdsSI&#10;bVmH3mia0S5OHYnZg7l5+cgvKKxSCkFgrfhy/FcmriumOjVHuFNLlYn742334637nkUfjzfQ+/6v&#10;0PmJ0Wj7vDc6MCv2BT90HRJwWRC367BQvPL9XHQe4IPR/qvw0vDFGPDRNAz7bgle/WEhPhm7Ar1f&#10;9Mf9w0Iw8LNZeOjdxcZrbwVqe78eii4DfVUpAvMxzRC3i4K4PujQ3xvt+0yEx5O/o9tzv+GlD7wx&#10;atJ8LFm1BwePxCAp2fhusF78jyNaF4K1dFJqttqO8TsTNwhUHcFaXRJBL6+pBdaKroUE1opEN7Aq&#10;g2ajY9PWMi+/WAfk6DjMsmXWLeFZcnKyKvpOsw5odna2Cu7z8/MV9BX9vVp/tgQ7kq9dFrTKpjHe&#10;aoWl5ap0wmqjPZMOFuHzLQV4b2M+vt5WoOrlMkuXIDe98Pygn38QMF8H31/8azozaxlcaTDLKQM0&#10;M6TlMgZerGvF+XXr1qm/xutBA2oi/d6/VvdSJBKJRKJrJfZ9F4O1arT3bNtYCBRjREKacms5rGWl&#10;xvp8pK3bjt+adcHyIR9gwp1dcfJ3f0xo8yhOBc6Fb++XcSJ0KXKshYjbtB2TnxiIrSPHY9G3IzCr&#10;/3s4Fjgdox7og6wjJ5BfXIjSomIcW7IGf3Z/EtlrduCHdg8hfflm/NzlccTNWQLfNr2x+dMfEfT4&#10;ECTMW42f2z2M7BWbMf6ZoSgvKFKglsPw8ldD5+vas7KyUWxcg8Ba8dVw1UxcV0xxaokQ59aY7NIW&#10;I2/thg/veRKD3Ifhsa6fossjv6Ldc5PQvr8POg32R+ehgQrkEmA6GuSs65BAvP79Qgz9ZCpe+mIq&#10;ur8cghe+nI+3Ry7H68Nn4Y1fl+ORVwIx9Ld1ePDtGRj01Up8MHkTnv9uJV78aSn6fbkAX3mux4Ov&#10;huHBlwIUqH3ywxnoOtAGdNU5BvpUP+8gX3Qa6IuOA7zRoe9EeDw1Ct2fH43B73lj+OhZmD53E7bu&#10;OIr4s6kqG99eX14E1o7wXlOxJdQvQg8ePFgFyprBLZ8F9HxNLbBWdC0ksFYkuoGlOxZ7UwymdRYt&#10;5/VyPa2J9P60uaQCzeA+KytLZeUS5p45cwYnTpxQrwlxeU5R7YvZq+9syEcR017roBTINcy6t1GZ&#10;pVgaa4XnoSJVI/fjzQX4cmsB/txXiLmnrYjPKVV/DNDie5PvJdacNcNaPSWsZbkDruNUw1uaGbV8&#10;D/I9einvcZFIJBKJblSxv7wQrKWZgZqbWzWuKy8tg9Xo7HM4qFdGOsKefQXbv/gJoS17Yf4zL2HS&#10;fV0x2b0rAlv1xJjbO2LWG59jy8RgnJq3HAFdn0HSwlX4qXl3VeLAq/dA7PQMxfxPf0K+1YhvUtMx&#10;5sF+iIqcC58nXsSe8YGY99rnWPb9KCz56mdE9n8NE3s+jZMR8xDR720s/3YU1owch6DHByNmwyaU&#10;FBWjsMyIWWHExOcJRXNy8lBqXI/5OgXWiq+2NcANaOyOYGdXhDm3Mqat4e3igT+adMZXdz+CYa1e&#10;wJMdP0DX3j+j3TPjVZkC1sXtPDQIXStgJ6Eq4akqb6DmfRTY7fFiAPp8EGnM+6LXG1Pwzu9r8Own&#10;S/HYu9Pw5bhleH3cZrz3+1K8/ttyDPluIb6asAYfjluDERF78Nw3izH0y5nquC/+vERl7tJdTBBX&#10;n1vP012N150H+qKTgriT4fHMn+j2/J/o95YXPv1xCvxCl2PVur147+vAC8LaXi8F4MxZ2zMBv5ei&#10;o6OxfPlyFf9rOMt5AlcmbehlNTW3F1gr+rslsFYkuoHFwNmRdYdjfm3evjY7I4JcDW9ZMoFZt5wy&#10;Q5LmT9IJ4JhByZ+1MFuX24suT0n5ZfA8WP+ymfmWI8hlWYW0gjLsTS1B+LEC9X7R71eC1rNnz2LJ&#10;kiWVsNY+0GKApuvVcn7BggXYvn07zp07V5nlrY+npV87skgkEolEN6rYD14M1lpyclX/zPhRq7yk&#10;DPnWEuQXW3HIPxJjb2+LWR0eg9dtHtjw9hcYc297nB3rj8nuvXE4fCa2B0/Fwm9+Q+DgNzGp17MI&#10;6Nkfh72mYvF73yH8jU9xMnAWJjw8AFlHorBs3GT4D30Hh32n4I8ez+Ls/BUY2eUxxM1fhtFdn0L6&#10;wWPY9NWf2DLWB16PDlQ1cr90ewDJizbgz+dfRVl2PopLi2EFf4HkmNbmFRSoa09Nz6q8ToG14mvl&#10;vyBuGwS5uKosXGbk+jq7Y0Lj9hh+5wN4s3k/PNP2LXTt+QPaPjkW7fp5o8OQIHQaGoyuFeUUqmTi&#10;vsCByLzVPAcZYxbtE+9ORb+v5uH9kcvx0diV+M57PT4fuxwf+OzAz6HbMHjUenTq743XR6/Bm6NX&#10;442fFuDFH5eg/4cR6DbYBw+8GoJ3Ri1Dh+c91XY9jGNWns9kno/Ql4OgdR7oY2w/GR2fn+RwW7Nn&#10;LDlQ8Qm1/fKOUJWJGYz3NbTlvMBaUX2RwFqR6AaWhq/2tu9w9GvzenvpbcyuiS60D1/zfAS6rHtL&#10;UMvMW5ZTYG3c2NhYVSeXHTKzdPnzdWbwis6vU1ll2JJ44XuUnGKF/+EirE+wIjb3ygcFuFrie4P/&#10;5vq9w/fIqVOnFKxlaQMdXGkzyKIJavmatW35Myn+QUC/b/R7Tr/PL2aRSCQSiW5UsR+8GKxNS89S&#10;2xUW2v4gyv61uLQERaXFyDsVB+/2TyDEqR3CnNog/BY3BDdog5AG7eDZsB0WD/8NpUX5KCwrRT5/&#10;oVWYj+L0NIx9dihS56/H8C6PIXnRekx8dBD2eYViwcC3MarrY0hbthG/t38Uqau3YVzPZ3E4dDrC&#10;+r+GAxOmIN+IKXPj0jCh12BER8xH0BNDsel3L2wZPgl+fd5A7NINKCkuREmZFeXGeR2psKjIiE3L&#10;kJ5pqbxOgbXiuuZKiOvijkAX47NlmNNAglyXNvj1jvvxftNn0Mf9NXTr/i3aPv4n2j3vhXZDgtDx&#10;pZBKiKvNrFhbVq6Pysq9fwizcQPR96NIPPnJHHw8epmCq2/+sRpv/roUb/2xHi9+vwhDPpuGTv18&#10;MXzyYvwcsgWDf1iMN39fhuF+W9D7zUg8+kqg2q/TgL/KJ3QZYAPF5nObXzvymOBNFZ9QqF9pHj9+&#10;XA0cbH4m0M8CnDfD2ItZ78upwFrR3yWBtSLRDS5HnYv9Ms5reHU+6X006KIvRXp/s/Qys3VJBZrn&#10;0Jm57JQJc5mNy0xcwtykpKTKzlRkU1RWKfamXhjAnjpdiLum5KDTzBzcFWm6f8b9n7m/EDsySpFo&#10;HMdyFQcoq4mYqcN/fy0+MDIwI6zVQFYHZTqjlssWLVqETZs2ISYmRsFevo/s31OcOnr/aYtEIpFI&#10;dKOL/eHFYC3rurJPTcvIUlPayliuMB/Lvh2JyY3bIqxRW/je5qHAUlijdvB3agfvto/DmpCMvJJ8&#10;FJWVIg/lKLGWIb+kEEkHDmBkx0ewO3waVrzzHaa89jEOegYh2O0B7Pzud8z/6BvMfvcz7PjTD1Oe&#10;fRUnI2bjD5d2CHh8IGZ/8zP2+k7Dguffx95fPBHZsz8sqzfjt3aPIWnZeox9dpBxHv7xn/VrHcdL&#10;rMPLgdMyLTmV1ymwVlxfbIa4ARrgGg51YlmFVhh7a2d8cs/j6NfqJXTt8hU8Hh2Ntv280XZoCDq+&#10;6Aji2mAqSxrwtSqrMMQPj74aiBe+XYChn0Wiy0AffOO9DsODt+Lz8Wvxlf82vP7bSrwzcjne+m0d&#10;Pv59Hl74fJqxrzeG/rIKPwZvU/V09bEffzv8osD2xS9nVMbonHLAa5ZC4ADCGrTq8miXaoG1omsh&#10;gbUi0Q0s3bGYO5cLLdNBtnkb2ryN/fKaitubj6+XXcpx9DEI3fiTdoI4PkTwp/KsbUp4y5/JszYp&#10;p/zpO7N0bySgy8zaXSkXg7VFaDorD+cKylBacf8L88rUQF9fLMzG8Cgrxq7Jw1sHS9SIzruSbKMn&#10;/90imDe/V5hdzUxZwlozpGVgxin/sr5q1SpERUWpbQn59XvMDGgdvcftLRKJRCLRjS72hzWBtRww&#10;KCPTVraIfWyptRiJ23ZjdNPOmNKgDSIatsXURh6IaNQWM27ywIQmbXF85lKUWYuQX1ai6sOWlJei&#10;pNSKAuN1eWExJvQZhpg5SzG68+NIWbASE+/prADUssdfwo9dH0buxj348u4OyNi6C6PbPowTU2fi&#10;zMZ12DrJF9Ne+xCjH30a427rgD/u647A27tibIeHseqF9xHY8RHErN2AEqsR27D+kgMpWGstQVZ2&#10;buV1CqwV13ebIa6/sm1+aqNmmN6oKbxc2uLLO3qjX7PB6Nrxc3g8/Ds8nveBx9AwdBgabMu2NcFT&#10;DVo1ZO3YzxOd+nnj0TenYNBnM/HGyBUY9ssqfD5+Hfq+F4b3Ry5WpReG/7oAb0/cju/9N+HjievU&#10;wGRvjVyKN0etRd/3bdCW27Xv56VKJejz0dHx6RWfUg4EmKUGD2b8r0sfzJs3T5VGcARkL2SBtaJr&#10;IYG1ItENLN2xmDsX+2WO5u3tSFzOgFyDr/PJfByzzfva236/S5HOxCXIZQ1c/tWVpRR0SQVm5bJz&#10;Z5auGeBdL0rOL8O0kxeu+UtYe3d4Nv4dYEGTyAIUZxWiWYjx2j8LHabm4JcTJZi/rwAbUkuxbX8+&#10;/ss3B8mFBLblCu6qf5eKY11NEdZq8d+J5Qx27dqlMmd1Ji3NIGvp0qVqHTOu+W+vpdps/Ds7yqYV&#10;iUQikUh0frGvvBispQk1yyviOmarWjOzEfjciwh0aYNwJ/5Euw1C+FPtxm7wbuyBgD6DUZqTh8Li&#10;ApSVs2/muYy+3oguOAhpaUkZsk7EYWL7p3AgJBLzX/oA09s+jhBnD3g3dMPpP4MQ+fKH2PDDn1jw&#10;1W8IfOdLlBYUIbe4EMUlxShhP19UjDVfjsTGL0cgvO1j2Pzul/C/tS0iOz2JKc++gjJLIYrK/ooJ&#10;zHGBhrUWgbXiG8wa6Aa5uGGaEyHuffAxPr/f3P4ABt03ED07fIwOD41Eu76e8BgSjPZDgtB1sF09&#10;XJOZhduB0HWgD3oO5qBnvnjp93X4zm8T3hq9AoO/mmus88Vbvy3Hu3+uxvCJyxXw/X7yMrz102K8&#10;8e0UvPLDPPT9eiEefjkQm/fEVHxKoYAqwSqfA/hcoMGrhq76dU0ssFZ0LSSwViQSXVCX2/lwHwbl&#10;F4Od+vjmbez3tbfeRs/XVPb7cN4+o9JcUoEwlwCQGbiEuISDBLmsjcrs3Us9f10Qk0Te3ZB/wbYT&#10;1jabk4fMEts2+3bk4J55hWrnt+bmYMSJEoxanovPjpTguxW5uDUsB06z85F5thBNI7IxcHkeDuYa&#10;D3CFZTiRVYLsAhvEpWrzlvHfSF8H/+3478S/oPMv5oS0DMw4gNjatWtx9OhR9UCpxf30vpzavw9o&#10;kUgkEolE5xf7zJrAWlspBA7Ilan629z0DCwZOQ7TB7yOkO7PwO+++zHZ2R1ezq0xvFlHZO4/heKi&#10;IhVrweiOCWjZZauemT8OMszs2qDB7+OobwTCmj2IiU3awM/FXYGjOQ8Nwh/dH0fOpj34vk1v5Eef&#10;Q4kR3xUbx2O9XFUzt8SK3LgE/NSqJ4LvuR/BbR7CjE5PY+3bX2BarwGIWbFJbaNig4r4QEuXQciy&#10;1G1Yq8GaypYUi6+iKyGusyumNmqusnG9Gnvg+9t6Yti9ffFo2/fQvddwdHxmHNoO8keHFwLQZbAf&#10;ug32V7aHuMyY7dSfA5F5qddPvh2Ot35djk9HLUAXY9l3k5ejz4dz8MHP0/DZpLX4fvIGfDpuHdbs&#10;jqv4lNrKo+3du1c9C+jMWjN0dQRlz2eBtaJrIYG1IpHoqulKOq6a7Gtez3kG1AzsNXijOa9rkdZE&#10;+jh6yv1ZG1WXVWBJBUJcDnRGkMvMXEJCTjnQGUFvXQe5kVHFKsP2fDpxsgi3hWbjpdX5mHy4CJaY&#10;PNw1PQ8peaV4fU4Ofj5Rgt+X5+LTI8bDTnwR/jssT2WplBaXYWV8CcbuykfHBQU4fqYIDQIscA/J&#10;xq5s2/nKykoRuK8IsRmlOJBeiqKK28SHOMe3rByFxnFjLBxcxJg3zO0I1flvo+8z51neQINaTjmA&#10;GIM0lrowZ9NS3M/8b2R+bb9OJBKJRCJRdbGvrAmspRlL5eTkqX0IO0sLrCgvyjf6/yKUpWbBsvc4&#10;ouetwOG5y1CSb/vFi4K19mL3bFjVjI06jUkteyO8WS+EOnkgyLkNAp3aKPAb4xWKcU8OwlbvUOM8&#10;RSgtN2KGUltsWFJehoISxnaFWP3NbwhxbofwBh4INexv7OvbuDXCHxuEEuPaSkqM7RkXGnGKjpwK&#10;KgYYy8jKrry+ugpr/QixDftw3rROLP47XAlxXVwR4dRc2bOxB3687X68ee+zeLbNm3igx9fo/MQf&#10;qi5u+4F+6DzYD12HBDiGuAP/qov70DB/DPxqPoZ+OQMvj1iGIV/Pgf+cvRWfUtsgY4cPH8ayZcsU&#10;rDVn116qBdaKroUE1opEonondoYMtjVU1SZQ1QCVU2bCEqwSsHIdg34NbunaEI/DTFuLxVKZiUs4&#10;yDbwNbM/uY5t4AMNIWNtnftylVtcjtH7ClW9WUeyWsuwK7kEwUeL8dn2QuPelmHArBzcF5aD1lNy&#10;MPy4Fb8sycFHh0tQGF+E/wrIRWpRGSLW56DZvHyM2JYHD2N69GwxWkTmIrbQ+PeqOFVZWQnc/LPx&#10;wMI83BWUjfGnjGPkleK7Vbl4e00+juWVId841rEs40GqqFw9JH1lnOvO4GxMOFqA7sbxknMK1EOf&#10;Fu8n7/GOHTsUqJ0/fz52796tSluwVjG3lQBKJBKJRKLaFfvWmsJaDjDG7XNz82E1goKSknKUWo0Y&#10;wIgx+LrA6KaLjf68pIiDh/4V551PhaVGTGfEXzNf/BCTG7jB19kdwY3aYErDNghxbovw+5/G2B7P&#10;wpqThbJSI/YirK0IBTgxXqHIOIY1ORm/t+gIv8Ysw+CBEOMYLM0w4fZ2OLVolXGOIhSxFAPbZNvd&#10;uGbbL5R4Tfr66jqsDXByg7+zYbttxOK/2xrgKojr7IopTi0Q5txS1cQdeWs3fHDPkxjoNgyPdv0M&#10;XR8dibbPTUL7AT7o9IIfugwNrDbAmQ3iGusHeOOT3xZVfEqhEjU48PCKFSsUZOUzAqdSs1ZUXySw&#10;ViQS1TuxM9RBPK07R3bKHDyMDw38SyozLTniPwcTYxkDDXBZykDDU+5D2EqYS5BKX0pmrLktnLdv&#10;G4+lYS7PTZDLNhIksj2EuWyDw+yRq6hZp4pxJP3CA42ZZTUeUrKLjQeTvDJEG94WXYyZiaUos5bh&#10;+bk5uHdxAZZuy0HT6bl4ZXku3CtgrcfMPCT/xVWNe1KCVn65OG2cev2+PHRcUYDQjbnovDgfvjvy&#10;cZ+xX0ZaIf4dbEGPsBwEbMlD49Ac9FldgEPpJZh/qgQpGZmV/z6c6n/3LVu2qJIHzKblvdb/BoS1&#10;l/JvKhKJRCKR6OJiv1pTWMtSCBwoLCvbVsKIfzDm66LSUsPGa2s5ikvLUFhWakz/+oXU+cQsWZYz&#10;yIg6iVVfjMDs/m8guMPj8Lu9E7xdPDDOxQ0pm/Yhv6zQOE5FXX3up3a2ubTEOGdRMbb8Pl5l14Y2&#10;ZAagB0Kd28CzSRsEP/0CyjKzUFBeCitjiHJbe1irlu03X19dhLV+Lm3gb9wHLxdXLHvnc8zo1UcB&#10;W0fbXsiBxv0IMCygV3y1bXuPuSuIG+7U0vgstlKf59FNOuPzux/FS62H4MlOH6Bb75/R9unxaN/f&#10;B50G+6PzUNbG9cer381Rn1GKz18nTpxQv7Qzw1oOPOwIyF7IAmtF10ICa0UiUb2U7hQZyOvOkVCO&#10;Ga0Etfv27cOBAwdw5MgR9VdV1iylOc+O+9SpU4iOjlaQjwOLEaImJSVVDjBGAKgBLkEff45Hm89H&#10;1bRj5nY8Do/H4IE/zWFHz4ccZuCyhALPz3ZwECxOCXjNGaS1rV92FsJSfOWBRbHxsJNpHIcDfiyL&#10;LcGe1BL8tLcYpxKL0X1eHpLsYK1bQDYCzlgRuikP3VYV4ocVOXhsTSFCjxXj891FyMkqwp3TchBv&#10;HDMjtwQPTM/BW9sKsfFMIYK2p1ZmytL89+B9IpjnvzVLUhCA6wc8buPo300kEolEItGVif1qTWEt&#10;nZZhUf1xTl5+xREMVfTn2gricmpsp/tyRyqvgLt55SWwlvCPska8lpWO3JgYJGzfiVOLlqG0qBAF&#10;1gKghHGAsU/FvkrGizKUorDUiM8yczCqeVcENWqDMCcPTGnogSCXNpjYxB0Jqzeh2Ig7iow2QWXn&#10;GjFPVrYqw0AAra+tTg4wZlyDdxNXrP72V5QZ96rI+LfyvK0i29ZYX1P46tOoJTxvug9+Tq2M/dzg&#10;bxzX0XZi8dWwzsKlWU4h1Lk1gp1d4ePijvGN2+P7Ox/EGy0G4Nl2b+OZPqMqPuBQz3F81luzZo2C&#10;rFIGQVTfJLBWJBLVWxHCEdyZwRwhKOErge3+/ftx8OBBZYJbvuaUr/lgoTNwNdC1h7iEpoR/hKjM&#10;guVP6nVGrs7G1eDQLHPHXVNxW14HYS6Pr2vjEuISIHNqrpOrs3LZhstVcSnw885CpFygfu3lilfO&#10;ayoo4YOXbRlFWOvqb8Ery/Nwb0Qu5qeU4sCpQtwZnoMvthYi8ogVSSlFuG9mLorYLGsZHpuRg7Cz&#10;pUhLzUF2ji04onjvCcD5b857w/tlhtv6QU+D9kv59xCJRCKRSHRhsV+9FFhLuGm1lqhSCBfsk41V&#10;XH+hbVjr3ggxUGZ0+6UF5SgyXrCOLPv7EiMWsFqLUVBWgJJSI07iH215zIp9tcpRbKw3YoniMmwc&#10;7Y3xDVshtIE7Ihq1RYRTW4S4eCDg8QGwWnKQb8QbKC8xti9FXj5/lVVU52Gtb2M3eDZojgKLBeWl&#10;JSg0bsL2cT7wcXZVwLamsNbfvRf2hkVixVtfw8+4Lz5NLj07VyyubWuAy0zcQBc3hBjv69C7OlR8&#10;um3PCXyW4+DDZthKOwKyF7LAWtG1kMBakUhUb0VQx45YgzgN5wjtCF8JZrU1nL2QNbjlvAa7nD92&#10;7JjK3CTItc/EJUTl+XSWLMEhQS6ts3LZpkuR7vD1NZmvjcfTMJc/9Wc5hdOnT6spXzMjmNvXVNnG&#10;A8rPuwpxIO3vKcNAWNt4ogW7jQcrglzVUqO9B86VYOK+QkyOKUFSehFujcw1HiqMdUb7HorMRkhM&#10;obrP5vthLlmhl+tr52v9vhBYKxKJRCJR7Yv96qXAWjrVMPvorKzsiqNcnnhuZuEyY7SsxOjzKwYC&#10;Y/1b/uKH9fdLiwuMZVZYwRjB2KdiXy0brC1CoREjFKdlYadnCFa+9w2mPtAPAS17watJe3zfqCVO&#10;Llmjsnd5zvwCW83/LEtuleuqkzVrnd2x4bOfjXtQjnN796EoKwd5icmY0LAlfJq41yhDljAssKEr&#10;dodGqnjN36WdwFpxnXV4q14Vn27bcyJL4a1fv15graheSmCtSCSql2KHqCGcBnMayBFknjx5sgqo&#10;JYi1N5fTOvv2Qtbbmvcn2KUJc5mVS2hKmMvAgNmvzPZkSQV26DoLl201m4GEvga6Jh293pb76bIK&#10;Gg5zyvMRbDL7lpnBbBPbwvX24tmsxoPOnNNWfLejEHtTS6pkwta2eH2JOWWwnIcN8/K5DevXqVth&#10;XOeuuFycTUpW10vpa9f/3lrme6i30a/N24lEIpFIJLpysW+9VFjLbNTcPJaaKkZBQWHFka5cuq9X&#10;sYDKsDX6f8YCZUa8YEQ7KraxCwXUcmObwnKWQ7CiXA1uVozSwlyU5GajOD4eqWu3IWrjdpVRa4Qm&#10;SM/IMvYpV9DZfF11CtaqWrXu8GrQGrlJqWpwtMDOD2Ptd3+o2ruzX/wAgaxdy1q0jVth8s1N4XN3&#10;e0z6n2YY/993wb+xu7Gcth1v4m3u8LupFSwJyVg3yQdhTq0r112JA53awJNTqYcrriWbYS2fA5hc&#10;s2HDBgVaaUcgtiYWWCu6FhJYKxKJ6qXMnaIKzCvMZcwuJaQkSCVo1dmyGrqaQasZ2p7Pej8ztDUv&#10;YxauOROXx9X1cQmNWVaB2bhsE0sa6LIGzISl9SBjBK0EurwGfS32pjjV6y8kricMZravzsRlNjDb&#10;wkxctos/D+IylnjIKSjGzFPFeHt9Pt7fVADPg4XYmmRFfolxbyvOf7Fz1rYIuQm8eR2U/nc2g1pO&#10;Nby1B7TaIpFIJBKJalfsXy8V1tIEtuzXc3LzVL99NXWhGECtKTP+X16KEsOMdYqN18zOtZaWKBeV&#10;FRvLjNdGGFJqLVWAubCouEoJBLouwVpfw35OrbH2i19Vrd3ko8fg95974HtbJyNGKkf8ngPwuaU5&#10;fBq7w/uWFtgbOlPdCw74lnbsFAK7PY3to30xrc8w+Di3hr+zByY1bo3gVr1waOYSTGrUvPJcVwJZ&#10;J97aGgGNWmHSra42wGwsE2grvhJfDNZycDEZYExUXySwViQS1UuZgRwDflp3kpznoFPMdNVAlSBV&#10;A1ZzduyFYK15nf0+tBn22h9b76fPrdfpgc50Ni5LKxCYMhOXEJdAlW0noOSUwQAfhDTIZeChr1tf&#10;L8V5DTLNyy8mHpMwl8CY2bfMCibIJcA9HJ+OeVE5+G1nHt5fn4uXV+Xi1TV5+G57ASKiinEwrdR4&#10;OClDnpUPNbUboPA6CZjZLkpfnxnGmt8D5ms3T/X2IpFIJBKJalfsay8H1tKp6Zlq/yxLjjG9tv00&#10;26HiBqMdBJYsG2A1poS25VYjjig21hmxTnp6ltouPTO72vXUJVjr5+IO78buyDqXqDKKjyxejZVv&#10;fIGpPZ7H6R27UG7ERqFdnlLZt9MeeF7V42UJiaNLVyNq2SoVG/IepEWdhtdNreB5SwvMf+tzJG7d&#10;jdPrt2B+n5fh18gNnre6I6iRK3yd3eBnmGUVeEyCV0ftsndY1+ewKygcK9/+HBNurdjfwXb25naB&#10;Fa7pucQ3hu3LIDBRRsNaPcCYwFpRfZHAWpFIVC+lgRytgkoTrNXLCBwJRXXm66XAWi7XMPZC25mt&#10;99GZtbTeT5dkMJvt0W3iPro2LrNxCXEJm2NiYirhKbNfGRzwWjWIpHmttIaS+r5oX0jm7bg/j03r&#10;kgqEpQTIzARmwMNs3GMnTmD7sVhEHEjHiO3Z+HBjPl5fm4/3NxZg1N5CzIsuxpEMI0DKK4OliA88&#10;NQ9e2A6Wb+D52AZz2/T18jWlQaxeb3/9XK/vlUgkEolEotoV+9rLhbV0VnaO6qMt2bmVffu1lI4f&#10;HJllEFiv1lpSWi2rlq5LsNbHqSXWfPUrSq3lKMrPR54ROzJruOIiYSzGkcj58G7YGqu/+kWB6HN7&#10;9mDSLS0x6X/uwT7fCBSWM8v2JCbcdC9WfzcKVpQjOzkNGadiFADe7htmnMcdET2fQfyO3dg8YgxC&#10;PB7A3GdehV+LbvAz7oVfY9bFNVwxVe3TU8PhD/ZXf+wvzs2H/3/cVaavXnchqxIPTdzh3aSNcQ4H&#10;6022Xye+vu0I1m7cuFGB1unTpyvwKrBWVF8ksFYkEtVL6U6R1qDO3FGq4N9iUXBRw1EzVDX7fMtq&#10;6vPto5cTxOplGs6aQa25fVzGeb0vrbNweS38OQ8DBGbDMhOWGblcxnkCW7PM98ORLrTOLG6nwSfL&#10;NTDjlTVxCY8JVtkGm5MQFZeEtSfTEXQwG7/tyMEnm/Px7oZ8fLm1AJMOFmJprBUH00sRm1OGbGaq&#10;GMfmcdl2gmFmF/O4+lp4bv5balBr/nfW85zyGFzP1+b99DYikUgkEolqV+xfrwTWEnqyFAL78Jzc&#10;/DrdX7NGLduXnmlxeC11CdZ639YB2bEJqj7tvPe/waT72mPKw4Ow9MPh2OE/BfmZrBucD/+m3bDi&#10;g28UrI3ZtAW+DV3h2aQNIrr3RYnxT0FYO/Hf9yL5SJQRT5UjtMuzmPzvptg42R9FJVb4u/ZG5IMD&#10;UWqsy03PQr4lG8UlRrxoLcHeiJkIuqUVfJq0hl9D474074aQNg8htPn98HVxQ6CzO0Lu7ohlH/+E&#10;3X7h8HZqqero1iiztokHgpt1hZ9xHA6iVm29YUJcP2bdOhtT45oE3N4YJqzV3yMa1urM2mnTpinY&#10;KrBWVF8ksFYkEl1XMsM8ZoYSIhJ28kFCZ73ShKBcpoGohqfmdY6stzfbvI+GrbSGsXobe9vvaz4G&#10;p+Z5bsdMXWbeEswySGC2Levichtm4RKiamBpBpXaWnq9edmlyP54FM/LTFjWmOWDG0E528cgidP4&#10;pFQciEnGqqNJCNmXhvE7MzFuVya2nExSWbQEtTwGxbbp69BtNbfX/vxc5wjWmrcRiUQikUhUu2I/&#10;eyWwlk5KSUd+PjNWS5CdUzcybO2VbcRcjDEc1arVriuwVpU26P08ojdsQ0rUCUy+va3KcPV1cYVv&#10;wxbwuakpVg0fhfKycqz78Q8EtOiG4oJClJeWwNu9F7wauGLDz2NQWlYBa2+6D9lnE1BsLMg+m4iE&#10;PUZsunCJui/rvhmFmb37qQHMSox7s+CtzzCtz8uwGu8J/jv6NO8KT2dXrH1vOIqMc5RYrTCiNcTv&#10;3oOpvfrB697OWND/HQS0fQAhjVoiuJE7fIx7yPtYmYnrwH5NPJB5MgZZp88guOOjCGJdXWO5doCz&#10;OzxvagbvhoTF7ueFtVxGqFtlX3G99vlgLUsgaFjrCMZezAJrRddCAmtFItF1JTPUYyfN2q8sJaCh&#10;KIEn5zUM1cs1YNXbcHo51sfVdrTNhWy/H0EsrddxnnVlmeHKQIHlEvbs2aOug2Cay3n9fKjQ8FLD&#10;Ti3Om8Hm1ZA+L/8NtHW5BrO53PxvdjnivtoikUgkEon+HrHfvVJYSxOAssRAcbFVlUaoSyoqKkZe&#10;foGKVZJTHbefrlM1a51c4XVzc/g2aaMyWH1VGYI2yixDENjqAeQa15IRHQfvxm7Y+OMEFZMVFxYh&#10;5fAJWPnHd+N6Faz9532I27Zb1bANe2II5vV/A5u//wMHwqdj1ecjMOvBAcb7ALCcS4KnU2v439IK&#10;GafPKBi88PVPEHRvD5VpSxh/dP5ybJ3gh4zYc4hZtQG+rr1RYOyck5yKsf9qjjCPx7H2pz+wyycU&#10;m34br47t07C5gs1VatM6uWHDL2NRVlqO7X4hxuuWtkxaVRbBuNa7OiJ2zUYcDJmGcLfexn1wnH3r&#10;7+ym7gczcNW+hu23E9cvn69mLWGtrll7ORZYK7oWElgrEonqpXSnaN85msEf51kugB01AayGsWZY&#10;6wiKXgmsrW3rdtIaKLOmLSE0M4d5bXodwS3LExDE8tr1vdDzWnqZSCQSiUQi0eWK8URtwFqawDY3&#10;N1/FMFlZ2apG7LVWsdVame2blp7lsN3adQnWns+27FGCT3f439cVIV2eRsDtbRB4R0eE9eqDIxGz&#10;cWD6Qkx96V0jTgTSjp6A583NsWjY++AYcCnHjmNq7wEIdOuFJQPfgt8trRDxUD9Vw9ZyNhHejVrD&#10;v2FrZJyMUbB27cc/qPILDMszYuIxyVjn1aAlApq0Q1iHx+Dv1kPVzy0wYtoJ/7wPU/sNAyP4gsws&#10;lFlL1K+1DoTMhJ+T0WZnj8rMV8LngKZdVD1ea0Eh/G5vpyAtYSvXrf5qpBogLj36jPG6vcqutR+I&#10;TGXutuiOsDYPwtfZVWDtdWKBtaLrSQJrRSJRvRQ7RDOQ1DK/5pSZAiwbwHIB+/btU1DTDGtpe3hb&#10;l2CtNtumYS3nmV1LEE1oq+vycjsGJYS4+vrtLRKJRCKRSFQbYlxRW7CWJrDNtGSrWC47OxdFxcUV&#10;Z/r7xXOz/AGvMTMz+7zlD7TrA6ytYmaUNnbDRCd3pJ06gwNTZyPU/SGMv9Mde/zCUVhWjvgde+B1&#10;Swv4uLhi1dc/o9C4H6VGXF2Ul49S498ooNezmNa7v4K12fGJ8GnUGn6GM07EoNRYtvajHzClR1+1&#10;PjXqNLxuMo6lgaizG4JbPwCmDhRkWjDxX/chzFg+td2jmOjcAkF3tUfqkWPG/S/DpOY94Hmrq9Fm&#10;w8Y2BLM+DVvi2KIVKuN37svvwLuxB3yN6/F3aoOizCxYS8qx6p3v4O3SCr5NqtfCJaxdPPRDlBQW&#10;4dSS1fBqxAHRjHV2UFdcvyywVnQ9SWCtSCSql2KHeDFYS/E1HyRYCmH//v3KhLNmQOvotT0svZbW&#10;8Fi3j9dgzq5lzVeu53IORMYBunjdlA4e+Nq+9IF5XiQSiUQikehSxDiiNmEtTSiamp6FkhLWwreq&#10;LFuCwb9TLHvAjFoOgpplybkoqKXrHaw1TGDJTNtdvlNQzFIPJSXGNB9F5YylgcUffIWgRq6qfIJf&#10;w9bwbuKBeQNfx9qvR2Jmn5fheXcHzOnZD1aWikhMhi8zaw1nRp1Ug46t+fBH+N/eyYhBy1FcYIWP&#10;x0Pw+ec9qpasv3GvKmFtlgWe/7gLAd2exuEFy3Fm7VYcWrAMZ/cdMdaXY+Zbn8G3iSuCWLbAaDfL&#10;FvgY7Z76QH+UGg3Njj2nBhoLbuSGha98CuZkZ8adVZB5rHMLhHV4GGGdnsCkm5ph4n8b5zH257Uv&#10;GvKBOn/sxm3wamQrpVCrsJb3zZjSgRzozJhKXdyra4G1outJAmtFIlG9FDtEAkhHcNa+w+TAVxzk&#10;igON6QxUDWT5gKFhKMsg1DVYy/ZwqoEy5zVw1lm0HFiM8JbLuZ7Lec2UvhcCa0UikUgkEtWmGEfU&#10;NqylCUc58FhefqGKXzItOQqgXm3ZzmVBUbFVzadnWoy2OG6jvesjrFVg0sUdPre0wGTD8194E/sC&#10;pmJ3YCSm9n4BATe3hA+zVSu3d1dQlLVeCTv9DPs6tcakRq0Q1OEx+Dm7Klh7bMkqZCanYeXH3yGo&#10;URvMfOczFJeVo8j49zy1aQvSTkVj+dcjEdSyt4Klhcys/Z+7VCYvQevhWYuw+ttfcfbISbV+yRe/&#10;GOd3Q6AGqYStjd0x3qUV0o6fVMA24L4uGNWwKfLTM1FaUmbs/wt8/tMCCbv3VT4bFFitOLvvACY5&#10;uaks3EVD3rfB2g3b4GmCtYH6eq/QCs6yzcY987rVDSFO7gh0qr6duPYssFZ0PUlgrUgkqvfSHaS5&#10;w9SBmZ7PycnBmTNnFMzUUNYMQfm6rsJatottMmfYEjpHRUXBYjxUcFAxlkXgei7XWbcMUvT9cHRP&#10;OBWJRCKRSCS6HDGOuBqw1uy0jCxYrbbBSDn4WEGhDeDWpphBm5efj8ysbHVN1pJS49wXz6Y1u17C&#10;WnsTwN7SAgENjesw5rlMAcxLtO8trTDhv++ylUUwXnPQsfBezyPhwDEUZeejKCcX8QvWwKd1D+Pe&#10;l6rMWq//uhsxKzeoAceWvPIJfP7VDHG7dql/myVf/Gy0h4OB/XUOAmRfwys/Ho6C0hLsnzIDwT37&#10;gZFvXnIaPJ1c4WfsM+fVD7Dm0x8Q2WcIDgZOR4Hxb5sVdRr+/2mNhRWwNmbTVnjxmplFfFsHrHj/&#10;K0Q89gI8b+Ix3BVwJaQOVPO2+6Jsao8j2wZ1c4dP516Y1eM5BN3ZUQ365mhbce1YYK3oepLAWpFI&#10;VO/FoF0PqkWxs9TLdMfJ2rXJycmV2bX2GbYEonUZ1ppf03v37lXXkJCQoAKG9PT0ytq1XM/ghDVt&#10;KX0/tPRrCSpEIpFIJBJdrhhHXG1YSzPLNiMrRw06xvjFkp2rwC0HAONP7C9HbDvjxJzcPKRnWCri&#10;xjJkG68vFdTS1wWsvcr2uaUlJv7zHkz6V1N43tIcQXe0x4Y//HBw0XJMvPle+HV4RNWvLeG/jfHv&#10;kZeVjTLjfwu/+hn+jd2qgGOV7evSBhMbNUdBRpZ6H6QcOoE8Y9/1I8bBx6kVAp1c4d2qO2b0fxXz&#10;B74Dn5Y9YC0uUb8+87zFtRLWxq3fCu9bWmHO0A9RaqwrZTmIgkLkGucP7/kMfBq3wrT7n8Pi975C&#10;WIfH4dmolQ0Gqyxjw41NANdkwtqJt7ph3tNvqIHTshMSMfGmex1uK64dC6wVXU8SWCsSieq9NJg1&#10;w1kdhGtIydfMQiXQJPzUUNMMRDUUrUuwlm3R7WE7dVv1YGm8nszMTPWwZC71wOxaLuf1a2vxXvC1&#10;BBUikUgkEokuV4wj/g5Yq82SBBlZ2aqWLWEes2wJbmmWTOBya4ktC5cZmbb4xwZRGBMS3nDgMEtO&#10;rsqiZWkFHSty3naOSwe1tMDay7M/SxI0aGl77dIGfvd0xqoPv8fit7/Eio9+RNzew1j63ndqkLDK&#10;MggmBzVsjYNhc1FqLVH/zgVGrD+5CQFqawS26IWinDz1b5x68CjSTkYjv8z49zbeBxMbuP0Fazds&#10;w+SbmiEj+ox6v0wZ8Ar87vJARuxZ5CSnwtupFZYM+9h4TwExB48g9eQp43zFKEhNQeADfeHn0hoB&#10;zh7wdXaFZ0PbQGXexnvBu5ErfI12TO/6FOI27cDZnXsx4d/3VbsGce1ZYK3oepLAWpFIVC9l7hQZ&#10;ZDMQo82dpg7AtVjflZmoGmhqWKtBrX6toagGptfSBLVsL+d1u9hW3X6uS0xMVA9LLH3AgdS4nvvx&#10;Wlkiwf6+mC0SiUQikUh0OWIc8XfCWm09CFl2Tp4N3FbEe/wVVUFBocqW5ToOEkYwm5WdayzLV0CW&#10;AKes1Igbje0JbrMsuZcNaM0WWFuLdnJTdV45YNnkf90HX2Oe5QgclR3wbeyOCfd1RoG1CFbj/bhh&#10;1CQEcn9j3ZR2j8BaYkVmSgrG/ftu/H5zM5SwpIbxHpjQwBULTDVrJzRojqJsi/H+KMbeafOx8sff&#10;sXrEOBQbofL0Z9/AwmEforysXL1/Ds1ciAMzFxjz5Sg23muTGrWEt4srpj3yPGI2bkPO2XNI3Lsf&#10;6z79Gf5N3BHm0g6Tm7SG700tKjJxjbarcgq8JsdZubVpnk/b0frryQJrRdeTBNaKRKJ6KQbl5g6y&#10;JrCWnTaB5qlTpyrBJyGoBrUEnJyaQe61NttkrlVrXsfXbDuvJyMjQ5U9ILjV67g8LS1NPbxQvCfm&#10;+yYSiUQikUh0uWI8UVNYWxtA1JF5XGbcspQBM2xz8wtQUFikBgkjyC22MpvWisKiYqOttkxcbmvb&#10;z2ZHx71UC6y9RnZuA/9Grlj6xtfY5jcFkxt7gCUTuC6woStObNqMUuNR4OSGrUjatR9FZTZYO9H4&#10;t1o0+AM1oFnshu2YdFNT5CQmGXFyKVb+8AcOT5+H+N37YIk7h3Vf/ITFwz4y3u9A6ololTU77p/3&#10;oMhiQYkRVwc9+CyCmnVHriXb2B9Ijz+H1KMnVZb3sYiFCO3+DHJS0xGzegs8b2kN77s6ILzrY5jx&#10;4ECEdnwcXkZbgxqZBnKrZfO4fk1s9jHmWTf3egW3AmtF15ME1opEonopQkczeOT8xWAtxUzT+Pj4&#10;SgBKE3hyyixVzu/fv7/OwFqabTGbAJcmVGbtWraZwQivjTD6xIkTle3ntTKjmPfD/p7pqUgkEolE&#10;ItGlinFETWBtWkYO0tOzHK6rbdtDWD2flFJ1mXmf2rDA2mtsF3dbOQVTpipryQbd1h4bf5+Ms9t2&#10;Y8PIichKTkNhXj7GOrXG/MHvqMzaMxu3wvvm5jgybT5Kjff00u9/RcB/mmPS/9wD32bd4XOHBxa/&#10;/JEqg5C4/wj8nNzg3cgNuckpqtxG5AuvY8EQ41jGBhmnYzH5trbwdfHAnMeHYMozgzG1Wz/jmQRI&#10;N9Z53tQca74aoTK7y1i6wZhmnolH+CPPqQxiZttGPjIAYS16qvNMNtrAtlUZ2OwSrWGtr4sbfJ1c&#10;VeaywNpLs8Ba0bWQwFqRSFQvpTtFcydpDyLNrynOs+PWtWs1/NSwlgCXr+tSZi2t26nNdpphLae6&#10;di2BbWpqqtqGdW111m1RUVElzNY2w22RSCQSiUSiSxFjiIvD2ixM9/kGkxbsrnhde9msdckCa+uo&#10;CXEbtoJ3g5bw46Bgd3dCgMdD8G/khsguT2LfzIXYHToNPg1c4dXEDckHj6nBwLJi4pF86DiyzyXC&#10;+/a2WPbiRwqsJu0/DB9nV0x2bo3clBRVemHG4Dew8rVPjecOIGb9Nng3bK3OHWicw9e5JaZ1fw5F&#10;xjEzo2Ph/Z/mCGrzANb++Adm938NCz/6FsX5eSguKsQ4pxbwua87rCzPEX8Om0f5Gm04jDNbd2Pq&#10;IwPg59IW3re2RqhxfK9/N4XnzS1qBHE50FmAsxt87u2Ebb9OxKL+b6gyE462re8WWCu6niSwViQS&#10;3TDSmaUsC8DBuAg0CWppPmgQgJrhqD00vVa2b5eGtToLmNOoqCicPXtWwVqCWcJbwlpuFxcXpwA1&#10;gxZzUCGwViQSiUQi0eWKMcTFYG1mdiaGffArXugzUP1ROd2SjxPHjyMjMwdpaRlIzciu3DbZtF99&#10;s8DaemKCywrA6e/sBr+GrVU9XNaSDWDmaZM2WPrW1zi7aRfOHTZi7WnzEOTaA0tf+US93wlrFfRt&#10;2Aq5yUkqs3bGC+9gSrdnYC0vRcbZc5jcxM12ngbGsRu3VrC22Pi8ZMXEwefmFvC+oz1m930NS177&#10;GDOfGIJzO/epcgwhXZ+D3z0dVAZvcXEJ0rOyELdrP0pKjZi9yAqve9sjsGELLP/xd5xatd7Ybz+O&#10;z1uE6Q8NgE+jFvBl+QdeS7VrdoeXcW27fvdUcLncWorJt9ttc5n2NaxgsIN6wtfCAmtF15ME1opE&#10;ohtGuiMlpMzJyUFsbGwlrNUA1B6U1hVrUKthLc15ZtXS3IblD9LT01XZg+Tk5EoYfdx4KCKcdjTY&#10;mEgkEolEItHliHHExWDt4bVhGB22FKsCv8NpSxHmTvoSftPn4oUXnsC+s1mYFz4Z4wMikJmVi7iE&#10;FGTnFcGSZSuZoMoXGE6Ij8GpMwnVjl2XLLD2OrECt27wJcR1dlVwNdDZHaFNu2PBu99i7c/jENCo&#10;NXwatUJuQoL6DMwY8p4CuNHrt6DMWo6U/Uew8JVPsOqLnxDeqy+mVsDazJg4lREbu3kLCsrLjP2T&#10;kXkyBiVWK0qNkHzewDcQfFdXGE8ryC8sQoB7b3jd3BRnFq02tgfWDh+D8be6Ym/YNJQa+2TGnVNA&#10;0motweKPvleZvMyY1bDWr8KsU+t3e0fkpKapcxUYzwI7xvvbAHXFtpfrSU1awOu21ggyjuXTxFjm&#10;/Nc6dd6K+b/LAmtF15ME1opEohtC5k6U2bXswDn4FiEns1MJamk+cBBwcmqGpdfabI9uk24rrWGz&#10;Lt1AAJ2dna0enphRy2ujT58+rcoh8LopCSpEIpFIJBJdiRhHXAjWpmbl4OPXX8SGrdsx0ccHg3+c&#10;hQ9efBDZllysmhWEpasX4Rf/uSgpSMGk6RsxqJ8rvELC8OaXY1SN2/WLpmDpxj2qvFN0fBLSMnOR&#10;nVv41/FT03A85lxlRm5aRjY42Jhez5ILf81fXQusvQHMjFxn2+Bl9IR/N4Vfm94IadELgcbyibe5&#10;4cTc5bAWFamMW9a/TVixE0G9nkaB8XnJjD4Dz5ubITfRVuvWy7ULfv9fNyNx1wFYjZB87oDXEXRX&#10;V36ykG98RnybdoW/syt2+YWo9cfC56rXvg1bYvT/2xh//K9bENzIHUW5OSgrLkRwk67wUVm9NghL&#10;UOrb2B0+jVyx8YfRxjMAcHDeEmTF2yCz9z+bwdtYrwZp4z4E1RX7qmPoecNcHtSwNSb837sw2am5&#10;gsJ+xnF3fDMai975DKHtHoI3M5UrtrfdK2MbF1sb/q4auQJrRdeTBNaKRKLrXuw8dQkE3ZnSzK49&#10;efKkAp0EnhqK1kVYeyHrNtMcJI1ZtcyuZZYtga4eMI1lEvRgY9oikUgkEolElyPGEReEtWmpmLps&#10;qzE1XmfkYMj9bbFrqR9W7TiACb+8h+VrluOHscGYEjkD3lOX4d2hrxqxSzZ+6D8Qp7fNxJSN0Vgy&#10;PQgLF83CmBnr4D36W3zz/bfYfPCM7fjpWfjwlUHIyspGemYmvv7ycyQrYGuDtGcTkqq052paYO0N&#10;alNZBdrr3/dh0i0tENHtKVUaYczNzTCl7aNIOn0GCcZnZOLN92L51yNQWFICS0IyTizbiNKyUgVj&#10;Fz7/Fjzvs2XWFllyEXRPV5XduysgzAZrIxbC9z/NsNUrDBnRcciOS0Lstn3IM55nCH8Dm/dQYFSX&#10;JPBzZnarG3xub4f85DSUlZZiWrenseH70cZ8OaYNeFOB2uBGHgi+qwOWvf0NQns8A/9bWmHcLc0U&#10;fGX2LQdq8zPm5w56T/1K79jcpbbM40ZuOLdpG8rLgOgduxB4i6sqKeHdqAX8bm+PcY1bw/s2Dmz2&#10;1/252hZYK7qeJLBWJBJd92LnaYa1WsXFxZW1a1nf1Qxs7YHotbQ5k5av2T5tvd68nFm0OruWgJbr&#10;CGwJps3ZtSKRSCQSiUSXK8ZUFyuDYB5MzJJvxdp5oVi5Yjl8x/2CIwkWeI37DaN/+RxBKw/izQEv&#10;KVj7/TPP4/j2eVh5ONmIW7Jwav8qTJy1AUcP7sHOnTvxbN+XkJVhO+baWZNwKCEHJ/euwbjwZdiz&#10;dQ02b92B5Mw8DH2+p62kQnoW0ozjqPbYtam2LLBWXMUmQMmyCpP+eQ8m/6cFfF1cEXBzM8x/6UMk&#10;7D2AY8vW4PTqjSjKL8TsAa9hcvNuKEE5CrNz4X9fFwQ2csVO/zCUGZ+3oxFzMaFJa1XTtig3F9MG&#10;vok5Q95HnvEe5+NNSMteVWGt0Qb/Rq2x4uvfUWLsFL15G7waNIXvv1uiuLAQBRYLJjZqCb/GbpjS&#10;vJetVm5+AaJWrIE1Nw+Fxvr5b3yM0FtaILTrY5jz6ocoLy3H6Y1b1eBmhLVLjfMfDJ2LPV7B8HVy&#10;g7fh3b629pYUlyBhz8EK4Gu6N1fRAmtF15ME1opEouteugM1d6ScEt7yISMmJkbBWl1KgHCzrlgD&#10;WM5rYKuzaDVc5jJdc5fbchofH6+ujdnDHGyM23L5mTNnVICh74NIJBKJRCLR5YixxMVgbRWnZiLh&#10;XBwmTJoM36kLkZqRhQxLPrJz8lXZgwP7D6ss3JkTvZCZmY4fhg/H2N++xZwFM+EzezkGv/Ml9hw4&#10;iv79X4Ul03bMszHHMTJoCYLH/ohD0eewaNUGrF81HV7z9+D1oY8jJysFoX4TMX3+MqSmZyL+XCIS&#10;k5KN82QpaJuelaOOE3N8F+KS7dp7CRZYK74ku7jDp0FLeP67KbydXBHo/hBCmnVD4G0dsXvaPJxa&#10;vQX+93RGgLFuZ0AYSsrLcHz6AlXD1lpsRW5ePqb37o9pT7+AksIi48MIVY7BhyUHKmCtr4sb/G5v&#10;h+yUNGN/IH7PAWwf7Y3FQ99DwsGjKC8rh1/HJ1QJB3/XB9TrUuPZ6NzOA9gTPAOlxnuaGbsBTbvh&#10;xOpNaoBmrs+zWHBk2kJEPNIP4b0eQ3CrBxDwn5bwJqDu9LDapyg3H1s8A7Hu5z8UNP67BiATWCu6&#10;niSwViQS3XAyZ9hywC1m1xJ6MvtUQ00NS6+1+QDENmkIS2tQq5dzO72O5jLCW9bkZfYwa70xq5bb&#10;c1teLwMuCSpEIpFIJBJdrhhH1ATWpmbkINVUPzbDkqvAqXkbWme8EqBynvvFJ6YhNSkR+0/EY8W8&#10;SEzy9cPLw95CjsWWKZuanoE/hn+I4b9NQsLp3fh2+Aj4BXrhi3Er8MbQJ7B/0Z8IW7YDy+dNwfQ1&#10;e/DWO/0QHOyDwNmrkJJwBqEhAdh5OBoxJw7gdKIFaekWZOfkGce2tYXtqEkmrsBa8RVZA80KiOt1&#10;U1MbdHV2R1i7R7D4/eFY+sZX8GnSApF9X0VuarqCqwWWbORmZ8N4soFv657wbvIXrPVu3BprPvvJ&#10;eO4pR36WBZbEFFhLStVnl5mvLK1wdvs+BDZwRUirnsYHugwlpSXwa9YNnv+6F3GrNqDU2HfbWG9M&#10;feR57A6frp6h8nNyYElKxbIPfsDRWQtUjd7DXqHY6ReK2M07UGocJ/nEKQR3eMBov5vRHg94/qeF&#10;yjDWtXGrXX8tWWCt6HqSwFqRSHRDiR0pAS2DDYpTlgzQ2afMrjXD0mttM6zla8JYvdxsvb2GtQTP&#10;zBhmMJGfn6+CFb381KlTyMzMVPdBJBKJRCKR6HJUU1i7dVkgVu2z1Zm1N+vOcmobGKw6FLWBUgJT&#10;Qt9sI2bLQ1pm1YHEdq5fhnV7o5EUfxLf/foHFs8OwNsj5+Pl/g/g+OpAzFq7FzNnzMS0Bevx04+/&#10;Ic9ajHc/+xOjPntTZeOO/OxV7Fk+HrtiUvD7L8MxetRv2HfiLPZu34kDe3YiKc3WxgxLAbJzCXKr&#10;tlGtE1grvlquAJx+Tq4K6LKsQFDTbpj91EsIcnsIq7//DYcXrkLAfd3h20RD3zYIbtweOZlZKLeW&#10;Y95bX8HLWBfc4XHMfv5NrPhiJApzLSgsKobfPV0RVAFrS61W+N/WHv6N3XAwfCbKjUeFI1NnGOd0&#10;xbz+bxqfeeD0hq3wua0D/O70wKHpc0H+ezAgEhtGTUZWcgozYVBkbFhSVISlX/yMo9MW4MTqDfBq&#10;9wjmDnzD8NsVA5S1hOdNzeB1Mwcs+2vgtiuxwFrR9SSBtSKR6IaQ7kRpM6zl6yIjmEhJScHx48cr&#10;wagZgF5L67aY23Q+YKvX04TO5sHGmGUbFRVVmV3LMglcLhKJRCKRSHQ5Ygx1MVibZsnFO+98hgGv&#10;fol04zWBa3pWtoK0aamp2LRzH47s2oTTZ1OQeO4s0h1k3F7MPJYaxMxwYlISYhPTsPPgKSyYOx0Z&#10;mZn4c9QI/PLTd9h4+DS++3YELEV5ePvtn/H9268gOzcfyUkJ2L74D+w6Y8G6lUsxa6oPfpo4E1++&#10;8jKWb96GV976CpkZifh5xAiMmTgBZ1Ns8NZsgbXiv9UEuM42iOvbqDW8VebqX7VhmcEa1uYhHJy+&#10;ACfXbYTXrbbBxgKc3BQk9WvUAgs/+x5F5cDeoJkIb97L+EAD1pJCeN/RAd63uuFgxCzyWxyNnGkc&#10;zw3zB75tfOaB6E3b4ElwbJz38Iy5KDW2ORwQabz/m2NOv9dV1m7S8SjMe+9zTH1kEE5t3KKWxRw8&#10;ilLjACVWKya06Ia9PqE4tWI9Yo31u32CENSiJ4IbusG7idHWm5vD5ybbNVW79gtYYK3oepLAWpFI&#10;dENId6I0QS2tO1XOs9ONjY1VINScyVoXbA9nHS2zt96GNWotFovKHuZgYyyPwOzaEydOICsrqxJa&#10;i0QikUgkEl2KGEddDNaePbwOnov2Yvbod5CeV4ClQV9h0vgx+HHUZJzYtwqvfPwTTp04jqSMTAx6&#10;+V3sOBaP1AxL5f41KUFgtrlsAY+j5tMtxrwN6B4/eQZpWRYEhy5A3KnDGDlmLN559VXsXPwH1uze&#10;iy/+jMSpI9swcvIM/P7ND0jKzMe3b/ZBlhFLbd6wHsvnBWP8rB3VziuwVlzXzLIDfE/6MmuVmayN&#10;aQ48ZoO5k5zckJWSgczEZPi59YLxlITSkiIE3NpB1bE9GjpDlTQ4GmGDtTOfHmx85oGYbbvg3dAV&#10;AU4VsNZYdjgwEv5OrTDvuVfVNol7DmDSTc3he3NzRG/cCmspkJ+SigVvf4RlnwyH970dkR0Tjzx+&#10;PqNjUFpsRVFOHnxb94CPiyu2+/jh+MzFmNf3ZZUR7Ne4LTwbuWHiP+61QWq7a9UWWPuXSgoK1UBx&#10;mcdPIvdcIlL3HUL64eNquVIdbLOoqgTWikSiG0bskDSc1MBWS9d21dmnGnheaxO4MkOWU7bJUUkE&#10;87Z6G0JZ7sfrIaRlUEFoy9q1zLrltsyuZYkEe0nHLRKJRCKR6GJivHBBWJueg7Ffv43fx43Dp5+8&#10;g5GzDmCRz1c4m1+CpeETEHUmDj9PDsOKwFHYvH0b2j/0HLaum4+QQF8ciElCfGy0OkZaeqZy1eNn&#10;ICkpsTKj9mI2Q1/O6/ILmZZcpGdajFgpHrHJmZgaOBE+gaH41XMqfv36OyRm5uOzF3sgZoMf5mw/&#10;jd3bVmPCjG2Vx9IWWCu+llYQtsKO1pvN7FtlZ3d4O7vC+/b2CLirExa++xW2+IUbx2gH7yZuOBo2&#10;A2XlZYiaOVdl8AYThBqPCFbjmWnuyx/B7572ODR9voK1B4Omwc8O1nre0hJ+xmcietNWVU5h0Qff&#10;wtvFTQ18Fmic19O5Fcb9z12Y8N/OmNX/NeSXleD0ps0IbtASxxeuQIFxnG0/TVADlAV2fAIFWRak&#10;HDsO71sdXxd9I8JanrfMuNb4leux/dvfsOSZFzGr3SOY3ronIpt1w9SmXRBxd0dMvc+Y3tNJzU9r&#10;1QOzOz6GhY8OxLZvfkXs0jUoSEmrOKKorkhgrUgkumFEOMsSCLpDNXeqXK5r1xJmaiiqwajZ5uX2&#10;wPRqmOfQIPZ8bdLmOg1r9TICWtaoLSgoQGJiooK4ukwCyyMwmNH3QkNs872hzrdcJBKJRCLRjSnG&#10;BBeCtekZKXjzm/HIyMpBXmEpunj0woqQb5BkyceCsPHYffI0fvWZipVBo3HwTBKe+2w84jaHYdGx&#10;VJw5sQ8BC7YhNHA8th4+jV/GTkZaVj7Wrd2mAG5GWiqOrAzA7rPZ6lwavl6qVSYu5ytq5mqQa8nO&#10;hSW3wFiXgV3bNiIrJx+fvvsuRo39Fd8FLa92HIG14mtpBWqb2KxhrF6n5p2NaUUtW/N+uh6uGviL&#10;GbgVdXG5zLNhK/h7PILIh/orYOp9awssfPVDFGbnqM/++u//wKHpc2AtK8eB4Eh4NW6FGX1fMdYB&#10;ibsPYtItLeH/n1Y4w8xa4/ti0Usfw99oH2Gt990dEL95NyxnE2FJTUfM7v1q8LPiwhx433Qfji9c&#10;bjx3lGPdyPHGud3g1/FxWK0lKCgqQpBzuyrXZ/aNBGt5vsNeIZjWsocNxN7d8YpNsDut5f1Y8uzL&#10;aoC5EuPZUXTtJLBWJBLdMDLDWkp3rNqsXZuUlFRZu9ZRFqsZlv4doPZSrdtH62sguGWwwsCCQDou&#10;Lk4tJ7BlmYScnBwV0Oh7wntktVqV+doMammRSCQSiUQixgQXK4OQasqITU5NQ9SRfUjKyMGiqb7Y&#10;FZOAz779CUv8f8eBmEQ88/GfiN4YjD3nCnD68GYMHjQEn3z0NiIWbsP3o8YjI8eKt975BZtCf4TP&#10;1AX46ZO3cSAxHytnB2DqzHlISc2ygddatga66Zk5yLbkqF8l2W8jsFZ8LU1Y69vYHd7/aY6JtzSt&#10;yGCtKBfg0gaBzh7wvJXbON73fPBTWR/HsH+j1pjwz3swpcvTCHF7APNf/xDH127H7jE+8GzSCvP6&#10;voZy45khcfd+eP2nJbwbtMTpzVtRWlaOpS99Am/jGIFO7lj5+qdqELKzu/ch8pH+mP3RNwrGllsL&#10;4PXv+3B8wQqVsbt+BDNrWyOk/eMoNZ5VrEUF8G3iUbV9bJdx7WxnOAdKq9D1CGt5b1MPHsHSZ19y&#10;CFuvhpf3ew1pB46g3Hg+FP29ElgrEoluGLETJXTU0vBWL+M8wSXLAxDEaljLeZ2pal6mt6Htoem1&#10;tAaxnOq2M7uWg43xAcM82BjXMduWWbc6yOD9ILhmaQh9z/6OAEQkEolEIlH9EWODi8HaiznLwpr6&#10;CUhIycDk6SsRs2M29p7Lx+GtSxGweAsWBo5GyNyt+Oa38cgtsuLNN37B8EHPIq+4EMfWBmPzgf34&#10;8PcwnDu5B6O8pta4LEJtW2Ct+FqaENa3sRtWf/M7EvccxplVmxDarS/8XVzh6+SKwAeeRuit7WzZ&#10;tXb72gYqcwxsucwhyCXArbBfw1bw+k9z2/Z3dcD0fq9jyftfGZ+H1oZb4vSSNSguKMKS1z5TQJlg&#10;dUrvPigrLUfy0RPwa/MQ1o78A9ayEpQX52PSzffhyLylsBqPHptHToKfc2sEmmBtQJO2VdriZ1zf&#10;rCeHYE6/NzGl4+MV307XF6wlKE07cBQLH+7vEKheyFOMfxOzI+76a7n9thfytFb3I3bZWljzJdv2&#10;75LAWpFIdMOIneiFYC3FbNKMjAw1ABcfPmgC0PoCa9kmTnXb9Wu2kSUemFnLAIN1bLmcg42dPn1a&#10;lUnQ2bW8H+bMWn3f6KsZiIhEIpFIJKo/YkxQE1hb0xIFVerSplsQfeYMDh2LwrpdR7B0ph9GjB6D&#10;Ia/+iYPLgrB873FM/eM9bDlwEB+OCEBAQACGT57ioLbt32OBteJraQ1rV30/GoGdnsJvjVogJykF&#10;453uQ9C9XXEkfCa8nFvC36W1KnXAwcYIcVV5g7vawUdlplY/LkGtLq9gv86heQzCX9MgYF4sp9D6&#10;AYQ27aHKLahjNnLF9smBKM4rUM9iafFxKGJmbREza1tg/TejUVRWjjMbt8HvNg+s/v534wsHKDbW&#10;+zeuDmu3jPFW30fxu/ZXfDtdH7CWx2Qt2bVvfOYQoNqbADb8jvaG22Fq066Y4fYA5nZ/BkufeQkL&#10;e/fDqsHvYMnTL2FO58dVzdrpbr0Qcc9fQDeiBgB3ZtuHcGbxKpQUVgxUJrpqElgrEoluGLHDM4NZ&#10;/doeQvLBg6UCCGjtYSzn6zKspdlu3T6+ZnsJZbmcZR6YXUs4y+xavTwhIaEyu9bRfWEgxaDHfP9E&#10;IpFIJBLduGKMcDFYGxdzBuvWb8GO3QcQn5imygkkJqVUrjcP/HUxp2XmINPCGrVZWLdmJRYtXoIT&#10;iVkI8PwDk8b8As/IFZJZK74hHezsDs9bW2PNN6NwauVmxG7agl2z5mLB40Ox7rvfMK17H8zq9xpC&#10;2z6KBc8MhU/j1tgfOBXet3fCrt8mY3qPp1QtWdatVaUSVKatDazytY+zq8PzautSCg6zcGmdiWta&#10;5tuoNcLaPIRZzw2Dzz1dsd1/Ck6s3oDJ/2mJyXe1VfVsi0tLkJ+Tg+KCQpQYzyJWYxrgCNaOmoRS&#10;4/sofvveim+n6wPWnlm00iEwNXvKnR0Qfns7THfthVVD38OBiQFI2rZbZcA6yoI1t7O0uBjZ0Wdw&#10;Zskq7BoxHoseG6QyaHk8Al9H59Oe3/M5xK1cr0oziK6OBNaKRKIbRuyc7GGj7lzNy/nzf5YKOHXq&#10;VCXo1ECWr7U1rOW8GZZea7Nd5kxgbbaT5RAsFgsKCwsVoOW2XM7sWmYU62xas3hvGPAIrBWJRCKR&#10;SKTFeOFCsDY1IxOLFq/E9FkLMXPmbCxfuhxpGVkI9gvFtiNxSEnPQmJyqgKsqRmWStBaE4Bry9a1&#10;ZeyylmxaBn15g4zVhgXWiq+lCUsDXFpjxcjRCHl6CCbdfDeS4mMx9dkXseWnUZg24HVs+OoPpBw8&#10;hGUfDMeMp4chI/4sjk1fbKx7AwHNumHK/c/Dv8tTCGvgqsoleDdpCe/GbvBt1BSbvx4J38pyCVWh&#10;q+387peWgatNgMuBzYx5X5ZTuKmZbZmTK7zvaI+1X/+IXRODEPHUUJw7cBTZqWnwcVAGYfPoSSg3&#10;HlHO7rg+YG2ZtQRbPvvJISStNLNg7+mIda9+jDNLV6PQ+L41ixCV5RNyzyUi+0w8UnbtR/rBo0jb&#10;f1hN84zlZcZ6e5Xxvq3fhk0ffqcAMMHthUomrBn2EbJj4ir2FtWmBNaKRKIbRuxEHcFGLqN1R8t5&#10;Zp+ygyf0JKxlDVjCTz6QaPhpBqR1xWwfzXm2meZrQlldx5bZtQTSrM9LSMvlvM7Y2FhVJkHfI30/&#10;mFVL69cikUgkEolEjAkuDGszsHTZBkxbvB0zQiNwbNdmnI2NQuTijZgxfy0O7NyM6fOXYdHaXdi+&#10;ZQvWbzuIs9HRiDYe/JNSjWOkZyEzKxuJySlISsmwQdxLyMT9Oy2wVnxN7ewBfxc3hHd+AtvH+ODQ&#10;rIXYPTkUIW0eRtyePTg0fT5W/zAWEY/1x5aJfpjRZxiilqyAf8te2O4VhoDuz2D5e19hb8h0zH7x&#10;bQVpAxq0xuyXPsLCl99DblIqJjRsBq+bWsG3EcsptFKlE7yatEEQ6+LeYZz/9rYXhbW+Lh7wbuKB&#10;QGfH6+3t7+wO34atFZD1cXaD/31dVCkF8zbXG6wtyszCkqeGOgSjdPid7RHZvBt2/vgHLNGxFXvZ&#10;2lCQlqGycbd98xsWG8dgyYKpzboi/La2iLi3M0KdXTHF2D/i3k62zFlj2ZwuT2LVC29j3xhvlZFb&#10;nJ1TcUTjHhYUImbBcix79mVEGPfeUXvoGW16I2rqHJSVSlJPbUpgrUgkumGkO1L7DpXzZlhLs4NP&#10;T09Xmahm6EmbM1UJOXW5gbpi3UYNZ9nGY8eOqdcEz7ymrKwslUXLQcd0di234WBjHFzMfC/s6/qK&#10;RCKRSCQSMUa4WBmEvbt3YOX67di0eSe27D6M1YvnY+eBo5g+bQ42btiAA8eOY/7ybQgIm4mQ4Ck4&#10;sHUlVmzYhlkrdmPTimWYPneFim2OR5/F8ahTSE1OwoZdxxXIPX0mQQFcllZIvYZZtbTAWnFt2sfF&#10;8B1tMOmmppjMwbucXW0ZrawJ62B7bX9nN3g3aAk/473o29BWozbI4xFEPvA8pvR4Bht++gOHpy/D&#10;qk9/xsbhY7Hx+7HY6hWGyEeH4Mzazdgwxh87vIMQaOw/sXk3pJ6JQ/gzg5GbnIJAtwcV4N3jF6pK&#10;I3gbDjTO9WcTV0xq1sVYPgMBTs2MZa3hw3UKIHtUabNfQ+M6bm6pIK+53dqq7MKFgK+D67+eYC1B&#10;7YLe/RwCUZqAdcM7XyL3bCJPqvaxGt/Bp2cvwYr+b6g6tcy4vVgJg/OZIHdGmwex7o1PEbt0DYpz&#10;89Q5mKHLbNw1L32AEOO96GhfmmUY2B5R7UhgrUgkuuHkqEPVy/RyTvkAwoG4CDE1oDXDUA1C6xqs&#10;pc3tPX78uJpqeEuzJi9r1DK7NiYmpnIfln4gpGaAo6VBtkgkEolEIpGWjpUuBGvpU6djsHPPAew7&#10;EY+UCqiamJyG/bt2YNq8JZi9fCtWr1xlzK/AkY1LcSohExFzVmHq1PlIS0nF9s0bset4DNatWolZ&#10;q/cjOCASKWdPYs66A9i0cRvOJKRh+bI1SMnMgSU7t/K8l1IP90otsFZcm/Zp1AqHZizEsRVrkbB7&#10;J4LbPgS/Ju4qI5UlCnRd2Urb7V/FLu4K4vo7uSGgUWv43tISvk7NEUzo9vwwhD06CAGuvXA4ZBYO&#10;Ll2Jfb7h8HRuDc/b2yH9TDzG/5+7kZuchNXfjMSOoKk4OHU25j76AvyM/Re8/xVOr96KA1NnYrd3&#10;OPw9HsDa4WPgd3d7eDdqjgk334MA43Ph37g5ghq4I7Tvy1j47ifwcTHaY7TNvsYtXwc6VS+zcCFf&#10;L7DWmpOL+b36OISgrEvLwcKY+VpZusA43yHPEExreX/FNu2r7Xe5VgOV3d4W0117YvMnw5ETd1ad&#10;kiUSWPKAg5NxvaN9Z7V7GJaYvzJ+RZcvgbUikeiGk+5QL9apMvOUA3ERZmpAaw9DCWrrEqzV7WF7&#10;+Zowmdbt5XJm1xJAp6amqocs1udltq3ehtfL5fr+1PR+iUQikUgkunHEuOBisDb2TCziElKN+Syk&#10;pmciI8tSsS4L6Wnp2L5zL07GJqvM2ExLjgKsCckZ2H/4FE4cOYTQyAXYtHkzlqxciXmLViNswVYc&#10;3LoKM6eGIjE9Cwd270b47OWYP28p1q9bhci5S5F49gx2bN+NKB7X2MaSk4ek5CTEnk2xZeJeBYgr&#10;sFZcm/Zq5IrDc1fCy6MTfvtHU8Ru3YGg2zpiQqOWCLnFFX7/uBd+DVrAz8UDk5q4w7+RsU9jD/g2&#10;dlP1Yy8KcA2rcgKEuM7G/sa8z39awvefzVR5Az++btIai974HFGLVyAl6iTCOj2OUwvXILxnP/g0&#10;6wwfF6ONU+dj/L1dMbHLA9g7OQRpx48j+JmXcGLpMqz97k+c2rgTWdGxmOzcEovf+QaRTwzFxH+3&#10;hLdLK3gb1xJgnNO7ifG5cWG726i6uMHtH3TY3vP5eoC1pUXFWPz4EIfwk+B00eMvoKTgr8HCmPVK&#10;eMuSCI72qU0TAofd6oGVA96obAMTeWKXrkZks64O95l6XxckbtmpthVdvgTWikSi6166AzV3oud7&#10;rc1OiGb2KQfiIvDUpRA0nCXYNIPSumIzqGVbNYTlMg1y6ejoaFWjVmcQc92+ffsUyE1JSVF1bfU9&#10;0vdFJBKJRCKRiGJccGFYm4XEhCSEBYXixKF92BiVjWnTV+LMyaPYsWUrNhyMR5qxnR5YzOxk1qw1&#10;pqxZywHE0jOycDo2AQcOn0RGZipC521BYlwUfMNmIChyMebNXYwZs2Zj1pyF2H14P+ZvPARv71Bs&#10;WTQb/sGR2HEkClv3RmHLxk04cSZR1b7NySusHNxMn9c8fykWWCuuTXs6t8KR2UtxZtshZBnv1+Wf&#10;/YScuERkGu9j36eHIWHXPqz96U94u7RBzMad8HftiYhGrvD+79vh59IaXre6wbeJK/wMBzkRxrIk&#10;gW0Qr4AGLfHXIGEXyWJ1dofnP+7D6P97B4KM+aCmD2JW/zfhd6uHgsK+HXojPykNp5euxv7JEUg7&#10;dQpBDw3AvFc/xsaxngh9YiDW/fg7pj3UH6XFVnjedDfyk5Mwr8/LOLlpGxL27kXwPV0xwckVE29p&#10;hXE334Go+fPhc3Nzo91uxrW0gfetrvBvYmunfSYufT3A2o3vf+MQerKkwYa3v6zYyjhPaSlW9Hv9&#10;vFmtV9vhxr/7TuN9xwxbqqSwCIseewHhdziGxoe9Q9R2osuTwFqRSHTdi52nhq9a9p2q3kZP9YBa&#10;7OgzMjJw4sQJBWtpe+ipIWldMNtjD2Z1+QO+1sv19oS0LIXAGraEt3pfDjzGZZcysJjeribbikQi&#10;kUgkqt9if38hWJuamYHQsBmYHh6GqEMHsel4FgJCFiAiLBLHDu3F2u0HERAYgVnLt1bb93zWEDcj&#10;01ZOISMrG/EJSThy/CROnYzCjDnLkRh3Aku2HkdYYAhWzJ6OpNR0HDp8CEs27sfxwwfhH7kMy+fP&#10;RvCUadhzKgnzZy/Auh3HkZKSipDAMMQkGG1P/wvapmVYKrJxz5+RK7BWXJv2adQaR+YuQVD7RzDu&#10;v+6E1033wnIuASP/f7diX0AkQh7pg1Vf/oKlnw1HyoGjOL1gKeYNeQ9ntmzF1OeGIaBRC/i1egj+&#10;d3VEgEsLeN/cDD4NW2DtZ79gsbGdd2NXjLu9HRb0fRPBjdxVVithroKhzLhVrt4um93Vdtwn2Mkd&#10;E43Xni6tENzpUQQ364HotZtwYt4ybBrnjXl93sSOkZMR/vgQWAuLMOZf9yI7OQXTn38ZG/8chxmD&#10;Xsfan8cgedtubJ0QhAOTIpB5MArjb7kT81//EjMeGAS/Rq3g6dQansZ5wo3PmK/RdnN76jOs5T6x&#10;i1c5BJ0sfbDjxz8qtgSyok5jWovuKtPW0fZ/pwmL41ZuUCUZyo3n5hMRsxVYVrbbdv84v4orEF2q&#10;BNaKRCKRA5k7Xw64xc6ekJMwkw8lnDdDz7pqtpU+3zpm0SYlJakMYj2gmr4+82BjNRG30xaJRCKR&#10;SHR9i/39xcog0LFxZxUwnT5jHiJnrcGm1cswZ948rNq6H37B0xA2YxkSKyDs5dsGUjOzcoypDeTG&#10;xScgLT0TS1dswOFTp7Fs3XaETJmDoGlLsHzhIsTHxWLR9tM4cCgKfn5TcSbqABau3oo1O09i89rV&#10;mD57AaLj4zElZBqOH9iDuOR0rNu0G8mpFlXSwXx+gbXi2jQzX0PceyPwrg5qsC7Phq2QeiQKk/7V&#10;FLMHvYnV3/+Odd/8jvVf/47Tq9bD83Y3pJ84jUVvfomCzCzMe/4txK3ZgmNzFsO3yxM4uWYjNo8Y&#10;j7AOTyDctRcCjONtnuALz3s6wKuJG3yYuersjslNXBHcqhcCb2sLXxd3+Db2gL9zG/g5u10A3v5l&#10;llOY9D/3wPM/TeF5m7G/ceywto8i0KMnVn00Aok7tiM16hTmPfcmNv46AdOffhlrfhmPtBOn4H9z&#10;U4z8/xojPzEJAe0fxollm7Dyu1+wsL9xLdu3I2HnLgR3eNyWJWw6Z32GtXkJyapkgD3gpLd8Mrxi&#10;KyBx805MucxBw66Ww27zUFm/Rdk5qo0pew9iuvuDDmHy7l/G8Sap7UQ1l8BakUgkuoiYactyAWfO&#10;nKmEnJwSaHJev65v1u1mRi1r8+bn56uSD1zObFxm1zKrmMGOWTogsQ9MHC0TiUQikUh0fYr9fU1g&#10;rdmEnGkZ2WrK2rR79+zFhp3HHG5b207PtGXLxp9NwslT0UhITMS2w2cRGjEbU8JnYuHMGZg1dzGC&#10;py/FuhXLEXMmGiu2RSHIPxJbVy7Fju374DdlEebNX4ANO45UKd8gsFZ8VWwCpN4NOVBXG/g7uWPR&#10;sI+w/XdPBNzqjtVf/oZdvmE4GjETi1/6DDNefhcbRo7HlMdexqR/3oWtkwMwbeDbCHbtihVfjsDC&#10;IR8hest2xCxei62jJyPAyU1BVs872yG83WM4GDIPkQ/0hZdzSwTd0sxY54Y5b36mMm/ZDg5yxvIE&#10;ASyvUAFxHZUnqGJjO98GreH9j3sRaFyH323tEdDqfoS0fRBzBr6J5a9/iuPLV2HvT+NRlJyKia7d&#10;cXz9Vix49WPMeuwF7JwchM1/eMPr7g7waWKc03Ts+gprmZG6vN/r1cAmYedK455wPY95ds2matvU&#10;FbOtM9r0RsaRKHVNRVnZmNv9aYeDnR2YGGBckzwjXooE1opEItFFxI6Sg40x85TlEJhdq8sF6Exb&#10;MwStT2ZdW2bXxsbGqgcuQmld8oHXxeUMSMwBiA5IdGkJ8zqRSCQSiUQ3htj/XyqsrTOuyORl5m2m&#10;JRfJxnx8QgoysnKM2O4oduzYgzOx0Vi98yQiAqdg64olOB6Tgllrj2Ja5HykZNiyd7UF1or/LrP8&#10;AMskEN7yta8x73dHW3g5u2LpKx9g3dcjjGXuiNuyGwcjZ2LR4PdxKGQm5j4yAGs++xGzB7+D/KwM&#10;jP/Xrcg4HYdJjVrBx8kVh2ctxEH/KUg+fgJTuj2BFcZxto72hpdTK5zZvQ8+t7W1nc/FDb7/aYEZ&#10;z72EqQ/1Vxm53k3cEOTUVkFfBXXNrmi3IxP2+jZoaRzDFUGN26uBx0K7PwH/Bq5Y88WPOLVgGSKe&#10;GoLdk/yxPXgGFr72qQK/5mPUV1ibtv9wNaBJz+rwKKz5toG80g4e+VsGEbtSRzbrhuj5y9Q9KM7J&#10;VQOiOdru5IwF6rpENZPAWpFIJDqPdMerzQcSwkudecppfYe1upRDVFSUgtEsh8DBxQhw9+zZo2Bu&#10;cnKyKoegpe+HhrWOgK3eRiQSiUQi0fUp9vP1FtZexKnpNhjLGrmJSSmIOXMO8Qlp2H7wDJav2Fi5&#10;XltgrfjvMmGtchO7ZcZrH6fW8GvkqsooeDdoCU8nV3gb87OfexmrvxiOhf3fwIInXsKugBlYN2Yi&#10;0qPj4ckBxxq6In7Hbky81R2Hp81EyGODkHEqFjMGvoaj0+fg7Jad8LytrcqqDW/7GHb7hmHNaC8s&#10;fONreN7SFP5ObvByMc7dsIVx/taqJq6X0R6/Ji0UwA1paLTTxdZO1eYLQVxjHYGvX4PW8Lq5BXyN&#10;a/K+qz2m3v8sghq3g4/puun6CGuZNTur/SPVYGb47e2QduCI2saam4eIeztX26aumoOPHfIMUm2n&#10;Fj0y0OF2yaZ/I9GFJbBWJBKJziN7EMns2tTUVAU2NaTVtoeg9c2EsizzYLFYFLCNi4vDvn37sH//&#10;flUOgWUSdDkEHZDQZmBrll4vEolEIpHo+hT7+esV1lZxakblwGa2Mg5/DT6mLbBW/He7St1Wk/Vy&#10;DXAVxHV2ha9h1p6lCXJD2/aGd9OutjIIzu6YM/BdRK/bhKyYOET07IvEE0cR0eE5zHqZA5fthPet&#10;7eDX0BUHp83B7MGv4UDobCwe+gGOLlmGbRODsOj1D7BgwDuYO+gdTHl0IEIauGOycVzW3PX9TzME&#10;NWqNyU2MczU2lrm4I9BY59fYTWXVEvD6uTiui1u1xELF4GemZfUR1qaeJ6t25/A/bMcxvPChAQ63&#10;qeve94eXgtGlxVYsdABsp7v2Qn5SSsWdEF1IAmtFIpHoPCotLa2EtTTn+VASHx+vMk/rwwBjF7MZ&#10;NBPYsmYts2izsrLUYGMEttyGGcUskeAIytrDWkfLRCKRSCQSXV9if38+WJuYnGY4FecSU5STUtKr&#10;rL/eLLBWXNdMyGmGuIS2Gnxy6tuYsNS9chmBKUsqBN7TGQG3tUVwmwexY5QnFg95F6fXbFCwlnVq&#10;t/3hiQXPDsOa4aMx68X3UJyRh9Wffo8E41li/ejJWPX1zzi+eAX8ej6DuPVb4O3sjp3e/pja8QkE&#10;tn0Egc3uV5m8vs4t4PPPezDpplaIXrYWPnfYyigQ7nqzTc5GOwlvtSvaae/6CGtntn24GsSc5toT&#10;RVkWtf6gV4jDgbrqg8PvaId9oz3VdRRn52JW+0erbTO3+zMoLS5W24jOL4G1IpFIdB4RNurOV8+z&#10;4yfIZBYq4aYZfNZH8wGLZqYwSzsQ0HJQMV0OgUCawJbbMuApLCysuDs26Xuj74/9MpFIJBKJRNen&#10;2N+fH9amIr+gEHmGc/PyYcnJRUaWBcmpGWrd2YTk6wriCqwV13UTypphrYa4elnldqrurC2DlTVl&#10;aZ9bWtq2U/Vp22L9979j458+WDzwPewJnI6Vv/6JtW8Ox9Y/vTGt6zPYOtYHc556DecOHoFXoxbI&#10;MT7rC157H8dnL8Xh2fMR8czLWPzRN0jcdRAznxqMsEf7I/CWVpjs5IqAf7dAsEsreDVsAd/Grggy&#10;zsmMXC+nlggy1hMwm9tb32BtMcsb2MFL+mhAhFrPerWRzbs53Ka+mAOMHfGfoq4nLzEZ4be3rbbN&#10;9m9+VetF55fAWpFIJHIgc6fLqYaRNMsh6LquGnbaQ9D6YjOo5ZRwliCaQUh+fr7KIuZy1q/lwGMs&#10;h8DrN98PDWY5b75ftEgkEolEoutT7O8vlFlLWGvvvIKCyvnc/AJk5+Yh05Jt7FO/Ia7AWvGNYj8X&#10;d3g7MQu3lQKldHDLHvC5sz2mPTEYIW4PYtuf3pja52WkHjyBuUPeR7bxfbDwlfcwZ8C7mPbcMGwd&#10;PQlpp2Ph7Wwco/2jSIs6jeBmPXB8/mIUp6Vj3M33Yd3XIzH9yVcw4XY3BHR8FDt8p8Dn5pYIJEA2&#10;t6eewdrNH31fDVxOa9UDpUW2TNP1b39Zb7Nq7Z2wabu6psRtexB2q0e19fnG+0J0fgmsFYlEIgcy&#10;d75mMKmXsyRAdHR0JfC0h6D1ybr9OlNYDyrGLFp9nbocwtmzZ9Wy4uJih/dIy3yvRCKRSCQSXX9i&#10;P18TWFtQXIS8fBuk1dMLmdvk5OYhy4g3UtMzkJD0F8TlcZmdy3PoaV2wwFrxjWJzaYVqWbkVmbh+&#10;DVupqectLeHTsjsWvfoxZj06ALP7v4WZA97E9nGTcXbrfgS6PoDQ+3oi9UQ0pnR5DAenTsexZasR&#10;+eggFGRY4N/jCZzbcwB7fSNQlFeARa98rGBxfYa10117VoOW27/7Ta2zGtc4tVnXauvrq5lhW5ie&#10;qa5t359eiLCH0Pd0lOfFC0hgrUgkEjmQ7nRpR7CWdV2ZXcvBxuo7rGU2rba+Fj2oGLNr9XUy+5bT&#10;xMREFaTozFnzPRKJRCKRSHRjiP1+TWDtnLHvIS09GUkJCcgpKELUjl3IrQSz+apMAgHtxUAus3Jz&#10;jG2zsnMqIa6uiXutIa7AWrH4/PZ3cjXsBv9GrRXE9TXs1dgDqz79HjNfeAMxKzcipNMTOLxkBc4s&#10;WIupTw6GJS4Rfg1aImXfMUxq3xtHpy2Ed4N7q9WvrU+wttBiqQorDTOLNutktFq/59cJ1dbXd89q&#10;/wjKSkvV9S16dFC19du/tYFqUXUJrBWJRKLzyAxpKT1Pcx1BJksG8CFF2x6E1iez3AHNeWbXsgQC&#10;s2j5IMaMWl0uQYNclkPQ0vdIJBKJRCLRjSH2/TWBtfMnfoyM6B146v2xePCZ7zDj+59w5vgefPzJ&#10;dzgbdwqLNh5AflYGLHkXz7p1ZEJeAl9C3LSMTCSlpCmQS2uIq21uY21aYK1YXHMzM5YDnrGcAkGu&#10;L2viOrvDz7DP3R0Q1Px+bB4xAZ5OrXB2y2743dERCVv2wc/tAQQ4uVU5Vn2CtUf8wqvByvm9+qp1&#10;5caz5dxuT1dbfz142xcj1DVaTsUg4t7OVdcbrwszstR6UVUJrBWJRKLzyL7j1a/1stLSUjXYGOGl&#10;GXSabQa4nOc2dQnqsi26PeZ5tvP48eMqq5blEAhnOfgYYS0zcAlvOQiZvhfm+6Ln9WuRSCQSiUTX&#10;j8z9PWEtY4YLwdqFnl8g4/QOBO7IxrDeLyLkw0/hOfYDHIo+iY0rl+O30MV476XX8dzQN5BjgrBX&#10;anMmblpGFpJT01W7WBuXU9bFra3auAJrxeKaW8HaCtuXUtADmxHgMovWt2Fr27KW3RHZ6Qn4GevM&#10;2ytY+8fkegFrlzz9YlVQaXj717aBtlJ2H6i27mqaGb0sU8CyC9Na98TUpl3V6ylcxyldW7Vz7+mE&#10;5N371XXu+mlMtePyvoiqS2CtSCQSXYEIbFnfVQNOexBrD0PrKqzV1uUQCGX5mpnDFotFZREnJSWp&#10;QdVYv5blENLT01UgpAMUbWYdS1kEkUgkEomuT5n7d0ILxgwXgrV5+XnIz8vDuYw8rFuyDhunz0LU&#10;ge0YMOBlzF+yBKPDl+Htj37F3jl/Ys/ZoirA9WpYZ+JacnKRkWUx2puhsnFtEPcvkHspmbgCa8Xi&#10;q2tm4vq6VB1cTC13csXilz/A2fVbcWr5mopvproJa2d3fqIKpKQTt+xW63aNGFdt3dUyQezixwch&#10;fs0m5CWlqDIFJYVFyIw6hTOLV2LfGB+se+MzzL3/GYf7X47n9XgOpVYrSoutmNXu4arr7+mErFMx&#10;6j6I/pLAWpFIJLoCsWM2DzbGBxYNZHUNWC7jOnNN2Lpktolt1u3WA42x3ZxnoMOghNcZExOjltOc&#10;J8hlMKRFSEuAzalIJBKJRKLrTzWDtal2gNQ2LSwqQmFxsZrPzslDYWE+zqVk4viuLfjJZybyC68+&#10;rD2fmYmbm59vtIsQNxtp6ax/a4O4uqTC+TJxBdaKxVfX5oHN7Nf5NmwFz3/fh5Dm91d8M9VNWBvZ&#10;vFsVSMnXZRXPUUueHFpl3dX0/J59UGTJUee9kBI373C4/+V4yp0dcDQwUh331MyF1QYbW9H/DbVO&#10;9JcE1opEItEViB0za7empaWpbNP9+/cra1hLAKphrYagddEa2Op2s618zSxalkNgFi2za1NTU3Hi&#10;xInKa4yLi1MBiw5SCGrpmgQsIpFIJBKJ6p/Mffz5YK0qMZCchpTUdKRnWBQAJRAtMMFY24BiemCx&#10;IgVy8y8yyNi1MtuYnZuHLEu2KqmQkmYrqSCwViy+9vZr7A7fJu4Ibd2z4pup7sHaYuM70Awn6Tnd&#10;nlbrSgoLEXFvp2rrr5ZPz12iznsx1Saspae1vN+4D3nq2LM6PFp1vXH9ltNn1DqRTQJrRSKR6Aql&#10;BxuLjY1VgJMgU0NQvqYJQLXNkLSumO0ifNXQVr/eu3evuh5eW05OjqpNZy6HQKjLMhC6HIIGtTUJ&#10;WkQikUgkEtVvMS4grN29Z18luDRbD+xlg7fpSGSGqmGC3PSMTFiyq0Pc+uLklKqw1uc/LRyCJLFY&#10;/Pc4vFWvim+mugdrLdGxVeGk4cVPDFbr0o9EVVt3NW3NL1DnvZhqG9bSRwMi1LFjFq6oVrt204ff&#10;qXUimwTWikQiUS2I2bXMOmV2rRl26nkCUc7bQ9K6YLaP0JVTtlFnAhPI8hoIZbmOkJaDihFMx8fH&#10;2zJpjHUsh8CHNR2o0LpurUgkEolEoutT7O81rF2/YWMVSHsxa4irQS6zVBMSUw2nqPID9QHiJptK&#10;IiQkpSHtcBQOB0Vi+ZD3EXJ3J0z8f27F5P+6Sw2W5AgsicXi2nVdhrWp+w5VAZP0+jc/V+viVqyr&#10;tu5qeVrLHuqcNdHVgLUcyKzE+P6k7LOJp97XWWUZi2wSWCsSiUS1IIJJPrCcPXu2EnLy4YVTvib8&#10;1K9pMyytC9bAlm1jJi2hLdutM2hplj/IyMhAUVERMjMzVXkELuc2DIYIcimBtSKRSCQSXf/SsJax&#10;w/z586vAWLNtUNbxOntXAlzDCuAmpeJcQrKCuKnGekflFK6Vq8DaxFRb3FMBbcor4iAVHyYmI2rG&#10;AqwY9hECb2uLCf/LGZ7/dZca4d4RcBKLxZfnugxrEzZVB5+7R45X66LCZ1Vbd7U83fWve2Svcxu2&#10;IXnH3opXVwfWslbt2TWb1PF3DB9VbT3vhcgmgbUikUh0hWIgzg6aQQEH3NKDcBFkahDKKR9mCEHr&#10;Eqxl29geDZLN2bV8rWvXaoDLgdR4jcyuZQBEUMttuV1KSgqKi4svGqyIRCKRSCSq/2J/X1hYqGKB&#10;BQsWVIGuZp8+cdohrE1OyzBcffnFTJhLOKohLuviZllyKmrfOgarV8NVM2srYG0NpMFOblIKTs5e&#10;grXvfo0prg/A+6Zm8PlPc5WJ6+fsKhm5YvElui7DWgJKezB5LGiaWrd/nG+1dVfLF4K1YY3d1Tbh&#10;d7RD4M1NEdygZbX9a8Oz2j9se34uK69WCmFZ31cqWiMSWCsSiURXKA1raZZDYLkAgk49CBchpxnY&#10;0vbQ9FpZw1oNYwlduZwAlss0tNXXwXUMfJhJwxq2LIfA5fTp06dV5i2DI5FIJBKJRNe3dNxz8uRJ&#10;LFy4sApQNXu252QkxR/DprVrcDbVgrPx55CUmomjJ04iVQ3W5Xi/SzGhL8spqEzcxJQKiJuhBgTL&#10;zctXILe2Ye7lwlqHIuipiCVzk5JxasFybPriF8zq8RyC7myPAJc28Hdyg2/D1vBzcoW/ZOWKxdVc&#10;32BtVIQti3TXiPHV1tW2CWCnGN8lF4K1jva7Ws5LSlHnnNaqR7V1BWnpat2NLoG1IpFIdIUyd9Cc&#10;ZmdnK3BJEErYqTNsdZmBugRrabaH7dQwVmfTst0EtnqZBrYsh5Cenq7KIaSlpanXXM/rPXPmjApg&#10;9EBjIpFIJBKJrl8RULLvX7JkSRV4avY8Xx8kHluNqNwSjPwpCL989D1mRC7CR19/h12bN2DOvGVI&#10;MrY7fOwkklPTkZaVg9T0WoK4LKmQYhvYjAA3sQLiZmZlq5IKGuQ6grEX84Vgbakxn5Obh/zCQlit&#10;JVX+sH8pqowvebyEJJxZuhbbfxmHBc+8rLJxg+7oCL9GreFzS3M1dQSwxOIbxXW6DMLG7dWgZNTU&#10;OWrdrp/GVFtX2z7sG47NHw/Hiv6vq3M6kqP9rpYP+4Wrc56aubDautNzl6h1N7oE1opEIlEtSHfS&#10;NEsBEGIy04TAc+/evQp46izWugRrzW0xt41TAlxag1iCWr0+NjZWQWkGK4mJiQrYcj1/CsnMYv4s&#10;UiQSiUQi0fUv1utfsWJFFUhq9vKpkUg8vh4nMgsx+vPx2LBiOX6dFISIhQtxePsmTPH6E4sXRWDW&#10;kvV49BtfeP48CvPWbkPk9Dk4HpOIU1GnkJCSjrQMi8PjX44rIW5FXVzCXILi9IwsWLJzkJN7cYh7&#10;IVhbWFikYG1GlkUdNzElzThfGlLTM5FpyVbHLrZaUVp6BRCX+xnnzE1IRvyazdg7MQArXv4QM7o+&#10;jZD7usK3QStVWkEgrvhGcV2Gtcnb91aDkkcDI9S6Pb9NrLautq3F74zzaVa7hxHZvBvCb2+LsNs8&#10;VCauo2PVhiNbdFf3rNj4nrRft+HdrytadGNLYK1IJBLVgtjZMEjXmRMEtiwRQNipSwyYYWhdMdvF&#10;KSGrfs02Es7Sep2Gt3zNeQJcXQ6B0JZZNXrdqVOn1ABkUg5BJBKJRKLrX/wj7dq1axF3NqEKEK00&#10;s2QNs1TBieMxWL54Ceau3YUFc+Zh8iRfTJvijYULp+HIyTPo//1kjHpnFJJOH0J4aADGjJ+CyX/4&#10;YcTw3zB+/CScTc5wfI5ash7gjBCXADfJmBLKphGyVmbjFqgBzi4Ga+1hL/ehmc3L8gxpGTwfgbEN&#10;FGdkWpBjrCsyYkj+Qsl8vJpKA6MyY3/WxE3YuhtHQ2di3YffY87DAxHWvDt8bm4Or3/dB7+GAnHF&#10;15frMqzNOHqyGpTUA4wd8gyptq62XRMVZVmQHROnBho7GjgVa1/9yOGxasulxncdv6vslxMYl8lz&#10;pMBakUgkqi2ZO2oG2KzfSnBJiKmzVAkztbncbA1Huc4MTe23q03rdpjPbV6mrdukt+H88ePHkZqa&#10;qrJoCWeZScwsYq7nQGRcph80NMQ+n2oS5IhEIpFIJKp7Yryza9cu7N23vwr4PJ9T0y0qwzTVmCcE&#10;jU9IRfTJIwibuRBfjgtH5KTpOLZhMYIiZmHUCF/MnrIU02aEYdvaxThtbOvomFfbOhM3KdmWjasz&#10;cvX6msBaQlravCy/YpsCI5bKy89XMJhQOCXdBnF5Ht6r7Nw8FBUzE9cGcS81ZKqMT43981PTkbr/&#10;iKqLu+3HMVj43CsIa9ED3v9zLzz/cbdk4orrresyrM1PSqkGJde/8bladyJybrV1te3LUezS1Q6P&#10;VVvOiTurzrNy8DvV1mWfiVfrbmQJrBWJRKJakO6kzZ12QUEBUlJSFMTUg3XZA1E9T9uDUb2M29UV&#10;67Zp8MyMWmbWsn5tcnKyyrjlOm7DUgnMvP3rwcJ2b/iaAZReZrZIJBKJRKK6Lfs+Oz8/X5VDWrV6&#10;dRXAWSOrTFbOZ2Dz1p04k5hhq1drOO5sEs7EnkN0zDns3rcP+3ZtQWxiWvVj1AFfDNaWGLFPUnIK&#10;li5bjmJrCQqMuOnA3oMoyC80YiVjO2NaCXArzCxcTnmcXOMeszwDwW1CUooaRC05LV0ts2Xi8tdd&#10;lx5H6X/HMmP/wswsZJ6MwdkN27B3vB+WDnoH4S16wPO/7zZ8l0BccZ13XYa15cZ3gD2QXPLUi2rd&#10;2bWbq62rbV+OoqbMcnis2vKuX8ap80TPXVptXcLGbWrdjSyBtSKRSFQLYoBuDyUZJBBkshwCIaYG&#10;sDTBpxnM0nqZhqJ6u7pktokwlvCZ83w4YyBksVjUwxqBLTNuuQ2nCQkJark5mOHI0SwToe+V+Z6J&#10;RCKRSCSq22K/be672a8z1lm9ejX2HzjkEGbWhmtr0LGr4QvBWmbEjh8/HiGhofjpp58wb/4CFFmL&#10;8Pqg13Hk8D4M+2wsCnKzje1KqoFae+dVgbo8foEqnRB3NhFnE5MRfy5JZeNmWnJQWFRc+cfxS5X+&#10;tyXEZU3JPOP6Ug8ew+GgSKwY9jHCmt+PSf/ndkz+v3fCr5GrQ3AmFv/drsuwlpru2qsKkJzX41m1&#10;POtUTJXlV8NHAyORduAISo3vo5pq3xhvh8eqLc/w6K3OYzl9ptq6w17Bat2NLIG1IpFIVAtiIExY&#10;q4EtxU6bUJI/D4yJiVGw0x7MmmGtGc5yXlsvqysmqOXAaZznNbCmLYMhZtcSzDLbltdDYEuYy+vn&#10;faF4bxg8mcG22SKRSCQSieq22H/rPly/Tk9Px/bt27F69RqHMPN694VgLTNphw8fjkmTJuPHH3+E&#10;p5eXsawY3302Bl9+PgLePgGY5BmKyf5TUVBcimkT/kRgYAQSow8ZcVWeOhZjLHVMBWjNwNZm1s/V&#10;8wS9zLZlWQWWmYg7l4Qz8QmqjSyxwPUlJYzDLj3uUvFaxZTQp8S4xuz4c4iauRCr3/gcoU27YcL/&#10;0wST/s8d8Hd2cwjUxOKr5boOawlnzUByWqseajm/OyLu6VRlXW07/I52CL/NAzPcH1DnrIm2fP6T&#10;w2PVmu+yZfzmJ6dWW7f21U/UuhtZAmtFIpHoCsXOWT+40LrD1maAzXIIUVFRCmDShLAEnY4yac3L&#10;7CHutbbOENaZtVzGeQLbtLQ0VfqBU136gdvExcWpcgi8NxrUmu+ZnudUJBKJRCJR3Za5/9biH2sZ&#10;5yxfvhyxceeqgEzboF1V4eb15ouVQTiXkKgyXROTkpGWnmHcrwJsXL8H4TPnYfa0WZg+dTpmLV+L&#10;YiNO+mH0TEwf+yu2zRyNhBO7sOnIcbzxwXAsWrgIvwctwv7dO2DJyUVexbFpM6x1aON8hUY8SojL&#10;1xzcjNm4Mca/1V8Qt7AC4laNZS9Vep8C4xynF63A2ve+QXjLnioL1/Mf9yiI6+/irhxAO4BuYvHl&#10;uK7D2pUvvF0NSmbH2mqzLn325WrrroaZ3Xs+Tbm9LSLu7YQVz7+Kw35hWNbnFYfHqE1T1ty8asvn&#10;dH1SrbuRJbBWJBKJrlAMajWApDi1zxzNyclRNVwJNwlrCTw1/KQ5b4a1dF2Etdpsl74GXg8zbTmY&#10;WlZWlgKzhNMEuFzH62N5BEJrfV9o/mzSDG71/ROJRCKRSFR3pWMbswhG+MdaZtcuWrRYAVoNMsNn&#10;LFElDFgqgbVpkzXkNG2jgK5eXg9dDdYaMU9Obn4lUDWDW5ttr4tYqqC0xNjeCksul1kR+OtofPze&#10;50g5tg6LZkdiW/RZeHt6YcrchVi6ZjvmLJiBEWFrUGA6nj2sZYy1YvlKUzmFIhQb5zJvo822Fhvb&#10;c54Ql+UUCHJ5TRmZFjUoWmEx22nLxnX0718T6X3yjfdA9JI12PTlCEzv+rSCt34NWxlTd/g5ucKf&#10;FogrvgzXdVh7es6SalDysE+oWrfrl7HV1l0NXwjWVm53VwdMuaMdphhT875XwxSz9B2tu5zvmetJ&#10;AmtFIpHoCsROhMG5GdbyNQMEWi8jqORDTHR0tIKvzDrVsJNQU8NZM7Cta7BWt0e/Ns/r6+GDGLNr&#10;mWHDAIn7EOQy24bXz4cHivdLw1qRSCQSiUT1W4x32K+z/NGSJUuwb//BSpAZH7UTCzfuwY8TwrBh&#10;9TIcOpmAhIREY10Wzpw+gX0HjyAu/ixSKrJvk43lZpBbH2wPa6mCAiP2y8hSg4GdTUhWQJq1ZHPy&#10;8lSJAsLR6rVpC1SN27hz6cY6qwKkhKW7d+9DcnoGFi1bjVkzZmF05PrzwtrsnFwEBASq0gsrV61W&#10;y45vmoe5C5diZ5QRpxUWorDQMbg1W2fisq3pmRYkJKcqkJuYkma8zkJOTp5qv9WId/Uf3XXcW1Pp&#10;7TnNN64hduV6bP9pLOY/ORRhzbsj6LZ2Cub6NmgptXHFF3Vdh7WlxufJvtzBysHvqHUJW3YqSGpe&#10;dzVcI1j7N1rJuHdTHKwrt/tOvdEksFYkEomuQLpz1kGqXkYIaQa4fIAhxExNTVXgknBTA06dXct5&#10;DUDrIqzV7WN72F4zvGV7Oc9BxXiNhcaDAAcdO336tIK1e/bsUZm3HHCN90UDbv1gY75/IpFIJBKJ&#10;6rZ07KP7cYrL+MsawowFCxYgNj7BBjPTLfj6i/dQWHAWMzbHIsRvIkKCRuHUrs3YfjAOa0IisHTt&#10;Duw6dASJick4vW8Tzhn7MAs3NSMbqenV4WhdsyNY60jchiCUGatJKWlITE5Fcmo60jMssGTnKjBr&#10;D03pyvq3xVYFR9U4Aab1GtYSnq5eswYTJ07EiBEjMHnyZLD8wogPv1O1ZosK8zAjOACzl6zH9o3r&#10;sWf/QZyMjlO/AMvNzVOA2XzcfON4CiibBjYjxGWZh6zsHGRmWVT7CXJ5Pfy3yrLkKMDLbN1SvkeM&#10;98Ulx3gV+3CvfOP48eu3YO94fywb8h6mdXocIfd2gV+j1vC5uTn8GraWTFyxcl2HtdQM9werAMlp&#10;rXuijAk+xmdlequeVdZdDddJWGtounEf7NcJrBWJRCJRrUh31I46awbnhJPMOGUNV4JOwlqWCSDs&#10;dARrOa0roJbW7WObmA3MZRo4E0Dr18yq4UAjvFZm0xLgEtZyPwZNDHAYQGnx3vA1749IJBKJRKK6&#10;Lx3XmAEl51kKiXXrly5dig0bN1bCzKmzpiM/14Lf/ebB38cTU0Mn4fjWddi4Nw7bp8/FmeRcvPnz&#10;Lzi+djp2bZmLseFzsW7fCexYsQpb9h2vAkbroglrrySOKSstU1A0y5KLVON4iclpSEpJV/AzIysb&#10;2Tl5CpRWz8S12ZxZu3ffPpUgsGr1mkr4G3d4MzZu3YHNew9jkncEFk0Pw1jPKQj3DcT0oLHYv3Y2&#10;lq1dgR2nkzF/9gLEpWQi6vgJbNm4AadPnYQlr+p5CY9ZN9e8jACXIJfnzLRkIyU9QwFcmlnFBNQs&#10;DcHSD7b3ziUCXEM6xlbvNULirbtwKCgSa9//FnMe6o+wFvfDr0EreP37PvgaU0dAT3z9uj7A2o3v&#10;fVMFSLLUQNyqjWrd2lc/rrLuariuwtoZbg9UW1d+gz8bCqwViUSiWhA7aAaO2uYO29yBMzglyGSW&#10;qQa2nOrM1LoMa9kW3R7dPg1rdSmHvXv3qkxalnvQ9WsTEhLUer1dYmKiyrzV94T3q5i10PhXZdN9&#10;E4lEIpFIVDfFvtsMa9l/62X8Q+3OnTsxf/58HD12QsHM9KwccJCxuPh4nIpLxanjRzFj+hwcjErA&#10;jjmLEJ1gwVff/4K9872wc9NiJBbkY8KnP+DTn8di5PDxCh7aA9K6ZmaYZhJI5uQpcMm4xj4mvCQZ&#10;u3F/wk1CTpYiIPTUIDctw6IgLgEuy0ZoaMrX1Wrk5hciLTUN2flFSIw7jW2HT2Ptmi2Y//9n7z/A&#10;9Kau/W34ur73e9/3e3v5n/85OTkJxeA2vbgbMJ0QEkIn9BoSCIFQAyRAaKH33sE2mOKKu8E2LoA7&#10;2IBtjHu3xzOe3se/77k1s8y2/Mx4xnVmvH6+liVtbW1JW5pHS7eWlj4crEnD3tTciUO0eM0q3f1C&#10;fw0aPlavjpii514fopeffU4jBr+nqRNGaeioSdsjbJPB2tBCqEzaBaykrCxahhQKRE2TTgGQm7eF&#10;lAolUQRwfV7c3eizhvpE4pVvydemeQu0ZPBIffGPRzT89EvVP7WfXvq/O+n5/62DQ9x2bG0B1lbk&#10;F+wEJSf94ZZo3vrps9T/0Nyd5u9Na62wdmCn3jvNc1jrcrlcrj2SXaBxLkOz8vDizTjRDgBLwCWR&#10;tY3BWsqZbk3A1iwEt5htJ2bRwuSvJe0BhrPEPgF3LX8tThSirxjnBi/sK5fL5XK5XK1PXKvjvk44&#10;zQPYNWvWaNq0aRoyZEj0saodoWZ9Plo+OkYUaVSWsPVr12g2kG3R93rq9bc06osFevnpVzVu4lSt&#10;a8hn29qNfduAbdoSgUjSHDDcsqUg4Q+VRHlm63P27wHETYi+JiUCMJS0AwDctRs2R7Y5Lz/KWxul&#10;Kwg+KgZgtQ+esR0/AdVyrZw3Ud/8sFD5xUXq/8FgDZ04U4NGfqn3335LHw94VZ+8/7ZWbS7coa2k&#10;sDbR5rJly7Uo4etZWUnR1h3rNBgAl2FpYv0lpaVRWgUiiemzdRs2JfozPyqLwHfwYKAlsj4G4lYU&#10;bFX+oh+16rNpmvPEyxp9wZ80IP04vfh/HKnn/5fD9PK/OcRt69YWYC2KQ8mBR/ZSVeJcp43BPU/d&#10;af7etNYIa+sSv4nJ5nkaBJfL5XLtkeIXaMbDm5a4gJIAzBUrVuwANw12Yq0V1sa3y/LtWoQt4wae&#10;gdEbN26M0iEQZUs0MfXY3+XLl0eOjgHasA/DcRSfRvFpl8vlcrlc+0fx6zL+TjzKljdouNZPmjRJ&#10;Q4YMjQBcMrgZmkFchkSRMr5h02atWp+3Q722aOyTGSB33fpNUZ8AVgsTPiHQsqZ6zx5csxjHIMpp&#10;W1GlopLSqH0+brZ67UZt2LylAeJW7QBxy4jCNXCbGAfi1sPcivoH7uvWadXSJcorqk/FgCWDtQUJ&#10;X+/555/XCy+8GK0nqlewUXc++ppGTf0+yrNbWVUTlQOSw2WTGnA54UMWJ/YjL59UE/UfagN+by0s&#10;itrY3ehlqw8MqiwqUfHqddo4+xsteG2Axl9+o/qnH6fn/5fD9dz/fIhD3DZkbQXWzn34uZ3A5PeJ&#10;cw9988xrUWqE+Py9Za0R1laXliWd57DW5XK5XHukZBdoK0t24aYMZxyAST5X0gYYkDUQGoekrcnY&#10;RjMrY5sxQK1NM+RGjf3EqSGamP0F2AJ1caAAudZH1l/hDR9iPHTEGe6OY+5yuVwul2vPZddrk02b&#10;2XUbOLdy5UqNHDlSAwcO1JKly5OCzF0Z6ROSlbcHM0CNRdGx6zdFtnFzXsJ/KtoeiUtO2z0Rx4Vo&#10;3urqGpWWlifWlx9FPK9YvS5KR0A6hfpI3J8gahSJax8WC8cb5oWwFuA8adJkDRgwMJq3vV5FuZ5/&#10;+G59PnOBXv1ojF57a5DGDnxHr745QKXFW7R89cZEvUqVlxZrwQ/LmwdxK8iPW59WIS9/q9as36iV&#10;iX0hb3ABfZaYV1Ozh5G4iWF1Yl0VBYUqWLpSiz8coU//9Df1TztWz/2Pv9Sz/+Mh0YfNkgFDtwNn&#10;bQXW1iX+DuNg8oOs4+vnJe6D3k85eqf5e8taE6wFSqPyzVt2nt+he4v6tD3KYa3L5XIdIJEOgY+N&#10;haAzhLUGPkMo2lbMtpnoWvaxsLAwArM4TZQTXUs6BL4azc2cOTlYY7AWszo27nK5XC6Xa//KrsXJ&#10;RHl4Hecaz5s1RNgOHz5cS5ev3A4n25MBlIGt69ZvjKAhH/wKQWxLzZZlSLtElFpUKR/qAp5WV5FO&#10;YfdzOtpxjKyONF2VifVt0fJV67R0xZpovUS17hSJm7A4rCWSduGixVHKgrBe0dZ8vfrW++r/wSd6&#10;/rWBeuaFN3XfMwP12duv6+U7btF3k97W3FkT9fbQsXrxw0/U/5VXtGxtXv36KqujoaVL2G5lP0Hl&#10;EAxTVlVdX39LQUHUXz8sXREN+UgbEcMAvMbO3aZky0R9RQqLhFUk2lw+dqIm3/APvZtyjJ75//xc&#10;z/5/f6lX/rtD3ANlbQXWUnf06ZfuCCcP66bV4z+P5keRt4cF8/aitSZY++kl10frLVqxeqd5I046&#10;N5p3MMthrcvlch0AcZEmUoKoUz7GZZGqIbg16NkWYS1m+0MU7YYNGyI4jXND+gdgLfPYdz64Rl+Y&#10;oxNCWZOVO6R1uVwul+vAKn6Njit+zQaa8LHRqVOnRsBk3tcLdoKTbd0AtOyvif0mpywQc/PmLVqf&#10;mM9r/MBW0iAAYesteXvNsfUbt/wEcTfmRR/u4sOuAHKDkma7K5YF4pJbeMXq9Vqxam20/YVFxSpK&#10;+HSAUQOmITgNLeqLygptyduipWs266PXXtIdt96qpXMm6vNPB2vhrHFauH6LHn/jfb321uCo3z4Z&#10;8KamTJ2ipfPn6u7b7tLiGeM0bdpErV69RoWbVmvyjO+j6NpVq9clXSfGtnFc+EBbVcLPpIw+WrNu&#10;g1YmllubOB5b8guj7a4kejk4frsj62cg7soJUzT19gc0qMev9eL/1Ukv/p8d9ep/pP9kP8tIChvd&#10;9szaCqxFZYnfgjig/CDzeNXV1D+A6R+bt7esNcHaVYm/E7R0yMid5k298e/RvINZDmtdLpfrAImL&#10;OpCS6FLSAxjcZNiWo2rN2BegLPtCVI1F0QKof/jhh+37RqoEcqLFb3Iwu9EzMR0vc7lcLpfLtf9k&#10;1+jmirq8XcPDWj46NmzYMC1c/IN4Fb+9pDiIw9qmhO9XXFyivC2J/QfebgTgxiHu7kflhukUIoib&#10;Tzqq0ijqNUqp0OBH7YkvVRdF4lZEba9Zt0mr126Itr+gsETFpWXRh8zCtAkY04DRquoarV6flyir&#10;jCKD2batif74ZtGPmjxtdgRh5346UuM/naBBT9+vaaPe0GfD3tDaNYs0evpc9R81WY8//YoGDJmk&#10;j0dO1aK5c7RwxfrEOVai/K3F29dnsDbchtCiSNyq+ohhopVXr9vY7GPYIjX0dXliHasmTtOM+57U&#10;0FN+rzc79IgAI+CWvLiv/Pc0veYQd4+sLcFaNPp3sejahP348cho3uoJU/ZJ7trWBGtrE3+D9Nv4&#10;86/Zad4P7w1p2KqDVw5rXS6Xaz+KC5IBRxNREOR0M8AJxGzLkDZult5hyZIlKigoiBzjvLy8KEXC&#10;3Llzd8hfa/1i/YSjFfaV9R22O06Ry+VyuVyuPRPX35Zcg6nL9by4uFirV6+OcvWPHz9e4yZMTPgA&#10;CzVr/mL9uHKdNufXf1RsT2HlgbCWwNpkoo+I/gRcFhQURh8GI5VCBHE3AnEN5CZf/66MZSOIm9jO&#10;COIm2s3bUhBFyJJSAd+sPn3FnkLcuijdQH5BUdQn9evaovythSosLlVJaVkER8PUBvURufU5cQGo&#10;gF7KNyS2ubxkqz6bPE3ffv2lVq9drM9nz9c7n0zUawOH6YVXBuiV/qN098sjNOKlf2nKgEf03Euv&#10;q6IBwO4K1saND77tyTFsqayfK/K3avWULzX3iZc1+vw/amD2iXrz8B5RBO5L/2+XCOR6JG7zrK3B&#10;2qLlq3aClP0PzVVVcX37w487a6f5e2qtBda+17lv9AEx8vf2P3RnKL1p7vyGrTp45bDW5XK59qO4&#10;kBtsNOFMADGBmUBNi0hl3CJs26Kx7QBZ9oP9oYyoGqAsNwXksqUcC/PXWt8wpG/CfGxh/+2OU+Ry&#10;uVwul2vvqTmQwq7dXNNJiZSfnx+9cfPFF1/ok08+0buDBuvD8V9p2uhRmjp7odasWqHlq9ZHkBHA&#10;t3Hj5uiV/z2Blfva9hTWNib6jmhYPgpWWFgcAdZNm7dEEbPA1+3RuEm2qblGG2w/BsTdvCVfWwuL&#10;Eussi+CpfaxrT/wulq+oqEq0W5zY/npwzHr5QFhBoozcuABTQK/B0/rIXCBueUN5ZQRgAb4rli3V&#10;yg1b9eWcxfps5Ljog2XfTB6jf93xNxVW1DS0tTOs/fHHpRGcjlIfVNWnRjDb37A2mayPgVjl+QVa&#10;/+VsLXhtgD679nZ91O8MvdP5KL367+l68f/qqJf/W4pH4sasrcFaNPX6O3cClZ//8daoverSUg3o&#10;0GOn+XtirQXWfvPc69E6y/Pyk86vSJz/B7sc1rpcLtd+FBfeZA4v8HL9+vVROgTg5ddffx1BTqJO&#10;4xC0rRiwFgvTIbB/QFlu1gDU5Ky1aGLGibjl9TdEH4UfKTFRHu8/l8vlcrlc+192TY6biXGu43Yt&#10;t2n8HtIi8aCaXLYjRozQ+x8N06gPPtaY4SP1/EMPaN7Xs/XsS29r2vSv9PWS1frqq1kRrI1etS8p&#10;iwClReDa8EBZHNaWF23Sg/f/U8NHfqbauh37Y2+Idqqrgd/1H/fiNf56CArYDlMqJN/eXRnL0gZt&#10;mdF+fsFPKRXqH6jvOcQlp2xRcany8gu3RxMTSbwlsU+UA1Ltg2Jm9dG49eXRB9CI1C0r04+rN0aQ&#10;lnnJYO2gQYMSfuhmTZw4SUOHDI3SUdi81gBrmxL9jFUkjsHGOfO1eNAwTbvjIQ3/zSXqn3ZsBG9f&#10;+N+P0Mv/b9ekIPNgsLYIa8s2bNJ7nfvsCCsP66ZNs7+J5i8bPlbvHpK74/w9tCF9TtOnF1+neY+/&#10;pJWjPlXhspXRA4JkdfeFET0MpEVf3fHgTvNHnOgfF0MOa10ul2s/yi7moVk5F37SIVgkaluPrGX7&#10;40akLdE0GzdujJxqbtSWLl0azQPaAmyBuBZNG/ZP2F8ul8vlcrkOvMLrc1MGBGMYijIe3m7evDmC&#10;tnPmzNHEiRM1fPhw9e//rj7o319z5n+rT0eN0CvPP6fPZy7Qq2Nm69Z7ntS/HnxGq5d9q7feG6wt&#10;hcVavnylNhN1mgQ87g+Lw9rC9Ut01FmX6Y4/XaoRoyfp++UbtCLh4732r+tUXVunuoSfs3rZJhXk&#10;bWlYYu+IPgZSATGJQC3YSmoJPnC2KfrI2d6KxF1vIHdDA1jN36rCopIIHhMJjB8XP94tEX3Jh8ZK&#10;Sst3iMbFOM6FEWStB7UGZwG4BnGxZLCW+gzpmy1b8neo39phbTJZH2+r26aKxLHe8t1irRg7UbMe&#10;eaE+pULWCXrp/+mi5//Xw/TSQQBx2yKsRYvf+XAnYDmwY2/VJv4GgKhTrr8rApzxOntq5MR9578y&#10;9fbP0hPr65W0zr6wcedeFZ2zKFle3gUvvBXNO9jlsNblcrkOgLigx29ccCqILOXjW3HYGQehbcEs&#10;YtaigwHQDAHQAFpALWkP2GcibrlJYz757HCC6A9Tsv5yuVwul8vVOsT1eVdmIMzGDehhAD78Aj46&#10;yttFM2fOjKAIoOWzzz7TuHHjNGny53pryBg9PnCUPn7mWT1035164vEn9MZbI/XUK+/r0y8XJoWL&#10;+8N2hrU/6OhzrtLdj72khRM/0KDxc3TOVdfp3iv76tKzztAXi9fr5Kzb9MbTL6uqlLyxZQ1LxrV3&#10;/B76uCbR3wBQwCRpDkinwHZjQNA9iU6uj+KtN1I0WJubE/NYF1Cede8RxE0sRh9HEcUVlVHULe2v&#10;Xb9Za9ZvitYdAePEvHqIW7kTrG3K2iKsbUzWxwCxykSfFC5fpXVfztb8V/pr/JU36b2ck6Io3Of+&#10;50PaVSRuW4W1dTW1GnPGZTtBy+EnnE3jqqmo0Ccnn7/T/LZoQOctCxZG+71xxtykdQoW/xjNP9jl&#10;sNblcrkOgOI3KWY4s+vWrYvgZVuHtbbtlg4BWIsBcYmwXbNmjYqKyIlWGjlTLMN89p0+4EMkYYQt&#10;fcbQ5XK5XC5X25Bdv8NruE1joZjPdZ8UCfb2DW/ikOOeyFv8hNmzZ2v69OlRBC4Ad+TIkVHe2yFD&#10;hmj02PGaMWu2Fi76QYsSN/t7Ah9banFYW1lSoA8nzojGt/44Qz17HqfsY8/WPy7rrdKKKh1960s6&#10;LecOXXXmxXroxt/q+isu05jEPh3fN1effr1C301/X1NnLtb6eVNV+FPq/r2uqM8T210fjVsV5cXd&#10;DMRdvzFh9R8iiyBskn1ujhnAxYjIXbthU/SRM0AxUb/kj90bkbgsC4yuTJw7ROOS23fNuk1asmxV&#10;tF4icYG38Ty1obUnWNuYrI8ZVhNVnDi+Wxb9qMWDhmvin+/Uezkn64X/9XA9+z/9Ui//t7YHcdsq&#10;rEXlib+JAUf23AFaAjan3/bPaH5lUbEGZRy7w/y2aBMuui6KFkYfZJ6w0/xPTjpvj/uyvchhrcvl&#10;cu1ncQGymxS7uNs4zioAk5sSi0xty7DW9sGALdEyFmFLBDHAtrCwMHJ6cKioa8CWHL7Aa+sjM5fL&#10;5XK5XG1Dya7f5gOZ79OYmIdfBMzDH+AhLgB3y5YtEcTlwS7po/CZeIsHH+Orr77S5MmTNXbs2Aji&#10;Dh06VB8PHhwBl9FjxuqrGTP147KVScHinlgc1iY2Pti3bdGr/JvzC7Tk+5l6+Pbb9N2aQv2q2+06&#10;8+hT9cxdV2rm9FEa9NwjGvzBm7rpubeVffIdevG+a/XFq/fr+w2LlH7Ez/Tye+M17dMPNG3S5B3y&#10;4O4L2TFjn4iIJbfrpk15EcBdtwGIW59OIVlfNMdsWYZE4K5Zt1FrE0ZUbkHB1ujjZnsaictitg/k&#10;1i0vr1Telq1auWadlq1cm9iPvCgS1/LetmVYW1RSpc0F9T7zbqlhOZavTfy9VSf+3gC5K8ZN0pSb&#10;79XA7BP17P90iJ79H35R/2GzJKC0Ndi+hrUYH0bcF7AWLRs6eid4iS3q/3E0vyxxjg44Yu9+cGy/&#10;WofuKl61JtqX1eMnJ62zeED9vroc1rpcLtd+FRdyHEEsvMCHziERJdyAWDoEgCdDYKeBW8ZtyHwD&#10;oFbeWiwEtpYOgWkrsyhaomsxomfYl7lz50Y3X+Sx4yYNNeUEMc/M5XK5XC5X65Vdr0NfCFm5WXNE&#10;PfwEPjDFw278BtIpkR8fn2jevHnbUyoQkQvI/fTTT6OoXIDu9C++1Lyv52vJ0uVavXZDBA6353Vt&#10;AYzcCdY2U/h8Uq2mz/5WeasWqsevztb5/+yvkzJ+rr9efJomv3CPxn4+RCO/r9bjt96mv/z5Ar3z&#10;4t0a+dk0nXbqubrg4cGaMuAeXXLVtarZz5wRGBZB3Fgkbth/LenDuNEO0bGr122Mjgt5cfm4WVVl&#10;VWLd9R+gben5EhfLAWo3b9mqjXn5u93OgVb/UT/omKuGq8clQ5Rx/kc64U+f6PZnZ+iTKSu1bnOp&#10;qhMnB4C/bg/2z/qmqqRMqz//StPv/Jfe73aqnvv/Habn/qdD9cp/T9Wr/5mhV39Wb8lg6r62fQFr&#10;w6haHv7MmjVrB1iLcS7Gf892V1Ouu2MngNn/0G5aN/WrqH0+BvZ+6jE71WntRpTwwjffj/aRyNpB&#10;6TtHCQ9KP051iePmqpfDWpfL5dqPCi/oJrvQm5hH9AiRpQBb4KXBToYY0JObEMoAn0STUGZAtLUY&#10;2xhuM9tngJltptw+OEbUDDdaixcvjm6umGe5bYmsQPG+Mll5snkul8vlcrnap+LXfabxoywil9z4&#10;pFTA8DHwNywaF19kxowZEcAF3o4aNUojRoyIPnCGjR8/QbPnzNOq1eu0dj3AsP4DXcnA4u7C2qZU&#10;VFap4rUrVFBdogt+01fX3f+G/nbDBVr1/ScaMXq0+px2vrr1OErT33xCZ//+cpXWtA4fiH4vLilV&#10;Xh75a+tz1+59iLsxMiJxt+QXJPzmUlVWVKq6piY6DgebTzho3I/qd/UIHf/HT3ayY68ZoR6XDlbW&#10;BR/r5D+P1C1Pf6EPxi/VklVblV+U+PuoqNkeqb07XRb1dWJYWVyiNVO+0oz7ntTgE8/Taz/PivLh&#10;Am4Bua/8e9o+h7j7GtbyG8HvBgEmJvaf35s9iQKPa/hxZ+8EMt/9RZY2zfkmmk/KhEFp/ZJ+nKs1&#10;Gts59pyrom1HX97xYNJt//qJlxpquJDDWpfL5drPijuQjMfhbeToFhdHToZBWgOgwFscBZs2GBqa&#10;zWsNFm4T+2L7A6xlP5jmgyIFBQXRzdSmTZu230RhzCNVgjnfe9MZcrlcLpfL1XaFP9Acn8DqAXCI&#10;Zg3TKvCh0w0bNkSpmZYtWxa99WNRubzyPGXKFE2aNCmKxCWybkjCRo8Zo8mTP9e33y3U6jXrI6Br&#10;bwKZmrttLVF1dZVqayq1tbxSg19+Ufe8Nk2DnrhWPbvlaPqq8oZarVOA1JLSMuUXbI2icTdsqoff&#10;O0Lc5IC2ORalU1i/SWsTxjh5a4uKShK+ZUVDSoW9F/3Y2tQUrG3Mjv3DCPW8ZIhyL/pYp/5llG56&#10;8gu9OXyRZn2/Sas2lGhrSeJcS/QZ2p0us36u5H5m+izNeeJljTrnar2bcoxe/0WOXvtZZpQX95V/&#10;S91rEHdfpUEIYS33M/x+hOK8Cu/l9oY+zN45n+uAI3pq7aTp0fzqxD3T4J6/ahPAdkjv01RVXB+N&#10;vHHmXA3osHMqh49yTlRt9KaBy+Sw1uVyuQ6wcGbMeTTHhmmcDCDlihUrtkeo4iAAay3a1sr4YBfj&#10;Vk5Za7FwOw3WMm4wlnmUsZ8AW6JgeI2RMm6UqMMrjTzFNmfI+gvFhyjsS5fL5XK5XO1Tdr1v7Lpv&#10;5XHfIZmYB3DlwTGvOefn50ewBx/EonHxx0jVRG7cadOmRSDos88+05gxYyKQwzR1qP8tD6NXrNTG&#10;jZujSFOAYfj6/t4SbZF3tS0q6vOEvxt9UC7h8+ZtydcmAO7GvIaI3AaQmwTONtfWJ9og8hmj3c2J&#10;dWwt5AO3ZQmfc8eUCm1VLYO1I3TsH4bXj1+TGE9YOD+CuJcNUfdLBuvXN4zSnx+ZqucGLdBnM9dq&#10;0YoC5W2tUM3uQlwWSBh9zQez1n81V/NfflefXn2LPujzW73dsU8EXV/6vztHILelEHdfw9rRo0dH&#10;f9+kXUHsR9z2liq2FOiDjON2gprA2aWDR9WvK2Gf//E29T8kd6d6rcHY1o+7naLSDZuifSpdv1Ef&#10;Zp+YtO7iAYOjOq6f5LDW5XK59rPiF3ObTlZO9AfgklQBccCJMW4QlOnWDmvj5bY/GM4PN0Q8reYm&#10;iXHK2Kfwg2NE1sZhbbK+C6ddLpfL5XK5Qp+hMTOwa1G4AFzGMcYBNUTlAnPJu080Lg/NecBMblwi&#10;cSdOnLg9tQIfOgPyfPnVDC1ctFhLly3Xhg0bVVhYrLKyclUm1lHv29Sv31V/nKqra1RGiqxiwPlW&#10;bcojCjcGcfcgEpc21iXaMoi7KS9fBQWF9SkVKiuj491WIG5LYe1fXl2kE68Ypn7XjtEFN4yKAC3g&#10;9rgYuMWOaxgCeHtdNjQyIO7V90/WQ2/O1bBJyzV3UZ42bin/CeJG/7dM1s8VRcXaNO9bLRw4RFNv&#10;e0DDTr1Q/VOP1av/ka4X/88jt6dW2N+wluX5m+aejPMDsc3h+bG3z5WilWv0Xue+O4HNd36epW+e&#10;fEXbGt42XPTOhxrYsXerirJlWz7qdrJK1qyL9qWysEgjTjgnad1Rp11I50X1XD/JYa3L5XLtR3FB&#10;tZuAZBd0ysJyxgGUgEpuBACXgE4gpkFOA6GUhTC0NVh8mwzc2jabsR/sG/vIa4hE0Rqwtfk4R7ym&#10;aBG21j/J+jPejy6Xy+VyuVx7U/gZACHgLb4JOXFJq7Bly5YoNy7+jEXk4t+Q/omIXGDu+PHjNWzY&#10;sAgEjRw1ShMmfBrlz13y41Kt37Ax4QOVRdGyDnF31E99XhlFKxdsLYxSKpBPeG9F4m7YlB+1ZbYx&#10;0SYfNwMaA49rqmu2Bw60FrU0DULPq0fq/dcn6+9DVunx12fpoTdm67Q/j9UFd30aze975TAdf81w&#10;nX7HdJ197Sc6LjHe98qGaNyYAXr7XD5Ufa4YqlP/MloX/+Mz3fn8DL07arGmf7NB6/JKt6dTaKmi&#10;8z5hDCsLi5X33WItGzlBsx56VqPOv0bv5ZysV/57mp7/3zropf+ni97LPblhyb0HawcPHhwtO2jQ&#10;oCi/NW3SNmK7QtsXAth+kORjXNiEC/4YQdDEyrV16QqNOeMyvXtITtK6+9PYhk9OPi/KrYtIgcC2&#10;JYPJA4/spYr8gqiea0c5rHW5XK79KC7kyeCiKZxn83EIuQEgTUAIOQ3UGugEjHIzYPNbi7FdBm3Z&#10;VrNwns1nP9gnoolxhLjp4SNjtt9E2HIDRJ+gxvoz7D+Xy+VyuVwHr8wnCG1Xoo75F6FfFlqoZNMs&#10;F8JcfBry8hONi09n0bh8XR5QO3369O0fO5swYYImTpoU5cWdOnWavv76G/3wwxJt2LBJ5eUViXbb&#10;/qv7e1P0A31NlDJAlTQHm/PytX7D5sj2NBKXZYG4tGMQlyhf8uISIU1gBVHXQMkDcUxaCmuPvXq4&#10;pn2Xr2nzVmjqskK9OGyhPhi+Wo+9/rn6XTlcoycv1HmPztfNQ3/QiZcP0SV3T9Y7w2ep12XD6qNw&#10;/zhC/SyVQiPG/L5XDNPRVw3XKX8epTNvHadRU1c2bHG97O9kd/uM5fiwGaCSj5t93//jhjl7N7L2&#10;/fffj2Atf6ekbIv/JjCN7SsVLV+lIX1+sxPo7H9orgal99PayV9E9eoS90dLB4+MIlqZF6+/P+zt&#10;n6Vr7sPPqq4BaJPOYeSvL2x0e9ZMmhbVc+0sh7Uul8u1nxVe3OOyi705ASZet+EDGESXAi6BmgY8&#10;DdYybvlgW4OxnQZZDcgmg7VssxnlRJ6wn7xeSHQt4BZgyzxuanjdkNcP96VT5HK5XC6Xq30o9LvM&#10;TMnKGYb+mFmyuqbG5jEeX9ba48Gz5cjlGwX4O7xRtHjx4sjnAeICcIFNn376aZRKgbQK5MdlesGC&#10;bxP+0lKtXbc++pBWPcTl1f0dt+FgFv1Q38/10bhFRcURxF23ftP29Ad7EolbD4DrrT6tQj0cJtqX&#10;qF/y4tZD3H37cdyPJizVUVcO0zFXAVGbB21Pu3ua/nDXCN07YIGeev0bPfLWQv39ydFRKoSXJ6zU&#10;p19v0JWj1uqOJ5bpj7eO06x5i/TBpz/qrVHf6by/TdNDb81NmjahKbv16XqoaOIYrN+Up9XrNkR9&#10;l19QqLLEcao/j/m7aajYTLGMaW/BWnLVAmuJsOXehXsy+zu2Y2p/z/vyGFcmzqcRJyZPI8AHu6bf&#10;fG99lG1D3e9e66+3/zNd7/wiK/kye9ne/WW2Bvf6tbbM/357PxQuXaEP0nfOu2v29ZMvR/VcyeWw&#10;1uVyuQ6guJiFF3abDssZ4gTgHBCRYekQcOSBoQxt3EBpazDbthDYNrW9Fl1rQwO27DevFBJVaxHE&#10;vFYIsLU+akphX7pcLpfL5Wo/smt8U9f6xuowjn8VWlgvPm1lYd1QwJqfIFPjfkeyedY2YI8oTSJx&#10;8XMstQIgl7QKROTiH+ELzZkzR1988cX2D5yRG3fo0KEaMmRIND592nQtW7Z8eyTutgjiNqzwIJf1&#10;N8eMvMTFxSXanLelHuImzCJxkwHa5li4LFG4axNtYkTjFhRsjSAu691bgK+6pk7L1xZpyMSluv3p&#10;L/WrP49Uz0uGqO/l9QAXq4+I/QmcHveH4dHHxfpdPVwn/YmykTrluvp5J90yVZ8Nmq6/TNqki/8+&#10;U1feNFZffLtCM+b+oBff/0Zffr0msexEvfDaJB13zU9t7spuf+bLhi2uF/1Rljg/zThXS8vKlb+1&#10;MIK3K9esT/TbRm1J9Bnzge61Tfx9heV7C9aSrxYbO3ZsdP9hf98cOxPje+tYNqWaikpNveHvScEn&#10;kavvdeyl718f2FA7UT/Rl9+/NkDvdz1a7/w8I+lye2SHdWuI7j1WK0aOV23i98v03Sv99S7RtI3k&#10;0Z1+4z+ivnQ1Loe1LpfLdQDFRb0ppz6cjxF9EX1huAFwhtAzDkcPtIXbgxmEtem42XLUs+lVq1ZF&#10;Ny28QshNiuV8Yz6vEXIzw42N9Z/1k02j+LTL5XK5XK72ofC639S13ubjU4V+lU2H5aGsXrL6YV3G&#10;gTUhrE22DLY7YMfaoX0eYuP/8Do2qaEsL669oWSpFaZNmxalVbCoXIDu1ETZjBkzNXv2HK1Zuy6C&#10;uB6J+5PsmGH0NXlxiZJdt35jA8Td80hcGzeIu2Zdou0Nm6K8uOQq3hsQl2U5rnzwK7+wQqOnrdSd&#10;z32lk68dqR5A3CsaIO7VfFSMnLRY/ThQlRy1RzHvDyN07FXDdME9E3X1feP00NsLNGbKUj370Y+6&#10;r/8Peun1yduXaY41BWuBtAz5AB9RyVXRB+bq55HegsjogsKiCN4uX7VWq9Zu0OYtBdFH+qqTPCTZ&#10;G7CWqFqW4wEI+aZ5aILq+/env/Pd+ZveXbGOhW++lxSAYv0PydEHGcdp89z5DUvUL5P/3WJNvuYW&#10;DTiip97+z4xEvT1Ik3BYN731b1015vRLE+v5ZnvKA1S8eq0+zDkxUSfJcg32+XV/2y991dblsNbl&#10;crn2o7gwmdm0Oe9xJ8Pq2TzEEOd8+fLlEbg0GBoHoQY+D7QZeA23qzFoa2XsE3Uw9pGPq9mHO4C3&#10;diNCpC3AllQJ1j/0V9xhsn50uVwul8vVvtSSazz1zKcKl7E2kpVZ/fgycVn9sE58eWsjrBfWCcts&#10;HMWnQ1HOsoApHl4D+jB8I0AuaRVIJYWPZQCXSFzy4pJSYeTIkVEU7rTp0xPzZ0cfOCssLKoHYIn2&#10;wty4jWzCQSfAIP2bt8Vy4tZH4v6UF7feQkjbEqOdNes2afW6jRHQBeIS+UvgAsfZzofGzonmqqCo&#10;QuO/Wq1/vjpLZ94yLoq8xYC45Jkl4rYe4P4EdI+5aph6Xz4sykd76p8/ieolg7KNWdORteX6xz/+&#10;ob///e+666679O67/VVeURnNM3BrQBdjXhWR6JUNEDdxHFatWd/Q8t6Dte+99170N8J9B0EzYb8z&#10;zj1H+Pe7v1SxtVAf5ZyUFIaafdz9FC3u/7Eqi4sblqrPa5v/3Q+a8+DT+jDreL3176lRCgMiZG3I&#10;h8D4SFhUlhi+8/NMvdepr95NlH9+7e1a8+lUVW6tT7mAtiX2H0j72eU36J3/ymg0mhab8Y+Ho/qu&#10;Xcthrcvlcu1HcSE3p9wUloUX+rAsLMd5Jn/tDz/8sB1uMjTAiUPeGsxgK8NdbWey7bZ6OEcGbEmL&#10;QM5a2gHYkteNFAkWXYvtKaxtSV2Xy+VyuVxtR8l8AvO34n4YsvrJlouL+XG/zcZDC9dl0wxNVm6y&#10;OuFyuxJ18I0M4FpqBR58W0QuIJeH//iTvLUEyJ04cWL0uveIESOiHJ3AKmzS5MkJ3+w7bd1aGEHD&#10;cPubsTkHhXhFn/QG+flbtXFTnjZs5MNmfIhsL0LchnQKQFxgcVFxfa7i7dG4eyFKekthhSbOXKvH&#10;3v1al90zUafdMDqKyD3mquE6+srhEdCtz1Vrw+RgNpk1BWsXJvx9IO2kSZN0zz1364UXXtScuXNV&#10;XlGmoYMGaeSosVq9cet2gNuYmeKwlg+EcS43BmXDeTZN+gPy1fJwgwAR+xs00dcGaw+UZt7zqAYe&#10;2SspGMXe/WWO3v6vTI075yqt+XRKlM82maoS59L66TO14pPxWjnqMy0fPkarxk5UwaIfVbxydVQn&#10;PLcYJ0fuhq/maGyibfLjJlu/2Xud+2jxgI8d1LZADmtdLpdrP6reqd3ZkUpWHk4zNAeBcRzlDRs2&#10;RLASBxsDbAJH49DTzOAn4yE8jdfbmxauzyxex8zm8xpfWJftZD8B1Nxs8BEOcrbZfnOjQT63ENha&#10;P9kwlNVJVm59jLlcLpfL5Wr/Cv2CuG8Qqql5qDntUG5+RmN142Vhvfi8PRGQCd8JnxKAi19JyinS&#10;KpAX197gmj17tr788svIpk6dqvHjx0c2ceIkTZ/+hb7+Zn70IJ3leYAejz482AXEpU8A3XzcLAK5&#10;EczdEeQmA7TNMcAtH+qKPtaVGGcdhUXFURRqZWU9xLXzbU+Ut7VCU+au00sffasbHpuu8/42Qb++&#10;flQUXXvUFcO2R+aG6RRaAmvXb9iop556WgMHDoy+0fHEE09oyJChqqgs00cfDdaSJUtVVFigMWMn&#10;6ZulG7V6Y35iH8u06sfFKqus3gnWst8A1ilTpkSwlghZ4KvBWIY8kGBokbdMk/KA+UBaAC8PLsgP&#10;zb1G+Ddotjf6dk9VnjjmEy64VgM79k4KSjGiZaP0B4nhqN9crAUvvKlNs79RyZr1qi4p3b4P4b5s&#10;L+M3q6ZGFQVbVbRspZaPGKcJF12XWF+vKJ0CbSZbpxkfHsub/13Ulqv5cljrcrlcbUDmDGCIIRES&#10;pAUAahJlCtgEdIYAtDFjmf0Ba1titj22D0wzpAzjRoCPbZCrjZxRRILwwTHm8YofNxo8Rbf+wUkL&#10;HdTQCQnNxLgtZ/3scrlcLpfLdTDI/CAzA7lAKuAZBsw1/2vmzJkRCCOtAnlxAbjkxiW1AhCXSFyi&#10;d4G4pFYg+jPyu35yvQ5q4bOSbqKoqFhb8gui3LjAS4Dr3oC4tGEQFzAMxC3YWhTl4S0vr4zWz3EO&#10;feHd0Zat5fpqwUa9O2qx/vHiTF1+zyT95obRURQuuXH7XV0PcbHbnm4c1hIx+/LLL0epEIiwxb5f&#10;uChRXqKxn02NUk9UFOdp5IJNeva+F/X6ky/o2ykjNXn0J/rh+/kaMWKk1m7Y0tBy/ZuIwFoeMOwK&#10;1tpHxCyaFmMZ5vERP9rhb8H6iqGZKT59ILRuylcae/aVSYFp3KKPfyWG73Xqo0Hpx2nECedo/Pl/&#10;1Be3/lOz/vmEZvz9Yc34xyOacv2dGnfeNRrS+zQNSuunN/+ta8OHxZoGtNjAI3tGbdUk+s7Vcjms&#10;dblcrjai0AlgCLQk2hSISQQr0NIAZ9wMeJpZWbzegTS2x6KDGWdf4vuF089NA9G1Flk8d+7cCFYT&#10;YcvrfTif9tqfAVssdKCsL8My1Fi5y+VyuVwuV3sWvg/+E35U6AcxDtTDl2Ie/hXgCnjGg3IgLumq&#10;CCDgQ2f4a/hmfJBp+vTpEcwdPnx4BMbI/clr6fPmfR1F8OLL8daU+131oh/oYz6mBVTlQ1tAVlIq&#10;kB83GZRtqQGAAcL1tjkxvSXKi1tUVJ9SgXNgbwQukE5h3qI8DZ+8XI+9M09/emiKXh28Y3Ql2xCm&#10;NVi7br0W//CDJkz4VIsSw/p55ZrxxRcaPWacFi5doU+/3aAXH3hea+d9qpffHauvRn2ob+fN0icf&#10;v6+JU6Y3tKzoPok0CBZZS5SsRc4CYQ3aYpQxj3pE9gJriajl3OVeozmg1h5yHGjVJv4+SWcw4cJr&#10;kwLUJq0hQpZIWT5UZuNN5aBNZkT4Trz8BhUsWtKwVa7dkcNal8vlaoPCKcCZ47UqnGQiSwGapAVI&#10;BmENeJolq9MaLA5rrYxxix4G2AJruUkgwoPoDuaxHE4ZEcf0jTmaZnGnKjSXy+VyuVyug1n4QwZr&#10;k0En86fiYjnKWRbwyoNz0iHgn5Ibl6hEy43L21P4qkTlhjly+djZuHHjo3ylpFugzooVK6M3qlz1&#10;qkn4tUTJ7gRdiZzdlNcQibsznG2uRe1tsuje+jYtpQLAdG9B3FC0zT6sS6xvU2JdWxPTANrKqsS5&#10;FEDc8soqVSQsGk9YYWFim0pLtHB1vn5Y8LXmfDlNo4YO1dQv5za0rOihAuee5awFwBqUDaNpDdxa&#10;GekPGJKnlvsPzmXbZ85164Pw/oHpvd03e0Nbl67QzHse0/td+iaFqvvCPv/T7do8b4Hnpt0Lcljr&#10;crlcbVQ4BDjUQEucEXOAAZ0ATjMAZ1uAtbZNYRoEzPYBIEukBlAW5x8Hng+OEZnBR8iow9Nve1UJ&#10;2Q1E6FCFojycZ9ON1Xe5XC6Xy+Vqb4r7PwyBTyG4teldiWVZxvwvm2Z5ABp+KwCMaFy+QYBfh/9K&#10;JC6vrE+ePDmCtpZegTLmffPN/CiXLg/sAYcHo0iVYHCVNAf2Fhn9ge9LSgUAa5jDNoK4AZRtqbE8&#10;67JIXGxzooyUCnxQraqqHuLaubM7YlnOrSiiuLhUeflbI4C7Zt1Gbdi4RVsLiyJQC7A1iEtO3u0w&#10;N7HvEeStrGxosT4NAkEcnE8Gaw3KAmyZphyzCFurRwT4rFmzovsN2rHzmP3E4vcWdn7vSR/sS5Fv&#10;dv30WZp+y716r1PjeW13yzr00KhTL4g+HlaeOGYOafeeHNa6XC5XG5A5CXFRhnNDagAc3hB6YnFg&#10;G5rVaS0WwlmALeNEzTLPAC6wFoee1+xwwAC2RNISbct86rM8zhUOW+hQ7cqBYr45WwxdLpfL5XK5&#10;DgYZhDJfCPCHj4V/CVwFWAEGzbfC9wzrm68VqjG/i3LM2qFdInLx5+xBvH3sjFRfwFw+cmYfNyMn&#10;7tChQyMDqhGVC9hdsuTHKKq3PSsOa4m2TSY7LjU1tYljVhWlVNi8BYi7SevWb9oOcUMo2xIzABwN&#10;E9tEu2s3bI4+npafv3U7xGX9dXW7DzDtPKlKnH9lZRXKLyjUmsT2r1yzPoLRAGNgbSXnUOKcDSE+&#10;40R0c26EsBYoa0NSIxBJyzgAF+P8IvKbczAZqLXz3mTz28q9AzC1MtFvhctXasWoT6PctCNOPDc5&#10;iE1ig9KO0YdZx2vWPY9p9YTPVZ44/nVBv7v2nhzWulwuVxuQOQLJRDnOM1EKpEMAxAI6DcgCOpMB&#10;W6ZbkxmsxQzOAl8xHHWMcYAtQ16nI2cvTj7OPQ695a+lLhEbzLO+C/uvqTKcsLbicLlcLpfL5XLt&#10;qULgCpzFh8KvwtfCtwSc8uYSRnoDfE7AKICVlFzAXQNbeyraqAeNNZF/y/aQG5ePy7JdPKBn23ir&#10;Cn8WkEvqBPvYGWkVDOgOGzYsSreAXwkQbutqLqxtTObr0r/V1TURxM0D4q7fuAPE3d1I3BAAs31r&#10;E22uTbRNqgY+osb6qirro4H35Fyxfait5cFClbZsLdLqtfWBGibOSe4HxowZsz2C1lIghHAWYMvH&#10;xygnZQIBITwwoC3bRvv7MAu3nXGztqZw28l1W1NeoarCYhUs+jECueumztDmOfO1afY3qiwoVEXi&#10;XKlt6Je2uL9tTQ5rXS6Xqw0oflG0aStjiFOBEwuYNegJ1DQwGwe2Bklbi7F9bJelcsCxZmj7gMNF&#10;PeZTxnycdW4YgLJEf/B6HHUBtjjxOFvJbh6YDh2uZPNdLpfL5XK5DibhMxFRiI+Fv4U/heF34YPh&#10;i5FyCqBF1CLglDed8D+BqQBc4CoQlyEGJAW8NuV3NabG6lGO78d68APDSFz8P7aX19j5kj8Ql7QK&#10;5MclMhd4R1oF9mfTps2R/7w723YgtKewtjmqTfRDaVlZA8TdFEXNsi6sPpK2wRq2o6VmEHf1uo1R&#10;23l5+VHqA45DTXX9x+1Ca644d4HAJs49gjj4UBhRtUBZg7QMDeAyToQ2wJ/zmXYQ6w7Pi7ji22j1&#10;k9V1uXZHDmtdLperDSjuDJhDEDoFDAGWRECEoNNgJzDUgG1rNLaZITcFbC/ONmXhPljdcD9wzMlf&#10;xo0ANwkAW6vPODcP4dNxk/WfO1Yul8vlcrkOduEP8aYSfiS+GLDWHvyHviS+lwUFmC+G4bcBcVme&#10;1FzAXIbAXIAqvpqlrwLg4psZYAt9MvPLsHA8mSjH/7N2bByQS/ush/USDUxUMNvEvsyYMSOKuCUn&#10;7ujRozV8+PAoEpcPUAFzv/76m+0P/NmG1qKWwtrG+m13xLpIb0Cagw3krt2wOTHM2wnihmC2JbZh&#10;U34EcclTG+XFTZTxATI+KGbH186FZPvFsQ5hLfcEQHmiqwGywFqDs8BbjONNNDbnLvdQtjztc9zt&#10;3Ey2Xsptnk1bfZdrb8hhrcvlcrVyhc4BQ3MOQrP5vPKDQ2ofbDAH2xzq1gxrbdvCyFrKwghhu1Ew&#10;iGtgl/3lBgDnnP3H6bKbDF7hI+KCeaHCvrT+Q4yH0y6Xy+VyuVztWfg9+JBEyOJjmS+GP4U/aT6Y&#10;mflu5qNRP+5z0g7L0ga+WAhyV61aFUXC4p9ZWgVSHWDAXOCc+WONWXNkdfH1LK0CEI/1kEqLbxwA&#10;k/lYLduHj0k0pkXkTpgwIYq6tNfnAbnsI2DPYDNt7y81B9ayPeRzHT9xmiZM+kLLVqyOcr7uK9Gv&#10;pMIo2FoYfdyMvLVs24bEcGMAckMw2xKzSFxy1QKJWUf0wbGy8si3N0BKJG14LDhG5DkGyHL8LJIW&#10;A9RybDmXOQfZ/nBZ2jSzc8jWE55TNh/ZdNiOy7UncljrcrlcrVzmFNg4ToA5CzZu0zgJPFnG8cUh&#10;xgkxx5nxENaGznZrMLbHrKkyM7spsP0jWgLHDIcL55ubBHt9j77AOcehtL5EjJuZ4tMul8vlcrlc&#10;7VlAR4ApwNIALEP8RoCr+Y/mk8WnbTz0y6hDGeNmNs+WMZCLn8abUhggF4BGZCtQFd/O0isAlIGk&#10;+HPm+zam0D/elai3HTom1gm0ZjvoD7YTX5KPTgFxAYCTJ0+OonLJjUtqhenTp0f9xGv0tu20hV++&#10;N9UcWPvJmIl65JnX9K8nX9Hjz70R2Rv9P1LeloKGGvtHUX+WV6gwcey2JNbNtgNyyYsbRuOGYLYl&#10;RhtAaYwI34rEeWHHmiH3AgBZ4Cyg3T4mRqQtIJ637wj0oC5m5wvGcQvBK/NtOqwfLzNzufaGHNa6&#10;XC5XK1f8wo9TYM4DYp45CgjHAYeW173IK2bOMY4xjrM5z+YoN2ZWJ14vLA8trBOvm2xe3MyRt2mW&#10;M4eebQa+YjaPoe2LRXQQrYFDj4OMs8x8IiToBxxv5uHkxx2psI/DcZfL5XK5XK62qNCXMd8m7uPY&#10;NP4RPpT5jJj5VuaHmYU+mvlp+GfMs+VtGasTLmPtW7m1G/fzrAwfDrDG9uHbEhELwAW0WU5cA7ih&#10;hbAtmdjv0H82UcaytAHExmifiF9SKrB+fEqCBNhWcuMCawG4gFsALkZELtN8AA0YTVoutndPtCtY&#10;S+Tpo8+8pude6a9587/XpKlf6f3Bo/Tk82/p6RffUVmirw6k6Gu2ubyiInH8SpRfUJjYl/zEvgBx&#10;N0fDeoi7M5xtymgnPI5AfR4CkN5iwIABUSQtaS6IjOZ4cI/AMeU4m1ieaTtvwvYYj5cxbRaWu1x7&#10;Sw5rXS6Xq40JhyDuFFiZleNg4hDyihmOpKUL4Kk/jq85z+YgUyc0c6gxximL16M8NCs35zpex+Yn&#10;M+bb+sKy+LLx7bVpbigw1surbDjTOO84Y7a/OPv0B/NC5wyFzpY5aS6Xy+VyuVxtUfgz5teEvk3o&#10;71g5/hKpAPCnQt8vHDe/yyycn2xeOJ5sOrT4PNo0oBuHuhaJC7wFgFpErkXjAkSBqZilVAhflTcx&#10;Tlm83PqlKVEfPxvYh6+NX8m6iEwG4uKHsk1sJ/sDHCQiF5g7duzYCOICcxmnnPy5c+bMiZbflXYF&#10;a0dP+FxPPP+mRo2bHG0n8Jb9+WHpcj327OsRvG2tYl+iPi0ti9Ic8OGxKBK3IXLWUiqEkBYD8vKw&#10;Adnx4zzgg2GkPyCaFmhLjuLwOxfJRJ9hyc6BeJmty8zl2ttyWOtyuVztSKHDgAOKQ0IkgjnBNjQH&#10;G2PaoGey+WbMA3xa/jIDv7Ysy2Ghg21lZtZWWEa74XoZ0p61Hc6P17X65sxjLIezzFN1i7Blm6nD&#10;NhOVgfNuzrk56tZ35qi5XC6Xy+VytUWZP2PRoebbmJmvCMgEbAIWzacyX6s1GdsV+n6hr8nDesrC&#10;3LjAXCJfeUiPT2h5ccOUCuw7fcEQn9H6Br/Q+qelYjmWp99pk+hf1osvSooEy4tLEAURuXwAi7QK&#10;EydO1Lhx4zRp0qQoSpd57BN+KyAdfxbtCtaOGDsxgrWjx3+eOO41eu7V/lr4wzIVFpVEsPbZV/rv&#10;sExNRbHmL9kQja9du0TVrcz9tf7kGPGhsaKiYm3ekh9B6AjibspLjG+KIK+J+kBZ+nPEiBHRB8Q4&#10;T/D/w3ouV2uXw1qXy+Vqp8LBwVnkab+9qhU6tTZt4+YM2zQOIk4lDo9FMBC5gLOD44jhBON8EkXA&#10;fOrjLANMWZ5oVpumTdo259qMstDsRsEgcLhtyZx1W4Yh+0ZdtoVcVfZ6HE4y5dTHkcdxt1xi9FF4&#10;47K7DrrL5XK5XC5XaxG+jb3GH/o2jGPMx0+KP9RvrRb6gaGZTxga9e2hv9Vj2qJy8QstfQIAF1/Z&#10;/EF8w72lsK+tbY5HPXwsj9aLv4p/zbax3aTvIirU0iqMHj06isYFPjI9ceIkzZkzTwsX/RClEwi1&#10;YtXaCNa+/Ob70XoBnHxcrGBrUQRrH3n6tcS6f/rY2MpZH2jC0GHauHp2wp9fosLCfOXlb22Y27pF&#10;f9KHdn5bP3NMuR8BfBO5zD0Q5znzqMMxYOhytXY5rHW5XK52JnNWzHHBaSGiAHBq6QLMaTUnFohJ&#10;OUPKgJ3AWKIBiAoAbOIQESWA0SaOJkPMolipa6+D8QoSbeCAciNAm2xDY+CW7TCHPO50JzPaYRkb&#10;ZznasfmsCweY7WabgM62/wZscd5w2ugvzOVyuVwul6s9CB/QImtN5hvi8+C74Sfh98X9sLZo+H6h&#10;T2n7BfwkzQDRrOYH4gPiHxJVDLgl2hZ/EKPPrJ+wlmh36rNOjgVvfWH40mwPvjT+u/nS+NHsDx86&#10;45V+wC2Ro7zqj/HhLF73f2fA+3r+1Xc0/as5mjv/O30wZJTefm9I9KGxl998L1pf/brrdOc9D+q5&#10;V17TzPnjte6H6fp01EBNmDJB3y7doKpNX+uhRx/W5soqfTVjRrRMef5GrVy6WgVFhdH0gRTnNf1k&#10;fc45zb0J9yMWxWzH2eowtHskl6u1y2Gty+VytTPhgOBomjPGEGcGR49oV5zZ0CE3x9YgLU4rcBPn&#10;xhzW5oq6ZiwbOp1ELgB/cTxxnnA+caYM5hLpYDDXHG5zqjGDsLbt7IttvznlDKmDY045T9MNOPNl&#10;XqatDk6cwVyDtWy3O3Eul8vlcrnausynwQ8038YMHw2/CL/PfK7QN2yLxvabj8d0PCjBjHnsOz4q&#10;fqG9Hm++IP1l/cR0SxT2sVkyxec1Vt/K2A5AJP60AWZ8Z4vGBUQDcUmrQDQpqRV4/X/UqFERxB3w&#10;3iC99Nrbmjrty8jHr2+7TiXFVaopL9WsGXP06FOPafL4D7VyaaI/F65R2dqvVJRY54RPRml90Wa9&#10;8MFsbfh+jp57rr+++3qm3ur/nirLC7R5XX0ahbqanx4K7A8RFGLHzI4bfQT4xu/H4vcxyfrY5Wqt&#10;cljrcrlc7Uw4ITxtxkGxaZwXntADR0lLgCNrEBQn1iCtRZoiHB/aAGbi0DIvmTGPp9gWbcu6MWsn&#10;maxt6rMc62D7DOKSVgEH2lIwAFZxSC2tgoFatp9oCYOz5pRTjuNKHdqwL/ACjMPX/eypO46dyZw+&#10;l8vlcrlcrrYofD98GYNT+FzmlzEEZPGw3Pwhhm3V8GmxEM4yzZAyK6cMHxI4y/4DPfEReahPHyHr&#10;L/pod/xBWz5uoZi2tuP14tYcUQ+/G3/conFJU4aPi29M/lsicYG3Y8aMiQAuHzgjtQIgl5QLLGP3&#10;DjU11aqsSoxXbFVFYhu/+WGTHnr6Zb0/c7mKVi/VxNGf6Y1XH9A7772pcWNf17LlK7Rw01bdcf+9&#10;mrW8QNvqarRwwZeqTLRXlPC7y7es1fo136mmcqtKy0satnr3xbHhfoB7D8T+U4ZZnzGMH7tk9Vyu&#10;1iyHtS6Xy9UOhSMSOik4JThhwEqLLgVo4rwCRnnKznxzHgGo1AXgUh84Sn17lYwh0xahgPML8KUt&#10;nGCWY3nawfGzdjG2JW6Us81sA2ZPxi0yN3wVLPzKLg44+4KxL5Yf1/YPY5xtA9iynwxZ3urg8NG+&#10;OW9mLpfL5XK5XG1RoT+D4WeZP4aPhZ9mb1vhx+FDhQC0LZn5gfh/TLNP+KcMDdpaGf6gQU38SXvD&#10;KvT7rK/wC1sq6+vQwrZNdlyS1Q8tXDZcJiwPRbn50/jgAE2CFcK0CoBcfHv6i8AGonGnTJkSpVUA&#10;5JJaYejQodFw9uzZUX36iPOmpqpCi7/9QXmbN+mjge/rx29HqKyiXLNWb9aDL72mcTMWqnDlfE39&#10;ZpXWL1+sd159RjMmfapPJzyvl+69UJ9NGaKK0gJtKSxJtFWp2u37k+jz2rpEW/UANpnoD+4DgNDc&#10;G4R9EfZXsumw3Px9l6u1y2Gty+VytSOFDkk4bcLRwlHDWbVoWpxWc2hwxoCZRJ/ixOHY8loVThxf&#10;quVjB59//nlklPGaFU/reSpPPUCuOcgsj0PFemiPqF7WRyQDIBdHCyeSdeJQNuUUs31sO/VZDuiK&#10;00k0BNuLs21pFTCicc1px7ghYRtCYGsRB8zHYeeVOLYj7C+Xy+VyuVyutibz//CtDE7hS9mDe3yz&#10;EGZi5jO1RYtH1Jrh5wEkzd8DPOJLElhg0I9+MbN+os9suiWyfo9bqLA8XG8yi9eP2+6IfcPfBeLi&#10;S+MT85YZvjDnBUEM9BX9ZlG53AOMHTs2ArhE6DIPnx/oG/niiXPqy08/UX5FjWqrijXw/Vc1+u23&#10;9MqLT2vSuDH6ZMjfNfvz1zR18B0a8tpDmjllpob1f1HvfDRB8yeP0fyE3752c6Hefn9QtF/xlAps&#10;a3j8qBOe22b0ZX10cD1st7LweNrQ5Wrtcljrcrlc7UjmrJgYjzsoODmASZx1nBnKAaGU4ajh3OKc&#10;TZ8+PXLQgLIGZykDzJIPi/HGzObHYS7OHe0TAQtQxcnjNTwAq4FUHGecMoO4mEWDJJPtV5ijin3B&#10;8cQZDyEu62D/McZZP04pMBcHlTLaoc9cLpfL5XK52qrwjwxc2TT+Fb4eD7QNaBq0NfDZ1gxQi9kb&#10;VewL+4cxju9JPXw+/Dx8RHxPzNJg4Uea0U9hWUtlyzcm5puF6winQwvrx9VYeVNK1p5Nsz7OF/Op&#10;6St8afoO353+5O26GTNmaNKkSVE07rhx4zR69GhNmDAh6msgOD543pY8LVi4WJs3bdTK5bO0bOEU&#10;zZvymiaNfl7Txo/VCw88oBcff1VDh0/X1tJ1mjDsTX06ebymrdikR998X5O/2xjBZFsvwR48bLDt&#10;ZtzuY8zw3+2ct75jaPdCLldbksNal8vlaocyp8WcLnNakJWZ4wK4BGjiyAJpDcYCWQ22Mt0UpKWO&#10;1Q/Nyq2etcMrV8BbjHXymhXOn90sAE+BuUTDsm1EAwNycR5t28N9wBjHcWNo85nGAL84nQZiMQA1&#10;bVokLmkVcNwpY1mXy+VyuVyutizzkQxk4U8ZxDTYyXg43dbMgDOgEGPcYC3ziKoF+PEWFoEKRGdi&#10;jOMLWv9YH2HmQ2MtkS1n7TXXEMuxbvNdzae1+XFRbtsYthW33RXL0jY+Mf2ED83beJZWAZDL+QSY&#10;DWEufj33AMBb8uIOHjw4SqtARC73AMuWLtGS5av07YI5+n7JEs2ZOEHjvkzcF3w1VeMnjtXbn07T&#10;pMT0xM8mRvcJ+Ob48eb3Y9ZX1j/huPVJU/3icrUFOax1uVyudiacEHNoGI87NCbGcVRxsHBkgalE&#10;0OJgAVVDMGuQNZxOZjbfAG1j85JZCHgN5gJxzfEG4AJU2V6iQgC5ONtESVikBE4kDmUyRyxexjSO&#10;MMsAaHmNiyf4BnRdLpfL5XK52qLwcUK/B78QX4ec/fhUltPf0gdgyUBoWzCDtbYfZpRZOQ/l8fF4&#10;cI8PSVou+sR8ZAN7BvnCspbI2rD+b6nZus3ibZnC+uH85lqopuY1R2wDb8ER/GEQl/4lGIK31oC4&#10;HCfOOfx77gW43yAyl/QKDEmzxht83AMAe1kGHx/fHL/eFPaLWbyvEMNk02GZy9Xa5bDW5XK52plw&#10;RAzWmnBMzDmhHEAJ4CQFADmngKmAUnOUmA4jbLEQvjKvKaOO1TdIGy6fbB7rMFgb1osb7ePsMQTm&#10;4oTjBOLYWW5cg7c45gBp9tfSKuD00T/mpFvfhNZelWz/2vs+u1wul8vVHtTUtZp5IYwKr+0MAWn4&#10;R8BZHtCHsBYL4WdbM4OzPNQ3+AykZT8xynmVH3+QV+kZB1xbHxnss/6iDw3+tVTWZnNl9Xe1DPPD&#10;7dnVcuG8sG5Ybko2HwvV1DxkZWEd60fM0irgnxOJy7mIz04AhgVhAGeBvPjv+Ox2LsfbtbZtGB47&#10;k80zWb2wzOVq7XJY63K5XO1I5pxgcceFMiJJeUpNhAFpBwCeBkENyoawFLMy6oTlcQtBbVgWTocW&#10;n2fbEbdwu0ID7DKfZYG3oYVRuTjtQGmLxI3yaDV85AyIazlxzYkL+8/60MbjtrtqbPmw7dBaosaW&#10;oSy+b2GZy+VyuVyu1im7XjNMJuYZGLNrutXlITWQjLeTLK8rEBP/KBn8bGtmsNags0XUmgED8feA&#10;gEBB/D/8YfN/zB8y2XRY1hrU2ranpWL7w/PUAifMrLyx/QzLbZxhc+s3Vdflao1yWOtyuVztSI05&#10;IzhBRJkCLHFcAZohCA3hqAHQZGaQ1Jaz8jiojbfTWLuUhdsQn9+U2XK2HSxvH0MLP4jGRxDCvLiW&#10;VgGnnmgLPoRgEbnkxyXiAqBNTi4DuY05d5Sbs28O/64ULhOvz3RzrDExj3Ybc3bDNszCbWnMXC6X&#10;y+VyHThxLebazvXaFF6jbb7VsXJALf4fwBK/B0iLD2SAs70AWyzcH/aRfWWf8euI7ORBPbAW/y70&#10;layvXC6XqzXJYa3L5XK1I8WdTpxRXn3jowpElwItgZthygODpCFwpQwL54eA1ObbcjbfyuNm820d&#10;8fXY/JZYuGzYXnwbbX3hPIO61gfAa/qGlBDAXJx7+8AZ0bj0n0Xjko8LR59+xfnHALrhzdGuZMfJ&#10;6ofTtNOYhcuY4suGQxu3G7j4jVwyY15o8fkul8vlcrn2r7j+2vXblOzazLhdu6mPzwKgNICJf4PZ&#10;NMa4lbVF40NibL8BWitj3HLV4r/xij0fxOJBfLzfXC6Xq7XJYa3L5XK1Ixlgw0HHGcU5JZoCAGkp&#10;AgxqAisBlQYzbX4INsMoWgOfYb0QmoZGeWi2HMO4xdvbHQuXTbY9mNWx6XC/wnbYlrAeZRadSz9y&#10;E8CrhIBcInFx/Ml9BrwN8+LaV3ztmNjNU1OymyyzxsBqqPgyYR2GtIGxPZi9amZ147LlGzOXy+Vy&#10;uVz7V1x/49d4k5VZOUPq8jCZ1E+AS/wXizRNBmvburFPRNVaigf2GSOqlgfsPHSnL8ibig/kcrlc&#10;rV0Oa10ul6sdCQcdGEdeLiAtTjigESgZRpMCIw2QhlDSoCXTBjMNaIYW1sPCOgY3DXqGZnVCozxc&#10;99402k+2D43Vo28wy4dLGeNm1g77BrwlrUIYxcFHzuIRuaRUMJgLxOUmIbyxaq41pbBeCG1tHtMG&#10;bePzmytrp6XLuVwul8vl2nOF13O7FluZmYkHxzxMxicxiGlg1lIFhODWytqi2X6xL/hk9oYU6a3w&#10;vzDG8cnwkV0ul6styGGty+VytSPhqJuDbh+SACjaEIgaAkvgY5jj1UAl5QYmrS5DKwtBZ0vM2sAa&#10;W09LzZa15QG/ZvH5ViesZ9PMC6FsvB5mbdj2m4V9xzL0MykVLLqDYwE852aBKA8+9AFQ59U8S6vA&#10;xy/ClArNFTdqZuENm93IhQrr7srioqyxdl0ul8vlcu17cR1uDNYyjjGfN6vIyQ+ENbPoU3wThhZ9&#10;CuhkOgSgbcmAtbZ/TANr2S98LEsFhu8FtG3Kh7H+a6qOy+Vy7S85rHW5XK52JBx0gB+veQEDgbb2&#10;6hev7JO3jNy1OOpEhpoBFw1chnDSAKUBSQOr8XoGNkOQydDqY1bPpm1+WM/aaY7F27Plw+2yOjbe&#10;WLqFeD3aMvgatsvyFjFMeXwfsGT7Hi5PfxvI5eYijMblZsJy4wJwOZZE41pahXgKg8YsmSi3G7rw&#10;xi5eZuUul8vlcrlal8LrfDhuwkfg4S8+H+DSImoBmQBMg7UWjdoeYC3bbmbAdtmyZZEfxQNx+gKf&#10;GF+qKf/G+rOpOi6Xy7W/5LDW5XK52pFw0gF6oVmuUpxU4B9OPNEFOK5EeAJzcWSBhURhLFy4MHJ0&#10;ceaBigDGOKw1GBmagUkzyljO4CVlceBpZsuEZbsy2jCwmszi9anLsKm6tn3WrpXvqr5ZfHnrA4u8&#10;NbM+sTaA5WFaBbvhAOQuXbo0isgFuHOsOG4cP4O5HFsDrMnM1Ni8ZOVxc7lcLpfLdWAVvyZz7cfv&#10;MzFN7nw+pMWDeXwJy+EagkxArRnTlDOf8bZqbL/tJ34TD74Btebn0i/0D2rMt7HyZPNcLpdrf8th&#10;rcvlch3EwiHFeQXk8qoYEJDXxnBucfYN4hL5ieNvERi8YgZcBEwalDQzOGlAkqGNY9QHUGJxGGrT&#10;zTFrw5ZNZmH9ZPOxsE5o1r6tw7bf9sGWjW8D0wZsMepQHi4fN+ujsK/C9mbPnh31OTdWHAOORZgb&#10;175wzHHj+BFZHebI3R3ZuYH5zYvL5XK5XAdOdk0Or8VM2zWecq75QEpLf4C/ht8AxGwM2IZlbd0M&#10;PvOWEoEJ9AX+UfhRMfNnwn40NTXP5XK59rcc1rpcLpcrkoE5HFobxyw6lyhOYC7OL1GepFQIIS5O&#10;MpGhBnFnzpwZReYyBFgCIC0/LtYUoDRg2pTF69p0aOE8A6NhuQHVEKrG61p9G48b9dh+A9RWbusI&#10;65pZ++E6GjPqhG3Ht9v6GqBL/3MsOC4cH44Tx4vjBrzlGJLT2IwbOwO6u7px8ZsXl8vlcrkOjLgG&#10;45OF1+KwDD+NFEo8xAVYGpw1iMm0wUyLpGUaY7o9AFv2gfQHvIEEoMUH4iE2fqz1G0OzuJqa53K5&#10;XPtbDmtdLperHcnAanMd05aI5bkpAOwB+IB9vFYGBOSVfG4SLIqB1/ZXrVoV3TTwcS1uBgC3gMYQ&#10;ziYzg5QGOxuzsH58nrWRDMTGzeaHyybbFhtvzBrb9rBOWG5m25hsO5mm3WT9RVmYVoH6tBHCW/rc&#10;PjDHjQwpLgC5fOyM42Mwl1cFOY6cO3t6nrhcLpfL5dr7Cv05u1YzxC/joSwPaQGWBmfjwBYLI2kN&#10;2LYHWMt+8LAaOItPgy+KjwO0xXc1Wb81pnj/ulwu14GSw1qXy+U6AErmDFoUKxY6lqZkzqNFvIbt&#10;7cpo3yIqw5yneyraph3aM5BrEBfnGacZiAvAJZ8YEbncHAASgYqYfewM8AiEtChcA5JxYInF4WY4&#10;bjDUxs0aWyYEp+FyzEu2TubFlwmXs2Xj9W1eU3Wtvlm8feaH22N1GFIWwlzrQ8qBuWF+XG5yOBa8&#10;NsmxIfUF+d2AuBw7S6mwu+cK58XuqiXL7sl6WiLWs7/W5XK5XK6DV/HrjU1j4bUYnwsfy95y4roO&#10;iDVYayDWYC3jIbBtrbA2jAZONs98GNt2HkTjs2zZsiUaZ2gPoemvsC8bU9jHLpfLdSDlsNblcrkO&#10;gOLOIEMcSYtYNacyTElgdS2yFdubol2LzA2NcszWv6ey/QTk8qoaNxhEeRIRAiwEGuJ444QDFIkQ&#10;xYgWBeQCJA1mAiRDKIkZ1LU6ySwOPpOZrcem421YmQ1DaBo3W5ctG68XbktYJ1ndllqy9swM6oZ9&#10;BswFnNP/3PgZxLWPnIV5cQHyYToFzhfOoZaeL9Q1s/M9POdDhXXNrDwuypK1Z8uF1lwlW9bM5XK5&#10;XK69Ia4p8etWeD3DENdcfCnemjG42Vrha3MNgGywOYTP7BN+CePk8be3hphm/+kHHjLz0BmfhQfN&#10;iL7CL2Ho12qXy9VW5LDW5XK59rNwFENn0RzwZI64wVODXxiAbH+KdRq4ZXts22x7sLCsubL9A/aF&#10;xv4BAnmNDcfbUisAc0mpYCCX6NDGACdlNg8IGbd4PatrxrwQYFodQKaNU858g51W35YP12Pt27QZ&#10;ZWGbZvG6TO8tC9sNtzHcF8ZtX9g+IDn9bQZE5+bI0ipYRC4fOQPkAuKJxLWbo/j5Ypas3OrbvLji&#10;9ZPVQZTTBttgZnVtXrL1MG7WlJpqw+VyuVyu3VF4DYpfV5jGb8IY57pG+gPytAItAZth9GxbNSAs&#10;fp7BWfaJaeZRZvuIUY7xsVX8R/wQ/BH8EK7N1m9+nXa5XG1NDmtdLpdrPyruMNq0OZSI8TBCEaOM&#10;yEVgZmsS28X2sa0WWRlCsT0V7dAebRMhwU0JAJfoTr72a3lxSasAyF20aNF2xx6gCGQEPoaRty2J&#10;wE0GOBsrtzKMduPrCOfHlwvH4/XiZfvCQkDM9hq0jVvYd9RlOQO59Df9Tv9zLDgmHB+OE7CdY8Yr&#10;iRxDvtLMucz50pxzhTpNmSnZPPv7wphurJ6VU8/+9pItGypcPtl8l8vlcrmaK64jya454XXGrk+M&#10;AyeBlFx7iTQ1gNleYC3+hMFZptkvG2ceRl18DiJq8S3M37A+sv4M+9HlcrnaghzWulwu136UOY7m&#10;LMYdSYSDaSALUYcoxbBOaxbbyT5wQ2HGvoQAurn7wr7HzfoLoz1ALjcs8Y+cAQqJ+sSZt+gLnHqg&#10;InDRUioYpDQYGeZ3NTNYadMh5CTy1Czeni0TQlcbZ2hm7dp02La1ua8svu5wG5JZfD9Z1vbVzJan&#10;j0lfQVoFe12R/LjkkuMGkwgYjhlR1ERTcwwtPy7H1c4VjntzFD8/sMYUnlPWvi1vDx3CdpLVR/Fp&#10;l8vlcrl2R1xLwmuOKbwWcW3CuE5yDeUhNaAWi0PPtmoAWQPOBmitHF+CIRCXMt7wwe8D1AJpMcat&#10;r/ATGUd+vXa5XG1JDmtdLpdrPyt0FM1xDMtwKgFV5mC2JVC7K5njjIXw1sym2d+WONTUteUNDNOH&#10;9F0Icons5ONZBnJx8rkRMIALiAQyAiDjkbEYkDIZPA2BZ7xOOG1w0+ZZWWjhMrY9+9KSrR8Lt8HG&#10;Matn+2x9FJrVCQGuldOGQVxyEXODCUjn5suicomWJiKXKGrLjRuH/aHZucIwPi+ZrJ6dd4zH22AY&#10;mrVnFi9n3OVyuVyu5squI6HiZYzHrz34N/gygFq7fhrcNIjZ1s32w/aPaXvwbuUMLf0Bb+2Qp5ah&#10;9ZX5DfE+drlcrrYgh7Uul8t1ABU65eaQG0BiGgf0YHEy2U/bdyKLQ2CdrA/MGW+urH9x3ulXojlD&#10;gMvHs8hzhuNP5Ccg116/AygCcwGNQEfgo6UEMDNQGQegBj7DcgOiNi9uVtcgZ1j/QJhtd2MW337K&#10;DM6aWf/E+y6EuSxrkbj2SicAlxvSMDeuveaIkSOXKBqOazKF51V4Ltn5Y2V2fpiFsvm7MpfL5XK5&#10;mqumriPJ5mGIax7XRHvgib/CtRJ/xczgbVs0th0LAa3BWfaTIX4C+20fPDU/Dv8OcR23az8K+8/l&#10;crnaghzWulwu135W3GG0acwcS8aBlY0BqINF9EMI0Cyykn4B6GK7EzVh/R1vn7Zpj4hcYC43Abxm&#10;aACXV/i5SeBGiFfxuEnihoEbJmAuoBHgCHicPHmyJk2aFA0NSsYBpsHQEHRiBkj3B6xlfUTPxtMb&#10;NGa2TNiGmZUblKU+ZWF9yphvFrZp9ayOgVyD4Wyj3ZzajRzHhI+rEIkLeA/TKpBSgRs3jifG35Td&#10;uMUVPx9s3MqTyeY1Nt/lcrlcrqZk1xC73piSlTHNNQ0wyfWP6yG+SAhrLRK1LcNa2372MXxozri9&#10;EUUZb0nx5lT4UTHzCeN9GZrL5XK1BTmsdblcrv0onEScbczEuAFaM8qAS67GZf2EYw68Dc2gLvPD&#10;Pme8OQqXMYBraRUAgIBAQK5F5RLxuWTJkggccjPBTQXg1gClGRDS4KRNh1CSccoNXIaQc19Zc9YV&#10;1rF6ti+hWf1dlYXGPGvT+iKcZ8syL17Ocgaa4/lxuXHlI2eA9vADZ8BcjqFFbtt5YueHnSN27OPl&#10;JisLl3W5XC6Xq6UKryUmKzMxDaglepS3TQxYmgE5KTNYiy8Sh6BtxdgP2z/2w0A082x/V65cGaU8&#10;wOIfFQuvx/RhWB72qcvlcrVmOax1uVyu/ShzFM1ZtGlzJK0Mh9ymXS0XfWcGvLUo5bCf90S0YceR&#10;dnklkWhObhpCiEukBzcUvK7IzRU3HdxIEQ0DYAQ8EjVK9C1mHzczYGlQcl9aCGAxA6Khxevvql68&#10;zbg1tlwIa61sV9tmy9Bv8f4D4AJv7eaVGz1u+oDqHBOipTk+HCf72BnHkvPF/kZ3pfBcc7lcLper&#10;pbJrCNed8Jpihu/Cw2I+pMX1izz7BjK5rtlHtwx02rWOYVs09ov94ME3+xVGDrOvzMfX4u0q/C2M&#10;h7D0lcn6zR7iW9/a0OVyuVq7HNa6XC7XfhQOYmg4jWZWhvOJY+nad6K/QyfeomYZ7i2gi2iH9rmJ&#10;AOQaxLUPnPExLW5CuDmxmxDgYjylQhxEYpSbGbg0qLknZm3typpaNpxmaPA2TLUQ1g/rJZvXmFld&#10;qx9fzvrH+izsO6vPNtHfAF1LqUA0LseJ48VHzjh2wHhesQTmcjz5O+VccblcLperpQp9QPM5zDdh&#10;iCjnDRADtbwtgq8AxOSaZWCTMgzAybRB3LZuYZQwho/EPuJD8YYT12Qiahm3vqT/rA8Z4oPRh0zT&#10;n2Yul8vV2uWw1uVyuQ6QzJE0B9LKAEGuAyecepz70NlnaLa7zj71rT3WAeyztArccAADgYO8zseN&#10;CDdlwENuVogQtdf948DTLISTycwAZny5ZJasnq3T2ouXW/vJLKybbNttXnz/krURLwvrWp24MS/s&#10;C7NkbbF+QDkGxLW0Ctw4WkQu0bi8ikpkD8fPbgY5tuH5srvnSlPaVXstWV9L6rpcLpdr74nfXrtm&#10;2O+w+QgMbRpfgWsN6ZaSgUzGQ2DLuKUQsCjbtmZst4Fnpm3fMHwjHqLSJ/ZQ1d5Go7/sTSq7vlGG&#10;2bTL5XK1FTmsdblcrgMknEdzys2JBPjgdLpanzhOBnLNwmMXWmPa1Tza50aDc8BSK3BTwiv63JQA&#10;CAG55MfllUBuZrhh45VIICMAkujb0CyaNA4mQ5CZrCw+DsjEks1jyLqtns3flbFcvH1b3uaZhfNC&#10;iy8XL2c83hZm9WzaAK71V7KUFAZyw4+cWVoFbiC5mbaoXKKgSKtAxA/Hk2MbP18aU2Pzrdzaicvm&#10;hetpSmHd5ijepk2H5nK5XK7myX6DUbLfU/wMriM8IDQgC7xMBmQZxsdtuq2ZbXfo5zDkWosfxANu&#10;rrOkMMJX4vpqfWYA3OVyudq6HNa6XC7XfhbOpA1DWIIRaYnTebCodtVUDftggKZPm6qlqzeqqqZt&#10;wh67OeDYGXDlJstuIPaWWAfnCK/lAwOBuETicsNiHzmzPHV2gwNUDHPkGpAERmKWK5cy5sWhZwg0&#10;zcJyG9qytp5wXmi2bLhcWN4YYDX4akYdW9bKktVvbD0tsbBd2jGjz0KgazlyuYE2iMsxCSGufeiM&#10;YwjItZQKzT1X7LeiMQt/TxozE+NWP1RYt6WWbHmXy+Vy7azwN9L8QRPjXCd4QAucDSNpDwbDhzGz&#10;fQdaE1GLrVu3Lrqe4mu5XC5Xe5TDWpfL5drPCp1zGzcjWuDgUbW+fvNm9UjtoCMOP0SH9L5CU34s&#10;VntCOyHEZcjNV7wMs/OhubLlzGgLAxID/4CAROMAdIlC4QaH/LjcABm8BSyGIJJx4CawFTPQGULJ&#10;EEyGy4XjNm3wl3GDm1YnDlHN4vNCozw06oRtxpextqzunlrYNhZuN/tqRl3rQ+tHjHFLr0AkNDff&#10;wFw+cgZs56aTG3OihIC3mEVwG/iPnyv2u9GUmG8QwMzKG1s+nBeazbN2rCyu5tRxuVwu10+/l/y+&#10;228mQ67lPOTjwd/BCGotatjG6QfLT4tfw4NqfGb6zeVyudqjHNa6XC7XflQIMeJi3kEFa0vm6/E/&#10;/lrZaZnKyc1Wl0499cDYharZuWvapULQujswrrFyxDzOMQO4vIbPDQ4wkLQKQFxuerjZWb16dQQM&#10;iQAFIAISAbkASeCjAdo4qDWAaZDSYGscbtq4lRu4ZEh5CD3DeVY/XC5ebmXhMrbecJ3x6b1tydZp&#10;5SHMtf20egZwLa2C3ZAC1i2tAlFVHCMDuhxHzpdkvyGm+G+MnUeNWVwtmZ9M4fzG6rhcLper/vc6&#10;vP4zzUM7gOSiRYui64LBWsBlMrjZ3sz21T7AihFJC8AmPRR9Q3Qt/dbUtdDlcrnashzWulwu136U&#10;OeLJnEvm4aAfHNqmjV8O0MXHpis9K1vZ2dnKSuuknte/q8rqg9fxtnODmzYbAuYArhg3JsngF2Vm&#10;4XRcYT2M9g3mcgMExLWUCnxIC2jIzSIAkZslbhgtpQIGcLR0CgZzsRBcWr2wzKZDeGnzkkFXmxcu&#10;Gy8Ly+P4A/+3AAD/9ElEQVTz49P7yhpbj0HluNky9Bn9Z/1In9Bv9oEzADofOQOmc1wAuID2eFoF&#10;fj84lhzTOPhPpvj5kEw2z87NeD2bb+ZyuVyu5ovf1RA6cs3n9x1QCbSMA0ybbs9m+2q+Bw8vubZh&#10;+Ck8dObtE5Nfe1wuV3uUw1qXy+VqJcLZxBE9GLStZovGP3uVundNUXa3bPU7/gTlZKfryJTfa3rp&#10;Tw64q16cGwbLgHDc2IXGzR1mkNesKYVthkYbZkA/i2Th5ohoFm6aALjcSFokLgAXI0qUqFwshLTA&#10;RyBk3Cza1ICmwc1wOQOgWDjP5sfrhEbdOBzdV5Zs/WbJ6rE99FG4XbY/4X7ZPNsHW4Yh/QzQBaJz&#10;TIiQ5rVZchkTdQTAJVqfPMcG/DlPOGc4vpwDu7rJTXaehMvE57tcLper+Qp/P/l95rebN11424Lf&#10;doClQcuDxQC17DsPKbm2cU0L8/XjK9Nfdg0Lr0kul8vVXuSw1uVyuQ6gQieT4cEBa7epMu97PXhO&#10;mrqkZapHr3P00KDndFJamtI7H6orB+U11HM1V3YeAeEMyBm8tfMrmZqaZwrb5WaJc5QITiAgr+QT&#10;1WkfOiPiE2AI0CUfKzebBm1DCGkRuGYhjDQ4mczCOgY9Qwvr7KqtvW2NbVu8Xnz/qcNyBmHDNsI+&#10;s/ZYBtAdRjNbG4Bb4DkWplXgWHBMyF1M5DTHi5zGBnJ3dR4wPwQKZpTHzcS41XG5XC7Xjgp/IzF+&#10;i/ltBtQarMQsuvZgArb2QTWuZaQB4qExEJs3SSxPLX2Hb+LXGZfL1V7lsNblcrkOkEJHHTEevtbV&#10;brWtWuunP6YTO3dWRma6+l79tlav/Vq3nZyi9IwUdTn1MVU1VP1JiRuZ4nX6ZviTuuWSc3XTzbfo&#10;lTcG6odNVarcutEd9Zjoj7hZBC7QlfOMITc8u5Itz/lp52tolNEO7XOzCcgF4nJjZQAXSGgQl9QK&#10;3HRyA8or/gBGInKBlUDJyZMnRxbCSMrj0DOZGewMgWdo8fp708L1JisPt8kAbLhv8WXD7bb6jZXZ&#10;uJkB3bB9+pd+ps8tWotjsWzZsuhmmHyAHC9uhomiDj92xjEOFZ4HjcnOjabquFwu18Eq+41EXEP5&#10;3eXBGoCS32igJddJokvtNzsONdujAarNSPvDg0V8C9L+8HAYX4O+o8/wafwa43K52qsc1rpcLtcB&#10;kAGuEGbggGLtWwkHu7JEo247Sh1TM5WZkqsbB/+ostq1Gnj3mUpLS5R16asBeYHzneif6oLlGnD7&#10;b5TesaMyc7KVmZWlrikZOuWy23TveTk65JBfqmv3czR03hrtgJVqylXdEGm638FRYl1VeQv13dxZ&#10;2rK1JLHnrVN2w2NmUJch8+J9ZufurvqSetbnGMsAiAGA3Hxx4wUkBBZyQ8ZNKjekwFvMUinEI06B&#10;j4DIZMa8ONC08RCE7m0L12lm62a+bX9o4b5ZGyxjFi7LMCy3eaFZudVrrByAa2bzMOrS50TkcpPM&#10;8SB3sX3IhcgmwG1jf0vh8TbZsXe5XC5XcnFt5AEnDzaBs8Bai6bFGMcMYIZgsz0a+4gvwMNEHhpy&#10;7QHSArN5s8euK3bNSXY9crlcrvYgh7Uul8t1AIRziYPO0AQIafewNuFQl28eqkszM5Sema6Uo67V&#10;pyu2qCbx75uhj+qEjFTlZKXqwscXNCyQUG2JFo+5X8dndFV6To6yMrvr2NPOVM+ePdWlSxd1Sc9S&#10;bnamunY7VwNmropg7ba6Gm1eOFnDnrpV557cXX0Tdc88+xz9418vaN6a4h3AaU1l+b7p94pFeuuu&#10;89UjtYuOOe8uzdnUtlJccPMDmLO0CgZom7JkSjaf8542Oee5+QpTK3Bzxk0Zr4Pax864aeMmDpBI&#10;dKhByBBIhoASMzhp9YCeBiZDC5fZm9ZU2/F5BmTNmlqWunGj3PYn3O9k7VidENqGsJs6tGn5cOlz&#10;i8IFqhOBC1iIR2aHv2mNnQsul8vl+kn8ZnLdI9c4uVlDMGvAlpQANt3eYW243/QJPgI+AdcdfASu&#10;L/FrjY27XC5Xe5PDWpfL5ToAMmczhBq85tXetW1bnX586SKlZmQrOz1Fx904QCsKKqN+qFo2Tlee&#10;mqOcnGwdd9btWlpT3ze1JXn65I4TlJKWray0Ljr1hgGaU1L/GtwPIx5Wv565O8LabTXa9P1o3f7r&#10;bkrp0kVpqSlKTUlRWlq6MrK66eRzrtLAyau2A9tP7zpJp/72DP35lif03cZ85S39Rst/XBK9El5c&#10;UpY4VrsJnooX6J5Lj4/WfUT6Mbr73XmtNrq2peLcxSwKF3DHeGOQrrHypkT73Khxg8bNGpE1HBMA&#10;LhFIQFyicsnvx00uN3e8Lspr/oBGoKRBSIBkCCh3BTT31AygJrM4XI3P39W8ENCaWf3mWLJ24vOs&#10;r6zvKLM0CkQ80edERtvNs4lxu4HenWPucrlcB4v4jeQ3lGuaPZDEeDhm0aUGLrH2Dmox9pf9Jm0S&#10;b+DwVgcPbhnaQ3X6LbzO2LjL5XK1NzmsdblcrgMgnMuDEtZWLdRDZxytzOxc5ebmKie3m046+Ve6&#10;4oor9MA9N+qCXx+lnJwc5Rx9ml79qoQlVJ6/Uk+el6W0rAyldD5FLywuUG1Dt9XWlOjlS05QVghr&#10;ywo09p5T1KVrmtJTu6rflU/o5bff0d/vulW/6tdbWRkZ6nH6n/X50vr+Hnfb0eqUlqWU3H667MrL&#10;ddXvjlZW105K6Zqqfr++UAO/XKGaJMC2rqb+dfCmtPKz13XuqSfp2HNu0bDvC/Yc1m5rvdEjdk6H&#10;xs2VGdMtvakKb8bMwrYtRy43dXwhmugb8uMSAWp5cYkM5bVSIO7s2bO3p1gIQWUIcs1CmBuHmbuy&#10;xuqzTkt9ELbbmMWXD62x+uE6rF4Ip5tqIywP+yS+LO0DDoDm9D1QnWMSHrP4cQ7LG5vncrlc7VHx&#10;3zjG+d3kmkXKmTAfLZG0Ibg0YGvlbdW4ZoTAOT7NvmI8fLUPiZGGhwe1dn1xuVyug0kOa10ul+sA&#10;yBz30HnHcbfIgfaqkkmP6eQ+3SJQm5WRpi6dOkWpDLp27aouXVOUkZkdzcvM6q3rnx6virptKs1b&#10;rH+ckpOYl6ife42m5P2U/7W2ulCvXXaisrfD2jWq2DpTNx2VotT0NB3R82pNXLI+es0+UVtLxj2m&#10;E3tlKTW1t/768iRVJhoC1nbOyFVuTlZivd2UkZWd2J4UpaRnKidR1r33iXrru8KfjtW2WlVs+k7T&#10;Pnxat1/9e/3lL9fr6aef0bgps1VYtTNMBTAWl5Yn9qWhYA9Us3aM7v3rdfrXvx7U+++P0bri8jYR&#10;rWuQlfObSFyGIYA1C/8emiP7G2JZ2iTCF4BraRXsQ2cWlUuOXCJ2iAzl5phIXACuwdsQXBqctPHG&#10;YKeB0GRwlGkrN0tWzyzevtXDWC5sy8pDozy+PsrDtq0dpg3G2rz4cnELyxkHfAMQeF2V6GeObbJj&#10;SBnHP9mxtnlYsmXbu9jnZNZc7c4yLpdr3yn+N8kw/N3D7INZgNo4tDSz8mTz2pqxD0Bnhgadbd8s&#10;kpgHq5RzrS4qKoqu3ZjlqbW+tHGXy+Vq73JY63K5XAdQodPZ/mFtngbffZF6A0UzuumMPz+qAWPG&#10;6LnnntNf//pXnXXWWTrqqD7KyslRdlam+lx8r+bl1apy6wa9eEmO0jLT1SX9Un2e91PO2Z1h7VqV&#10;FYzVRakZyswBwGYoPT1Nffv21dlnn6Nbr79IJ/buroyUFJ1200taVy2Nvx1Ym62M1O469S8v6ssf&#10;12vJkm/0/B0XqntmprJzuunsW4eokmO1rU4VmyfqgUuPVVrnVGUm2k7p2jWCu+nd++n6e1/Rqu0B&#10;0hs07tUH9fQjj2rwJ+O1anNZQ/nuq7Z6jf51Zl916dJZh/5Xiv42ctH2KOOfVKuSvB80b9rUKMK0&#10;qCjRX6345sZuYg3YhTlymxL71BzAx3z+rvj7MohrN4JE7xC5A2wkInfp0qVRn/FKKjePROQCJA1u&#10;Aj0NcFqKBTODmFaHIUCTKNQ4/GTaoGl8ns1PtoxZuKzVY33JLGzDpsO2Wmq0YX3AOGXcZAPA6U/6&#10;meNpfW8Wgopw3KbDsoNJYT+E1lztzjIul2vfKPx7xOy6Zr9vjPPBLH4rudaE0NLAZnu0+D6G0wZx&#10;gba8rcH12a7R9FV4nbd+dblcroNBDmtdLpfrACp0Ots3rN2m6qXj9Jczeyo7K1sZPU7QPQO/jz4G&#10;ZsIhLy7eoPtP7aOMbNISnK1BX61RbXm+JjxwWpSzNr1Lpv75Zd5PaRCqi5PA2jG6OC1DmYmyzF7H&#10;6ZSTTtLRRx+t7t27KyMjSxmZmUrpfISOvvIJ/VguTWiAtSmdTtRjE79TRdT2NpXM+1gXnZjY1qwc&#10;nXju3VpUs011tSUafdevlZGWqaz0NPU49WJddPlVOuXk45WTWF9q5646955hIoGDtEav/uUMZRzZ&#10;UYdknqDHhv0YlaKq4vVaMqm/3nr+SQ0ZMiTKBbpuw+ZEHzQdfrst0UffvHaZMhN9mJV6pHrdPFQ1&#10;cVpbXaQFg29V7mGHq0vXLure+0wNg0o3V4lzsq72wJ2H/E0YvMPsZpe/DSAuRlSS/b0058YtbJPx&#10;0CijHSAxN4a8esmNItE93DhaJO7ChQujG0te0wTihikVDMgayDSAy3QcbmIAU2CrLWcWglWzeDnT&#10;Iag1s7ZDs/oY4/HycNubayzPvlgbTLOvbBMRU/QbUNxusEMzWb/b8bCyeD2Xy+VqSwp/w+zagtlv&#10;Hb+N/EZyTWnraQ1aavGIWivnDReAbQhqeVODazHXeYe1LpfrYJXDWpfL5TqACp3O9g1rq/X9mOd0&#10;QuoROvSwQ9W193kavDwZmNymH188W53TspWZmqrLnv1U+ZVVWjblZR2XkRJB2T6n36wF5fX9VL3x&#10;az16/rFBzto1Ki/4UldlpykjK00duv1RnyZuEABKH330kZ599lndeedduvySi3T5P9/V6oqfImtT&#10;Op+oRz5dIAuMrVwwXFeemhvB2uPOvlkza7aptmyy/nhsn8T6MtS138V6ecIyldVuU8WWxXrkiuOV&#10;kZmljPSeemMhLazVGzedq+5p6erS+zd6dtSyqN3y5RN0/+npSiflQ2ZGlAbiyI6dldvvLL3wyQyV&#10;1TQRUbqtTvk/fKBTE+vJzkrVkT1u0PJY/erC9frwr8eoa6IPc7NS1Ofit7Spqvn53rZVV2jELX3U&#10;99gTdNWVN2riyq1JoncPnOxmLbwRtpths925oaM+N4XAYMAtf48YN9dA3DAil/y4FpHLh84sQsoi&#10;cQGgBlQNkhqsZRozgBuHuGYGR2nHzNrDbBkzqx8a2wGQxZi25eLraIlZGzbN9k+ePDkyprkJ54M5&#10;9Jkdg/C4IIbx42XlNt7eZfvamMXVnDqoqXkul2vfKvz7Yxj+vnFdIaIWUMvvpOWiPVgMWBuCWvaf&#10;h59Mkw6CD4lxvTVYa6CWPjTFrxkul8vVnuWw1uVyuQ6gQoezfcPahJOdcLorEo44Tvh3i1dqSyO+&#10;9rZNA5T7X79Uampnpf32n/phU5lqSzZr4N/OjNIXZGVnqe+xx+vqq6/WHZefptzc7CiqtR7WrlJt&#10;WZ4GXNNTndKzlXZkR906ZlNDyw2RLrV8mKpKJeWVqk7cA9TnrG0a1h5/9i2aVbdNNcv667R+PZWd&#10;ma6+lz2oeesbdiJxHFd+NVRXn/U79e7VXec88U2icHMM1i5PlFVr8FXp+t/+/Zfq3DlNPfqdpN69&#10;eyf2tYu6pmWo8xFd9cc35qi8prEbkW2qLFipJ8/OVirRxx166PmllQ3zUJ22rp2kPx+VofSsbGV2&#10;Tdd1Q1epugW0dVtNpUbc3EdHJJZNTz1GT8xep+rmL37AxN9SaNwYYxaFG97wNSaWa+xmMGzboK7B&#10;XCKA8vPzo5tNIC65cYG4FpHLzSipAvjImaVVMMCJEZmaDNqG0wZHMZtn9eLzrU44LwS+yea3xOLg&#10;mHG2//PPP4+G3IDz4Rz6PuxT+ozfOOtHysKbcSs/GGT72pjF1Zw6qKl5Lpdr34q/Pbt+2N8hQ34L&#10;AbXLli3bDirt9f8QaLZXYz8NTgNtDdQSVcs1kgd8XEN5GMpHK8P0B2E/2rXEylBYx+VyudqTHNa6&#10;XC7XAVToYLZ3WNt8lWrKB+/rnvvu0wVnX6s3vl8veqUsb6Ve+ttF6pHeVekZGcrOzlbHI9KV1X1H&#10;WFu3rU4rpryivkcersycHKV27qNXZ2+sd+jLV2v0q7fomhtf05by+mjTFsHa71/XCUf3UHZmmk65&#10;7mkt2tpQORDrKY2+JpY8snbrhtX6dOIkPfPM2xq1uCAqK1k5T3/9TYbSMrOV1e10jVlPVGI0a2fV&#10;FOnLt/6g1JRM5aR10IkPfN0wI7HumiqtGfM3dcvIUU5Wqrr2ukFTNpc23lYSAWs/uaWvOqZmKivj&#10;WD09Z32bgLXNETd//I1Z9KzBXIZ2Y7inog3Wwd8zN5w8nOAmHXhpENcice2G1W5aDeYSEQsEBX5O&#10;mjRpO9A1qGuWDOSaMS9chmmbF0Lb3TGWpz1bP9uLsR62mTrsXwhskfW73WwzNFi7N/q+PYh+aMxM&#10;8elQTc1zuVz7XgYUzbgWcA2wXOgGLRk/WGAt+4wBaslNa9c+5pEvHkALqLWPiyXzhe23Lfx9Y9yv&#10;Hy6Xq73KYa3L5XIdQIUOpsPaplVXU6Wqyi36fORQ3f/Ag7ryT3/X6zM/131nn1CfBiH3bL07Y2WU&#10;B7eutlxTX71NuV06Kp0Pkx15uFJTU3X8sX3VNztNR6T21D/eWyBwbbNhbc021WwZoTOO6RXB2hP+&#10;+KS+z2+onFTJYW29tqm2pjq6yYhUt1mDH75Y2akZyunZS3d8kt/EzUed1sz7WGdndU3sd6rSj39A&#10;9chXqqkq1ie3n6rMbKJqO+uEu0eqoLy+nW11taqp2Kjvv/hU87+epy1btqisrFzVNUDKqEqk9gxr&#10;GxN9bfDWoj9DAyjuLlSkPm3QrsFKACZpFQC5RBMZzLWPnBFpBLwF3BogtdQKBklDCyNcDaYyHa/D&#10;PKuLGWS15Vpiu2qbbWAfuPk2EE7/WX8ybWVmrvrzJd4vGGUul6v1y/5++Z3jt55rLb/r/B7yhoXB&#10;2oPRDE4btObtE/qnuLh4e4oh3lZp7u+d9bX/PrpcrvYoh7Uul8t1ABU6mA5rG1d1ySZNeuEvOu/S&#10;e7Vk/dYIepG/tXDJe7r0uN5RWoLO/a7UJ19vkvVoXU21lk5/X5f/5hildOmorl27KiMzR1m5PXX0&#10;Wbfoo69Xic9uNRvWVm1TbfUy3XXqUcrKylD6b27Sl8vLGmpLNeVFKiwAgJYlbh7YijXJYW3tZi2f&#10;NUav3/1HXf+HS3TP3feo/7sv6rEbz1BOGrC2r24fvKHJm4+6zd/p4Ut7RnlvczKP1+C8+rpVmyfo&#10;+pP6RpHGXVJO1mOf/ahKZtVUav2UN3TzRb/Syb1z1fnIw3XYYUQe99F1/3xba4rKVdewvoMR1u5K&#10;3AwaaI3DRmTjYVlzRVu0zd8/AJebVqKMuGnduHFjBHF5RdTy4xKdxc0uN/585MxgK1GtRNFaKoIQ&#10;rAJOQ9gbRtpSFtbdlYVA1syAbbge1oERRcX+0Ie2v9Z/KN53Vt7etat9DfujufVcLlfrEH+PXC/4&#10;HedNCuAkv9kYkJLpg+kDY7av9hYJ41wbuK7ZNQ8DbnN9aI7oY64rDmtdLld7lcNal8vlOoAKHUyH&#10;tY2rcv3XuvuMDHXskqLuPXro3PMv0s03XKMrTztGudmZykxLU78rH9U3G2NO/rY6FeRt0KyZMzR4&#10;8BA99fzrevezJdpUXLEdQI68IUe/OLKzOhx6tB4a/43K64uTwlqiU79554/KSM1URnq2rnl6nPLK&#10;KrStOl+TX/izjsvsrGOP6au/9ecLYxt3zlm7rUpfvfon9TzsUHVOzVBWt55KT8/QoYd10BFd0pWb&#10;mxvB2r8NqU/b0Ki2FWrUs9eqe3qmcnKydV3/FRRq49gHdXyfHGVlpCrjd3foyxWlUXnpii906ykd&#10;dGSnrkpNz1JWTg91y8lSegZANlMn/P4WzdxUGYHu5sDaypLETVW59dT+1DbVVhVr7cL5WrV+S4ty&#10;8e5tcYNo4DGMmDWg29TxY96ubi6Zb+ugPX4feBDAK6JEIgFyudElB+KiRYsiAAC8NVAaT38Qh7UY&#10;5bsLa226seUN4rJeoqe4IWdf7ObazGR9sqt+aS9q6b5Sl/6KL2PlNq8lbbpcrr0v/hb5zea3evny&#10;5dFvM4AyHlV6MMFazPbbYC1vknAtI6IWCz9KaWrqN43y8LfP5XK52psc1rpcLtcBVOhgOqxtQrWV&#10;WvXd57rvxovUMytdKV27Rpaanqn01K7KPv4qvTppafTBsJZqy49zNXjocD368Cv6cN5y2ee6Kr8Z&#10;ogv6dVaHIzur92l/0YwqjtU2VZX9qH9deby6dklVVk6uTjr5FF1+4Tk64/huysrMUGpKT907oSRR&#10;d/2OsHbMWqlqmv7YN1tdMzOV1vcM3fzMGH29cp0Wzp+qf91whnIzspoHaxPaMOk1nd4nXTk5OTr9&#10;j2+rclu5xt5/ufpkpysttZsufuADrY3CaqWKog0a8eYLuuPOO3TJNY9o8sr1+nbBfA245zL1zM1S&#10;WkqurnlqpIpqE3vYKKzlv/WaO+EDPXvj2TrjVyfp4osu1j33/Uvjv/yhPoK3QUDtfSG2bfmwf+iM&#10;XpnKPvEijfh6o2pb2dvzHDeDuPw92zhmEbRAXcYpa85NprVpN6bWHu0Dh/nAGRFcfNzM4ACQFFga&#10;5q01yBoC15bCWoxlQjMQbIAWs3mUkc5h1apV0eut4f40d//bu+gDAzycF2ZMh8fcpkPZshjj3p8u&#10;14ETf3/8xpPihhzlRI+S+oCIUsYxg5ZxmNmejX02Y98XL14cpQCyaxf9xW+eyX7HmvpNs3lN1XG5&#10;XK62LIe1LpfLdQAVOpgOa3etysL1mjh6hB59+GH94Zo/6pxLbtC9b0zQzEXrtqcv2FuqqyjW4m/n&#10;aeSo0Xq1/ygt2R5eWqeyjQv0zJ3XqG9Oqjp37qyuXVOUkZmhTkdk6vcPjNLaqGosZ+3oNVLZF7q4&#10;d64ysxN1T/iTpi+vilrcVr1BHz14QUPO2ubB2m2FM3TDOf0iWHv0Gddp9oqFuv/SE5SVnq70Pr/T&#10;s2NXRfl7k8larl35kc44qrsy07qo28UPa1FeXaOwdlv1en3y+HU6NqOruiT2KbVrZ3Xp0kVdU9PU&#10;+9jTdN+ASdoaHYQ6bfj2E93x+9/p9ltv0jufLVNtVZ5W/7goigYNb8haqrrqCn312JnqnJ6tzC6H&#10;6YR/ENncMLMNyG4qAWsGWpMBuGRq6nxgnrVHdBI3v0QtcZMMSDVgG4eoIbTdEwvbCttkyDoZsi1E&#10;T1kfxGGtldv0wSCOO33Abz/QwnI2ksMYs6gzIvQ4rhzfZICbaYe1LteBF3+fvM7Pwyl+8yztgX1Y&#10;Kxm8tLKDwQzU4gvwm2e523mQZ9dBhjae7DfNyvy3zuVytXc5rHW5XK4DqNDZdFjbctXU1Kqiet9E&#10;ce5K1aVbNHPKp3rxhRf017/eqitueUIfz/hB6y00V6v10rW/UWanzurc67SGnLXlGnrLaTqyM1G5&#10;3fTrsy/Wgw8+oDefvFtXntq9PgdtM2GttlVoyN8uVLecHGX3O133P/C0rjwlQ+npmTr23Ns0ZXMI&#10;ALeponiT1s74RG88db/eePUljR07VvOnvaJzjuqhzPSuyjj3n/pufU0jsLZOm6e+ofP6ZUYfL+t2&#10;1Kn6030v6bbbbtXZp5+o7Ix0pWYdpUfHLlFlbZ3Wff2xzk07TF26dFbmmdfqpTuu0K97J9rLytQx&#10;x56ivz8/TAVJT/Vd7XOditbN0A2/PVZde5yue4d8r9J63t2mZTenGDf7QDmgNkMDdM0V5w31ufk1&#10;aAskIEUC4DRMf2DTDEP4aoDVpkMAGzcDssmWsTJs5syZUdQvN+hso+2vnedWtsvzfj+KbWnp9th+&#10;NLYvlHNMATp8fI1UFvZhOdJZcKwAOwZ3KCNPMfmKidQjh/GmTZuiqDTaIL0EwIPjzTWkpedLY9rV&#10;vu9qPrI6u1N3V/Vdrv2p5pyT/N3xYIW/Z/5+iagN87MyDOFse4W19vvFeLh/Fk3Mbxi/VwZqzfel&#10;/5r67TTZsdjV8XC5XK62Loe1LpfLdQAVOpsOa9u2amvrVLvDzUOZZo0apNtu/KtOu+A6vTx2eVRa&#10;s/lr3fvHc9U9I0WpqfURuV26dFKnlAzl5OQqp0df3fLBmmbdiBROfkC9uuUoJ7e7jjrqaB3dI1Pp&#10;Wd110T/HqiRYvHzrEvW/8yz1Tk9TblamunY6Uv/5s5/pP39xRARfs9JTlHnefclh7Vxg7RaNe/56&#10;HZWRoexu3XTZMzNVFrW/TRUb5utvZ/RWRnpXZZ7+oNYWVmrdN4P1+6wjE20nti0nW5ldu+jQww7X&#10;ER0TdbKyldY1R9c9P0pFwTbWluZp9dcj9MKd1+qOW2/SSy++pPGfTdH6rVWJvmiolBD9UgmIzC9S&#10;WXXtrvBumxb7ajevGDez9nq83dzaDW5ctgz1uSEGIAAPDKQaTLUUCcBbonCZbwDXyqwu8ygzIGtm&#10;7SUrD+fPnTs3+lia/c6xf3ae277adGtQuH1NKaxnxwkLl2Wa9BdAVvoAeGP9bWkkGjPq2Dh1Ae/2&#10;WjX5gAG5QF/SYBCxRkQuIMTgLcZ5EJ4vtm2N7V+4T3FR3pxjZfWS1WXaLD4dlu8N7Ys2XQeXOHc4&#10;jxsTf18Gag1MtlcYG1qyfeR3yeC09QNDjN8qA7Q8aKLPuB7Qv/w2Md6c3xaXy+U6GOSw1uVyuQ6g&#10;QofUYW37FRHA1UFy1W0l6zTy/Td1880368zzLtGNTw1T/5fuUY8OP9Mhh3fSWXeNVFUzbla21Xyr&#10;K/t0U1YOUDRH2dnZyul+oh77svAniLmtSsumPaETjzxcaRnpyj3uIv2z/3R98fU3GvLG3TqhV2L5&#10;XcFardEHD1yo3PQs5eTmKDMtRb179dI555yjO26/RfdfeaJS0jOU3uXX+mjdVuV9M6Qe1mZlKLv3&#10;abr7o0Vau26dxr93t47tlquczBQdfvxf9PUqcvsmVJavSc9eraPTOykt0U5mZobS0tLUNT1Xv7/p&#10;KX27urC+Xl21ts58S88++5xGj/xEyzeWqO4gvafjt8NucIFxdsMbF2WABCJaicjkFdQZM2Zo8uTJ&#10;2yFtaEBVi4gFDFLXYKvVMRjbHLM2WRdtEUFquWuRbTPDtniTbttt2x5OmzhGAApABeACaE3ffP75&#10;55EZMDdIHhpl4XyM/rS+pU/nzJkTtYlZfkwi2xYuXBjBXCKaicoF5FqeyJZ8dT2U7WNotr+hxeuY&#10;wvqsHwvrW51wmZbIlrV1JDOXqyWycyp+bjGO+O21B2L83RmYDAFmezOLnuX3jN8bA7ZxcIsxn/7g&#10;t5+0LjxIst8hrk30JX2I2W8CZv3rcrlcB6sc1rpcLtcBVOiMOqw9+GQ3frV1DGu1Yd06TZkyVR98&#10;Mkv5zaKQdfrspmPUKTNXubm5ysnKUM+zH9HisuA8qqvU9yNvVeZhXZWZ3kXH3jEpsa6GtvNG6sJ+&#10;PaM0CE3D2rX64MGL1C2Ctbnq0+8EHX1UX3Xv3l3p6enq1DU1MUxRSudeenr+FhV8Ww9rMzJT1PPM&#10;51XccJ7XVZfotWv6KSs7XUd2Ok3vLliTKN2mVXOe1xnpndU1I0uZOUfrlN+dlWi7h1IyMhPblqre&#10;592vZfmJfaqt0roRt6pj5xQd9suf6dcPf6X87WknEi0VL9LEIf312YTx0Y1hVdXu58dta+JcMuMG&#10;2M6t6PxqAGL8vnCzzGv1QD5gIMDPIjwNyhoMpNzmGRy08eaawVpbFwCRyE+2KZRtL8PWIOtL68PG&#10;totygwvJ6gHSSUcBJOdDa/SFQdmwv7Fk/YfZPPrPjoEtE4e6oVFGXVJQAHQBKfT/jz/+GAFconF5&#10;JZl0DJYj11IrhDlydyXrKyzeX/Eym7Y+s36zuuFyzbVQVmbrTGYuV0sUnmd2btk0v6n8vZCjlr8v&#10;S3twMFgIZgGyBm0x4CxDgC7l9kExS33AdQif1/rTYC3j9rtgfexyuVwHqxzWulwu1wFU6Iw6rHXt&#10;jqrn3KND/t//VIcjOqhLxxRd/vpCVdWGNznblLd0jM5PP0Lp2dnqftxZev71tzV92uea/Mx1Orpb&#10;ljKbiqyNctZu1EePXKZuaZlRyoWLHvlM0ydP1IABA/TII4/oL3+5QRdeeIFOPfn3enNxgfK3w9pU&#10;9TzzKW1u2JK62hoNu/V4ZWRlqPNhx+uJucu0ra5Wk+85QR26sL5UXfDQGG2I8tDWaPDdFyk7K0tp&#10;ab10y1szVVlbpfWf3KZUoG5qZ1347BwVVEq1Zfma+cbNOrNfTx3VPVsdjzhM//WLX+qILt101QMD&#10;taWSG79oExI3g4XauGJp9PdWXVN/Q9gebwr5LWEfuek1sZ+UWxQYYMHAn0E/g4JhmQHCsE5LLASL&#10;QEPWDQwMZcehtRwLtsOgARZCvmTbyjh1DOTQz+wjIBRgAfSOQ9pkfdWY2TJ7YmFbDO24Au6JygWq&#10;sK3AfGAuIBeAC4yynLhYmFYh3OfGZH0Yr8O0GQrbCs3KQwvnJ1M4PzSXq6UKzxsbZ8jfAL+lgFr+&#10;bvg9PVhgLTCWfWW/AbE2bbCWOgZtybtNVD+/HfyWAGrpO+tH+3tmaL8T1s8ul8t1MMthrcvlch1A&#10;hQ4pjqzDWleLta1WK5Yu02cTJ+rVV97XpHVF2oHVorpSTe5/p47unquszAylpKSqS8cOOuSITsrK&#10;ylF2RooyzrlX362vbgTW1mjR0Ed1Uk6GsnNydOplj2rzDvlia1VZVZG4IduszRXV2ji/Pmdtk7D2&#10;8BP19LzlEax97ZIu6pSWqYz0U/Xyd5sSfxcNCxRP1yW/PS2xzenq9+cXtbQiGayt1ppZ7+rM1J+p&#10;c2qaMrO7KatbL+VmpSstPV0pXbvo+Ivu1sLi+r+t2pr5urzD/6Gf//IXyrjgSW1c8ZU+fPIePffs&#10;0xo7bpyWr9kYyz3ctmVRtlgI1wCJ5E7lphpoZxCRccAi4xahaVAP2IiF4K8lZqCXfIZEcLIdqLXe&#10;nNt2hdvH0PoQs3IT0/yWk3IC6ElaAiJbbf+tn8N+aY6xTGjJ6nCc7FjZumx9Nh5G4NrxDI8pywNv&#10;iQIGrBt84pgRlQt4AbY3FYlr/WVm/YSZrDzsx3gdUzivuXXCtkNLtqzL1ZjsXArPG6bjoJa/c8Ck&#10;wcz2bgZiMfaf3weGTPPQhzo2ze8FKQ8M1pKnlj40hX+b4d+uy+VyHexyWOtyuVwHUOENgMNa1z5V&#10;4lxbOPE9XX3p73XU0Uer+3Hn665X39U1J+aoa+cj9fOel+mLHwsagbVSbcF83XbWUcrIylZmVg/9&#10;6fHB2szHQapKtfnbwXroH/dq6sKtqttWt/0DY82FtU+eeZi6pJPy4CINW5uvHW7TEjdt3Nyt2lCg&#10;0ppksHabSgtWadSgj/Toow/p+vtGaGNFhVatXK6XbzpXPbIT6+raW3e+NU2Jqqqt+V43du+glMwc&#10;5fQ7VqfkZionM12dO3dWhyM6KvfY8/XhvBXa/pfI32hinyoKVmrN8iXasH59dJNuELQtiBtftpff&#10;F9tmhkRLEvHETXWYCsHgnwG+cHp3YS0QkOWAhEBAIk5te7C2cHNu22nbjIVif6JzddWqCFKw33EQ&#10;ypDplvahgVhrIzRrL5nF68aN427tUt+OuQFdg7phe3zgzF5xBtIQWUfaEfLi8pEzQDUglwg6YK7l&#10;yA1hbmOyPg77uSlZnZaYy9Vccb7Y+YgY8mCC1CZASM5/QK1FmTIdB5vt0dhXjP0mKp+HOPwO8LsA&#10;rLX+oI8sTy2g1j58yG+l/Y3zmxBOh/3tcrlcB7Mc1rpcLtcBVHjj6LDWtb/EeVdYVKqS6jqt/Waa&#10;3nrnbd12y6P6ePF6bauu1Ihbj9IvOnTSkR166NFZayNYS/TsuoWjdF7vNHVJz4gidHv36aMzz/it&#10;zjv1KKUfdoj6XvuWNpTWtBjW9r8qTZ3SMpSZfp6GrN6yI6wN1UgaBBNthSr54mkd2ztHmSmddOqt&#10;b2tNWQBrGyKKe/3mSl102eU6+cR+ys3JUVZGmnJOvkZfbOFvMXHjWJWn+UPv0/UXn67ju6cprUtX&#10;9ejZS2ddcI3em76qfkVtRAZHEUMMgAZg4wYccMcHr4BzIRg0SBcCu5aawWDgH5Gb3MQDi8Mb9NYo&#10;6ycDCLa9JsaBDcBIwDfQgkha+hAz+Bnvt93tx7jZMTGLr8+Oox3LuIXHOFzett/2IWwvXtfmWUSu&#10;RRkCa4jGDUEukMsALscfs7QKnJ8W/R32cVOy49Pc+i5XS8R5Ff7dc75yHhM1z2+mRZIyDGFmezeD&#10;tew7sJYyfvvCMvrIHtTwgJMHWfyt05fh3zrjZlaGuVwu18Euh7Uul8t1ABXeYDqsdbUKJc7JiuL8&#10;xI3XYk2bNlNfby4N0irUaM33c/XoX85WdmqnKBq1S5cUpWVkKrX7qbru8VFaX1qlDS2Btdvq9OVT&#10;Z6pD53RlZfTQY19uDGBtqQrz86MbuEiNwtpqFW5cqjnDXtRDf7tZjz38kD788EN90f9OHdMrN1G3&#10;k0684Q2tLApgbUa6MvpcpYGz10dRtHWlC3XvRScrJytLXXNO1pOf/JgorNbGLx7QsV06q3P0EbWM&#10;xLZnRR9VS8/Mij6w9teXZrMBbUb8xoS/OwYggGncYANrMaAc8I2hQbnGgF9zzCI4gbUMlyxZEt28&#10;c2zZhnCbWovYJrYPo98M2ITziBQDPhJNS/8ZyAwjUtn/sIy+MHjdXLN2zeLz6dPw+MTrhtMhZA3L&#10;QjibrI4Z7dl89onzhaHtX7jf7CfwmmhcIqoBucAcoA5wh4+dGcgltQJ9ybXQ+t3AjfU9Fo7vjrlc&#10;LRHnDOccEbU8kAFCJoO0RJViNt2eLdxXhpavlmn7++ZvmocwwFp+6/m7tr9d+9tmaP1LXfvb979T&#10;l8vlcljrcrlcB1ShQ+qwtpVrm0d6mCq2btC8OTM1aNAg3f/go7rryfc0beEGFVVG2FNr5ryv3x7x&#10;7+rY8XDlnv5407A28W/Dtx/oN2kdlZ6VpRMu/JeWltXD2cLvX9eZPbvr2GP76fonhmh90py1Ndqy&#10;8jPdd2E/5WSQuiFDqakpOuSQQ/Rfh3dWVnZOVPekv76plcU7wtr0427V/C2l23Pvzn7mSnXPyVBa&#10;l77665uTVVZXq7wvP9B1N/xVZ55+hi55YrSmzf1GI4e+rkt/e5SysrKV3fMEvbew/mMpbUUWwWTi&#10;RhlIBkAlMhIIB2gz+GdgLixrqRmsBeQxzevCRFkaPG6NN+cGEeirECAwzu81r/cCGokepd8MVNq+&#10;hnATY5x+DGHmvjJbd3z9jZkd4/A4m4XLWh3Gm2o3bM9AbghzKWfZ8ONmwB7OC87DZcuWacWKFVqz&#10;Zk0EyPiSPNF59ho1YKclUMfOsebWd7lM/AZw3gEf7VV/A5PJ4OXBYOxrCKr5+zV4zTzyoZP2ACO6&#10;loha+9uzv0N++/k7RgZr7e/a5XK5XA5rXS6X64AqvHF0WNu6VbNyou7/8/m68cYb9eIb7+nHPD9W&#10;oX46l7epsniTxn/4nh586H5d+4+PtKVhDrD2g2u76dAOh+qQ/zhKT8wF1iaWqCzRyEcuVXqXLsrI&#10;zNbxJ5+iP/zhKv3pd8cqKztLqSnddPHDw7Q2Wc7a6iLNeutPyu7YVZlpXXTM+X/Xu1OX6PvFP2j8&#10;Czerb4/6yNrGYO3Xm0u2w9pZz16hbg2w9i+vT1RRQzmqq61TWVVtQ90qTXzpRvXOylR2Tjdd8djU&#10;7W20FXFDzA0y4tjx+0OeUV5ZJwLSIBtgzYBcOGypGfgzSMdNPRCuNf/mGVQIx9lewA15WYkKBTTS&#10;R5MmTdoOIbEQWlIe9p9ForakL+Pw1MzWE7emlovXCc3qWvRvfDnbP9vHcJn4crZsfJm4hfPoq8mT&#10;J0d9xLJE5RKNS6QeEY3Lly+PAC45jzlfAbjAII4JkY+WG5fj1BKY63IlE+ePgVoeyhiQ5Hw0O9hA&#10;bWjhvtuQBy38XVr6A/4u7fczNIO1yR6IuVwul8thrcvlch1QhY6pw9rWrAp9N/xR/Tqno9LS0tQ5&#10;81g9+NGiNgfoDoSiG7NgPG/5Ag0eMlj33fOcBv+4fvu86q1r9dHzt+ukXllK7do10c/pysjMVEqX&#10;zupx1j805tsi1SVLg1BVqC9fuEgdu2Yos+vhOv/VNaqtq2+1fMazOq5Pt92CtTe8MSmCtdHfaG2h&#10;ln8xRMM/fD+CSMuXL9Psd+7WCbkZys7prov//omC1LltRhbVxD5aZBPRoryeDjwDmgHPiH4EwBlY&#10;M3i3O0YbQDxemwWA2G9edJ40WGuQ9UkIEBgHQAAJifoETBBRa/tl+2jw0QCk9Rt9aUDXys1s2ZZa&#10;suUba9fK4tsW1gunw/nJyhqrE5oB29DC+tYvtk02HZZZuwaDw7QKnEccB/vQGaCIaGdgOucyINeu&#10;rRxPrDWdZ67WK84R/t6JEuU3EVDL+WawNhmkjU8fLGYRtTxM4S0NADdRtfzt2W8oQ/7+rG/t9zX+&#10;YIWhjbtcLtfBLIe1Lpdrv6qOG6aErZs8XT8MHKzP/3S7Jv/xVo36zSUa0ve3Gn/u1Rp79pUad94f&#10;NO3Gu7V8xFhV5Bc0LN3+FDqkDmtbsUpWauCdv1JG1wzl5OYoMz1LF9z9rjb423p7pPgNWV1VseZP&#10;+0xPPfGYrrr6Gv3m/Kt09zsz9d2KgnqgCqwd/lelpGf+BGsra7Rq1ts6JbWrsnJy1OuEM/TQo09o&#10;yOCBevEvZ6lHDmB3N2HttjqVLp+mB87OVq8ePZST3ln/+e//Tf/+7/+hTl1To3MBWHvJ3aNU1dBG&#10;WxL9b5FNJqISgV1ASKI/gWVxwBaCt+ZYuJyN0z7rOVCwNlxfsnVSZjDB6jBO/wAieC0fIEiEJ9AZ&#10;Y3+AhYAdwAUAA8BDZCiAkf22dAAWtRzC23i/hWb9Flo43yJZDY6GdazcykIIGtYLl0tmu5ofN1sH&#10;6w6jdOP1sHA7Q7P61ldh/1kf2jlKffoZiEu/A9QsLy7HBZAEeCM3bjytAudhsvOgJbLzZHfaCZcN&#10;22isfFfa1TLx8rBuU+XhvNai3dnGeL34NOcD0JEobiJq+XsOX/MHUDK0cc41KzOA2dYs3J9w2sos&#10;kphx6web5jeOyHcekAC4eUjC3xe/mYi+tQclNm3DENQixsNpl8vlOljlsNblcu1zVZeW6fvXB2rM&#10;GZdrwOHd98g+zDhes+57QgWLlmhbgxPYlhU6pA5rW6tqlffDWF3bu6NSs3OUlZ6hnOxMpZ5ynb74&#10;saShzr5QqRaMeksfvD9UK7f6eRFpW622zh+mSy+/Usf06aGznpilfEJaqwo17rVbdGzPbsrNzVV2&#10;dra6djxcPz+00/actSfe8PpOHxhrGtZ+rsrqCo3/23E6PCVL2VnZ6vmbP+u5Dz9T/4Fv6k8Xna4e&#10;udltGtYifoMswhZxQ80NN5GKQDIDbiEUa6mFQM7aAt6tXLlyh+jefa04BLDp0EI1NS+Z6Dt+x4ko&#10;M5gLxAUQ8gEyUkzQrwZwMcAi4No+5hb2UTLjGNgxsf6Ng81wXjjfypPVCcuTzQstrNdU3V3NDy3c&#10;h90xW5f1TzJjPn1tIBe4ZJG4HCeDuHwMyVIrhGkVwocae1vxc83Ot8bKd6XGlmmqnP0LgRoK65q1&#10;NiXbRrPG1FhdhvaGAecGQBIwaQCzPVsIZpOV8TfD7xfj1ifWPwBt0trw90LaA/5+GLfzyfrX5XK5&#10;XM2Xw1qXy7XXFTm7EaAdoKHH/C4pdN1b9unF12nT7PmqDT5e0JYUbrPD2tapuuoKzXvrMqUekRKl&#10;QDj78svVI4tX9Y/Ww+MXqGKH065l52BdXZWKN61riO6qUl1wPqyf+JouPC5d6enZuuDvb2lT8A2r&#10;bYkboNriZfpy7EeaNnWq1q5dp/LK6sT51FDhINJPu1yl+eMG6YY/XaMTTzpFfU6/Sa+MfFPnd09V&#10;pyMOVefT7tD362pUW/Odbuh2eLNgbXVVqZ4+q6cysrOUknK63v16jaoSlfm7nf/+/To+N73Nw1pE&#10;ZJNFQCFgBRFlAEQAocEwA15xULYrM5Bm47R5IGBtCKNCs/23CK/QdkfWJr/nZuwnv/GADP7eiToD&#10;Dq5bty5KqcAr/EAPcuACFC0S1foOM5jJuB2L0CgzqBuWhWbltBMC0nB+fF7cKLfta6yOmW2DgWZb&#10;v60nNNuGeHlzzNq0NpJZsvXaPrA/YVQuEAoAZTly7SNnHDvgLcc3PJfCc6u5smXNQsXnmTVXyZbF&#10;bDvNWqKwndaq+D6G22xm9TDq2N894xxb0pwQjc15YGkPDF62d7NI2fi0QVmMccoxfq+Y5mEHcLa8&#10;vDx62MHvHP2JwmPhcrlcrubLYa3L5dqrKtu4WbPufSwpWN2ndkRPLXjxLZVt2NSwJW1DofPqsLZ1&#10;qrpimZ76XZqOTE1Tp05n6fXvPtNV3YCoXXT8TR9qXXFwzMrn6YNXX9GECeO1Yl1edBNYWV7W6HGt&#10;qczTk6dnq2PHI5TZ52KNWvBTDteNsz7QOX1TlZ6Wpl6/ulRj7dSuq1HBwgm6/8JjdVT3TB3ZoYMO&#10;+WVHnXf3e1rnaRm2i7+tmrpqrfpuvoYNH6oHn3pf89YWJ7pviW7scYQOT/T5YT3+rNkbi7f3+cyn&#10;L1Nudvr2NAhlNZX68uHfqUt6lrIyeunyfz6rLxM3p+tXztTbd56nXpl8YKztw1oUnqP0HTCRm3GA&#10;VgjaQtDVXAshGcMDBWtZBwY4MIhqICGZWX2TTcdtd8RyrB84BNgAcAAD8/LyoohcIC4Rn8BCwBFR&#10;oLzSDywhXyt9ST/ax7jClADW31hjoDKcH18uXiduzOP4NVUHs3asXjhtkNRgL/PDbQ3r7guz9dFv&#10;9KEZfWnbwMMKwLnlxgVKcQyWLFkSHRfOX44TINdy5AKrLBK3sfODsvAcSyZbNqzbVP24qMv1x6By&#10;uHxoyRSvYxZvpzUq2XYms3gdhsBG/v4M1BL5zjCEl+3Z+L23yNm4JYO1lNNHPGiyhxgGavldp1/t&#10;mJi5XC6Xq/lyWOtyufaKyvPyNev+p/Repz7JYWrcDuum/ocmLDF8578y1T9RxvQ7P68fZ/47/5Wl&#10;d3+RHdVJ2kYSe69jb335twdVtHxVw5a1boXOq8Pa1qmiLx7W0SmpSk89QmkXvaS1xUX68Ibe6pye&#10;oZTul2nqqnxtj08qGaXfZKTqsA6HqceZ1+nDDwbozst+o9+fc5Zu/OvNenvYDFXWUHubqsoKVVyw&#10;Tq9feoKysjPUpdvv9fG8dUGkaIkmDXpBV1x2tW5+aZoKGyJra0o3a/R9v1ZKakZiuWxlZ2Wp05Ep&#10;+u1tr2mFw9pmicjkjZs2au6C5cqvSNxUNpTPf+tW9e7VTZ069NA1L09QUWJOaf48/eVXfZSelam0&#10;Ll0T/Z6qlE5HKjVKh0HO2m66+O6RbfIDY6EMXJi48SZaisgpIBZQC8hlcK0lBvgyAMfwQMFaE/sZ&#10;wtpQbEe8Lyijbt6qNVo+Y44mPfq8Jj/+opZMnq41X3+rLStXR/thtjf2xbYRgAQIMZhLjlwgLkAJ&#10;cAgwAaAAEzlWgEVgLlGiBlQNShrQTWbh8UlmdizNmqoTjodQNjx34udRY23tK2P99I9th63XQG1o&#10;lGHx/mJ5i8TlOACtgLgcHyAuAJcoTXKfcvw4jhxP/rYwQOquxLkUt2SK1+H8CWFtOM9k9cxMYd3Q&#10;wrpMtxbFtzO0ZKI83GemOS4cLx6KACM5pgYmDVgeDGYQFmPfzcI69Iud8zy44DeJ1C9m/G7Rp+H5&#10;3dixcLlcLlfjcljrcrn2SDhgy4aN0cfdT0kKT0Prf0hO/fiRPTX82LM07ca/a95jL2rlJ+O15tMp&#10;yvvmO+V/v1gbvpqt9dNnatXYSVr49gf66q6Hony3rGNgx95RO7sEuB166Mvb71fJ6nUNW9o6FTqw&#10;Dmtbo0o06raT1TUtUykdcnXNOzNVXFOppePuUU6XVGWlZ+qGj5eowg5byVid27uHsnNy1bNHrtK6&#10;dlGnTp3UNSVVqanpyujeT397dXriJrFG33z8gH7bI1P9enZTTna20nNP1L0vD9A3CxarpCZxM1yb&#10;LFZzm8rylulfZ6QpNStLaZ26Jbbp68QN1veauXC1inbkTq7dEH+Ha9du0NINW2WZJ8oLftDzt/9B&#10;/Y46ShkZuep79vW688ar1CM7RakpafrdNS9qYzu4Fw3hJb9NwCUirSxyE7AVh2zNMYNeNg7sOhCw&#10;lnWE+xdaXJRtXbNei8dN0hcvvaX3L/yTnsk6Xo8nrl9xezrtaD2bmIe9fPTpGnrt7Zr9zgdaPvUr&#10;rZ41Txu+W6Sta9erqvynHI4tEfUNLgFA6DMDfkAmAAlQEEAYRuLah5GIfgPe2vFrzDg+BiUNUNpx&#10;s/l2DG1eOD/els23OvGycF582ZZYS5a1/bP1ch4atLXl49tmZdYnBmytn+Lt2LilVQCk83fEcSF3&#10;MQ9BAIP21Xyicfnd4bjyN4jFIeuuZPWaYybG7Zxi2FZlfxvhvpmSlZmYx76HoJZjhQEiOWYhvGzv&#10;ZmCWfcYYD4G1ldvDIR5O8LtDJC0PkjifDdRyPOx6wnRTx8HlcrlcyeWw1uVy7bYqi4o19S93JYel&#10;Ddb/0Fz1P7ybPsg8Xl/e/oDWTJqu8vyCXX4cjMi3UNtqE45fWbkKlyzX4oFD9Nml12tQxnF6N9E+&#10;UbjJ1o19kKjz7Utvqy7hNLZGhQ6sw9pWqLXDdFnfHsrMTNORR1+pYd9sUq22aevKabqyZ0elZWXq&#10;mEteUl5ZA9bbDmuzlZneS2ff+oxefuc93XPbn3V8rxxlJeqndz9Nn22q1arPXtI5x3RXbk5u9FGs&#10;3Nwsde10hLqknaKP88q1bdEw3XL56bru2mv10lvDlVdXq4KVi7R0wWe6/fgMpWelq9Nh52p8tZ8z&#10;+0vclK5dt14/rs1XTdF6fdz/Vd1888268pZHNaugoVIbVwhtgIEAphBiGaQziNUcC8EXQyAXMGt/&#10;wlraB8xgtq6myn5IXKsag7O7ay/0OEXv/f6PmjtoqDZ8v3iHvt4T2TZzDQH+8XEfAC6pLIAo5Mbl&#10;VX370BkfTiIqFwhDNG4YhcuxCaNww2PHsQ/LKTPIGZotQ72wbtysnk2zbDi/uRauO9l8Ww9m56+t&#10;l2UMssaN+dS3ZeLzKLN9xOibMCUFxrLUNXhL1DMAF4AO9AKCcSz4OyN3MceISEVex+f4WTQufydN&#10;nS+cA+E5bOOIcZYNzeaHZciWDa21K75PiPFw35LtD+X8rZCTmAcbHI8QTh5sxn6HYNbKwn6xckAt&#10;5yi/OTxs4Dxl3PqYvuU3KQS2LpfL5WqZHNa6XK7dUuHylRp27JlJAanZW/+eqnHn/0Hrps1QdWl5&#10;w5L1qijYqoJFS7Twzfc158FnNPGKG/Tphddq3DlXaeSpF2jCBX/S1Bv+oVn3PaHvXh+gDV/MUumG&#10;TaptuLFHVUXFWjVusj677C8a2KlPk9G2I04+T3lff9ewZOtR6MA6rG1tqtF3b92kPt0ylZWZoW6/&#10;+7NGz1wcwY9tpWv09k3HKyUtU937/FaDlhUnjmVikQZYm5WVodxz7tDEJeX1KRIq1uqtv5+jnIws&#10;5eZ2103DtqimZIvmfDFWN/72KGVnZykzt5/OvPgKXXTZ7ZqwtULbvh+si07MUGpKivr+9gbNravQ&#10;yDvPVkbnjon6vH6frayMPvrTo49qyCfjtHJLlWrLC1RZsePfmmvfi7/j2r3D3Q64QnDJ7xHwCLAE&#10;bDIAZaCruRbCMQNcBxLWGsCxadtnhusW/aBBl/xZT3TpkxS47jU7oqee736y3vjV+Xr7Nxdr7qDh&#10;KimrUFlpmUrLyiJAx/Y0Jra3qT6z+WbsL8eT6wwPHcivCsAFVAEJAbjx1Aq86kwEHYCR4wV4tLyu&#10;di4YzDSzYx0axz0EnSHwDC2s3xJrqk2ssW2J1wvN5of7FV8ubNfMlrV6lLG89VfYbwZ3maY++XGB&#10;5/Q7UIxITyKlAeyWVgFAxrED5ALkDZIZFGtM4XnAMCwzi5fZ30loVq81Kdm22fbzN2TzzCjjQRSg&#10;lt83znf6nXPeomkNUhq8PBiMfTVjmn6wvuAagFHOecn5aL9RnH/2W2X9bkN+35v6HXO5XC5X43JY&#10;63K5WqyChUs0KK1fUiiKkWd27FlXKv+7RQ1L1KtoxWp9/eTLGn36JXqvS1+984us+vqkNSAC97D6&#10;HLYWKUuZzSOtwcBOvTW492ma9te7owjdqpLSqF2icItXrYlSKrz5b12iZcLtMXuvc1998/Sr0TKt&#10;RTi0Joe1rUxl3+upP5ymnIxM5RD5mpWh1K6dlZGRoaP69tGJ/XoqMzNbWbm9dM3zc1XLsdwOazPV&#10;/by79OVKu3ku1pR3b9MxqRnK6dZdFz41NyqtqSrQa5ccvz1n7aCZK1SwtUiltYmbzG8H65KT63PS&#10;nnDOrZpXU62Zr/5dp59ynHp0y6mPxs3JVnpKig5NO0aPjd2kLeP/qRP7ZKtfvzP06vi5WrdggoZ/&#10;/KHmzP/xgORUraut1lev3KhHHn1MH304WqsKSn7K7+tqleLGmt8hu9kGChFFBXgCLgGZDFY110KQ&#10;xRA4tb9hLWIdtl/sowEuytiOGW+/H6UySApX97L9q0NPPZa4Lj2RsKe6/0pl+VtVVFoWASSstKw0&#10;AnGAVaAI1wcMyGQAxLa9uaK+LWPjdrwx2mZ9lh+XiFygDDDXcnkCbICKRIlaRG4cYMaHBigxpm1e&#10;3Jqatydm7cbbj5ebhcuGZvMN4LI/lBucpS+wsL7tdxiRTF0+XsbQ2rRyW9aM9qhrUbkhVCRfKMeG&#10;Y8SxskhcO08wjmtj50p4HiQ7j+z8CI2y1ia2Pdm+2f6F89gH/r7oLyA4DyfoTx5KMDRIGQeXB5MZ&#10;pKYfOM8o4++ec49pHvBwrpnPan1t/W3nCdP2G+tyuVyulsthrcvlapHy5n+vgR17JYWh2AcZx0YR&#10;rOYc1yWctrWff6GRv/r9DlA22bLNNZZ/95c5eq9Tb0284kblL1oSrYt1VhYWaeY9j2ngkY1v48hf&#10;XxjVbw2yfkIOa1uXCr4aqAuPz1RGVrZycrupS8eOOuyww3T44YerU2egbWYETLMS80+55D4trUwc&#10;y0ZhbZE+f+fW7bD2omfmRaU1Vfl6OYK1mera7Xx9MGfN9o9d1ewAa2/RrPLEjU9lmX6Y/6mu6Zel&#10;zMQyaSnH64p77tU1N/5d788uVv6Eh3R876zEtvXVab89Xeee3kdpXbuq52l/1exEw9tqilSav0ij&#10;Xr5bTz78sAYNGqSZs+dqy9aSHc7FvSVg7Yib+qhzSqoO/2U/PTxloTzut/WL3yI7H/hNAmoAjgBO&#10;cZjUHDMYZeNAqwMBa00hUEBsw4hb790JqO4rewzr0EOPHdFdjxzaXYvHfKYKQG1paWSliXGgadyI&#10;uAXGAZsAqpu+XaTZA4dozfzvov0J+5DxeJ82p49tOdrj2HMu8Joz6wTQhBDXonKJyAXiEBEKUAQu&#10;2nHmnDEzcAnotHMCM9iZDFbuDQvXZaDVppPVN0tWx8ri7ViZ7aOVJWsrLI/Pt3bjfWf9Z8vy9xMC&#10;XPoewMZx4JV+QC5/XxaRSzQu5w7g3yBuCNHifxOI84Dp0JpzDu1v2TkbKj7NtrPP9AE5g3n4AJS0&#10;D2UBJm3aQCXlBzOsZdxgrZ1b/L3zG8B5ZLmWEf3N76j5sXa+xM8pl8vlcjVfDmtdLlezlZ+4MRxw&#10;RM+kABSAOvX6u1SduMk0rZ00XYO6HvVTxGyS5faGvf2fGfow50QVLV8VrTdyGhM3lhMuulZv/yw9&#10;6TIfZByr4jUH/uNj4Q2Fw9pWpG15+uzl69UnPU1Z2bn61eVPamFl/dfxuWl+4403dOutN+ikY3or&#10;JztLGceeo/5fl0tl+xDWVlC6TSWb5+tvx2cqPTtDnQ8/S+Oq6qPsauu2KW/U/TqhT7ZycnKUmZGm&#10;zKxcZWRk6aizbtN32yq0YMhdOi69S2J92crKzIw+fnb4kV11zNnXaeyCzdvPx/It6zR9xDsRCCgo&#10;KI7KdkfA2pG3HqO0rGyldf6Vnv7iB0W74WrVAubYucAQ2EOeTSBSHDI1xwxE2TjQ6UDA2hAesD4M&#10;6PDqCWfuBFT3qSWuo491yNVjh3XXM8edlejvChUDaUtKVVYCkG0E1ibmAXOpU5PY7gfTj43awp44&#10;sree7NJXT6Ueo6fT++mFXqdqyJ9u1Rcvv6OSgq3Rfjcl649ksnmhhSCX1/EBOGFaBQAuEdkGewBA&#10;llLBYG4INzEDlaGF504ys/lhncbgL3WStRvWD83qJ6tn7ZlRj30IoWq8frJtiLdjZnXMrH/i7Vjf&#10;2XrDekRAExEJaAPgWl5cHr7w+j/Hi+MGhDcDZvI3yTFuK7JzsjExj9809g94baCW89FgLecp/UQ5&#10;RpkB24PF2H+z+DQRyKtXr44+KMaDG/72DfzTv/ymMk45vzVW5rDW5XK5dl8Oa10uV7NUsaVA7ydu&#10;AuPQM4pyPSRHSz8e2VBTKt2wWUOPOl3vNqQ52J824viztXnugu2O++oJn2tQ4oa2MVi8ed63Ub0D&#10;pfAGw2Fta1GdKlbP1oO/z1Zqepayc7vrDy8s2uFY1atOnz92jXpmpiktpY9ue3Omaqo+26+wtsvh&#10;Z2l48IGxzSPvi2BtVmKbco8/V1fe/IjuffhR3f3kB1r54+e6rO8ROvSww5SW1VPHnHSaevftpa6d&#10;U5We2km/TD1VH87LS+wnKUvm6499/k3//vNfqFP61fqi/KckCus/fV7vDhykeXPmqaSCG7WGGUnk&#10;sLZtit+h8HwnipObdaATIAhQZNCoOWYAysYBSvsb1tJ+9FCjASSgivIKPZtzYnKguo/tkSN76F+H&#10;dFP5xo1R+gMDtcVRhG1jsLYh8rasVNNfeEuPHtZDj3borsePIEo30S6WZF1m75xxmcb/8zF989EI&#10;LZ3ypbau36CKRHtVFfWABahiIHtXok5YL+xfzh+OK/AGmMv5Q65VPpwF8Fm6dGkExwBlRIUSIQrA&#10;5ZwIAadBzhBKGoy08zCZsUyydszi0/FlGytvqr1kFrYRbq8tY8uH5TYvWRthHStP1hcsF58Xb5f+&#10;5gEMYJJjAVgH5gJygbh82T+MxOV4clwxO1fi58CBlm1PuE1sJ/sAZOT3xs479ttApEXTArSxEFQ2&#10;B9haXbPGysN5rdEMVNNH7Df9AtBmnPOC6Gz60ozzwPrYzgmbNkOt7TxxuVyutiKHtS6Xa5eqrazS&#10;sH5nJIWdpBvY8OWshprS0iGj9e4vkueM3V9GNO343/9RlQWFDVsljT790vo0DDFoy/av+GT8AXMk&#10;w/U6rG0tqlP+qpm6+7IL1e+4Y5Wde4beWVWeOFYNswOVfPGMTuydpaz0rup1xVPavHpCi2HtSxcb&#10;rP39XoO16SmZ+t3tb2tdkKi2rq5Wa1Ys1fjx4/Xmh+O0uD7ls5Z+9oB6pGcps+vhyrymv0qq61S0&#10;coH+enIHpWZmqe/xt2hmeVV95YS+f+LX+rdfdNB//rfDdVX/L1Vsu5hovzrvW00dPURzZs1S3pZ8&#10;lVdWa5TD2jYnbrLD3yagDYANqBbCn+aaQSQbPxCwFrEOWw/7OKP/h0mh5r42wOoTh/fUk7knafPC&#10;xdqyao22rFuv4qJilZVVqLSEr6s3RNgG4JbjUFJSqqLNm/Vw4tr1WIfuibYAtT2SrmdXxnKPHtFd&#10;Dx7WUyV5W6J1DP/TbVr59bfbgX0yMxDDeHNEXdoD+gF5wrQKACAit4n0tIhcA2aAI2Au5wrnDB/j&#10;IoI02flHWRxcUh4CSqvHkDYNDofLWntWt7G2zOJ1bTpu8Xm7qt+UhesO2wnLbH/iFofethzwlkhc&#10;S6sApAMuAu4sN65F49pHzoio5ljyN2znQzIzheOhktWPl5k1JuaF5yRDACJ/M2wzH9ADOnJOxWGt&#10;jTM/GZy1cpsXnw7bwWw5Kw/N5oVtmNHXZmF52JYt3xyLrzdsL7TGyq2f+O0nAtuONWagFsWPjU2H&#10;ZS6Xy+VquRzWulyuJsXHu6bd+I8dACcG9OSDXZvmzo/q1Sact5n3Pq7+h+67dActNT6C9uNHn6iu&#10;pt6pXPDi242mcVg2fOwBcSzDdTqsbZ3ipqScG4+G6VDbyufp+uO7q+ORHfSfKWfqs6mv63fdspWe&#10;nqZu597ZPFh70bH1sDbzdL09c9X2D3DtCazNSM3S+fcO0Np6DraDttVVqaqiPLqxReWF3+nmY9KU&#10;npGiX3a7QT+WV6u4CVi78Jkz1CElS+mdc3XTh7NVQjPbqlQ0533dctHx6pHeRYcfepgO65Sjv74+&#10;TR/eeJRSG4W1zQc+rv2nOIgDePBVekAOgKelkCkESgwPFKw18Tedv36DXuj1q6QQc58bEbCHA0p7&#10;JIbd9dB/ZOjBf8/QvT/P1KPdTtJHf75d894frGUz5mjN9wuVv2GDysvKVVEG6KzUB1f+VY8cnqtH&#10;jqiHtUnX0QwDGj+SWP6JI7rp88efV0VxqT64+iZNfumNKMK3tLQkOvZmwFyAjb36vLeOGedbGIUL&#10;GAIIkhuX1DNE9QGMiP4E5AKzAFC84s85yUMEgCPnJkDXLJ4awIxz0ICnnY9hvfBcNWPalrF51p4t&#10;F19PuEy4XLgsZu1bfRsP65tZnXh7TBt8ptzW35SF7VKf7afP6LvJkydHxjR1w5QKgD2OAccDCEq0&#10;tH3kjAhWQC7HkXMGv4a/8ZaeK3Z+xa0phfU4n3gYQFoOzhmgo0XQhnCSaYO14bjNs3GzcNraCdvb&#10;lTW3Xmi2HfFt2ZU1tlxjbbFtHFf6AFhPGceX48rfvkVVM4xfI1wul8u19+Ww1uVyNalVEz5PCjeB&#10;teunfBXVIXfe5GtubTTVwIG0dxI3v1Ou+5uqS+rDCNdMmtbodq4cMzGqsz8VOrsOa9ui6pS/fq1m&#10;zpqpIR+O0oT5E/XPG/+iX//6VPW96F5NX2HotVAT37hBvTp2UWZ2znZYW1ddoYkP/U7pGVnKyuqu&#10;s665Se8OGqQVhdWq3euwNrHs8tn6ctiTuuOKc3XZpRfrzjvu0CvPP6jL+qRHsPbw3Ov1TXm1SlsI&#10;a8s3ztMjVxyttPRMZWdnKzMzQ507d9QRh3dRj145ys5JAmsrCrV59RS9+9DfdN+9/9A777yjL2fM&#10;0catHnvbGmQwH3GjTmQdr00b3ImDn6YsXIYhUOhAwVr2q7S4WO+edUVSgLk/DMD68JHd9fhhDHvo&#10;8Q714JbUCI8m7ImOvfTkkb316C9y9K//yNSDP8/S/Ylr1AsnnqMBl16vxxLXsEdY/vDdj6rF6iN8&#10;E+tNtHH/z7NVWlSoskTfVJQURRG8UWqGxLGPGxCOHLvfDB+jcXc/pvLEeFV5uZbPmKs18xZoy4pV&#10;qmmIvgvPo12Juixjy4XGtdEicoGBREsCCYFJlhsXAEVUKGCRSFEsBJsYUBIAGYeTDK3czlXGzZi2&#10;tux8DufHp63M1mtmZfE2KItvq9WLtxfWs3asPAS2LbFwPfSLgWeG4TrMrC7jrBNgzu+DQT6OCQ94&#10;iMYlcpq0CgZwOY5EWOPzAFUNAu7ubwDLmSHOF84T+5CYvc5vsNbMAK5FkJqFdbAQaIZlIaiNW7hM&#10;fLlk5c21+PLNNZaN71uyemw79egvHpBw3OwBDf1q/bsnx8vlcrlczZPDWpfL1agAnB93P2UnqAns&#10;/GHA4KhOXcLJnvLnO6IUA/F6rcmGHv07FS5bGW1zyZp1ej9l5/y7AxI3zBu++Cmlw/5Q6Ow6rG0/&#10;4riWVVSpotqOb6WWzPxEt157nc4482xd+eI39cXbalW8arwuPfVoZaSnKS21q7qkZeuxOaXatnjv&#10;wtraVdP0+FXHKz2lqzKyctStdz9lZ+foiCM7KSWrm3KzUnR4t79oQYthbYWWffm8fpPWWZnZ2crt&#10;+xvdPfAbzUvc7A1+6jr1zM5Vbm4IaxN9UrROX7x+o37VO1vdszOV0rWLOnfqrK4Z3XT+jY9p3tKN&#10;avpzSK59LW7GTdysE90ICEsGbnZl4TIMDySsZb/mfzI+Kbzcn/YYwyPqgemjHRLjCXuiQ6/IGDcD&#10;xgJTAbks82QEdnOjXLWUR7lqg3ZbZCybWAftPJywaU+9rOKiEpWUlKm8mPy4O4PaCNaWlUQgN2/F&#10;Ck1+7i2VV1Tou1ET9PAvuyXa6hZt80t9TtOAc67SkD/eqhVfJX4nNudFkIfjbBZON1cGijhvuGay&#10;PYA5QCCRlETlAgfJj2sfOwPYEV0JoAIqxs/h+HR4nobgMl7HzGAlw7Dc2g3NgCoWh6rJ6odm9Vgu&#10;XDacH5/XEku2DszaN3gL1GZIWdhHVm4QF1hO5DMRuQZLgYEcDyA7vykAVaJxOX78znBcOb4cZ7Pw&#10;nMHiZdTHGEeMc05wDnD8SeNAzm3WzTlggDaEtAYvDbZiTBvYtPlxs3lhO5xr8eUbW0+ytsysPFnd&#10;5potF67f2rZ2wzp2jOgv+s8gbRyoU+ZyuVyufSuHtS6Xq1EteP7NnYFmwj674oZoPikSZt33hPof&#10;mpu0Xquyw7rp/a5Ha8u3C6NtL1qxWh9mHb9Tvfe7HqXiVWuiOvtD5vgih7UHj8oqQxRZq7xFn+mf&#10;t92ss846Uyf+5gK9vbhc2757X2f1OUKdOnbU0affsIewdpt++ORJndqtqzIzs3XsGTer/+eLtGrD&#10;Js2fM0pXHJ2hTCJrdwfW1hbq64HXK6dLurIzU3XyraNVnNg/zuy6sk168Yq+ygjTINSVaenU53RW&#10;blelZ6YrLfcknX7u+Tr22H7Kykq0m5Ki3qffpJkbiutX6DogCn+LiIIjihFY2xS0aswM9tg4QOdA&#10;wVrgw4dX3ajHiEyNYOfuR6buVQOcNmYhvG0wInEf67CHsDZhjzKM2uyhB36RqaqKMhWWAkBJfdAI&#10;rC0F6JarvCHytqSgQC8edUaijW56tJFteqJTbz2bfYLeOPk8vXvm5Rp0yXWa8uxr+nbEOK1d8H10&#10;vrUUAMXPGaYx2uG84lizfSHE5Twm4hNYSH7cMCoXUEV0KJDRzlOLuDUgacbfQfi3EIevcWAanv9m&#10;1GFd4bLhfFuWefG2w7Jky7TUkq0zhMoY88P9NrOypsz6jfq0CdwG5AJxDQ4SyQlc5RgBCjlepMMg&#10;upP8uETl8lvEsW3qXAEqUg9gy3Isz/HndX4isknZAMjn94f1hSk24uAytDjwjBvL2XgcjJrF6zVl&#10;4XJ7YrQVbruVG6i1fWYf7XgA0ek//n4M2GL8nbqf6nK5XPtHDmtdLldSlW8p0MCOvXeCme91OUq1&#10;lfVfLVr+yfid5rd2e/fQXK2bVp++oWTter3Xuc9OdT7udrJqq4KQxH0oh7WuUPURQWUqq9mmbRVb&#10;NXPKBL304ku69/F39W30Z7dNxZvm6frcw/TLDofov/77rzSkqjmwtk7LRj2pU3K7KjMjR7+9+jlt&#10;aphTtmGabjwqTakxWHvjSYf/BGsrGoG1H81WSVW+Zj1zgTqlZiorLUV//nCNqmrrz+u62mqNvvWY&#10;HXLWVhZv0ph7f60uKWlK6dhLt32yVMWJ/S0tKdY3gx/Q0T1ylJqSrWueHKUi/3M4YDKIivhtAm60&#10;B1hbsrVQz+aeFAFFolOJan30yMTwiG71YDQGGQ+4sU1miWkDoUDmCNzurW2O2uuuKU+9HMGZwoZU&#10;CNEHzkrLt4NaDGjG32sJ0bflZfr8iRf04GHdI+AbQeQWbtOTKUfrhT6n6Z1Tf68B5/5By6Z+pbLy&#10;8u2vy7M9yWBuc84Zg7f8tmK0wznHOc1+AHIBghaJC8gl8jMEuAAsIC5w0VIrcC7ztwDIbSxPLue6&#10;gU5bxs5/m09ZWMfqheU2HdY3kGrlcbNlmmvJ2jBrrH4IY62ebbNtd9hGuC/hssnasIhcjgEgF7DO&#10;74V95Az4agCXc9LOE4P0DC0SNLTwXOAcAEhaWg2LxDaQT0Qu5wLrxwzmsk0GQA3kWpmdLwwNjrIM&#10;5xNmYNSWt+V2Zclga3MtvjzbEG5HaGwjfQDgpl/pY/rW+o9+xRh3uVwu176Vw1qXy5VU8x5/cSeI&#10;SQTt5nkLuPtRdXGJ+sfmtxlL3EyunTQ92s+tPyxLuh+fnHReNH9fK3R4Hda6mpKdKQDQDSuX6rNJ&#10;n+n5Zz7QrOCc2TT0LuV0OVS/+M9D9du/vak1wTOHms3zdNPpOUpL5yNnPXTmRZfon3ffqUdvO0+9&#10;yTWb+ROsrVzzrf52WkelZGSrV7+r9XnhT3lkl714pg4PI2trtmr2K1eoSwOsvWXEBlU3MBW2deSt&#10;xygthLX56/T0+amJtnOUnZ2rU865QH+/80698cabmjR5qO76zVHKTO+qnAsf1MKN++ehiWtnATzs&#10;94lxIAnwJIQqzbUQ2DA8ULCWdSyfNa8eJiYsyhN7RG4EGevBZyuJsm2m7TVQ22CkQ3jykG7655G9&#10;9WzOr/Tiqb/XoJv+rjlDRqho/boIcBFVW5y4/heWFau0pEKFq9fpwSMTy/HBtA4A20Rbu7Fd9fC5&#10;vo0nu51Ynze3tFQlZaRj+OkDZ4AjA7ehcWzNmivqsqwBXM5zrsNAYgNVQCuDuZYjF3AH6ALKkR+X&#10;89ogrZ3ryUAkFsJM+1vAqEM74Xz7e4m3Q7lZWC9uYb1dWbicrSvcNlu3tct6DRaHy9u0lYXLhvOs&#10;3NaBWR8yNKMu6wGSWzSugVyDpBwPjgvHx0AuENZ8Kjs/wnPFxLhB/PD4c77RBjCfNA2WWsMiswG5&#10;gM3GYGgyEGpm9TDqJbOwPha2n6x+U2bLh8uGbZoBo/mdZ9/t3Kc/6J+wDw12h/3ocrlcrr0vh7Uu&#10;l2snVSduUgYkbrbiAHPUaRdHqQ/Q8BPO2Wl+WzFy7gJoCxb+EDmb66bOSJrK4dtX3432dV8qdHYd&#10;1rr2VHywbO3aNZo08XMNnfqd8sPTaVutVswZpxvOO1GZKV2Unp6u7KwMHdkhRSk5WcrNTlWHjGs0&#10;u7xadWWr9cpfT1LnrpnK7t5Lf3lpiiqBaptn6unLjlHn9ADWbivVd+PuVs9O6crKSNXZj89VZU39&#10;ed0YrH3mgjSlZuYoJ6ebunXrFm1Lx44dddhhh6tzamK70ruqw0k3aN5yT4VwoMTvkf0+ATF4dRhA&#10;AkyJg5ddWQhyGNLGgYC1/L6WFhUrf+lKLZ3yhSY/9oJe+81Fuv8/0vRwJ6Jr2xas3dv22BHd9UBH&#10;Pl7WLYKuj0TwtIee6thbTx6emP7PbD38i+56uMsxeub4MzT4vsf0ztlX69HENbU+JUPLo2rjFuXi&#10;TVyPF3wyVqXF9R8UAxADT0OLYBoQt6RURSVlWjljtkbdfr/mDBwcnVNApcaUDNolE/Mx6tImoDh8&#10;rR6Iy+viADyLyLSoXEAi0bic50BJwGM88taApVmyvyvK4nVCC+s1Nq+5Fge/ja3X6rJvDMN5YR2z&#10;puYlM+pYH1l9hmwHZfG+ZL594Ix+p/9Ja0B0LMeE3Lj8fgFcAa9E0trHzsLfuWRiXgjyWYZlaYO0&#10;CgBcACfnAOvhN411Wp5cwCjbxG8nbyYwDEFzCEuZNjOoauDXhi2xsD1rk3YYZ31sA8Y4fUZkMfvG&#10;eW4pEICyyP5mkP1NNNVvLpfL5dpzOax1uVw7ad2UL3cCl+R8LVi8NJqf/93iCHjuVKcNWbT9iRvL&#10;mrLyyOH89qV3on3coV7iprOysCja532l0Nl1WOva59pWp8K1izXo7Td18y236pwrb9PLExap/3Xd&#10;9d/+42f6j/+9o55fUcGJqR9HP6ujUjooLTNbqZ0O06GHHKL0jEx1y85UTm528IGxbdrw7Vj9PreT&#10;MrOy1PO3t2tpfn3ahG21NZpweywNQv5aPXl+SpRiIfX/z95/h0lRtP/++F/nXNfvXN/r/L7n8zmP&#10;iuSgooSFDbDknAUEERGRpIIYAEEBBYHNeck555xzzjmzy+7C5hwnT/fMbHp/666eXprZAUFQCfX2&#10;uZ/p6aqurq6qru1+cc9dH7TGhOUbEB4airFjx2LQoEHo1asXOrZrhUZ9J+Fmyt97/wk9XupPX0mv&#10;A6yl8gk+qD+dtpLHptkCi8ECq2xBeJs+TtjIzLmYlzuY+LRG0DKUtgleOsv8Kx6n/6Rxz2LybK1N&#10;sWd9EF5bWeyM9hPIDmPXQBZajzxovRFZrwUi2d/NEPr+Aq6tov3rNEOkR2cYLYYnL3TmBLZkxbId&#10;02s05W2u1KUZohu2w6ahP+JM9GJcWrIGMXsOQbJY+XimcaeCqKcRjR8VWNG2avSdyqG/3XTPqPFx&#10;1Z/VUzxUgnYEyNRwCuSNS3BRNS30JCBJEFIFkSoodb2XVKN9KmR9XqNytOYuj2qu9dDWxV05rvlU&#10;U9MfZ+7KUQGy2jaqUXupbaZtN2pf8sZVoST1B0F18pClPiKIS/CV5gYaV9SP6hihfqX+de13bf9T&#10;Pnp+I49cgp0E8an/tSCfwLEaUoE8WKkeBE5VUKuaFqBqAauaXwtj/8xUSKstR4W16nlom+pDdaSx&#10;S9dBoFY7/5PUca7u06YJCQkJCf09ErBWSEjoEZHn7PYWvR6FlswO9P5KSWcPaBs/al0p/VW17S17&#10;VcSnPTrou0oQemerj//Wh1Jt2QLWCv1bovs+LT0DJ48dweEHanzacsTuj0Z37waoXas26n3ggXa9&#10;v8TwL/rCo3EjNHzfE+M3X4WFnG3s2VgzdQAaNPSAZ1MvfDI2FMeOH0fMnpno38oHTTw1C4zZdDgS&#10;2Bfvs7we9T/A6J1G5XRMJSWlKCwqQlJyEo5fikG++WGsXKF/VtqXdYIR5EFGsOlVhrUEUh4BflYJ&#10;JqsVdrMMU3omQms2RUQtLwVMPid8JGBIZZB3anQtH4RRmIC63mw/gU1mHHCSOQElM4K6LwvQ5cDT&#10;1SjEgdNCmVHog2C2/3GLiv0lY+VQ7Nzwms0Qs+sQB7UEZR/pN6fRAmhWC5kVFF83/exFhNViZVB9&#10;nJDZ3Tm2jBiL/ZP8cGbOEiSevghLkQ6y0QQ7jQVWpoONfRXOqZ9PI8qnwj0yGtuqRybVl8YfgVyC&#10;gwTyyANTBXAE5wjkErzV3jPqfUOwku4ZMgKRWjCp3mfujntao/xayOnueHW/1tQ0tX4qVFXLUutJ&#10;eVXoquZRzbVM1bT10ebXlqMtT3s+9Ti1DNVoH+WnumpDK9A/RFEfEBQlr1iam6iPCLwSxKQxSHOi&#10;CiwfZ5ROY0A11zGghtVQYb7qja0ucKaOBRWmquBWC2+f1lRQqx7nCmupTDo3AWUalyqgJuhMn+o1&#10;qaCWroe21bEuJCQkJPT3SsBaISGhR1TGHsa0sFK1zBNKjNfsM5fcpr+yVssbp0dP4rCq1O7AxgZt&#10;K+W5t3Qdv/a/Q9oHXgFrhV5G2dkLanJSEk6we/9yug3l99ah28f90Kxpa/y06SpMzl8bl6ZfwLgv&#10;OqKxhwcafvQB6tSpgxo166BxUy94eWlgLUqQfnU1enl8BI+mTdG0dV9sv6FTCikrhi7xNg6s3oDC&#10;4qf3ehN68XKFtQQXVFhL0EMLT/7MVPiiblMZ/wasJejyCOyzSNxzk0CMXpaxoPMAJW5rLcWT1B3o&#10;e1rjoLBOM4Swz5C63kpsXLZNUJO8dlUYWgFvnRbGTYG6vA4vCoK+SKt0DS+wnlRObWozH8zy7Mz7&#10;R7ZQDFEFzvIFz9T+Y9tm+s76kbxr7XYZQQ3asbamtnOW5e4cf2Jz2Xk3DB6Nc/NXQJ+ZzQHu48bn&#10;s45bgl30d57AGHkwkkcngTI1LioBQvo5vbrQmbqoFYE1+hk93Td0/5w6dYqb1gOXTLvteh8+ybRg&#10;U71ftabmUbdVU0GpatpjXM1dHu2xrmlac83nato8rhCX0tRrI9O2kes+yk8QVw2pQGDT1RuX5i0C&#10;nFqYS+OR+lSFmY8TjRe1/+kYNawGhVSg8sjDlc6j9rkW1KrQ1Z25S1f3qftV71z6TmXSProeGn/q&#10;8yfNx/Sphc60TddFRvUnU7eFhISEhP4+CVgrJCT0iHIuXK0EKzc1aIsSWVlgaEfLyl63r7qtqeGJ&#10;xO37+PWlHzlVybt2U6P2KGYva3+HtA+7AtYKvWqyFZeiVPu+po9B8M/fon3btvBo2hy9fpqNuRP7&#10;4b3338d7tToi8lwC+Ewi63Bg9rfw9mjIQye06NiTh0GYFeGHn/v44IOGbRCw6UrFQmVC/7ye5Fmr&#10;Qo2nNS1woU8q45+GtQQXKsFaqxVmWjCrMB9Wgibp2Qis0oSHAQiu54SRLiDvaY171db1QVQtHwS+&#10;1wK7xk7FhkHfYUnHAZjfrDvC3/NFcPWmPNyAAjwfGoUiIGBLHquRtZ+vHq+aEQQmwM2hdT1vTH/X&#10;A0v6fIVjIbNx78BRJF29huwHibAaTbCx5xLFu5aAO33KSDx3CWHsbzqB7hfVblH1W2JBi57Y+OUY&#10;7P7pdxydEY5zc5ch6dxlZMfG8zGselw+Tk8zvikPlUMgj+4/AnkEcwkI0v1H9wt5fRLAVYEbAUW6&#10;LwnkUngFAo10b9E9SnFd1diu9F29D7WmvUcpz5/l0+bXbqvf1W31uxaaqul0DpoDyNzl1R6jTdeW&#10;4WpqGh1H1+9ajjtzzUPlqG2gtoNrXSkflU9tTW1O/UBesQQ9CeCqIRUIwNJ8Q97Uqmc4eaxS37qO&#10;FdqmZz/KQ8dQf1PYGSpTDaGhQlsCrARcVRir7qd9BGNpv7qP0lXTQlo1P3n1EiSmelEdaI6kemi3&#10;yWhbKzVdew1CQkJCQi9eAtYKCQk9ooN9hz0CKskuTg7gaXaDkcd5dU1/LYy9OEt5Bfw6D/UfWQnY&#10;XvotiKe9aGkfdgWsFXqdpGcvq1l6B4qL4rFq7VpMnRKNzTEZCqwlyXnYvTwAfTo0R8MGH6L+hx/i&#10;g/r18QH7/KhJSwyP2IcsqzOv0D8uggrq/EQwiry+XuWYtQQXCKBoYa1kscAk2bC471c4O3cpLJIV&#10;G4eNVX6Gz39G7x7ePY0pnrU+CK3lgxPhC2CRLdz7k9rVLsmw6vTIf5DMf+p/zI/dG0PHYkWPLzCn&#10;aSeEsPMqoLYZgil+7psEa9m1UtsTbI1if3vDycuY7Y9if6Mj2PeQKk0Q/K4nAqp7IqxJR6z/6gec&#10;jJiPa1t34/65K9BnZyPEoyN4nGDqA5fy/w5b3O4TrO7zFfb+/AeSTl1A9u0Y5MYmwJiTixI2vmns&#10;/RW4pR5HcI+M7hV6TiC4Rl65BPa08XEJ7qkLWxGQI3BL95z6c381Pq72nlRNCyVVUEmm3sNaoPk4&#10;U/M+ySjf486lBavabfW7uzpo8zzOtPmfdIxrPqrb40wth+pEbaq2MUFc8solkEsgXQ2rQB6z1EfU&#10;VwRzCeCqkJ9MBaPaviZYT4uXqZ62KqBVgS31sRrOgPqcjNJoH5k2v+t+GivkzU3jicYYicanOkbV&#10;be0+rdztExISEhJ6sRKwVkhI6BFpAaVqmSfO8bQbIXPcpr8udvLrn/l1OswWrGMvytq0De+3hJSb&#10;z9NfpLQPvALWCr15KkHCpWMIDwrA8OHD0aP3AAyeOAubTt1GhsWZRehf0ZsAa63kVStLWPfl99zD&#10;tZhdc3bsPQS824THmX0e2Kd4dvogyrsLLBYTJJPiyVtxbkkJv0DQjUyWbbDJdpbPjIur1iOyZjME&#10;Eqit4+22/NfZCNjSQmYEbfkibezvsRorVwW53FieCIK4LE9YdU+EVG2K4BpeCGF/s0MJ+v5DsPZJ&#10;Nr95d6zq+xX2TJzOY+LSeFfh2POK7hkqi8okT1waVzSWtLFxySOXvDQptAItckVeuQTsKE6rCnPp&#10;niQA6QpQKU0LTV1BpWr0Xd2nbmvz0LZ6rGvZNA9oIaw2j7v82vqo+yj9z0x7zPOatly1jmrbqWEp&#10;1Hak61O9cMnIC5oAqtYbl/qIwCnNB/QMqM6F9El9Smk0/9JidSqgVUEsfVe3tTCWILE27AHtp7y0&#10;j8Axlan99YSQkJCQ0MsnAWuFhIQekRZQcmMvSQ6zmaft6fRp5fTXzIru3uPXeum3wEppl6aG8LQX&#10;Ke2DsoC1r5fKShUIJfT0cjiKYZbsENFq/329jrBWrzfAarFAsiqglMCozWSEZDTAr6oHLi1aBbPN&#10;io0jxkGJG/ussE/x5uTxXNnfzrCa3kg9d4l78Jol8yOw9nFGeWwOOyIbtONAMpTKrHSe19/UmLjq&#10;J48/qzUnvNVahScy21YWPfv3YS2No0hWjzUjf+bjjryrySri7zIjT1nqe/pUnwOeB+jSvaQalUOe&#10;mlQ2QVyCdAQHCRISLCSAS+CQvDIJ5BHYI6hI3qEEdNUFz+iepRi5FFZBhZGqaYGqu09Xo/2qqQBW&#10;ha4q/KQ0dVs9RptPzatua/e52689599l2nOp9dDWhdqKYK4alkIFuTSvEkSn/qB5lkA79Rf1G/Uh&#10;fRJYpf00Z6oLkVFf0SeZCmpVeKvCWjWNIDF9p+PJs5fKU8snExISEhJ6+SRgrZCQUIXkAl0lQLmn&#10;60AlkT3MbajfulL6v2kUqmBtTS+s+O/62NqsO05+PQHX/KKwr+dgt/mfxna07o0y9gBL10uxbLVp&#10;69/zhVzkXAjpBUn7kCxg7eujMoeMlMt7sGJOJObMXYj952Ng07wPlZY4nFtCQi+nXkvPWr0eZgKn&#10;BMjMVlxbsx2XVqyHic29O7+fgtD6vrBZZeTFJiCo9rPDWuUn/M0UUFirGdZ/9SMk2YHsmHjc2Xvo&#10;T2EtpZNZWN3u7TqAKLUsN+d6o80V3JLVofZXPG6p3ULqPZ9n9Isyir0bWM0LDvLiZmNPia+rwFoO&#10;bB8zBshkmw05cfeReuEKctgYMuXmc8CmGo1pFba53j/0ndJV6Kv9TsfSswYZPXeo56af3RPMJU9c&#10;8r4kkKuGVCBwS/cseeMSYNRC08eZFljSvU/Hu0uj7+pcoQJZ7byhpqvnpGNU8KnOR+6O0Zo2jbb/&#10;TlPrp5p6nWqdVVirzUvb1LbUzgRhqf3plwA0P2r7jfqLQimoIQ/IKL8KadVwCfRdhbT0SfsIBlM8&#10;XCpDHS/uxo6QkJCQ0MshAWuFhIQqlLL/2CNwkuzMD1N4WuHte5XiuP7TxuFsDU+sfLsBtjXrzuo2&#10;GVmnLsBKceFsDx8+Cbbemb3UbRl/ZnSOojtxvJwrf4RWSo9dso6nvShpH5IFrH1dVA5LwS0sC4vE&#10;nusZyMtNwaY5kdh1NQmEaEsNSTizeRZCg0IROWs2Dl5MVQ4TEnqJ9Hp61uphsFohWcyQrGbsnBqK&#10;wHcao5jCDxTpEPR2Q5ydswySzYGtw37ioI3i19JiYWTuYJzWuFetExgG1W4OU0YGZPa3aTMra3GX&#10;gdxbjiCcFs6R0T6Kl0telrRdbLZCLrYjqF5LVhZBY/fnE1bZKrxwadsl7d+w8JreuLZqIywEac1K&#10;3GLX/nc1Ph6sNqTfisHM2l4IY88eBO2jP2qN2Z6dMb95DxwLiELi2Ysc4D1OdE89zX2l5qN7RAW4&#10;6lglgEvQkBaiIohLMVTJK5cWp1K9cbUwV72/tVBSCyu13x83j6hlqOaal7Zd96mw9kn2NHlehKn1&#10;014nndv1/K7tRV7L5L1M3wmIU9tSW6vQVhX1DfUFxbJVAS31ARltk+ctbathF+i7GvpA9dhVpe17&#10;MiEhISGhl0cC1goJCVXoysyISnDydvRinha7ZG2ltH/CVr3TCOvq+WLD+604PC28EwuHwYSykif/&#10;UNqSkeO2vKexTQ3b8YdXB3u5WstetLRpGz9shfIX+EBL51ElYO3ronLos09hVtQGJOvoRagE2fG7&#10;MXfpERQ6gDsb/fH7vININBTDkn0F88MjcCRG7zxWSOjl0OsIa3V6PSSzBDPBMNkCm86I0NrNcHrx&#10;ShglCdvGTUHER20hW2UUsboF1fBCJPdubc5/Wu8OxmmNQG0IX5zMGzumhUKSLEg8cxFBbzXAqaj5&#10;kGlhMfZ3RQFyTjhHgJZCM5jJo1ZGQWIyQhu2YXU0I+vGXQ5rCT6qIQHcnVfYy2cc2rOxEOzTGaVW&#10;B6ysb2WLAmK1YNbVKOYs5bHKZixqPwCR7LmDh8Jg5alexFp4H/lBSw5xZ7HnltmN2/PFzjYNGYOT&#10;IXORffsef6Z4EoSj+0411++uRpCP7leaG6iO6gJnFBuXIC4BQYqrShCRAKHq5UnAkMIpaL1ftTCT&#10;5gMy7T53++lYFXqqRt6oarnaucbV1GPVfH+nuZ6HvtN8R6bdT6bu016v1qjdqD0JlhNopb6kfqCx&#10;QvsImhPUVUMgqLBWbXf6TvGK6R+q6BmTjnUFs9S3rvuEhISEhP59CVgrJCRUoWNDf3wETJKl7DrE&#10;086On1Yp7UUZ95h12uqqHvxzq2cX3IpajIKbd/n5n1WmtEy353paI1BLOvjJ8EppBTfu8LQXIXpI&#10;ViVg7eujUksRdswLx6G4ApSXSUi8sBbzVxxHrgTostjLVa6d5ysvK0XKoUWYu/EiZL5HSOjl0GsZ&#10;BkFXxD0cc27dwqGQCEiSDZu+GY/p7zRg9SiBqaAIM9+qjxMRC2CTJWwc9iNC6/ogojbBsoeA7HHG&#10;PWtr+WDG+y3YXO6A1WBCdMPOiPDuBFlnUjwrTWZI5GWpgbUWqwUmZhSaIf74OQRU84AhIxN2uRh+&#10;9bwV6MfOH1bXV4F2bs4t7OUyPhaY+VdrAn+PDtgwcRoenDoLh8kIm8UCo8HAx6Jkldl4cHqx0pgg&#10;oCtZkXDwOAKrNmH97s3GIHlruz/Pk4wDfnZs5IetsP2n32AmYEehFe4lwKo38OcNgnequcI6uicf&#10;d1+qcI+M8qjbVA7d0zS2CebSz+5p7lBBLsXHpZ/t01xC3qMEW2kuIKCphZq0TXOFCmrJ1O9amKnO&#10;K65zjeuxWnM95u8wbT1c92vr4ppfbQPaJk9b8rilfdRmBF0J5lM7q31AXrcU3oC8nFVPZwK3ZPRd&#10;9cyl+VyV2l/avn1SXwsJCQkJ/TsSsFZISKhCu9v3qwQmcy5c5WnHvvy+UtrzGAHZdRWQ1geH+o/A&#10;rfAF0MXG8/M9jcjDVcotgJ29/LqK6u3uvE9rRwaO4uXo4x5USrs4KYCnvQhpH44FrH19VFpiR8qV&#10;fZgT7IfZ0VFYMH8VTiYW8TAIJLXXy0ol3NwyGwt23obNuY9UJhmQlZIMs9nAXuatbGw4UCZepIT+&#10;Qb2WYRAMOg5GT0Yuwox3G8JYUMShatC7Htg9aQYssoR9v8zE3IYdIZmNKExKQhjFriXv2idAUhXM&#10;kYVU+whFcYmwWiScCJuHwOqeuLPzIDuvhJNzliB+/2GYOZwjD0oF1nJQJ1lgNJn44mKzW/VGuFcX&#10;FLN86bduI6I6nd8H4bWVc7mrg7CX01RgGv1eC8yt2xKR1b0R/N8N4fefRvijelPM6ToAR8PmIOPy&#10;NRSlZ6IgKwPmvAL4f9iSQ/oI9sxBXt1P848F7kw5v7L42t7J/jDbbNgXHA1DXh4PyWDmsXTNHBzT&#10;PU+wlZ6tVHinNRJ9uoK+x4ny0TMNlUteoQRw1bAK9JN88gyleYUgpNYjl0Cj1hNXBaz0SXOHGmKB&#10;TDu3vCym1klbN7oW1VzzauEtmZqf0uh6aR9dK4WaIPhKban2CbUvzR+0aNyDBw9425FHrQp3aVE5&#10;an/qC62epv+EhISEhP5dCVgrJCRUoa3s5dAVTBKsJB3oO6xS2rMYQVm+YBd7+dj0UVsc6j8SN8Pn&#10;w5qVi1Kb4mX4tCovK0fR3Xs4+sV3OPjJMNgNRmfKQ91kL8nu6vEsRiq1O7Ceveg8ksZe3EvY/hch&#10;7QOzgLWvi8qhTz6BhVFLcOZ+Pgry07Fv1QLsvZYCh6a/y8scyL6yE3OjV+FK9qPjqVSXji1RUzFr&#10;0UosWTAH4RFzcOpuElLvnsHxQwdw624CzPLDsfJcL17s2LKSyi9zQm+2XktYqzPALJlhLdQjon5r&#10;nI1YyAHthuHjEFrDCyU2BwrzcuFXwwMH/aNhtcnY+v0UhLN5n2CpOxjGf5bO/iZwWMv+vi3qPhBS&#10;sQOWvALMqNEES7t9AYfNBnNBAcLe88WygSNhkmw8HALBMgK2BMpsZitWfDUGdklC1q0YhLD6ZN2M&#10;hd0iIcy7G0Lreing7g2GtRw8OsElh5dkbvK9TMb7q44vrzd5x6rgn7xleXgDlif6gxaIZnnC3mmC&#10;gLcawq9KYzbmlDAKan8/TwgMaivyEPdj46cgOY3/g8XDhc7Iu5d9kpc3MxqP9A8NlE7/gHAyfAGO&#10;zVoIO3tOc7BnFMlk5vfsi7hfqQx65qFnH6qHGlaBFtCiuYE8RgniEoTU/rSfoCXBXNULl2Cm6oVK&#10;c4s6R2nnHHX7ZTKqkxbSuquzanRNtJ+un0IfEOymdlP7gTxuaT/FqaVwCNR+BGqpfSmP1lS52yck&#10;JCQk9PJIwFohIaEKuYO1ppR0nra326BKaU9ja2t68RiwB/sOw915KzhkLZH+2g++yduDPG+Psxdr&#10;gr+3oxa5BUz04Lm36+du6/MspnOC6nM/z6iUZmQvPC9C2odkAWtfE7E+zbu5HrNWnkA+D61cDl3q&#10;Zcybtx7peuc/TJSXoODGfiyaNQd7buXBtddL9enYOicM688nwsrGRObtgwiZNh0LNhzG+cuXsWFZ&#10;NFbsvQ6Jc64yWPLu4NjWtdi3bz9iHmShmIZVWTF7ubb9OYQtsyH10iasP3ANlieHghZ6g/Q6wto8&#10;Nm+fYH83LHYHDk0Pw8x3GsBaoENJaSlmVGmMvZP8IEsO7Pt1BmY16gRzQRGM2ZkIrufDYVclUEqw&#10;kEBtHSV9ZvUmkPR6yFYJS/oN40Cu4H4KZNmGHT9NQUD1psi5cQsSxSU1W2CWrDAyI+/G/JQUBFRp&#10;grt7DnNP+vlt+yLKuxMccjEyrt9CWLWmCGH1CH8cNH4DTIW1HHTyhde8EVaPPpW+4f3DjeUnc1PG&#10;v2p8vDy0yDq+zJRtuq7I2sq10ZhSwx5UGnN/xajd2HMLnWf/JH+YZOujsNYJaitM4/Et6Qphycpm&#10;+x3Y/sMvmO/TDesHfI0DkwNwd+cBJJ06j9SLV5F1Oxa69EweXoF757L7+VnuaTU/3adkVAY9D9H8&#10;QJ6k5JFLIJc8SNUFzhITE7k3LsFJgrcUVoGMtrUwV51ztB65WkiqBaXqPPU8Rud09aTVlq819dyU&#10;Rw0JoeZX60ZlqGlqfvKcJc9k9ZmRnh9V71oKOUGgVv3br21Xbb+o2+p3ISEhIaGXSwLWCgkJVWi7&#10;b49KUNKUqsLavwY/9388hHunlpX+da89grQFt2Jw7KsfsOrdxtjVvh+K7sY5UyuLYLDrwmB/xQ72&#10;H8nLyzl/pVJa7OI1PO15pX1IFrD2dVE5LIV3sChsNs4m5MBhtyLl8k5ERK1BYp4MlDpQcG0nFs1d&#10;hH13CyCXVn5R4rB23hycTdPxkAk2XQ5WR4bj9IMClLL7QZ90GVGzViGlqBQwx2F9dBS2nYzBzTuX&#10;sHrhYpyKz0e5IwW7li3CnqMHsGP9SuzeewRphlIUm/JQkJ/HXr6Vn1ISrE05vxZzNp6DXsBaIade&#10;R1hLC4mF1PJGQWoaHCYrwt9viZ2TZvJFx45GzENoPW+Yi/TQZWQhtFYznJm3DLJsxfphP3HY5QrO&#10;FHioeElG1PDBxQUrYJJMSDt3HUFVPbBvahAHTZnXbiK4lhe2fDcJkmxDYV4O7ARrCZZZrHCYrTxG&#10;7sreX2FO614wsf05d+8hiB2TevIyJKsFC7t8xs7nBhi/ScaundqaftLPgS33aFaAJje+EJcCtMOd&#10;YFtJo++s3Zz53Jb9TxvBWBcjQBvC0qJq0fYLrCcrV/X+nlm9KfS5OYpXN3nSuoJajZGXrZmNT4tV&#10;Rv6te/Bnx5K3L/f45W1d+VyL2vbBjjG/4t6+o8iOiYdVp0eJQ/HE1dqzSgW4NF/YbDZn/VjdLBYe&#10;VoFi4xK8JGCZmZnJvXIJ5NICW+RtSvBWnX9U4On6+STTzmdPa38Gal3zqMepRvvUuqn5aO4kL2Ka&#10;PwlWE8RW24bahdqD2oa+q+2mbXf6ru4TEhISEnq5JWCtkJBQhdx5z+rjFe/SfT2+qJT2NHZr1mJ+&#10;/F+V7l4Cjg39Aevr+WJ1taa4EToPpfYnh02wZOW6rcuz2sYP2/DypPxCrKv1aNp2354v5GFXW4aA&#10;ta+PystLkB17FkvnzcLcuXMwb+5CbD2TBEMxYIzdjsigCOy6kg25mPW3m3GkwtozKUWgf+aQCzOw&#10;KiICZxIL+XdrVgIWz12MpMJimM4twbSgxbjEXkzz2Itq9s3tmL30AHRyJnYuDEfEyiOIz0jHsa3L&#10;MWvJGuxZvxqLly5BVMQcHLqdAUc5wdoN3Gs3KT2F/wTVzl6uhd5svY6wljxnw+t6Ytt3v8LisOHc&#10;/NUIreoJq9EI2WhGYJXGOPhbMMw2O45Nj4R/HU8YcvJ4SIOg2l7cg1YFfvSzdP7zcoJX7PusZj0h&#10;m0z83gn/sDXC67eBjZVps1qxoH0/BDdoCWtOPmvXEsxv3x8xuw4qIEyy4FDYPNBCUxk3byOwmgfu&#10;HzwBu+xAVIueiGrUETa7hOQzFxBSvQk/tysge1OMX3ttb+5hTF6oIXWasz7zQHC1h+2iwFvFOKTk&#10;xvqrjjciavmy/mL7OWx8tOyXxXi9nHV3l/6XjNqA/6MCa4M6Xlj1+WjcOXAYRanpcLD7jzy/KRQH&#10;hT/gC55VwFryvDXyMbuw46es7Z1t+YxjMPqj1pjn0w1LOvTHuoHf4OjUEKTdvMvnGIKKdG8+r2j+&#10;oHLoGYqepaj+FFaBwgWoAFcbWkEFueSVSzBXXeyM5iian1y9cLVzGIFTFZ66zm/qdzUffVJ5ZGo5&#10;rvnUbdXouxbiavfTp1rO9evXuRct9ZOrqD3UNlHnVvW7dp+QkJCQ0MsrAWuFhIQqdGrUxEeAJFnu&#10;pes8jWLMuqY9jVEIBGt2Li/jWWS4n4TjI8ZhbQ0vHvJgS5NO0MU83eJjWWcvu63LX7Ey9uBPD7Vb&#10;PDtXSnsRcWu1D8wC1r5eor51OOwwGIwo0JmhhphNOrsL8xcvxezZczF3zmwsXboEuw6cRI5mnbyn&#10;gbVL5i1Gsq4YmQfmYGbUGmzZswvLly7DnFmzELVkF9L1Wdi5YDYOpFpQyupSWngXS4L9sPp8OizF&#10;Jci6cQARUeuRZZKRfnkdAvwjsGbjNlafBZi9eDMSWdlc5SWw5ibgQfw95NOCTM/hJS/06uh1hLX7&#10;pwRy0Bdcxxe61AzYrDYEs7l85w9TYLJKuLJ0DYLrNeeA1pSTi4gP2uB06AJIkgUbRk3gsJb//L5O&#10;s4qfrhOoDanqhYQTp2G1yLi8bBNCajbFrR0HYZNlXF21Cf5VGuPikjWwSBKSTp5HMPubdmreCmWh&#10;sdwizHjbA5fXbeH1Wf/lGER6tIfZbEVBYgqHySlnL3KYtrjTQAWWkZeoCxD7q8ZhJl0Lh5ru87ws&#10;RtdOHrVhrA/8anoj/ep1mIsMKEpK4+1KbX3gtyCs7PMVy+cL//80QChrazo2rI4nQut48ZAWPP7w&#10;S36tL9L4Pyxwz1pvhDCLpHHM2iWUjf1A9hnt0QnLew3Bxu8m4uicRbh/7gJsRiN7HimGgY27tDMX&#10;2Zht6izj+cYe3S/Uf+EN23CvdSV2swQzuzfIC528Q8lo/qHnIYK5f2VuoGNUo3ufyqHyaL6hZy0C&#10;nGp8XAK5BD3JU5Vi4xLApbmOYCjFx3UFuQRLteBVnd/U/WS0XwWurvtVU4/T7vszU49R60H1pLAQ&#10;dE1qO6nXLKCskJCQ0KstAWuFhIQqdCtyUSUgmbr3CE87PnxspbSnMQKttCDXmTHsZdgZUuFJohi5&#10;xwaPwTr2IkXHrq7qgWv+USiRtWvlP1kXJvm7rcuzGp0/69QFXuaZH3+rlO4waujaX5T2QVrA2jdH&#10;1O/0Mko/YaSfbyamZCHP4kxkKtVnYNPsKBxLLOBwVspPw7KQEJx2gbWJ+Q6U3tuGmdEbkcXKpBdS&#10;7lUk21Eqp2Db/NnYn2xBGRtm5UUxWBUegj2JTi+cgjtYFbUIl4vMyLiwFtErjyBJb0NJsQXnt8zG&#10;/G3nYSwrgTnhCFYvXoIVm3Zg6bxorD6egBJWniHpBo6fv4LUO1d5/R1UMfFi+NrotYS1vwVyWETQ&#10;ddf3v0GS7DizYBWCq3mg2GSFqVCPmdUa4uC0EFhkKw78GgT/dz1g1hXBbpPg/1ZjRLC/C/xn4HWa&#10;I5TgE9ve9OUPkM1WWAxFCKrmiQXdP4dks8KYnYfQD1tjXpvePE4ttWl4g7YIYX/fikvY/W9lx8gW&#10;bBoxHvNb94bM8mReuYWQak2QdvYKZFnCnE4DENawLUocJUi5cJWV78GhGUFLqsPzQEcCb/zn9k7w&#10;HMrK4iDNaREvEAq/CKP68vjBtTxxcGowrFbZ6f350LhHqNnC+sIESW+ELjkNqawtD/wRgbBaSt+T&#10;V+7LDqZfpBGsVWIuK//QEFZXWfCMx/fl31m7sDwEscNqeyOSxkEN1s41fRDdpDPC3qPjvdjYp7Ke&#10;Y0xQm7PzBVIZrOzjwXN43GYKQyLRomYUK5f130Ov3od9amPPgCq41c4VtK1CSde0J4nyqQCX7ksV&#10;EtO5KN6rXq/nYRWys7N5fFw1nALNX6dOnarwuFW9bNV5TYWo2jmPTAW32vlQm/4sRuegUAh0PEFk&#10;WniN/yKG/e0nCVArJCQk9HpIwFohIaEKZbvxSL0zeylPuzgpoFLasxgtNLamWlMc/XIMbHoDL1Mr&#10;Y2oaDn36Nc/HAS87ZuNHrXkYhmd54KS8mz5qU+n8f9Uu/RbMy41btalSmuFBMk97HmmvTcBaIVU0&#10;LorZC6SjlL1wse/FkgnnDh3GrUwjh7WWzHuYFTYLCZkW9mZmxO65wVix/zLMjhKYki7i6q0kNp5S&#10;sNUdrH3gpMIFd7E6agkucVi7HvM2nYOeD79yGHPOYc6szUgz6nBseRTWnUrngLasRIeNETOxN8kB&#10;S/wZRPtPwaz5q7By63Gksvs69tBaVq9gzJ67GMfvZMFNOF6hV0SvI6zd+1sg6OfwIfW8EMj+HhUm&#10;JqFYtsG/BvubM+RH7uF3Nmoeouu0hCEvH7LBhLD6vjjsN4fDpC3f/YrIuj7OBceaIbJOMwRVa4LC&#10;zAxIxSVY0n0Qgv7vBzAVFEKWJOyfEgz/ah5Iu3QNss2KHT//genvNET+9RgeW/LWrkOwS1bkJMQh&#10;oEojXF65GfpiGSs+HYngur6wy1YUJqXxn/knn7kIB6vfym6DOXAjwEpw9XmgI8HPENYeBOl4XFe2&#10;zWPBErxzmrvjOODlxzwHuHtKU8MCcO9QOl9tb4R/2BbmwsKHi2A5AZ/WrKxdVdhHbS2z77M6f8rj&#10;3Qbza6t8rr9qSmxcAqHONqGyVXOT/98wtR15W7oaG0u00BkteMbBPbsG7gFbj8yH3S/erN18EPje&#10;48fE0xpfOI2N31Aqmz2rOSQbjFYLu79oob1HgW1FX7I+pDTyVF/WawhmN2yD2U06Yp53V6z6eAiO&#10;+kciPymZzyUvYh6hMshozqAyafwQvCUgSh649+7d4163NJ8RmFUBLX13DV9A2zTXEVR1TdMC3Kc1&#10;OkaFtdrjCSZT7F6SCmuFhISEhF5tCVgrJCRUoVL2UOoKJC9MnMHT4tdurZT2V4xA7JoaXjj82bcw&#10;JqXyB+J7yzZg5dsNKyDt2hqeODv2d5TYnhyb1p0onq1azouwfd2/4OWmHzlVKS1u+Qae9jzSvlgI&#10;WCv0JKkvkDRi6NMm22FzKOOlVMrEzhXzMWPGTARFL8H+m9ksLQWbosOxL9n857D2/DrM33IBhgpY&#10;exWL5m1AquEeNkUGwy8gCH5+foiMisYcv18RvTsZ8oOziJy3BWlFVkg2B/JuHkFI8AJcz5egS7uN&#10;xYEhOJpcBLFm2aup1xHWJpy7hI3fTcI8z56Y9X577PlxKl9o6WTkPATX8oTNYIXFZED4B62x48cp&#10;MNsl7PqNjf13GsFhsaLEYceMtxvzBaCi6pCHpxcuzFoEq82KnFsxCKnpjfVDf4JFskKXnIrAtxpj&#10;++hf+L2aF3cfIbWaYcWnw3m83GJmf7zrgQvzl8MmSdj23RREfNQaNpMVhowshLC/MWkXL8Eq27C4&#10;c3/M9eoKqdiOxHNXEVCtKULqNeOQ7VmhI+UnYEbQjYO62s0x7T8NMLNqU0TU9UVkPV/uLayEG3AP&#10;5uhYBehSOAH6WX0zBfbV9uVxTV8kpOTXx8oOYeeLZvUKru2Nq8s3QpIl2E1GJ5CVOLh1hXyqcWBr&#10;tqKM5Q+u4Y0o1rbP2m6PM6U9qS18eQgN3idUPoHbenQep7Ft8lR+kSEsXphRW7ga9SczWsSN+jWM&#10;fUaRZzKluSvjKY2POVYu9+hl98+hoLkwWS2QneEQ3MNaZx9azMiLj0d4TWpTqotLW77Hxu/7LbCo&#10;dW9s/3YCjvlF4uKStUi/foc/W5EnLc0DzzLX8L+5GqNy6Bcx5HFLIRMoTALNaao3LQFU1dT5T7v9&#10;IkwLh1VwSzA4KyurYj4VEhISEnr1JWCtkJDQI3IFkgf6DOX7KYbsuhcIQcnI01YuLIKUV8C/E2Td&#10;+GFr5F68xs/5V2Q3GCud53lsZ5u+vNzC27GV0k6zl/7nlfal4dWAtcoLi9DLrRJyqimTcP/2Ldwt&#10;sDth7T0sDfLDtniTkinvFlZGLMLFQjOyLq3BzKAluJtrZS+zNmTc3ozwWduRZszHznmR2H5Vj7LS&#10;Yh7j70FiEuKyJZjiTiFy0XboLErs5uKiWCybE41jpy8it0iH3JRY3EzRc49coVdPryOs1RsMfPV7&#10;vrCXxQy7Q4ZstEIqkeFf1QMbR45FsSTjsP9shNTxgTk3DzaLhLAPmmHL+N9gluy4OG85wup4IZJZ&#10;WNNOkIx62GUb5jbviel1PFFCP6m22hDm0xkhH7aCMSsLsuzA6kHfwq+KB0zZubBJNizr/jnoZ+hB&#10;dVvCbpWQn5KKgBpeuLFpO6w2GXNa98G0dxvBXloKQ2YO/N/6CDfWbeXhGFZ2+4IDQeWn7RpY9RRG&#10;oJbCAJB3KcXfXczKIu/icnajmu7cx6XopVjUeQCCOQxWgBj3ylRBI8E22sfOz9OZRdRRwibwn9Hz&#10;/C8OSNK5qM4ECyneapRPV9iLS2ApLIRf7WbQJ6WxvpScsU+VlfC5EfRzGoE+Petvs2zBok+GsjIJ&#10;nLo/39Mah47OtlDgtjdms+sOq9OULzrH+6Uij29FXvJeJc/u8Lq0YN1LCG5d7FHPZmXbXb6/Yrzt&#10;PmyDgpQ0GPMLYDax+9PC7smK8BbO/uPA1sz62crmJRvCm/fg9w6PPeym3MfZAt8e2DJiHI76RSJm&#10;zyHuAW8zW+Bg9zw5B5DDAs1D2rnI3bxE+2jeImhL82JCQgKPa0vhEU6ePFkxRxKkpXmO5j2Cq1qg&#10;6zovPo1RXipDhcHqAmh0PkoneEwewASl1Xq6q7+QkJCQ0KshAWuFhIQekSuQ3PB+S5SVKA9+G9hD&#10;tWv689rpMZNQandwELzNpxvsBidI+otK3X/M7Xn+qm1r3p2Xa0rNqJS2u9MAnvY80j5Iv/ywlr2g&#10;yEW4tikCwX/8huUrVuL6vXSUiJ/bvTKi8SYXO/tLKsD5o2cRa5KQfXUHZs9dgmWrVmLLlrVYEBKB&#10;jefvw1JajJSTKxG+aAcyjbSASTEkg46VUY6COyc0sLYMJcV2WPS5OH1wF5YsXYZD5+9BYnOHeFV8&#10;NfU6wtqDEfOweewUXFu3Fdl370GfmQNTQQGMVisuL9+A0JqeMOQXQco3IKx+G+yeOB02yYwDU8MQ&#10;+E4jDnQkXSFmVvkIIdU9kcD+3lhlO05GLEDguw1w/8gpHoMzbsdBBL3bGAeDZnPP2PvHjiOkmieO&#10;Ry+EJMnIvBWL4Hc9OGwKqu3Nzr0esk3G5i9/Qkj9lrAYdSgxmxHI6nN1xUbYTDLWfjoSc9v0gczq&#10;mnrxGoJrEhglSPoMwM8JDMkrNoTOXd0LyWfOw8jagX6GrpPN3LNXYuee1+4Tlpd+2u/FvSu5dyj/&#10;JEBLcNIXwbV8EMzKJJgaWpvtJ+Og8sXDWvopfkgNHxTcuw+zLOHY9DD4VW2CjOt3YOALVVm4VXhj&#10;coD7ENbe3XsI1gI9io0m1ldNlDr+xXoSuAzj3qH06YMI1g5RrfrAkJOLnIQHuLZmK7Z++wvmt+iN&#10;WR6dEN2wHc8XUosArSczb0SwZwilPSuX/6aYMha9EV3FGzPe8sAfVRoj0KMdNo2ZiFubdyI79h7y&#10;kpNRlJvL+1Jm9w6BeWNiKsLUsab+I4Kb8p/V5rPnvTX9huPc7KUwZOVweKsVzVHa8AL0neZJCj9A&#10;i5QRLCUPV/J0VQEqzXMEVlXQqp0LVWj7tKadO8m056GyyMuXwjRQndT6/d3zqpCQkJDQ3ycBa4WE&#10;hB7Rgb7DKkHJIvZSS9rT+bNKaS/CSAf7Dse+nkrIgefR4c9GuT3HX7Wtnp15uVJ+YaW09e/58rTn&#10;kfZB+mWHteXmdKz/9VO06fgFflu4GXOipqJjx/5YdPgee4ERLwSvusgbx2TUIz4+HjcTMmFyvpOW&#10;2oy4tHsFZs9bhG1b12H5vAU4FF8CS9wJhC/Y5oS1JUi/sR87Dt+BlY3jgux4rJ8XhHXnM4Rn7Suq&#10;1xHW7vstCOQhGsXmblpIye8/DTDprY9gLSjiICigpifWfvEd94Q9v2Al/Ko3gS4lC3arGUH1mmPP&#10;xOkcGp0ImoMV/UdAtsswZOUj9H1fLOzQF1ZZht1RDP+3GiCqaRc4bHbIOhMiG7TDrJa9IBmMsNts&#10;iGjWHREE+QiA1vVGaP2WHDQWJaUipJYPbm3awaHu7I6fIOj95jweLoVRCHirES6v3w4bedd+MozD&#10;qmfydGR5FZhKgNEL236cihNzlyD53GVIVgvMHHgacW3rfqSeu4agGp4gj1b6yXpwPW9eZ/ppfEg9&#10;T+4RXFKgg/7mPVxdsh7bR0/Bqh5DEMoX7yIISRCNtt3U4xlMgbV0Xm9s+X4yJLsNBbH3Ecj6ZtPw&#10;8bDJBJdNPJwFWQWs5d6YyqeNjeU5Pj1wfv5SmFkf7fp5BgetBAoJBHNw6+bcjzV2DIVloPi3UcyC&#10;anuiMCERBolgNzunibWlyczHVDHrOzsbM6a8AqRdYffPvBXYPHI8wj5sydr2GWH7a2Y0NsgTm7y8&#10;I1g7cs9sAq/sfop6rwUiqnsh+K3GCHzHAzPZWJzToR+7hwO5V2xo3RaI4vD7L/TfUxrFxN089Efs&#10;/9UPF+avQHZsPJ+vXOcqmltoviRPW5rTaJ6k+U3rTetuLqQ86v6nMfVYFfLSPErlUzm0j7ZpsTGj&#10;0fgIVBYSEhISejUlYK2QkNAjyjl/pRKUjF28hqddmRFRKe1FWCl7yM06cwmH+o/k58k8cQ7lfxH+&#10;vehQDVuadOLl2vXuwys8r14dWFuCrNOL0KN1L8y/mg1rcRnKS21IPBmBpp4f40SOiEz6Oqu0pBiF&#10;BfmIj3+A2HRlERND0g0sXX+oIgyClJ+IjQvnYc/Zm8hMvIP9SwIw92ASbC97ZA8ht3odYe1+grV1&#10;KBZnMw4d+c/Q6/pgfufPeCiDuP3HEFrTG1n37sOiNyC6UWfsm+zHY2keCp2DwOqNYTOaoWf3QlZC&#10;HGySHdt/nIKZ1TyQfScGNovMFxEjr9u0CzcgW804OXc5Qqs0xp2te3h4hGurtiKyBi3kRaBQgZqh&#10;7G/JqbB5kBx2bPn2VwSxOhEUdrA6+LNjLy1bB7MkYdPQnzC/TR9IrA5pl67y4+h4JUzBUxjBsTrk&#10;kcusfkvk3I3Htgl/4NzitdBn5cAqmWHJzYcpPQOnZi/Boi4DnDBMOYaDXtZmYTW9cGXVJmQmPeCe&#10;uHrZAhOrn53Vf3mfYQir1Qwh7Hx/Jaauq/Hrq+uF0Fq+sOp17HwWLO/3FUJZ2fqMTO6RfHnDdkis&#10;HvQzeRXWUp9xgEsAmm3vnxqEmbU9IRvYNbJyQqsS6KPrUvrA3bkfawR4qR1Ym1Af7Jo4g53TDsnM&#10;zm1W6uEae5UWPON1YfU3mi1IOHUOITWUUAhKHZRy3Z7vNTU+btn1cw9jvk33prLIGZkKYql9aEGy&#10;8PdY+vtKSInZNegfDVj/0bHP2n/PYRuHfI+7uw5Cn5ldCYjSd+rr3Nxc7mVLAJXCIlB4BC1kVedB&#10;dftZTC1DnVO15VBIhCtXriAjIwOyLDtrJSQkJCT0qkrAWiEhoUdUVlJSCUge/GQYT7MVFFVKexEW&#10;u2g1j117jD0Ek9axB/GYRQogfla5K/95bKtnF16ugLUSzq8fh9b9w3G/QIFzXOU6RH/RAZ8uS1G+&#10;lhiRlRjLF99wOCHMc6lceIe8zKLxqx3D1twUHNm/F6tWr8GafVeQanDweLlCr55eS1j7O3nWPgQv&#10;SvxWbx6SwMzmLKvBxOOibvv2V+69em7BWgS+1QCFaZl8PuNxbUf/CkmycU/U5LOXEFS1CQ5PC2X7&#10;ZGTdi0dI9SZYO+xHyHYJhUlpCKzdDGs/HQGrXQbFVU2PjcGNTbtwIWIx9oz6FYvb9kXUh60R1aQT&#10;rHo99Ok5CK7rhaurNsPMzrFt1C8Ia9AGJVYJWXdi4V/NA3e274NDlrGg0wAFZtHiVRxsPQqWXI3/&#10;fJ/yE2xdtgE7Js5A9s0YbP5uEu6fOgvZZoVUaMSaMZOw6xc/pJy5gOBqCtQM5Z61SlzaWazOqVdv&#10;4tr67bCyOlL8X/IMvnPgJJLZMeG1fMEXIOMgzX1dnmRa+EzXF1rLE7c37WbnkXFnzxGEsDY/v2QN&#10;X9gt5sBRzPjvD2HV6RQYapG4UfxaC+uTzHsJHERbCnWIfK85joYvgNliwt7xM0CLtHEI/Yx1pPpR&#10;GIlI1i4zWZsUExg2m9n5zDyEBMVEdoW1HNhSPkozSzz28Io+X7E28ub14P948Bfa6nUy3u9qG9An&#10;QVv6VLedFsmevajdaEG3EJ7+z8Fa1eiePTA5AOb8QmWCcYrmMXqWy8vLw927d/l8R+EKyOuVQKvq&#10;BavOieq8+LSmeuOqx9Gn6r2retrGxsby0Ax/95wqJCQkJPT3SsBaISGhR1TOXmg3uolNKxcU8fSt&#10;Xl0qpT2vbfXsxD1prwXMQonNxhcao/3X/KM5PH5aGR4kVyr7eW2bjxKzVl0EzdWeV9qH6Zcd1p5b&#10;/yPafzEfSTotQC2HpC9EaoEE2FJxYN736NPrc/Tu2xtdB43HmfvkhVkCQ+4VnD13G7qcDBQW5D31&#10;T/Qcsesw5ptxOJ1nd+4RelVEY1u8Kr66ejNgLQFFH/4T/7nt+8Nqt+HOrn0IruaJzNtxkA0mRHl0&#10;wp5J/hyynZu1DIGN2qCE1VmSHVjebyhCP2rLF7uyO0qwoFN/BFZpANlogmS1Yv2wH3lM2vwHKRzu&#10;2pjR9dokxeuTYqna7MUc4hUkp8DCjpNZnhsbd2Dzt5Mh2WQY8vLh91ZDXF2+BRaZlTlyHCIbtIHF&#10;pEdRSjLCqiuwL7SuAp+111dhHAQq4JQ8EaObdUfm9bs4MWcRNo6ZBH1yGlYNG4sSu4yodr1xMnop&#10;su/E4ty8lVjadRCHrgQ16afqge80hC4tA7M6f4aMa7eRcv0WzGYLCtnfyJx7D3Bx+TosYMfwn/j/&#10;Ba9HBSg7r8VZ70ivTqx9HbCZWH806oC5Pt24h6zDYsHc1n1YGzeF0WyEiX03kQcrtS3btsh2bP56&#10;PA78HgwC7NsmTEPw2x4oddhhMejhV41i1/61UAR0XAjF/D1xDhbWn3TdJ0Nms20bB8XuYa0VMmsr&#10;i9UMPavn/ePnEFqToC+FmaCx6P5cb7zRWHAx3mf8UzG3x/2tpnj8zvbuiosLVsJmtioTDRPNNeTZ&#10;SsCWwgqRtytBVDKaA1XvWBWyqvPknxnlVcug+ZNMnU/VdNqm2LX5+flP/ZwlJCQkJPRySsBaISGh&#10;SopbtbkSlEzcupen3QydWyntua2eEvvVbjRzKKzuX1vDCye/nYDSpwSYl9iL+CPlvgDbyV4EScak&#10;1Mrp7CX/efUqwdqz6753A2sfynTvAD7v/hmijjxgL8lF2BE6DM0Hz0KmoRgpN2ejRa0mGMlenD/7&#10;tA/adu6DRQcfOI9kKpVQkBoHnU73SJs4bi1Dpza9sSpFcu55nBzs+BtIztCjVLyfCAk9t94EWEsw&#10;kf+8mjxHazdDQXwSJL0ZUV6dsGHEeMiyhDMLliHorYaQdAbuNZl57SaHbWbZisNBs3Bl5WYOAu/s&#10;OoKwGp64uGQ9ZJaPIF5IFQ+cCJ0Nq2RH8vnLCP2oNULqt8Ys315Y9cVo7JkRhhu79iH//gOU2G2s&#10;LRwc5lmZSZICHk0WCbrUNOQlp3HP0dykFCz5+CuksXqQ9+5s7x6gWLLck/Ux0JH/nJxZaC1vBNf2&#10;RNal61g9eDSPVXuaYqiOnwFDajpC2/fB9Q1bIOewv8Ojf8b2X/yQcfkagmp68Vi0dOzhmZE4HDAL&#10;ugdJmN1tMKScfNhNrM75hdjK8m+d+AeybtxCZE3PJ9bpSabUl2KZesP/3YY8HqxktWH/9BCEsXLv&#10;HzsFo82O4yFz4VetMR4cPgWrVYaDPFetFpidsJYWezseNg8BVRpBn56FUpYWUNsbm76byPvw8IxI&#10;RNYiz1oft/V4vNF1eWN5t0GwOiTIhXqEftASK/sNg4WNZ77Q2WNgrZnqaNIj9dotOOwOzGnfH7RQ&#10;nBI71925hD3O/j1Qy4zGNd139dg9VdcXhZnZKHYU89jvNNeQ0fMcebgmJSVxYEthCshoDlS9a13n&#10;yicZgVo6nravXr3K51AVAqsAmOZWWuQsPT2dP1P+3fOqkJCQkNDfJwFrhYSEKslWpK8EJne06s1S&#10;yrmn61qXtOc18qRNO3icn9uYkvZoGntJ3NGazv3ncucR/Ly2t+tAXnb+jTuV0na268vTnkevDqwt&#10;xtUtU9F6QDiSitzXsby0BGazFWqq+eYO9Go3GGczzMi8NQfNP+iJgA3XkStbcX75WDTt8SMuZ7Ix&#10;ZTPh+opfMLhPD3Ts0R0tW/fE+jilFMft5ejW4ROsTf2z+GsWHJk/FJ9M2IucP+O6QkJCf6o3AtbW&#10;9UEUm8tpsSjyHF3W+0vIkgPX1m6G/7seKEh4wOOwEmRd1GswrPRzf+4ZqXhIGixGmCQTaIGriMZt&#10;EdKgLctvQ7FVRliTTght1AYyxVm1F2MehTuo04z/dJ4+CWJSvNMw9vcvrJ4vImv6Ykad5ri9dTf3&#10;ytRnpiP25CnIJjMMkgQbK1PxxqVPCjtghkQ/98/LRURVT1Z/r8eCK4KfdI2hdX2xY/REGLJzkHo9&#10;Bpsn+yHn1h0cCIjGscBohLK/twWxyYjo1g8Xl29Gzs07OLtwNRaxv4PkxTjt7YaQdXqsGjoWZ2et&#10;ROGD+5jTZwh7LrBh18SZODVvGbLvxOHKknWIbNmDnY9A6DPCWgJwzvpG1fHFukGjYGDX7dAZMOPt&#10;j7C071BYHcUoTE5FEGu3Zew7ebOWMIsaOAJmk5G3E3k62sxmmPV6RDRsh4PTQmG2WfgiZTPfaYgy&#10;1q+6Qh1m1mjMwfCf1ZPaVgGqylgJfLcJ9OmZPBbtpp8mKbGOb9xm5zY9Htay/SbZgrj9RzHLuztf&#10;/Cw37j7C2HUqYNv9uYW9fKZ4gCsxj3f/NA3FZfT8Y+KL9Gk9Wgne0oJfCQkJfO6j+LUqsFXnRFdz&#10;l0ZAluZNMjWcAuVR52MtrKVtOp+ejX1tXYSEhISEXi0JWCskJFRJ9NK8s1WfR8AkAVVdnOIJubvj&#10;gEfSXoTt7fo5L7voblzl9FoUjqDrn4ZEoFi3lY59Trsw0Y+XnXbgeKW048N+4mnPo1cH1pZDvrsL&#10;/dp3xbY4ZYEpRQbsm/EdIvanosychgOzx+HTzq3h5dMM7Vt546Pm3+BCpgWZN2ejTavvcC5NWYhM&#10;yr2HEX36Ytd1HaxFV/Bjl674adVdmNn1J2wah0a+A3BOAhx3ngBry8uQE38JDxLi4XAYcGbFaAz+&#10;/RDybM70PxU71/FNOHotg5VVwl5qxCJpQkKqXkdYu2Psbwiu2vghcOGA7KGRt1xeQiJkiwVz2/bB&#10;2iFjOBw9GTEPM99ujOKSUhhkM0wWK0xOYOuQJWwZ9QtLb4Tsu2wOY/svLVmN8KreuL1zNw9dcGHp&#10;BoRX91IWQyIPVwJ/zoWU6CfwtOgXeZESDPSr0RSW/CJIViMiajTD4bDZoMWyNo2fhmV9BkOyWWCW&#10;bch/8ICfm+qw8OMhHG7ya3Bem9Y4/KznjYB3m8CUmYVFP01CdkIcTAX5sJpMfHE1G7smOScPMfsP&#10;IfnweeTHxGHjhD+w9affkXLuMgL+b1MkHzmDyNZ9UCLLWPTZCNzdvh/3j53DilHjcWnNFqRduYGd&#10;k/2x8uuxsOr0rA0aPbZOjzPKTwCM4uMG1vKCSVcER7EdYR+1RUBNTxjz8yCz+u74/jf4VfFAzr04&#10;/pPzDUN+wLT/NERpeSlf6O1o1EJsGTGOtZcDxyIW4I93GsHE2rW0xIGp//kQG0eM5wD1eFA0ax/F&#10;s/ZJdSWQSv2mLoi1a+If3NNZyshG0LuNsIHOxeqlz8qCxWDgXrSVYC3bR5A9M/Ye/Nk4vM+eK+g+&#10;C/foxK6ZjY9nbCth/67R/RpZm40HZuR9H1TVC/7vtcDlbXucs44ieq4rLCxETEwMh64Uw1Y7J5IR&#10;YFWBqzZN3ad60NJ+7T6aS2mb5lP6VGHtnTt3eBgGgsVCQkJCQq+mBKwVEhJyqzz20uUKJ498Poq/&#10;UJeylws1ruyLMipvQ/1W2N2h/2PT19bwhJRb4KzhozKnZf4tdco4cpqXf3v20krpd+ev5GnPo1cH&#10;1pKKsct/GHx7/4RzmSaUOwzIOh+Jrt7e+PmYHflnotCs9VfYFafjuaU7O9Dv49E4R561N2ejrRbW&#10;ZsVjzOf9sPuGEguZwGtxaQl/sSgvv46BbCxEXQAc8Svdw9pyCXFHo9DbtwU69h6EbgMH47sfB2P4&#10;9MMc1lK72gqTkZ6SyGFQqdtVroqxe2IvVBu0FijLQ9TIzxB9+D6UGpZDn3QZ509fh7VYvOwIvXl6&#10;HWGtyWTi11XKtul8OffuY/8vMzmsC3jrI4S+74NFXQfBZrfh6orN8H+7AQqS0zic3D4zGkaKh8oX&#10;sCIPV+VTdtgxq1EbLP18BEqsNpTZ7Jj5Xx9gQbdBsDuKYc7Ihl/tZgirR56vD2Gc1ouS72fGP+s0&#10;w4VFayCz8pOPnkdwy4/hYH8XjJnZmPZfH+Fo4BzIsh2bvp4AP/Y3yk7Q2KBDSNVGHPa5A470k336&#10;PBU2h9fZzq6jpKQUZoORe4cu+2Qofv6v9/AbO/eiYd+iKCkNUZ0H4uKCNSiMScDRiCVYP3UGUo6d&#10;Rcyug5jX60s4ZBsi2/RC4v7TCGTtdHXdNqz5ZgLOzlkMXUo6Ts5Zhrmt+1bUhzwR/8xzlPKG81ig&#10;Pgir7oWbmw/Axto0/uhpRFRrit2/+bG625F1IxZ+7zbCgalBPPRB1t0Y7hW84svvIRMYZW1yeeUm&#10;hFbz5uEPSlh7RX7QChu/n8L6z8Tady2C6nnDYbHBkJuDGdWd3rVkj6kj7ad0Wswt6P2WkC0G2Nnf&#10;rJnveCDw/WYoZe1BY2J536E8FIZRNsNuovi5Fg72yQuae9zm5cPGxsjq/sMR7tudxzEuSkjhcXfd&#10;9d2banyxsZfZaJzUVgA+/UMJxRwm72iyMJZ+fe3WijmN5h6adwie3rp16xEoq86RtE+7X02jfTRX&#10;0qfrfhXg0ncKfUCfNLfSvhs3biArK0vAWiEhIaFXWALWCgkJuVWp3YENH7R8BE5SSAJrTh5PP8Be&#10;SLRp/5QRQNXH3ed10OrKH6Fu8z+XsRezsmIFnh5jL4Gu6QW3Ynna80gLKF5+WMtUasWeoNFo3bYd&#10;BnzSA53a98bnv+2Asawc+ssb0dm7LVafT4asS8P1TX7o1vmbx8La7zis1aPYlo8zq2ZgaI+OaNW6&#10;Nfr07Yhm3l0w78rjYW1pYSIiPmuFwbP2Id1SBmPqGYzoUB+9/E8g31YGQ9o5+A3qgs4ff46OHVrh&#10;80nrYC52/TlgMfb/1h+Nvt3COiIfCyb/gMWnUsFzlelwfP5IVP8vD6y8V4TSv5cjCQm9dHqdYe2T&#10;jOpBi1k57DZsHj4em0f+zL1jHWYrJLMFMvvkMVGtChSkn9zvDZ0FY3YuLI5iLOo7GEE1fJATF8fy&#10;SjgWMAsRNby4p+jTwDjK88c7DSEZ9JAICku0WBV9SiihBcdyMtl3C2x6I+Z2GIi7p85BZvnWDv6B&#10;Q2d+DhfgGFLLi9eppKwYNpNzcTOLEts19sAhRFdvhpC6tIAYxd9k9WzYDg9OnEf6hSvYNy0CWybP&#10;5It/zu4+EMZ7qRwmrxg6DmWSA8U6A5JOnsexyAW4vf8ocuIf4FjoHMwfMAwlrK1CazRh5Tpj6tZh&#10;9XkMDCWjupOXMX0u6DEINtbGMrv+wLq++IPVrbikmLd5uEd7zG7SCVYKMcHaZHGXz+BXrSnrI9Y/&#10;rC3MegO7PiMiGrTj3rUWu4wToXPh/05j1q5F/O+s/38aYeu4KbDaWB+FzUZ4TW8E1WPnZn/3H1c3&#10;ug7/Gh6I3XsYZtmCu3sOIaxKExxnZZskO2uzMwh+uyFOzVqKYtZHRlZ33ofMCNjq0rMQXK8l7LLM&#10;F7ALquqBu7sPQqLYtR36PoTtT2ijN8WoLbinMbUFbxf6fDTPy2AcKrN6KeODPOUVj3kyLbAlkQc4&#10;zXm0AJgWtJKpsJbMdc503a/uo20qgz61nrVkBG/pXE/7TEn1/LvnYCEhISGhZ5OAtUJCQo/V/fXb&#10;KwHKQ/2G8wc6B3vxWFvr0bR/yja81wIpuw+jXLOS1FbvLm7zPo9RDFwSgev19XwrpduNJp7+PNI+&#10;HL8SsNYpqmtiUjLO306DrcR5DeV2nFg4Ge3btsenA7/E0IEf4wOPL3Aiw4iMG9Fo3WJUZVh70wT9&#10;gzXo0awzwo7ngbCNTp+Abzu2xexLj4e1lvS7GNqxDZadTVfgKqw4s3I0Bk49hHybEYem90aHESE4&#10;m2tDifU+JvRug/HLrlTE01WkgbVl+Zg97WdsvJDP9rPxnXkNfsP6oUsbT/SOuAhbJdD7eOWcXoHd&#10;R6/ALBxahF5hqeCS9CbB2j8zu80OSZKdP2uXIJkJfpohm01IOnMZQdUbY9u4P3h6Tmwsgt5tzD1F&#10;n3axLcW70wdH/whXIC2zip/RSwRtlX18v42dWyKAbIEhLQuB1TwqgK3WKFxAYWISTKy+/Kf7Zis7&#10;zgqzsQizG3fkoJbDMQKV7PjI2p6IO3QMa7/9GUeD58KYzuZ5ixnFJitmd+4PfWIqDs+MxoGZEZhU&#10;pykW9h6OXTMikHvvPrISEmGXzHDIrI2KdFg/9HsFsrGyyQvRncekAuKUuhKsDaneFIlnLsDGyjjs&#10;H4HwKk2QFxMLC6v3uTlLEVytCW5u38vSJVzduA1BVZvgKnteMVtseHDsGGa378PS7Li6dgsPpVDw&#10;IBnFrN/C32+Ojd+M49dxdc02fj5TTh6KsrJYPVopXpHMXOun1JHayBvL+n3N+1tif/8Dq3shyKMN&#10;93w2F+kR+VE7zGnxMSSdHmbJBBNrM4phKrPzSewYXWYO/N5uyL2PLax+27+ZgNBGbWExmJEXdx8h&#10;rN2pLyKdHpvu6vGmWIWnMx+PdP/QP3bQ2FZNGS98oa+Xpa34OH5osz06QJea4ZyBHs5B9+/f57BV&#10;Ba00L6pAVgtltfOmairg1cJaMvU4mlspJi7to4XNBKwVEhISenUlYK2QkNBjVcxe7DY3bl8JUpoz&#10;snj6zfAFldL+KVvNXtYu/RaE7DMXcen34BceAoHs5Dc/8+vUs5dPd+kldjtPfx69qrD2SSKPrftJ&#10;6UhOTcORHftxvtCCwoQt6Nd3cgWstWbew4i+PbD9mo69LJ/AgGbt4bcjlh2bjftXVmCQbzvMuvwn&#10;sLZHF+y8XujcY8WJ5aPx5dRDKLTkIrifJ0aE7uGASZatyDk3DV2GhCDhkS7TetaWwaArQoHJwd6o&#10;ZCQeD0X3T6fi+Fp/tO8xBYlWB9SeKi8rhbUgEzqdjvVXZSJrTLyE7/u2g//e+3j+ESIk9O+IwKSA&#10;tc9mKddv4sjUEBSXONi8I2H1p18jhP2tCq7RlINQDpfcQR6NKQDKGzOreMDBwy5YKmDtY43gLcu3&#10;etBodrwX+MJezvOR0QJhxQ4brDYHJJbPbLFCkmUcnByAIHauUAKp7NwcVNbxQWA9b8xu0hVx+44h&#10;8cJFWPRGdoyE3MRk5N65g/A2/Xmog5nvNmDXRbF2Kd6qDyIatkf6tZswFepxccN2bPYLgyE9E4HV&#10;PNk5WHodJ5itdM0EJ6kOXgip7Y2to3+BbLOh6H4aAtj3Ff2GwlbsgLlAh5msvova9UOx7IBNr+Ne&#10;wPN8P4bDIqOY/Q0Nfr8lwtkx+XH3YTIaEN2sC7Z+M5G1kYxLqzYisEoTyEYdLGwsBNTwwo7x02Gz&#10;FeNwYBTCaxGQVUGgax2bIaiaB9Jv3mHtKGPjqInwq9oYurQs2FibHg2ahVB2nXEHTsDK2vb6pt0w&#10;Fupg5HGFWT+yupLX7/ZRv2J2826sDmZk3IlFKKtDwpHTvB8XdBuIiNrk5dwMkeSdqTn/m2Ba71nq&#10;Bw6u2bihMB7KePbledRxrQB08ghXvMKf9h9E/klb88kwPj5U0TxUVFTE49fSfEhzIX0SbKU5kUwF&#10;sVpT504V1qqetK6wlvIQrCUjKEzz0tNIwFohISGhl08C1goJCT1RCWu3VYKUW5p04mklsg1bmnaq&#10;lP6PmRPQrqnhWTntBZg1O5dfZ8zCVZXSdrbt+0IebLVlvC6w9klS2WaJbMbpo0cQk2lFeakdd/aG&#10;o2v7juj7yQAM/fFH+HqxF7LTMhzxy9GlXZ/KYRB0yZjeuwUCDqshMaw4tXw0Bk89hAJLLoL6N0Gr&#10;noNZeZ+g18e90bdXa3j2+gUXMrV9poG1FSpHCTt+y9jO6Pv7FhRJMRjdsQ3CLxmVlxn2omW4tgkT&#10;+/iiZcfu+GxMMHYsC8CSHdfhcPZluVwIfWYCbtzPx9O9JgkJvXyil3x1fnrdYS3Nve72P6+pcbgN&#10;tHDX3iM4ETiLx8hdN2Akoj5shaAqjRBWW4knqxrBqJB6BKm8sWPiTFgt5Lkr8Zin9Mm9eV1gLe0j&#10;D06KPxtQ3RMRdbygeqqSBbO/WdFNu2LFx0Ox9xd/XFy5Cbe37UNoHV/uuajAUnZ+DlQVWBjCjrm5&#10;bjvizl9k53bARKEXTGZc3b4H2dduY36rPjx+Kx1PHqd0nrAaPri9fS9MNgkG8ji2mSFbZWwe+gPL&#10;660Aa821Vlwz208etWHsnOH127D2yoKNlbG83wiEVPOEKScbktWBdSN+QlBdTxTG3YfVZseOcdMQ&#10;VMMLqecvcY/jU6FzEUoLPrHrX/HJUNBCZDc37ULgOx7Ii7kPu2xB+AetsX7I9zDJVlxavokDWlNW&#10;Dg+pEF6/LQd+BK2VGLsEzpU2pFAS+34Pgl2SkXH1BsJr+rDr+hFWuwPWvHwEVG2KZT2/hGynRcay&#10;EcCOv7NtP49x7Ch2YHJtTx6moTAxFf5VPXBxyRpY2BhZ89VohL/Xmte/KC0TgdWb8jrQT+pd2+lZ&#10;TAs+XwljdaU606JdfCyx8U+Af+1n32Dj0LFY1nkgIj9sg8B3PXh8YgXaPjwmjP4hgI3nx3lG/5t2&#10;Kmwen4PUOY6e87Kzs3HlyhUOVV3nUy14dbXHwVrtcTS/Urnx8fHsPqq84ip/lvmb51shISEhoeeX&#10;gLVCQkJPFMVs3dW+XyVYGeNcXKvwVizWsJcL1/RX3da/34JfX1lJKbY07VwpPX61FvD9dWkfmN8E&#10;WPs4cQiqK0J8QhLuF5lx/eAu7L2lgyPjMIYNHo0NaY/CWpTLuLj2VzTv+i0uphqhTz2DqO86oN8f&#10;R5AvGbFlfFd8s+ACj3FIXiyJicm4GpuCfIv2BcUNrC0vhSF9H75s3QV+OxNRyv7bM64Luv+6B3bW&#10;V6XFCZjVvwXajlmG82kW3Du+BL1beaHb9+thpb40xWJv8GB06twLvfv0R/C265BK2TiSipB0+zYK&#10;TDrQauBP+6JUXq7DufXLcD3rzRwXQv+eCDaq4/R1gbXkpfq481A6zb+uwPXvMjpXMfvMuZeAmB37&#10;cXHBShycEoClnT5FcJUmzBohoIY3ZKMRJsnK49/yWLOasAhaWEsLWUmSBRuG/Kh4GNYh0KiArwpw&#10;W89H2a7THAE1PXl8TQ4mKR+BJWd+7q1YxwfzWveFg/WPWTbBSt6hFHtVp8O1tVsQVNNLga9kLD8H&#10;ruzYwA9awWzU89AMFBOXvHiLkpMRWMPp8cvO4QqzeN0I1tb0wemIhTDbZCSfv4qwKp7cY9VslVEU&#10;E4fAdxtj3/jpcLDvGbduIYidc8OwHyFLNkhFhfCv0pCVQ+DYm3tlply5BYvRhNne3bBtzGTWjhac&#10;Y88u5M1qy2dzsd6EkIYtsWnEWEg2B05Ezkd4LWUhOIJ/BK7JaziqtjfCGreHoaAQNtYOC7oOxPQa&#10;jSGzv1kGezHmdRuIkHotUJSazuoiY8uoCQiu7onsO7Gsb4yQyxwI+j8f4Vj4fJjtEvb8OBVRHh1g&#10;KdKjMDkNoazOcdsOgOITL+s12Hne54OOvJ15DFUnyOR966v0MaW75P+3jeoXWdsZKoNfvzcimrRD&#10;sSzDWGyDjfW51WCCITsP6Vdu4sba7Tg6MxKbh4/FolafsPHcFAHVaJE9GmMvF7Cd1bAt4g6e4HOP&#10;Ov8Y2X19mz0TqLBVnSPVedJ17nRNV8Gs9nh1P30nWBtHcbNZ+2ml1uFx86CQkJCQ0MsjAWuFhIT+&#10;VNnnLleClWRSTh5/4LsVvRhr2IubuzyvqiXtOsCv3ZiUWuHBqzWLMxTE80r7wPwmw9onidrE7maF&#10;r1KHEZvDfkTHjl3w6ZdfomcXL3SfchC5cglSLixBG6+eWHeF9VOZHWnXjuHG3ZTHx6x1qqzEjtiV&#10;38Cz7SfYeDODgyTr5UD4dvgGlyzlKDHuw4AWvgg4p5RUXl6GC6ED8fH4rZDLbTgdMhgfdpqALddz&#10;kX5rN77o3AFRFzJRkn0dv/X0waCJP2DU4H7o0KkbJi8+DENFKNxS2Ay5kCSr87ui8rJ8hA/siW9W&#10;JTr3/InoJaxMgV9CQs8jAorq/PS6wFoCm38mqsc/CW1djdqDzm8xGJF5KwaFKemQZIn/jJ9CHRCw&#10;rQRrySwKGM1LTEZgTW+Es79TBMDU8Aah9XwRQsb3kZerD/uuwFatB6biUUpG4MwL0U07YVm/ETj0&#10;ezju7z4K/Z14+NVuwVe8D2Fl0E/QyQtSyU/esd64vWYz9LKVg02qs8lmwdZvJ/JzuQNpHI4yi/bu&#10;Chs7jmLPGg0G5MQ9gMVsgtlqwcUlG7D6y+9gLtLBJtmwqvsQBNfygSEjB3aHHQu7DFAAH10LgVZW&#10;r/WDx8DK0q6u2ozpVRqiKDkVpTY7ZrA6rh44CpJdxrm5y3nYBGNWHgfj4Q1bc1DNr4tDaG+E1vTB&#10;rS07WTvLuLV+K4KreeHmyg3c0znl1AWEVPPA8cBZkFnZaReu8rAXO8dN5RCZ4vvTImO7Js5A1Aet&#10;WJtYUHg/GX4Ud3cd+7ths2FRny/5Amolsh2GzCwEvtOEt6VrOz2Lkbcp9X0FuGcWqelranOC9gRz&#10;+cJvmmP/FWP1UrxjaRw1Q0gNH9aW17hnMv1DAcVZ5rGaeWiQh+FByHvaRGlFeqRfusGhOb82Mja+&#10;3Z7rGYzuBeUfNMjc53kaW9jqY8gmszLJMBFETUlJwdWrVysBW5onCbqqQNadqWnqMdrjaJvmWAFr&#10;hYSEhF5tCVgrJCT0VDoxfOwjsJJixG5v3oOnkfft0UHfPZL+Sht7sC4rVX6vf3zYT5XSt3h14R63&#10;L0LaB2YBa59RrO1KS4r5S31ugQ5ZWWm4eDcPlmI2JksduHdoIT7u0BY9enVDnz6D8MvSM8hzHqqo&#10;MqwttsUisF8r+PYdg8FffI6OnbugQ/sWqPlRe0Qe06HEvBN9WvXCepXVszrcnPMVPv55O+Sye5jc&#10;qwm+2qwAIQK5txd+jw7fr4Wl4C5mfNIUHb+bjaNpemRe2ohODVtiwYUkVgsH9Al7MGNkP3Ts2Bnt&#10;u/ZB1M54vnAaedam3L2DAvNTjouyYmQdn4nO/UbjVLpzn1PldosYX0JPLQKH6vz0JsFaVRS+wBWk&#10;vixGfytUo585E6zloRLMFr5w2N4J0zmI5cCOABOHpAp44l6LdRQAxT8JkLmBUByg1mbptE3H1/FB&#10;QM0mCK7jhaD3FDhLMKwCjDGj+KIETIPea8nrZOJwmRZAk1CYlgq/6k1ZvsrnIQuq1RTJ5y7DajZB&#10;KsiHrUj5FQKBOavZzIEthVTg8I7ty09JQV5SOofXFMIgyqs7ot9vjVk1WT24F68XAmt5IuXCdd5G&#10;s5t3x8oB38DGyrm9dT/3oDXkFUIyGfgiXzvG/MJDK5wOn4tgqpPzmmlxq9mt+8BO7VyoR1CDFljU&#10;6TN2bVbWF8U87m1I03awUx+wffNb90ZEo/aQ2d8kOxvb83x6QGL9RF60M6s0xJnoxTBJNmwdMwlh&#10;77eApDfDVFiA0OpeuLpmC+s/M5b1+aqiXci07fW0ptRfMe4pza+JAD5tU5gNJY3DXDf9r1rFuHFu&#10;u8vzQozOwcYihf+IYLa430jWb3YYWX9RH1P/a/+BQjXyKqdQIZROIHffxAA2RimOsjOGrbtzPYNR&#10;G0XW9kUoH+tUrtKGD80JwJ+ibe5s31cxz9HfYgN7drl3717FvKiFtiqsdQW22u/qtjq/kqnfnxXW&#10;utsnJCQkJPTvSsBaISGhp1Ix/bTPo+Mj0JKA7Wn2wkEqYQ/VW727PZL+qlrq/mP8morZC8LampW9&#10;auOWb+TpL0Lah2MBa1+saCEwG3uZ0+n0SM4uBPHOR19FirFjXGe8M3C183s5jKfC0Ll1J4RcMHJY&#10;Qy/5hsJ8bBjbEd2mbIXkiMOIVi0QdNEZjZb13y2CtRN2QC65iXH92qFJ81Zo2749Bn0xGBM+b4Om&#10;7SfjfkEspvXqhOmnEthZqW5FWD/xYwxdfA6SOQ/Lv++IXt8vxZ1cCZk3NqJ7m65YdlrP8sVgVKP6&#10;GL4uh5+uzF6Ii4t/x8/fj8achWvwoNDuck1lsOTfwLetOyJk96PeuPqzC9CpQTPMi9E79wgJPV4E&#10;BdX56U2EtSSqkysofZlNBbgUgiDn7j2cCJmNWU07Yeb/rouQ6k0roNJDyKoAOHdAi9IJeHFPXMpT&#10;h+13wt1QDngfhYi8DF5eM0TXboHARu2x7osfcGv+OuRfuQupsAi7J0xjxyuA6+H5le1Vw8bBKtuQ&#10;G/9AiVU65AdYJRtK2N/h+d0+x7VNOzn4pdi9ZaXFHEKRdyX3NiZjeU0GE4wFRTDnFSDv+l2cmbUM&#10;Z5au5+VeXr0JQW83gZXN51JxKfyqemH5J19BZu11bdMO+FVpgLyEZDhkC4Le8+XAkIB3cG0vFCQm&#10;ws7K3/3zdARV8UDq2Qv8Z/lnF61GOHsOSthzjNVNxuVla+DPyrm96yCH1ZfXbkEYSz8ZPBd2s4xD&#10;vwcgtH5LDtX12QW8Hy6yMmTZjoW9BuOPKg1RzK6tKDWV1adxRVtp2/lpjY7jkLa2N4JZOQvb98W0&#10;mk0x5d1GmPp2AwTWokXhKA+Z++P5uQnq8n5S+l7N/7wQtJKxcnnIhve8MfO/G8BiNMBqNeHY/GXs&#10;vlX6WaJ/kHBC2gpYy8YD/WMAhdygcCGW/HwE12L1I0hNRtfg7nxPafxaCdgyUzzR2X7eNtrFzpzg&#10;lmI4s081FIOarpa1vOtAWAp1fF6h+YjmvqSkJD4XEniluVGFtTRXuoOx2n2Py0NlUBgEAsGPg7V0&#10;fu2cq+4XEhISEnp5JGCtkJDQUyvn/JVK4JKAbdyy9TzdYTJjXT3fSnleJdvm2wOlTmB6+LNv3eaR&#10;8gt5+ouQ9uFYwNp/WuzlpKwUqXkm5/dSXFwVhE9GL0O2/aHnNPVR1s2FaOozHDeKinFyaif4jpiL&#10;dEs5iq0FOOHXDx+P2wa5PBczerfGuGNmFEtm3L//AHsPHsHy1SeQUBCD6b06Y+aZeCUUQ2k+Nvz2&#10;Gb5dcgnG/HMY1akX5p3RVZwvcUcABszcAXtZIn5u2Qw/bMlnCUbsmtIbzTt+jeVnbiB87Bfo/GUI&#10;MksrYilwldmKcOCPnuj3xwYUVCQZcXzuV/DoFoQkY+UFRx4qBqGDB2H1lYc/1xR6M0XwT52f/g5Y&#10;S5AhNTX1n4W11meDtSQ6zhWKvopGnqFl7O9LCdtOuXgV20aOQ9A7DeH33x88ApRUU2CT0+pRGAUF&#10;Simej0pcV9dj+HF1miGY5SXQyz1TWf7o93wR+V4LBPM4tyrIYsZhmjf8324CqUAHK3uGyIiJxeZR&#10;k2DJzYXDZseCwWPw2/+qB4feAJPdioO/B8H//zZE/IkLMMkGPDh5AeumzMS9Q8fg0OnZOGL9xUGu&#10;mQM+/tN5ixXFjhIE12+G2e368LAEKez4IFY3Y1oW7AYzgt5vhj0TZoBCHZyOWOSsuxf2/ObPYW/W&#10;3XsIqt4E64aPY+OIlcnOFVa1CZb2GAzJYYc5LxcBLH1+h36wsXFW7JARXb8dK8cbM/7TAI5SG8zs&#10;Gma89SF2TwuGTXZgx7jfubexZLCgRJYQULUxzsxbBatNwuaR4xXQyNqIQz83bf0ko2ODqQ9qevNY&#10;ueR1aiUvVbMZJXYHim7HIqy2Uj5fzIydQ3s89Y/SVwp85ACSXUsU5XfWSZv/eY2fj9U3uJ4PjvlF&#10;QGL9QDF//d9ugILkNA7kqd/Is9qigbXkdUteztTHdosMq9mCQ4HRHNQSYH1eWEv1Cq6njHcKf+Ff&#10;pQlm/p/6fDE8JV3pGwXMPjQKDUIeuSEc6iqe6JT/qH8kn1PUuSUrKwu3bt3iwFYFrepc6Q7EaudU&#10;+tSCXtWeBGtJNNcKWCskJCT08kvAWiEhoWfSuXHTKsHLNdWaIuvEOf6gZ0pJx4b6LTnEdc33stta&#10;Zib2UkCS8grcxqq9+KsfT39R0j4cC1j78squz0TU2LFYfjmDbWdhWl8ftO33JX77aSQ6tvBF3/Gb&#10;IJWXIWnZ16jf9RfczbWzN7FSFBtyYXWUoCz7BqZWgrUD8e3SSzDkHsFA375YeunReLUk8qxVYG0e&#10;+2LA8S1rsfGuCSVs2BSbLmFE68aYcsnp5auqvBgPTkajTa+JuJnlBGEFcQgd4I0BC87BzHZRbF6r&#10;oYi/7NICQg/H4V385O2JMVtf3D9ICL2aIsCnjovngbVaiEBQgUwFEsnJyRWw9u8WwYmi7BxYs3NR&#10;bJXYXFvKblEFWGiN3S3sf+r9oIjmZVf4+TpZMbs+unbZasW1NZuxovsgHns2qn4rRH7QkoNLMvIo&#10;rLB6lSEYQSvFE5F9Z3lCKDYugat69DNyWsyMQJYT1DLjXprs7+rRkNkcJHIIKlmVT+e2jRnNV5KJ&#10;wJwZy4b8gH1/hPLQAsaUDB6fl8DcLDo3q9PM//4IU//f+vBn9Z7X+0scCJuNrBu3YDXbcP/ocYRV&#10;9YakM8BuMmHmux5YNWQMj4F7df0O9r0hChPTWJvYEFTNG/41msJhMsIqO7C63zCE1PSBPicbNoeM&#10;eV0H4Y93P4LdbGbtZsOuCTMQWsMT6VdvwiJbsX3i7wit5am0G6vfzl/9Wf0l7J8wE1EftoaNvIDz&#10;8hFRwwcXlqyBZDFj98/+3BPX6pCQn3AfoawO3JvT2W6u7e1qCjRU+od/srYN+qgNCpNSEHfqAvc+&#10;tZllHjKAriugaaeHQJOdg5dB/cX2UdzeUPbp/74vAuq1YG3hheAa3hzaE8TlkNd5zF81Oq86Fgjc&#10;0z8ChNTyhVxsQ7HNhkAaN407wmaxwsTqTPWmuMwU+qDCs5bGCdtHsWtXDhyFAorxbDCwMtmxdQmy&#10;KlD1rxpvC75QmzcbI5s4/KS5pMReDGtBEVIuXsPx4DlY0nkQgtn4oPaLfL8FQmt7seuhUAw+vL20&#10;/Udxl9X5hupP8yBB19OnT1fMr6pp51DXufVxRvMrlUNhEKiNtHo4zyly/S4kJCQk9PJIwFohIaFn&#10;1s7WvStBzDXVm6Lg5l2ebs7Iwkb2guCa52U2CncQv2oTrz/FqyXgXCkfewg3pboEAn1OaR+SBax9&#10;+VXOXtJMKfdQaDQh9u4d7D0bgw2/9UPv8Ztgpb60mXE0egha9vwK4WHT8ONn3TBg5hFY8m/j956d&#10;3MDas7DoEvFrr06YfTyfn4NUVuJAKXm+lMU+hLUoQ7Gcg6u7l2HXzh24e3M7furuga+3usBaJjnt&#10;EkZ16IrlV9NRWl6K7Btr0NW3L7Zcy0WJzYQba6dgSK/OaNm+HTr0GordDwwo40NRgbU/bldhLb3I&#10;Peq5K/RmiCCeOj+9CFhLAEHdp27TAjtaz9q/ExwQYLkcPg+r3mmMJf+/Gri1YNUjsLaE3XMmWrzK&#10;YESxzc7umzJ2T7A0Z6ARV8D5phjNQ9R2ObHxOB4QhWUd+2OBbw/M9+nKwVNozYdeto96GCoQsOLn&#10;4fwn4iqcI1Dnw2GiXy0fFJcVK56TTgDnahzIWZVPs2SBbGL7ZQkbRvyAsNqeCKZzcC/R5gpEZKbA&#10;v2aIZucKrNEUGVfvwu6QEfZ+KwQ378KhW8KJswiv1gTZd2JgY+XNadIJu36YBANLO7tgBe5u2cXO&#10;I+Putr3c6/XcwlWwsnwPTp9FVFUv7JwwldVJhj4xBf5sXG376TdY7Dbk3Y5l7cLOT6COPCtZPYKq&#10;e/JzGPLzEFitKQ5OD+MxWbeNn4zgGl4wWU2QLVb4V/PAucVr+HXv+v43RNZS4KgW9j3OKE8Ua9Pg&#10;9xSYGs6OvbVtN9Z8NZZ7KptMBtZ+EmTWhiu+mQBjcipCazz0+iSjPgth9Q6t683DPljZc4ndInFv&#10;5dI8PZK2HUBwLQKRSt9qz/+sxsdHHacHNtv2q9YYWbFxHNafCJ6PkFreuLVpO4fhNqMS/9jMYT4b&#10;C5qxQR63Ehs/kY06Yv8Uf5hYO++Z6MfGxuM9wJ/WqI5Ut9DGHWArtnHgXTEuubcyG5MmMze7nd0v&#10;JaWwmSzQJacjqnkPNsapPZV7Qi3z7q79FfMczX/Z2dl8oTEV1mrnTdftpzEBa4WEhIReDwlYKyQk&#10;9MwqdRRjq2fnSjBzQz1f5F6+wfOQ59Jmj45Yy17kXPO9bEZ1PPvT77zepIuTAtx6Bl+cHOjM8eKk&#10;fUgWsPblV3lZCW6t+xW9v5qCo9eu48aucAxu3xo/ro9FsbMvyxxWxNy8jk1btmPpzqsokFmf5sVi&#10;Rv/emH46jsesRWku1vzSF8MXnoGxxIQT84ai58gopBqKUWrNxOl54zB50SmUlCUosHZrPlCSiEVj&#10;P0W/EcEInrcIEyeNQ+tGdTFqR2VYSzB43W998Xn0OViKZZyf8ylaDpmFe/oyWIuu4OfuXTF+XQwM&#10;ZRLOLxiNNv1+xnUT1f9RWFsqF+LmxiBMnTAWs+avRHyexBc+Kysp5vGAn/Ulr8yahdSkDNgVMiz0&#10;EotAndq/zwNrySg/AQQydVsNg6DOeSo0cB1T2v3u7GlFwDFm+x5sa90bmxu1w5nJf0A26Pl+grLF&#10;7Ho3NGiDxf+zGpb+/+sh71YMSksVj1PSy7zg2L9ibExQ29lkGXGHjmP/xBlYN2AkVvb4gkNPipEb&#10;SlCPwzICewq85T9Pp5/d126GmdU9kMWeGUwUskADwR5nlIcW8aJF1FJOXYI/+zvNYRwzFRITDFM8&#10;fJWfoHN4y/Yv6TGQg9ekMxcRzv7m59+Lh81oxuyW3bHm828gW+04t1yJOWvKzIZVMsMkWyDpjAhi&#10;42J+i16wmAyQzWZE+fbAjPe8+aJiDnspIn06cw9kY34eh8C0eFj4+y1YfXwQXcNHWfCqFnuOGDGe&#10;1cGOExHzEP5hGxizc2HOyWf19cbZecvZ9UnY+8sMRNZvw4FlVkwsa8OHMVBV2Pc4o/YlYE1wOJSd&#10;c0nPIYg7fAIJ+45g1bDvYS7UcSh+9/AxmNKzcXrOcszv/ClrJyfUpDYkCMssrFYz6JJSkXThOgys&#10;f2SzFVZmFqsJO8dPZXko5q03O++f1+txxscEO568Viku8uZhP8Es00JuhfCr5ol5bfvC5iiBObcA&#10;K0f9zPpI4rCePGlV71o+JqwUs9iKM/OWwr9qQ+hS02Fh/RDxHmuTpwTdFeYcR6qXMvWh/zuNUBB/&#10;H2YeWuPpxil5ARc+eICgqp58rGvrsH30LxXzCs1/+fn5PBSCOkdq503181nmXCpDwFohISGhV18C&#10;1goJCf0lWXLysLFB20pAcx17EM0+e4k//FEM20P9RmAdvaS45ntJjDxqjw4ajVL28klKO3ich0Nw&#10;zbeZVndmLzovWtqHZAFrXw2VFVtxbvsqfD/mO/QbOBK/rL2MdOvDGLePE8EeM4VEoC9lNtw9sR1L&#10;jsfDUloGuyER0T8PRv/BX+P3icPQrdtIzD+Wi7KyeIxv4aPAWv1ZfNu9PaYcSoCNe7vlYf7g1u5h&#10;LVPKvnC0/zwcOaZEzOzZHKOXXgEFWiDvYIPOAJ3ZwOtkNx5Cf5++WHnNzlJjHsLaMhOuLxqN9p0H&#10;4Y+NRzB3ykj0/NIfyewaLKk38WO/vli9cSHCp01A1NyluJWcj4pWKH80Hp6qkvg1+LTXEOzLrhxH&#10;T+jlEgE5tQ+fB9aqcRe1IIKOVxcY+ydhbezO3Tg05BscGT4Gl2eG4/7OnXw/eY9enBKI01P/wIq3&#10;G2Nr8x64Hj6b1017rkrA0sWojXbt2uU2jYzKc7f/dTOaV8gKU9NxY/12HPhlJrZ/OwHLewxCVJ3m&#10;CH7Xgy96tWrASEh2iccc5d6RLtCLTPGoZca3raA4tDazCdGeXUE/M38ciOOwjYzDt2YIqtYEGdfv&#10;cK/pwIatsbD7QEg2Cbe37UcQq0/2nXsottsQ5dMJKwZ9C9ls516cB9m4CKrliftHzsJqk3EsMBpB&#10;b3sg+chJmCQbbqzegpCqHjgzlxbCkiCbLOxvuQ0lsgMFD5Jxe+9hnIxciP1jp2F1n2HsHA7oMzMR&#10;WtsXx/0j+cJoFLvW/50GrG4yjEU6BLLyT0QshI193/rNLwhnzyBPAxw5XCTYWs8bgW81gjknF4s/&#10;HYnYA8dYP+zCYVYPqaAARfGp2DDmN6we8SNfkCugWlMOejmkZRZS2wuXlqzCmhHjIOsKYbEaOagk&#10;AHp5w3YknzyP4NrOY9zU42mN6ktlhNTzQmit5my8pHFv46V9hyK4uieMGZmQWR/s+PYXBLJ+NBQW&#10;sXFi4iER+JgwszHCxs2l5WuR+yAFVr0BUZ6dsZ+NN4plu+tXP6VNmLk7vzuj8cIX0aNj2Pgi0L7j&#10;+8kws7GSn5gC2aj8wwKHxU5g7GqUToudFbO6rWJjiTyVXetA8446L+n1esTHx1fErVXnSO22di79&#10;MxOwVkhISOj1kIC1QkJCf1n6+ESsYw/2rmBz9buNkbB2K89DC5rcCJvH9nlUyvdvG3nPHv3iO+4F&#10;TKIwDhveb+E2r3o9L1rah2QBa19NlbIufO5XHTYObOYi3L5xAweOnMHpe0U8LEF5WRKm9eyqhEEo&#10;M+LArDFo1esbbNm1CysCRqF9w5r4bvdjYn4WnsLw7oOw/FAIerb6DFseENQtR7EtH2dX+WHUZ5+g&#10;d99PMOjz7vBp8SlWcVgbq8DanTrAeB4/fdwRY3elQi4p4x6/M/u0xehd6SjLuYtvW1SF5yc/Y/me&#10;kwib9AVa9/8dMQXsXiothSH5FBZNGYHvR41C1IINSDErLVQuFyHmbiwSDX8Ot4X+XRF0U+en54G1&#10;6gI4rrD28uXLlRYYcwcN1P2Ps6cVQZG43QdwPWourofOwqXAcJye/DvsZgssufm45OePK6FR2N97&#10;ME6Pm4wLv89E7rVb/DgyOpcrlNQawcl+/fqhcePGfJv2kRcjbdM1FhUVYejQoZWOe9OM/sbZZRlp&#10;l29C0ul5WAH6mb3qKelqfL/ZCoNkgd3E+orlvzB/JUJrkGfn0/3MnUPBet5Y3G0w/4l6+vmrPL5s&#10;RkwCbBYz5rftjXUDv+GhFS4sW42t305k57VDlowIrNcMKz7/FpJNRkFiMgLfa471X4zhP4e3GI2Y&#10;zp53on27w+6wQTYZcXXTTsSfPIO8+4nsuqxsfzGHd3yxM3YNJit5Z9qQl5KJhFNnWJqNxzBd2WMI&#10;rm/YzcqVsPX73xDVoC0kgwmF6RnPBGsj6nqy/F48ru8R9uyVe+celg74Gg9OnsOl1RtRkJyNJQO/&#10;xoWlqyHn6bFt/HSsH/IDQutR6ARvHk4i0rcrMq7cxJXF67Fi2A98oTezZED+/RQknb+CHX8EYfs3&#10;v1bU62nq5s6U+jZHSI2mOBk8G2bWRmmXriOsWhPs/mUma3Mbsu/GIKhaU2we+TNskgyzbIJkIlhK&#10;ITHIJET5dMVadg02m4TzC9fAr2ojFKVmooyNt+lVPFg9vRH5tKEkmBGsjXR6wwax78asHNiKHZjd&#10;8mPs+T0EFvLuNUt8DFQat+w7gWLJrEDdvNh4BNaqPE5LNfMe5UtKSuKhELSAVrtNnwLWCgkJCb1Z&#10;ErBWSEjouUSAc/17vm4B58XJAdyLjx4Ecy5cxY6WvV6asAirq3vi/IQZHCaTdOyBelOjDm4XFTv2&#10;5Rh+HX+HtA/JAtYKVRIbHw72wmqQFbhZZs3B3o0rMfbn3zBj3TpMHfIxukfG8bTKkrBm/AC0a90a&#10;3cesRwEN4fJS6OKXoUfzbph9KgeFegMexB7D0F79sOKKBtbu0qE07QC+6uqDXt+OxaKly3Dk6DFs&#10;ndgNTX7Yg3JdHIa2bIl551JhL2V1zL6Mcd17YtaFFDhMdxE+oAU6/rAABy5dQ+RPfTFgygpksuKL&#10;r8xFn74jcDTfxmsIewouHd6FCxcvISuffpIuXhpfFhFYU+enFwFrVfigAgdXWKtKhQfaufFFiIDr&#10;5ciFuB49F0dGjsKZSTNwbup0xG3eimPfjMHpMeNx+qeJuPD7DJyaNAnnp83ExYBAHoNShbVP8ow1&#10;m8345JNPsH37duTl5XHz8fHBoEGD4Ofnx1d9Hz58OIcyNNfTdatQV2sEVwoLCyvtf1OM2sbG5jwy&#10;CinAY5NalDi1RsmCgpRUBPEV9r24Fyj/6b8GgrkzHhaAVuSv4YmcO3EwsbLnePXA4k79YWPnu737&#10;IILeaYDMu/dg5l6kBtBiZhRDNu7ISehT0mCXZGz5egIC3m3CASLB202jJiKgakMUxSdx6HxoehiC&#10;q3kiqKoHgmt7I/TD1oj06YLl/YZj1yQ/nF22Dg/OXVC8hLknsQUWixGSVebXS7CYPEetJgNi9h1H&#10;UWYOb4MNw35i16AsVOXu+lQjIBhaxwt+7NwEttd+MxHHohYi785trB72A+IOn0KEdzfc2bYHugep&#10;WDN0LDZ8NwmGtAwEVWmCSHZcQI2mSL98Eyu/HIW0yzdwPHIxdk8Phs1qRfyZi1jx1fc4NY/N51fv&#10;IJidj7x4KdTE0/SDq1F9aRG6ua0+hmQwwibZEe3VEQHvN4fDTDGMrVjSZSCi6raEIStTAaMm1j+s&#10;LgREOQBnn3c27kRwLR/oklN4fNvIRu2xddTPPN/VFZv4Ynncu5XV0109HjHyxOahJLxYW3ji8tKN&#10;7DwSYvfsR2i1Jjg9ZxkH7kbnPyKo3rVUN8qnhGiwovBBMk6ydpJZ2obhY1m5iheyGqqDPLxV0ZjP&#10;yMjAjRs3OGhV50rXeVbAWiEhIaE3SwLWCgkJPbfyr9/B5sYdKkHONexBd0fr3pALlPiXdoMJ1wJm&#10;cS9bdzFh/ylb9W5j3F+3ndeJVHj7Hjaylyp3ebc06QQHe/j+u6R9SBawVuhZRGOHQK7O4j4MAsly&#10;2B/16jXAL4cKFO/f8jKYcg6ht0cbBO+7z15sc3Dr8Fx81rEvlmlh7Q4dynWnMLJHP0zdth8rVqzA&#10;lN9+x9ARw9Fr9CoUGO9jePv2WHUxQwnrYEpA9NBBmHk+GaZbs9Cx3UgcyinlsUDlvERM7N0S/ocy&#10;UXJrIdp3+Axb82SUW64gakwPtPt0Mr7/4Wu0/3gYdl2j0A/sxfXOVqzYcBSpdy7h6qVLyCt4nhAk&#10;JbAa0lGoM4mX0mcQgTO1vZ4H1qqAQYUPKrgliOsO1qqerCogfVF9RuVl345h5bHt0lJcD4/Etei5&#10;ODV+Km4uWIyLASE49uMk7B3wObY0a4djQ8fgwvRgFMbGoaSsmNeDynCFi6qtWbMGH3zwAbp3747B&#10;gwdj//79HJpQu02cOBE9evTgMKZDhw4czH300Ufo1KkT7ty5w2NWfvHFF3ybQM+VK1fcnoN+Lk1/&#10;J9ylve5md9hhY2bIyEbCwZM4HTkfy7oORMDbHyGoSqNKnotaU35qT7FfvRHt25MvlpVy4RpCqzdB&#10;xrW7HMrObf0xlvcfyQGhbLZw0GdkRtCWoGDy6Uvwf7cRjvhH8TwZV28jjP9EfhIsNjsKk9MRUMML&#10;IQRU6zRDpNP4Ngd1rA7smYg8gnf/6g8rhRRYvxNLew9l8xN53crIT86AQ1I8NhXvTfIolmFOy0Ko&#10;0zP0z64zoqon0i9fgc1ohI0dn3ztNrJj7iPzRhzmdhnIw0GknriA8HZ9cWXtFtiKjFj/3XhsGzUJ&#10;YbWbYd2wn3B17U48OHEWUZ0+hS23EDsnTEdO4n2s+/I7xB48jph9h7BvWgC2fzeZe9dG1iYv56db&#10;bEyJB6tcB8FTWvwtZt9RWGQLLi7fgGD2PWHvURhZG9/deQAhVZvi/MoNHDre3L4Piz8epMBRs4yc&#10;e/dhzMiFZDIhvFEbrP5iNGS7DReWrkfQOw1hydfBUSxj5n81QGhtb35ed3XSGtUrlPKxui3p/gU7&#10;jxk2iwkR9VvA772WPFazRCEhKH4t6ydtKISKUB3MLixeh8iP2rH71Yb8+4kIohjOzsXmyHNXZnlU&#10;0XMf/eMOxa2l+VULbN3NpX9mAtYKCQkJvR4SsFZISOiFyJKRhU1ugC1BWfK8vTNnuTMnYExOw4kR&#10;4/5xL9tVVRpjT+fPYMnM5vWgB9S0A8exvp6ve3jM9pvTMnnev0vah2QBa4VeuErYi2JBIfJsqmc4&#10;ezErkxG7OxCtvH3QtUdvDBr+FRr7dMbSc/Ty6IS124tAi6DNHdUTXy+6CFsxvdApL5U2ezGMaTcx&#10;tH17rKyAtfcRPfQL+F9MhWHPBHj2nogb7BgSjXHZbITBWoySa/PQoeNA7MiVId/egc8G/oYThTKv&#10;09E5o+DVLxipOhvunQ5DmzoN0feL8fjm+2/QollrBG67WxFuosSci6sHt+LKlavQGU3OvY+RvQin&#10;ZvfFu02/xa0s6flDVrwhIkCmzk/PA2vJKL8KIFRYS59P41mrfpK0aSrMfVpRfgpLwI9llnvnNi5N&#10;C8Tqtz2w/9OvcDk0HA927ERpcSlkvRH7+w3FwQEjcPq7n1FcVkonR1mpe1hLHrIEX2kOLygo4B61&#10;9+/fR1RUFG+3X375Bb169eJtN3bsWF6P9evXQ6fTYdiwYfjss8+QnJzMIS952IWGhmLTpk2oU6cO&#10;IiIi+DmoncaNG8e9buk+HDJkCIe8ah3o3Lt37674/qYYtQv95FyXlYP8e/eRfO4yDkzyR3SD1vD7&#10;P+8jtKYnB2ThdWkRq2aIqtoMhtR0GK1mRDTtjgXdBsJhc+De/uOY32UAyEOS4C3FHCUvSVooirxU&#10;o5p1R7RHe1h1Bh7bNrp1b0yv2pDDVVmyYe3A0Yh4jwCkt/N8zbmXZoXVIVCnLHgVyJ43CjPSOfQL&#10;rOuDrRP/gGw14nT4QkQ2bA0bO7dFb8GiT79B2qUbMFllbP3uV3a8CmxVsMiMlRmi7mNlLeoxCBKb&#10;E5PPXsZmNr4tbDzuXbICefEPkPcgFVKRARIb33l34pF98zbmdB2I07MWo4Cl+73bBLqkJKwb9gOu&#10;b9iFlGs3MLfdZ7CxvyF+rB0zbt3F7V0HsWn0rzgcNhf5cfGIqOWreC2z63YFn+6M6kn1JbAcyZ6z&#10;VvYfCTu7Potej4javljQrh+PjUuetaHsGSzSpzscrA8cVisW+PZG6EdtFFBqK8bcvkMQ3bInJLuD&#10;/U07hMDqXsiLTYBdtiHyo9ZYO+RHDr1vb9jO+4Dgurs6aY3D8DpeCGJlpV+6Disra79fBMLo++Ub&#10;sBokXFizAbaiItYvCpjloJaNGwv7pAXwCO6b81mbvd2QeybLrIzN3/6MyFr0jwY0Rprh7u4DFfMX&#10;zR8UJoX+sebMmTMC1goJCQkJcQlYKyQk9MJkN5mxq90nlaEnszXsQX9Xm76wpCvwk8IKKAuQDcfy&#10;//f9vxXcEojdUL81Mo6eYedVHkrL2Ave+V/9lDyP8fKlEA9/t7QPyQLWCv0zYi9nZaWw22QU6QxI&#10;LtTj3L49OHhLz9JS8Gv7tvhmcwHPWXB9N4Z2a49Jq44iN+E4okf3wm97slCcfds9rD2fDOP1KLTt&#10;MRbXHZVfAEsuz0X7jgOxNVvmY7+kRA9Dfi5PM19ciR4dhuFqthUJJwPRvOV32HM9B3KJAzc3TEb9&#10;Dj/iamY5bLpMLBzZEb0+G4Vh336N1u36Y0usjpXHi3FROSx5MQga6IWadVoh6EwSjwUs9OciEKbO&#10;T88DaykvwQMydR9tq7BWnfMIWNA2QdXHSQULlIfyPymvqx7CWrbN/o8WFdvbZSBW/FdDrPh/PsDe&#10;YV+zfax8lpfOcWfhaqz6Pw2w/L/qw5iaxs5XxupXOWyBOyNAQp/79u3DiBEjuGctgVTypKXvlL5u&#10;3ToYDAZ8+eWX6N27N78e8rglAEuwltJ+//13dO3aldedyqO2nD9/Pr+OgQMH8nrOmDED2dnZPN3X&#10;15eXo9bjjTf2N5VArmw0QSrScaC39tOv8fv/8z6PMZtL8VDfbozEY+cUD9rCAuXn9U7j3rWSFSaz&#10;CWGNO+Lahh2wymbc2r4Hs97xws2NO1h+G5KOnUZgDS9QzNdIZhXwtBIIJLhKoNILO7+bDCvrb5ve&#10;gMK4JH4eAr+BDdth9/RwHnbhaEgkgtizkTk7F5JBzxfhUoHtw/JY2bXJW7MZ/Gs2hT4xAxb2bEXX&#10;QTFgbez69ekZHLaG1PFEVD1fBLE6Zly4hgCPTriydgOsmUXYNPZXFN5/gB3f/w5zYjo2jP4Z1zfu&#10;xP0T5zCrzxeIrtsC55euwYrhY3Ft6x6knL2KXTNCsfmbn7mnaJib661klIeM1TWong/3NC5KSeYx&#10;cVd/8S383/4IhpQs7nVMYSOCWX2TnWEjDvtHYWbVj5B2/gq7LhP3Oo4/egpRNb1hzMrn4SNme3bB&#10;6sGjWbtKuLlmK8LebQKHroh7sU6r0dQZCoHO72w7Z714eAJ1m7UthZJYP2gMJLuN3fuZCKvJnmE/&#10;/YaVa2d/f3QIeqcxTsxazNqY4KzEzi3xsAgms4U/W26PnMtDIhz8dSZmeXZj/Soj624c7wOC1HSO&#10;Q3+E8vtXnZuMRiPu3r37CKzVzqNkAtYKCQkJvVkSsFZISOiF69ToX93CTzIKjXBowNf8BYU/IDJz&#10;GM24MjMSa9lLCHm/Up6/HCaBHUfHrmXbq95phN0d+iP34jWUsxdtEp3TkpXrNmxDhbF6FMXE8/x/&#10;t7QPyQLWCr2MKrp3CtMm/Ij2nfris2lbcU9fDDn1Kvo2aoQl59IUWGtMQNRXg+B39j5k0zWMatMR&#10;iy4pXozldjOu71yEa4kGlFybz2HtjnwZ5cknETX2c/Ts3Q/evi3RqNGH+KDlWNzMZS/hJwLRoedU&#10;3M1V7gdz0gV82nMAjt8zQ5e5A8MHjcOWOBml5Q6cnz8c3t0nIt4NHC4vLUHakano8dkPmDplLLr+&#10;uhvFtCKckspekpVQDe5eVktTTmP3ntMwF1O84HJkX9+LLYevw2J3Lo7GrquEvZgTHHNz+Csvgl1q&#10;u7woWEvbZFQGhUFIS0vjcx6dh0ClyWTisV8JlFGsTnVOJJjBx9JzNDSVQfCKl1NWjhIOX0tgMRuQ&#10;cuM6Oz8bT+RB68xLi2CtruaJ5f9phJ1t+rO+fny8WndG11O/fn38j//xP3D06FG+T70Oui5qA/Ks&#10;7du3L44fP849ZTt37sxj2kZHR8PT05PXr3///hUAlr4TpJ03bx5vzxMnTnCo261bN15mixYteNt5&#10;e3tj/PjxPD/BGkoj09aPvlNYBu2+N9H42CNPTlpEy2qBZFbioFK7mS3sk323WEzQkyes2crDBtDP&#10;2wO8O8LO8pU6ShBY35cvzBVa10cBgmRO+Kc1xSuWPCu9EVyzGYxZ2dw7k6CwzMpWz6t4ado4tEw9&#10;exmFKaksj4TVw79HWK2mShk8lEBzdk5WNntmCavVDAcmB3DvTh43lZXHATS7JlqcK6yOssiVckwz&#10;zHi7EczJqci/dR9RXQfg1o590OflcQB70H8Wcu8lYFb3T1Bit8FsMKKUjSUyudAAU24ujs5fjsOB&#10;86BPTEY4O3foU3itklEdguv5IKpGMxwLmgOzLOHB0dMIqOaB/ZP8WVvL7BwFmPmfhljxyXDI9mIU&#10;JjxAYE12Lw4cCRu7PgvrEz2bj+ys//xrN8e8rgMhs+3bO/bDr0pD5LHnN5nNWcEftOCLwVkkO26v&#10;3IAI9nxXEeeYYC21Ha+T0iYE0gl8h9bygbGgAFa7A0t6f4lp7zaAgV0z9c3aEWNZujcK4hIgkwct&#10;a1/e3swsbPve3qOYzvLTfEHe3v7/+QgnZy3kY4wWrgtjZRNwn+/bg88HqqjvY2NjOaylOZLA7NPC&#10;WVcTsFZISEjo9ZCAtUJCQn+LMo6dwcYP27iHoexBd/l/f4DT302CNTuvYpEviiOoj0/E9cDZ2NG6&#10;D4euKrglz1tutO1q2jT2uf/jIbg9eynkfCVWLokeRg33k3Ggz1csz+NB8IYPWvEYvP+UtA/J9PJM&#10;L9dCQi+7ykociLt1C/F5ZgXWWlIxd/Q3mHE2HvbSEsRsm47WPQZjy/GzODlvFPd+XXzThJJbCzis&#10;3Z1vQ9y6X1G/yxSk2pR7wHF/O/r3/RHXslVY+zvu5Cj3gynxIgZ+MhAn75H3bzlKbXro8rK5N5L5&#10;zixW/mAcSK/8wllSnI+1ozvj02mHkR+3AR18R+CuwwlbkYxZQ7tgZPgO7Aj4DlN+/wO7T92Do7QM&#10;pQ4rzDeXok2b71h+5YU6ft8cdBswE4kF7OW3pAjX101Clxa+aNamHVbG8iyvlVSQRXoeWKuaeow7&#10;WEvQgmAFxW0kb9uUlBQeDiA3N5cDTQK4BD+pHirwdLU/k3oOGj+UnY7hoJ6N4PLyUtbvpSjh4F3x&#10;3C0uKYWk1yP+4GGc/OkPWPKevOgX1Y/AiOt+qrMrKHVndF7KS9e6detWXLt2DW+//TaqVKnC91Me&#10;+vzjjz/QpUsX7l1LHrgEZZs3b87bqVWrVnzf3r17OdCldq5RowbPQ+EWqB4EhCdNmsTLIzhEZVJZ&#10;2roIe2gE8WnxMLtJ4n28c+wkBFTxQP7tGFhkK07OWooI52r/FfaY2KgEBblnpRMKbhw5HhY215B3&#10;JoE+voAWG0MqsLVKzpioZiuHuiVWGwLZMxHBYGVRLyrPh4chCK3fBhaDAcUGC3SsXhTKgUBi2vWb&#10;8H+rMQfEVDelHgqsvLVzFyLY3By79wis+Xqev+B+Ivb+EYydv8yEjmLlOuO3+ldvgvH03LZkNY4s&#10;X4f8jCwYCvKgz83B5m8ncmisXr/rdWuNewbX9kaERzvI5PXM6rmo/acIrt8SJjaGS4tLEPxeS8ys&#10;5YkS2c7awoxl7LmNQhgUsOdDG+uLNSPGYo7vx9zjtjDmPo8Hm3LmCmSTCXNb9sT2bybCzNruwtJN&#10;CK7aGPZCHYwmAwLqt6gIwcAXEWN1pjpROxKsjWR1I0/mc8tXQ2Lnjtt3iLW3B474hXNwXpiUhKB3&#10;GmHbqAmw2m2QWd/IJoL5ZKy9JQtKWdv7V2mI44GzYGH324FpgQir3xpWnR5G1laRdX15n1E70T/C&#10;qKKxde/evUdgrbo4ozpvPu28K2CtkJCQ0OshAWuFhIT+NtHCYke/+A7r2IO+OzCq2r4eXyBx8+5H&#10;4Cp7euQxy3RxD5B24BhuRy/GpSlBOMEe0vd2G4TDn4/C8eHjcIK97NyKXIQHG3dCZg/kdvbwrxUt&#10;DpZ78ToO9R+JVVUacaDrrg5k25p15+f7O6U+GKsPx9qHZAFrhV51EdbkI7pMxq3Dm/HLhJ8xaMwM&#10;rL1SBIkN7eJLUfBp/jG25MowX9uArl6tMPdYDIqSLmOj31do1fEH3HgSrI2TYCk4jegxX6LvJ4PR&#10;tWdPtGvbHN49v8HRzMovnLbEjejfpgOmHaCwDkn4tWcz/HjYoiQiDbNHdIeHTy9MXnoS25b/AV/f&#10;Llh9VYeM26vRp0FjNPDwQZ/BI7D9tgGW7Dgkpxco3or62wgZ1AJ9Ii7DWG6D+e9bg/BfE4EqdX4i&#10;oPe8sJZMBQ8EE+iToKwKawkqULxX2vfgwQNuiYmJ3Ghfeno6/7k/5aGFtjioZ/M9HaeCXO18qkrd&#10;9xDWPiqezu1hXvosLS/j8LaMPotLWflP9qwlyEwLgx05coR7xtJ1EYymurnL/7RG9dZ+J8C6YMEC&#10;vk2Lmi1fvpzHvCVY27JlS35u8s7dtm0bhzUDBgzg1/S///f/xuzZs3kbEgQiKESLmhEgatasGZo0&#10;acLbMCgoCKdOneL9Teegv0u0X1sHMoLprvveBCt2jle+zWzVwNFY0rUfFrXtg1kN2yK0hifCCEa6&#10;QEoyBdYqwJYgaEgNLxSkpFXAWu1iVarxRasonZlJtmLz1+MQ9D4t6sXOUbsZgt7zQURNbxydGYGC&#10;hCQUZufAoDdAlmR+fLRvLw5zCbg+9CRVwibMrNYUuXfvIfvqbQ4cJTM7p64IOTfu4HDEPBwLmM2v&#10;JYzqz87FIXODtiixsTqx57Ncdl/e3nWIzcm5CKz5EFi7XvdDo3RWXk0f3Ni0EyZWzuUVmxH4TmPc&#10;2bWf3Z8ybm7dg7DqTXEoeDaPBZx26SoCqzbBvt+D+DWlXr2BsBqNEVzHC9m3bnPYG+HTBSsGfINi&#10;dn/f3XUAfm83QHZMAortEmsrXyxmz5gEX88tWMU9gAnKEpxVQzfwdmHPgMF1fRDt3Z09e5pgtJgR&#10;5dkFkU06wGa08IXFplf1QFCd5tzrnjyu5308BAZ2PxGolWSJ1e0mP2731BCE1PLhMLcoNYX1szcu&#10;LF4DyW7Fqv4j+KJsUfVbPgJrqa+0sFY7b5IJWCskJCT05knAWiEhob9dSTsPYLtvT7eAVDXyoF3H&#10;Hpj39/oSdxesROHtWNj1RpQ62As4ezF6KtFDJ72Q5+Qj++wlXJzsj80eHbGGPfg/Li6taie+/hmO&#10;P1uo6AWIHorpRY/MVfTyJ2Ct0OusclmPazdikELkFuXsxTwaH/fqie79hmHsmJHw9PwCJzJMuHd0&#10;Blp3mYTbrrA2yYHM/RPh1ek7HM5XXnSlwp34vMNQHK4Eax24sWA02nQdi6sWZRGrK6GD0PiL5bDz&#10;b2mYNawrPva/yL+Vldiw6eceaD35OIpLyiBdWIxOXcZg+/UY3Muz4urSn/BhjxnIyC/A0u/awMPD&#10;A60+7o8Zc46huNSKrPsJKNTlQ6crgqPk4Uv4qyqaj9SX+OeFtVrQQMBW3aZFtdQ5j85B8JWgI8Vt&#10;pfMRoCXwSIt1xcfHc6NtArh0LAHSzMzMCohLYRS04ROUEBXKNTwO1j5OKsSg/0gqrHucUfkEa5cu&#10;Xco9gmkhsI0bN3JYQnWla6broTpQfgLO9KmCUKrzXwW75JFMZU+YMIFD7Hbt2vGwCgSLP/30U15/&#10;grXLli3jbUznpHMRrKV2Gz16NMaMGcPz/8//+T95WRRKgfqhbdu2aN26Nb8e9XzUrv/5z38qrsWd&#10;0TmoL2ib+sI1/XU0ahey7HsJuDB/BXZ8OwEbB43C4nZ9uUdpSLUmHHgSHORQs7Y3doz9nYc4UEIW&#10;KGEQXM1Mnxb6mb2Vx0QN/E8jxROUPbuQl2YkK5NCC/i/64EZbzdA2PutsLDNJ1jUfwgiq3kihKUp&#10;cVoVkEqfIawO0bWb4dzi1TAbdErYBMnKvXmPzFvGQwkE11IWZ1OPocXRqM4HZ0awvLLzp/9WHhN2&#10;7ZiJHEIqXqPNldi0FZBWMQoNEVrXC0s6DYRNtkOfkYGQmk2xot9wyBYJVnZPhH3QGiENW/PxY2H3&#10;c+iHrTHHsxus7PnMbrZgYefPWJ08eeiHkMbtILNxnHb+MkKqNEHK2YuwsftoTts+WPHxENauNtw9&#10;cAShNZrCmEFxf00Ib9ye1ZGui67JWS/ntYXU9ETS2fMckJ8MnoeAKo0Qf+gkD0lxdfVGBFXzYP26&#10;GjZ23XGHjsP/rYa4zZ5vKXRD5p17mMHyW/U6FFvsPKzDkeBZHOzumuyHwDpeMLG/Hda8fASzc/1Z&#10;GATXeVP9rm4/yQSsFRISEno9JGCtkJDQPyI7e9C+M2cZNjVq5xaWVlgtb6ypTqEPvLClSUfudXt2&#10;7DTcmb8cSdv3Iv3QCWSfuYi8yzeQc+4y0g+fQtK2fbgRMhdnfvwNO9qo4ROU0Ahuz6Exgrn3N+xw&#10;1vKfkYC1QkIPRS+K9DJMsTfv3YpFisWBvITD+PWP1bhfoNwPxgfn0btrbxyNtUCXugU9WnVGyPZL&#10;yIo/i7VBX6FdlxE44gprTZcx9bP2aNqiM3p98gmGj/wavw/tiPc/7IxdRsqgwNrPIq+z+1E59nLE&#10;52g5ficcJWUovrYMXbuNxU2TjaUU4/LKSfAdGIoMnR0ouIWp/Vtj8LyDOHI+EQ5zIsK+6ISPh/RD&#10;1159MG1jHEpL8nB263ysWLYcp87fhM6qAONXRTQfqS/xBE5eFKwlr051vxbW0vkINNI4oE8Cr6rR&#10;dxXiEpyl47TetwRwCUwQzKXvBBtpdXUCkuo10JzrCi6eVipQfZJRHjo3xYHdsmULr9uBAwc45KS6&#10;UVzaw4cP8/pfvnyZ5yXYTO2hguiEhAQOegncauHos5oKqmn79OnT/PuPP/7I24Pi2w4ePJgvZkSw&#10;lrxtKeQC1Zna8b//+795m9GiZwR2J0+ejLFjx3IvXrV8AkrkfTt9+nReV1oILSwsjNefQBF599K5&#10;KJ36s3HjxhxEqce/ccbGBvUHQc3E0xdwNnoxDk72x5avvkdUgw4ouJ8Es+XxsJYWsqJFrExWC5sr&#10;JWwdz9qbYKMTnhJQJe9ZHpeWw+BmCKO4sBR/lSAkebQ+8rN/8ipVFkILeb8VsmPjoMvLh91mh8T6&#10;jeq88vOv2bF0HDsHB610DMV89ULUR+1hLCzi3sBUZ/LKLZEl+L3TiJ1DqU+F1yozvgAaOxfVa+Y7&#10;jaFPzeQAOv7ICSxp/ymSL17hfwMOTAlk6Y1Ye8TDapJxKnweQqt7IWbfEe5Ve2HZWoTX8OagmoeC&#10;YM94GexZ0GaWsaBzX6zsM5SHK7i5dT+C/tMA+pQMNj6LEVDLEwu7fs7/8eDmtj0IYc+YVD81XIXS&#10;Xt5YPmgUu34J+feTEUTPoUO+g80iw1pQhKCanoho1oOH+SG4HVavJRax501a+M3M+kYqMrDyfHA0&#10;ZBaMkh3HgqIQVNcXFp0R+uxMBLI2OR29CJLDjrXDfsRCVpaAtUJCQkJCT5KAtUJCQv+obDo9D1uw&#10;1aurW3j6OCPP29XvemBNtaYVC5HRd0pbXbUJh7OuxzzJ1tfzxeWpIbAV6Zw1++ekfTjWPiTTC5KA&#10;tUJClVXmkJEQl4BcowMolXHv4Fz0790bXXoPxU8hP6OFT19si2NpFSpDzokF6NmyO+ZczERWdjZu&#10;376Lo2cOY0SbBvhmUTLLk81h7YCIa4/A2tYTdnNY67i6FF27/YRb7mCtIQYhA9ti1I4Hit+lIQGR&#10;wzqiy/i52Hn5Lh6k38POwC/Rqvt4RC1bim8Gf4yvg3ZAL5ewOTATK6aMwvZLzsXZSothzk2DSdLW&#10;/98XzUfq/PQiYC0BBPpUYS152GphLcE98vIkmJmVlcW9RQm4EqjlP9EmaMU+Cd4SuCWYSZ9kVDfy&#10;CiUASpCUICiV5QprCT4+q54G1LoaXRN9Ul2pDgSZT548yYEsebcSRKE2uHr1Ks9H8JYg7bFjx3Dn&#10;zh3eTrQo2f79+/k2/Tya2oHK0Zb/V4yOVa+J+pLa9Pvvv+fetVSf//W//hdvM4K1BHqpvvRJHsN0&#10;HLXju+++y7fbt2/PYS2FXyDv5n79+vEwEB07duRgLDIyEl9++SVfFE2NQ6zWQVunN9nUtiCPUBor&#10;ZNR2WljLzSpxoEdmM1l43FwCrrSwGYFQ8pwNZcYhKYHIOr4cxgbXa4ZInoegpOpJSvmUxbYiajfn&#10;YQZC3m+Jub49+aJem0dORGgtpVweQkEFmgRhmYXU9sJx/0hWL6U+HNhKFhz1i+Rgls5L+dVzkRcv&#10;hX2guh6eGcljAFssZm40fiSziceYpTACCSfOsnIt3GM2vFlPrB44CrLdCkNBLsI+aMPK8ubwOZLq&#10;V8cTUT7dIDvseHD8JALfaYKUSzdgK6Zju2B+p/6wsHISj55GcK2myImJh9WgR4RHJx43l+qoXJcP&#10;At5pyNPsrG1XD/6enaM5cmJZfpuMjaMmIuDthjCkpcNktePAZH8EsWfOB8fP8L7KS06DUTbhaEA0&#10;98Ytlm2wFhng/05jHJkZxfJI2D8xAMGs7kY2p0lGA+Y16SZgrZCQkJDQEyVgrZCQ0L8iuaAIidv3&#10;YWer3m5h6t9lGz9qgyt/hMOcnumsyT8v7cOx9iFZfXETEhL6c5GnmoG9WBttFqTEJyGlSHPvlBVi&#10;R8hgtPhqKRL1xRyoqvda+rIv0LS/P/JhwNwnwdorS54Ia4NdYG34l5/B/2ScEmLBlIG1oVFYH5uD&#10;Ela2Mf4Qevt0xbrrmbAVpGBan2aYsuEmeLAEWxH2/9IPX84/BjWa7ssgmo/UNvs7YC19ElRV5zyC&#10;CgRpCWgStFA9Zcnbk6AugT6qA0Fa8tYk8EqghOAWgQ4Co7RfBbi0j8pWr4HACOWh66Kx82ei/H8F&#10;1P6ZqXCOrovqT5645JFKcJq8bwnqUlsRtCVgu2fPHr7gGEFQ8malfQRPCbK6lv08RtdKRm1Hn3QO&#10;akOCuEOHDuXgVR0H5JlLC5jRYmXUZ3369OFt1rdvX348LYJG7T5u3Dh+feSVu3v3bnTv3p1fIy2E&#10;RoCXyqfQDVQu9Z27egl7GCKDg1x2nxDkPBY8C6HveHAvVgKiKnhUthXjoQ8I4tZrjsjazn1OgErH&#10;RTEjL1XyoCWYSt64ZOQhSgCTl8fS6BgV2KpwM6S+L/IfJMHO6mdz2HkoB9lkxB881INyrHouDoXp&#10;HDWao6TYBrNdwv7fQ3Fm6QbuUUsxeYvpPqaF0dh9TfFgyYuYoKfMtq3sevUFhYjdth8n/KOxqs8I&#10;RDfsjLD3WyKiqieSLl7hnrdLewzGkvb9ILN7gzyYw6o2gS7+AbvPbAh4rwVWfToSst2Bm1v3Iaxm&#10;EwVg1/Hm4Q9Oz1rGgXjy+asIeqsxjgZGsuPsSDxxjtXbGydmRsHI6lf4IBEB1TyxYdBoHuLAkJaJ&#10;6ezZUpeSimJWh5B6vtg8egLMbPt4cDQiPmgNm94AQ14BAlmbnI5cBMkiY9+vQQLWCgkJCQk9UQLW&#10;CgkJ/asqYy+u+gfJuOoXifXv+boFrC/Cdnf8FPGrN8NWpP/XH0y1D8fautALmYC1QkIvQuXsRZq9&#10;WJvsKHWJOFJmOoAuzfpjc+IDzPrcF139LrqFtcXXlqJL++G4pKOX3aeBtQMRcDIOhHa5SgoQe2qv&#10;4jWZcA6/dGqLgDPxsBemYkb/Vvhj820F1tp1OPT7IA5rn93v8+8TQSJ1flIh3V+BtdpFxeg49bsr&#10;rCX4SOELCFjcvn2b/0xftZiYmAqAq8aspVi25K1JHrUEctU4sRQLlsAfgVCCsuo1aGGtCsDok66N&#10;6kB56VOFqf+GkXcqgVuCctQ2dL3UZps3b+btQLCW2n/v3r0cVrsr4+8waiN1m9pYbUfy9KUFzLp2&#10;7crbWIW1AQEBvN0J1lKIhV27dmHnzp0cONO1UXxcOo7Abb169fix5JX7b7b9q2gWnR55CYlIv3Qd&#10;d3ftx47Rv3C46vffH3BgyuPGOq0C4BJ4dW6HEaCt6+008rb1rQCYBGT5Ilx1nMe4AFsOZD9ohYiG&#10;7RDUqB2WdhuC/dNCsa77EFa+Ao3V/MH1vBBatSkenDzLxq0VF5evxcy3PsL19Vtgky24vWUnZrJz&#10;3960n8eZteQWYBd57pJXvdnC7mUJDna/ErS1WpV/pLGwfeacfBQkpUKfkwWT1Yr7R89g+ruNkHn1&#10;FiQ2ZgMbtkWIRwc25kqRfv4Sgms0QcYVCptgwRzfHuwalBi6/jW9Ucb+UFhYuSFNOmCWR1tIJiMk&#10;2YYFHfphetUmPMyBg6XPavcxQur4wqorgmSTsWTAcETV8sbWbyfAxL4f9Y9GaBUPlLBjTYU6vojc&#10;tgnTINltODg9nJ3Lkx1rhs1qEbBWSEhISOiJErBWSEjopVFZSSlMaRlIWLMFhz79GuvYS4c78Po0&#10;tv79Fjj65fdIWLeNA1palONlkfpwTEYP6+q2gLVCQv+AystgYy/Sdnav6XOzcDXJUAFrby0bh3a/&#10;7OGwtlx/Cz909sbQyI1IyTPgyqpngLVFMVjxyyD0++5X/DRhMvr3740Gdbog6uKDNxbWasEDfT4O&#10;1tJP/smrlAAtGUFK+u7OCOqS0TaBCQK4BG8JeqqemqpcYe3LaPQ3QIXI7tJUCE1euO7y/FtGdaJP&#10;GiP0STFsCSaPHDmSh1bQwloCz9u3b+d9TdD5vffe4/3z2WefCVj7gozGirlIB2NWDgofpODKyo1Y&#10;0e1z+P/XBwis0lCBtQRSKTSBCl9pn2rs2YuHU2Cf4bUfA2uZKWESNF65FAKhjvL5aD5vzO82CBab&#10;WYm9W1QEXWYGrBYK92DDxnG/YUWfEbCbTSgptWP6243hX8sTDlmCbLFhXs8v4FfTC5EUpmHIGJyY&#10;vxTp166jjI07HgtYsnCoayPv2nafYl7nT2Fl+9Iu3kZkdS8U3LsPM7v3Iz3bY3HfYbDbbLi8ZivC&#10;a3jCr2oTFMawdFavo1OCEFzdG/EHDvNQDVdXbEDIux64tX4H9xxOPnQSUeyYc3OWs3NZkHrmMgJq&#10;Etj2RsC7jWDMyWN/VxyY/lZDrBg8BrQI27WlaxFS1xe6jCxY9UWIfq8FjkcvhdFiErBWSEhISOiJ&#10;ErBWSEjopRR/gGQPsuR5W8pePgpuxeDWrCU4++PvODF8LE59MwH7egzGkYHf4uLkAFyZEYGMw6dQ&#10;yPLRMXTsy/oAqj4ckwlYKyT08ki5J9X7k1Z1v4ZZUbOw+poRCbtD0eyzMKQV2QHdLUzt3hjDtya4&#10;hbXGu4cxsF0vbI7LA3Hg8jIT5g7pj4DT8bAXpGJ6vzcT1qr7CCbQfldYSx6yBBgI0BK4UGGtq6kg&#10;V01XgS1t03EUt5aAJnlxqnoVYO3rZCp0pk8aP/RJXs+07eXlhQYNGmDTpk3o2bMn76s2bdoIWPsP&#10;GIHKYrsDJcwKk1NxeFoIh7Az/3ddhNXy0njhqrD1UVirmpoWzr1xWzi9cL0RXM9Hgbz8uw9Ca3sj&#10;6N2m0KWnwmq1cOhJYNLK490+3KaYtWa2badwCuk5sBQW8LAEMbsPIKR6U0SyMsljl2LtUtmR77Pz&#10;1vLG9P9TH/5vN8H6ryfy8pMvXUNw1cZIOncFdklGQP2WCPPtyr1kE/YfRUjVpsi4fQcya4t5zbti&#10;9RejeVoxG59/vN2Q5e2BYpudx5alOL4LugyATaK2s3Gv3aCGFKfZBtlkxuxm3di1svqw6yZbN3Ic&#10;q4Mdl5av53GC7RYJhqJ8BFX3wsHfgkExfg9NDUHA//2IbQvPWiEhISGhJ0vAWiEhIaF/WOrDMZkK&#10;a0n0IvVqwVrxkC/0hqrEhvgrZ7E/rkiBtcZEhH35OaYejYFM303pWDCmKzqPnou41GvYEjgMbd/v&#10;gLCLD1BszMT84Z0xZeMNlNI8UGrB4d8GYPBrDGtVYKuaCmspjIE65xFUIFhLwEINg0DbWnOFtLSP&#10;PHHpu+plS0axbiksAgFCVQLWvrxGoJ5i9dI4c5cu7J8zuufpnkw4chKbh/yAsNo+iHjPF1EftlIA&#10;LcFJ+iRoS7CWg1vFyNOW0mgBMPLODa3jzcHt9gkzeCgDq1nm8WnpXnc1K5nFCovVCpNVgs0kw6zT&#10;I6A6xZb14WXT+SLq+rIym3N4ywEuM/ICDq3eFDfWbecgdVmvIZjbrjcrU0bW7RiE1WiCnOsxMNol&#10;LOz4GZb3+pz/uuLyuq0wZubBZndgaa8vEVLNG1JWJiRZxs7vpiCgamOkXbgO2SrjZMR8hNTywoNT&#10;l2C1W3Fh0WoOonlbcGuOoHc8YCksQqm9GNPeboCN346HVbbj/MLl8K/mgaL0bNjNEo9re3HRWgFr&#10;hYSEhISeKAFrhYSEhP5hqQ/HZFpYq3ofvSoqKzYgM1uPklLxoC8kRCqhe9q57ciOQcRvP6Brj34Y&#10;Oy0KQ7u3xQ/bb0AqseL2xonw6vEDTsUk4e7ecHzRrDlGLDnxWsJaMi2spWOpDNrWwlqCFQRrCb6q&#10;3rP0qTXVe9bdfm2aumCXgLXChL0YK2H3D91Dxrx8XFqyFmv6DsUC3x6Y36w7ouq3RGhNz0dALsHa&#10;kHreCGvYARa9gd/f5ElLIJbAbCVYy/YTqJXNVr6AmlmWsGvcNETWopi3tOCZAoYre/jSAmb06Y1F&#10;nQbAZjUh5eJ1hNZoiv+Pvb8AjCJp9/3x9/7u/V87ds8573l13/Vddlnc3d3ddXF3hyAJEUjQQILH&#10;Q4w4RAkEiZMECXH3ZNxnMvn+++lJwxCCLewiW1/22Z7uqq6u6q7udH3mmacqEtO5Y2lwrMcoHOk+&#10;HHq1FtmRN7Dvr21QnJTGH0fGWUVqBqw+a4egvXZ8+IPy9Ac4+Nd28F6xGTQ5GU0idoAr79zERdCo&#10;9VAqFAjd7wC3MQtxodd4nPihL18Pgsdec9dw6Vo8CAiFw5ddUV9UwoeksG/dD5H7D0PDtdVv/TbY&#10;tRvMYC0TExMT00vFYC0TExPTbyzzl2PzzwQtPhZYa1DUIPbIbLT949+xLaqAh1RMTEwvEHd/qJUK&#10;lIpU3L3CrSpr4X9sN8aOGYeJ8zdhzYzJmOsYCVlT9g9BBGiEZ9PbwloycwDREqw1j1lr7j1rDmPN&#10;gSyl0zp50qanp/OfBQ9cmoSMPGtZGARmzH59a2gCuQRAYw4cgfuURTg3ehZOdhiG+yHXQOEJTCEP&#10;Wga1ZLRdoVDynrcylRzionLs/WtbHtTaE4zlrDmoFWAtxdUlb17rzzog/UoY9x6lxsnBU2DfYwRf&#10;dmVyOuz+0QFFCSn8+ul+4xG4eheUGhXvBWvzQ2/YfNWNn+xMrZDDefQc2LTqidrSMqj1WpwaOQsH&#10;/9IWKpHYNOGZSmOqL98uNfcMa4COa1th8j3EnbvEh1hQSKU40mMUQrbbQMa918UcY7+FkgAA/0NJ&#10;REFUOgnLP7eGqKwCei7/8Y5DGKxlYmJiYnqpGKxlYmJi+kBEE2U0f7H+MKVDQaIzpv+/PyC41T9h&#10;9r9+B4f7dWAOtkxMv0wqhRwltXJ8SEFQCMK8K1hrDh1o+SJYS5ODCRBWALKCEcgwXyczB7kCxKXP&#10;BClokrGXwVr6Yiw2NhZeXl68Fy7BEnr+Un3Yz/GZMXt7o/tIrzP9YojuRZqIjozus+eNQiAouOcA&#10;91mnweHOw2BPXroU95aA7EtgLe9Z+3U3WH/XDce7DoNGKkVZaiYOfdYJlSn3uHJVONppGE72Gwet&#10;Roec6/HIirrJe/IqDToc/KoHHodGQa6UI9UrANZ/74BUdx8oVVqkuPty651w+/hZ3tu3PPM+Tgye&#10;Au/lW3Db8TweRl5HacYDiMvLTRPtce2kZxlftlYJg0ZvapdKgdtn3bi8D3nv4rhjzgzWMjExMTG9&#10;VAzWMjExMb0HCS/I5i/JAkz40GXU1SHWdQ4G/6//juxef4Ws4z9j1N/7wKNQYpowiYmJ6aMXwRbh&#10;+fQ2sFYADsI+tHwRrCXPWgIWQsxaczDbEqw1N3NwK8Dal4VBoDQ/Pz8MHTqUh7bl5eV83NRp06bB&#10;zs4Obm5ufP0cHR35vMJ+zJgxe3dGEFcAuQQWCWwmnfHAvj+35icoE+LBthQCgbcmkEtG3rWWX3RA&#10;dkwcV54KxwdMxK6/teOBccWjLFj+vT0ehUdxx5BBRl60cgVkChlqy4qhVimhEclh9UMfnOg7lkuT&#10;QSGT43i34bD8vieflyZms23VBzZNoR7sOLP+Rycc+Gs7WHN1tWs/EKeGTYP72q3QSWR8DF5xbS3k&#10;YhFkXPkquZQPoUATqam48hisZWJiYmJ6mRisZWJiYnoPEl6Qm780f4iwtrHRAFFOMPYsnY6tlvY4&#10;d3ghuv7x/8Dixz+guNf/g7TXX1D8w//B0I4zEF3ODUCa9muu+ntXcdRiLY4dO4bgkBDcu5eBerEc&#10;RjZQYGL64EQgRXg+vQtYa75OMKH5BGMEK5rHrH0TM4e1NMEY1ZfaIKglWEtetYcPH0b79u15WHv+&#10;/Hk+3m19fT22bt2KFStWIDExEcHBwU/2Y8aM2a9r9LxR0Zc3qRm47xuCRGdXBK3diZNdhsHyT61h&#10;83mnZ2HtE+vGA97DXYZCJZWgIvMx7P5K4Q8SeHB6euBEnB42mZ9QTNUUG1fJGcXJJVjst3ILP4lY&#10;4Z1EfpKx8H2HYPOntsi/GQ81t3+8gxNsP+/MH4uf8IwmGPvaFKuWJjqzpW3c8ghnzkOmQ6NRI8U7&#10;EId/6of6vEI+PILfnoPI556BShmDtUxMTExMLxeDtUxMTEwfiOiFWS7/kKYYIsmREXkcU//2z1j+&#10;53/BhX/8H4z+1z/gSLs/oLjPf0NO7/+G8l7/CXmvPyPls/+BEWM3I6NGZZohv5mqbpxH745DsO+c&#10;OyytDmL+nMkYNHoRgjIr+FnxmZiYPhwRNBEG8Z8irBVMLBajrq6O9+wlYLt27VqcPHmSX27cuJEP&#10;zUDrzfdjxozZb2t8WAXOJFXVKEvLRE5EHJIuesJr1nJ+gjPL//oRh77qhMOfd8H94AhoaHKx3qNg&#10;1aonDDo9CpNTEW5xiA9nIOdDLii5546M+6xCg1qDPX9rD9dpi6DWaFH1OIcHv54L10HF5VPU1cPy&#10;b524bd1wmKAsedfyZoLGvOdvk4cvbbP9sisklRVQyeQ4PW4e3BdvhlatQ+IFTxz8rCPkdSIGa5mY&#10;mJiYXioGa5mYmJg+ENELM3l70Uv7hyMVzg3932jzz/8MVb+/QNHzTyju+n9R0ucPyO5NsPYPyOOW&#10;lT3+C439/ginP/x39NwTDa3hef/a6hsX0K/7DNyuVfJt1atqEX5iFboNWIqUWnWLgJeJien9iOCI&#10;MIj/lGHti4wgB/08m8qlzy3leROTSqW8ly5NfEZG26hOzfMxY8bszY2eURq1GpLKKtQ+zkXFo2ze&#10;O1ZTWw+L//0ZEt19oZZJ+RAIajl51NKEZwRrOSNoq1Zg70/9oaqtg5pLc5+5Cpb/aIfqrFzuOaCF&#10;++zVfJiFQ990ferV24IJHr6Hvu6C0yNmQKPV8KEPZBIxlHIF5ColsoOuofz+QwZrmZiYmJheKgZr&#10;mZiYmD4g0SRjH1ooBE1pBmZ//wc4fvsfUPb+M6S9/gt1vf43cnv/AUX9/xvSf/oDFv3Tv6L9//jv&#10;+KnTEjhHlUDX8CJYOx23ahVNWzjpU7ByWB9sDKyETl7Htd8EbpiYmN6vCID8nmHtuzZqp4uLCx8D&#10;NyIiAvn5+YiOjuYBDXnxWlhY8ECX4AqLkcuM2bs1Armm+8o02ZmCu8+UStPkZvTskSuUUMslvJdt&#10;/u1EWP2lDaIsj0ClVqE0MQXWX3TEYYpLS161LUBac+PDJHB5bT/virL0+1z5cv4YSpUJDqs4I09+&#10;BmuZmJiYmF4mBmuZmJiYPhAJL8z00v5BvTxzdRFnx2L0F/8DgW3/BGXvP0Ha608Q9/mfSPjuD+j+&#10;vztgkn04UoqLUcONCxpeUPXqG+fRp9sc3NOYDRTU8Vg9rC/W+Zch23cH+o5ZgF2Te2HQpE1I13OD&#10;iAYZ8tJuoqioCHq94cnAgg0umJh+XRHgEO6zTwXWEiChL8QI1piDnN/KCM6eO3cO4eHhyMvL47cd&#10;P34c69evx+nTp3Hp0iUesFDc3CNHjvB5m5fBjBmzX8m0BHVV8By/CLbf94BOoYJGq4ZDxxGw/roL&#10;HL4yhT5oCdCaG8Fa+6+6wuabLrgwZRG0arUJ0qpMcFgAxAzWMjExMTG9TAzWMjExMb0HCS/I5i/J&#10;wos7DRoIKnwoMipycdVqGNqN2oDLR9egfOBfIOv1J2h7/T/Y/u9/xvzLj18r5mx1vDvGdm+FMdNn&#10;4YClJQICvHBx60z07DkVXoUK5AZaoVfnIVhxMhy372ZC1CBB5IlVGNxvPCbNnI5uQ2YiMK0aBl09&#10;XCw2IPK+2FRwoxENWhpU6VkoBSamdyR6DgnPp08F1hIMXbZsGRYsWIAJEyZgyZIlcHV15cFpbW3t&#10;E8/WJ/DmHRudRzKawKympgabNm3iPWydnZ1RXV0Nb29vfntKSgr3fAzgly2Vw4wZs9/O6DlYW1CE&#10;mIPHcLrnKBz5qS+OtxuIw9/1gB1NMtYM4PIxa7/pikNfd4X1l91QmJjCx8dVKE3evCZjsJaJiYmJ&#10;6eVisJaJiYnpPUh4QTZ/SaYXd1qnJf1c1/xF/r2o0QB9XSTsFvRC56kW8A+8hPl9f0CHf/1fyOnx&#10;Z2j7/Qnx//L/YbxTzQu9ac1lCoMwCa43k3DlSiBs7BywbvcxeGfWQdtgRKb3bvRfeKYp3m0jam5d&#10;wuS+43E8LgcKgxb3vbah04gdKJLpELtrFMbsuwoVd1yjWoyYPSMxZqsLKrn9dPICRLufhL+fP7Ly&#10;K8GjIDqvvyjEghEqSS2U2oZnrhUT06cuAVKQPhVYKxKJ+GcredbScWnyMF9fXz4EwZYtW/hwBDNm&#10;zMDkyZOxe/duhIaG8vWhehLMpfLoXAgQ510ZlUn1oxnp09LSeO9fJycnnD9/nq9nS/u8iQl1J2Mh&#10;FpgxezdG9ywtc2PiEbphDy4Mm4YzAyfieMdBfNiEQ593gv2X3XFh2mJoVTSpmSkMggnaMljLxMTE&#10;xPRyMVjLxMTE9B4kvCCbvyTTi7vw8k6Dd3p5f3/SQ5YXiKVj+mPSPg8Eu9tiev+JOBDyAFetp2DI&#10;f/0f3G/1PzHrX9vhUJIMxtd41zePWfv84MCIDO/dGLr0HJQ6OgdapPrtRc9BixCV8JCfkEctvoM1&#10;w0fjZG49au+dwNAx2/FAaoSqPhNbRvbHvqBSGNWFcF42GoPHrcDeQ/vRv9doON8tAQwiRDmtgdWF&#10;MFz3uwQfH19k5pRB+0rKrIHvponYcPE+10YhL7dsUKI4PQb38yqhex1SzcT0kYkghHCffmqw9mVG&#10;baVfNpBXK3nd2tnZYe/evVi5ciXvjTt//nwcPXoUkZGRSEhIQE5ODiQSya8Ccd+VnTp1im+/j48P&#10;SkpK4OHhwZ/rpKQkFBQUvLewEMyYfYpmaGjgv3CRVFQhzdMfAcu3opZ71tFEZmq5ko+Lq2CwlomJ&#10;iYnpFWKwlomJiek9yvxF2RzW0pLAwft7iRbDZ/cMjJtniQCHZejbeTbOJBSC0EeDRgyvFQPx2d/6&#10;Y4dbGlT6pwOOl6k67vzzE4w9UXNYq0eq334M7DsO0+cswJhx4zF6zEh0/ekHrAiuhkH0ECvGjoP/&#10;Ix1qE2wwdNgKREu4Y4TuRP+BCxFYJEYDdw6Lru7GD71Xo0gtQ4jtdLRq3Q8LdzvDev869Ok9CpcS&#10;KnjQbDTqIcq+Ds/jB+Hh7ol7j0uh5ZvVgOLUePjE5pnBWgNq7nlg4YQpWOkUjxrl8x67Bo0U1ZVV&#10;0BjYIIjp4xRBB+H583uCtS8ygh7klVpRUYG4uDi4u7vzEJS8cufMmcPHozUHNh+SUT0JHl25coUP&#10;s0CwtqysjF/SuSIPYjpvqamp8Pf359tJbabrQ5/fhXcvM2bMnhp9QcJgLRMTExPTy8RgLRMTE9N7&#10;Er0gmwNaYV14eaaX7OYv2r+d1LgX4ojpg4eid591iKqUmsIJNEmjUCInuxDKN4CRtYmXMbjPHNys&#10;kTdtMVdzWNuIqtuuGDtmFdIrtTwwqKurR35+HnJq6CfD9fDcPg1bg9MRuW8cRm0J4WoM3DmyFD36&#10;T4eXfyDS0u6hsuY65nXpjJMZSkTYTkC/VZ7IquX2N0jgt38q+m3wg0oPSAoisXZEL0zbfAz2R20w&#10;ZfRkXLxTyrVZDNcNc2EdkN00oGmEQVaMotxc5BZV88dsSZKiG1g2bT4iH0matghqRE3OPZRLnkIk&#10;JqYPUQQUTH2ewdpXGYUvIG9cMmoHrROM+VBCDpCX8I0bN3jITJ60np6e/HX08/Pj62xjY4PDhw/z&#10;597FxYWP3UvXhgB0TEwMHBwceNBL7QkODkZycjLfRgLAH7JHMTNmH6rRvcRgbcvSyuRQVdegJjUT&#10;xeExyA8IQ9ZFb868UBoZB9HDbKhr62Ag4M09gxrNziMTExPTpyQGa5mYmJjek+gF2RzWkgRYSyKI&#10;QSCABsS/vRph0KpQXlyGGgOh1LdXo7EBUokcaj4mbXMZkXHZAr3nn4Lc5NIKo6YQ9qsnYMIqR5TK&#10;tVCV3kWwbyRqVDSRmBHZofaYuWopFvQdDcvbJm/dtNMr0HPiWthY22DRkqUYN3ES+vbqhU0+BYg+&#10;PBHjdoWhkh+7GJHutQtDlp6HUgc8Oj8H/ec5IEOqQ2ODDql+B9F39Ho8klbh+NQ+GG19h78uDfnh&#10;OLpmNPoOm4JRo0Zi3m43VMmbe9Zy+XQKPEjNQG51cy9iHVx/7oPp9ilN60xMH6YIKAjPIgZr387k&#10;cjkPRQmcCCDXHNy8DyNYRCER6JyUl5fzIDc9PR0hISHIzs5GUVERfz3c3Nxw7NgxxMbG8v2BQkBE&#10;RUXxIRRoH+oPZ8+e5ftGUFAQcnNz+fLp71bzYzJjxsxkDNY+laK8EsVXYxC/ZifCRs+Gf/eRcP+6&#10;G9y/6Q73r7q2bFy6T4fBCBo8GRFTF+P2xr080K1Ny+Tev9iX4UxMTJ+GGKxlYmJiek8SXpJf9OJM&#10;S3qpJy+n9wNsf1sRHK4RKbgBTNP54NqvlRfBfv0c9B8wAMMGj8DkdSeQKFbz8LihPB5LRrdB62GW&#10;yG06PfLbxzB4xEpkSE0/MdRotJBw508ir0ag1QSM3fksrB224iKUeuDqur4YZxEIUdOhjXo1Hj/K&#10;R42iCsen98eEQ8lcdWTw2TAK3eacwK18KZR1j2A1fzCmHbze5A0sqBF1eSGYO2kZbufJmrYJaoCs&#10;phwPCkVN60xMH6bo2SM8ixis/fWsOch93964VB+63rSk80rxwi0tLXHx4kV+O3nh7tixgz/f5K1L&#10;SwK6NBkahVCg0Aq0/fLly3xYBSsrKwQEBPDXVgBULR2XGbPfk/3eYa2qth4PTl1C2Jg58G7Tv2Ug&#10;+wvN68c+uDbpZ2Rd8IKqsua9tI+JiYnpXYjBWiYmJqYPWPSSSQNkAra/yxdOrs0NBtOEP/ViKepV&#10;Bh7U8klGES5tnYlpx59O/tVorMbJlVMxdP4BFKi0kNzzgt1OBxSqpbhi+WJYm7B3FMbuDcTzCLUe&#10;R6f1w4TDqWjUp2PdyG5YHVjVlAboH1/C8D5j4VehhNnwB7W5wRjRdwpC0uubtgmqx6ExnTDj5H00&#10;NpQg4LQ14h5VIi8tHmXl5c8M3piY3qcIKAjPHAZr358JIPdDmQSM/hbRtaLYvba2tnzYBDr/VL8z&#10;Z87A2dmZB7eUd9OmTbxXLkEoArYEqAjmOjo6Yt++ffw+tKQ+QPlpnTx4zY/HjNmnaL9HWNtobIS8&#10;uAyxC9byQLUl0PquzbNVLwQNmozCwKt8yAQmJiamj0kM1jIxMTF94KIXaXrhpoE7k5lokMENdhrI&#10;E9dsrNFoqMXFPcvRpXNn/NBlGJYfjUa+Sgz/3YMxfEvw87BW14iS6D0YMN0SBU1sxyCvRs79R1Dr&#10;657CWl0Kfh7UG/sTzACsMQ0bhg2C9Q2aDK5pG8HavBCM6j8NoRnN8a8Y9hO6YfShe1w9H2PXjH7o&#10;1Hccfl62DkP7dkb3aQdRJtFDnHsb9jYnUCZqqlAjg7hMv60IKAiD+E8F1voGRkKhkEMqlUAhbxmO&#10;fixm7pH7vr1xhePTtZRIJHydFi9ejJycHOzdu5f3uKVJzCifq6srH/+Wrse5c+f4/QhQEcAlr117&#10;e3skJCTwXrnUV95325gx+zXs9wZrKdRB+Li5cP+6Zaj6Svuyi9lns+1vYB7f9US2m+9v0l4mJiam&#10;dyEGa5mYmJg+cNGLJb3U00u3WCxmL5pvKBPM1aMo8wZcorIh1tJWI1LdtqHH3FNQ6BqhV1bBelpf&#10;zLX2RVVdPoL3zESvCZtwr74CJ2f0wwS7JO68i2E3vS/mX8znyyU1SiOxeEg/WN98fVjrMLE7xhxO&#10;R6MhGzumdMdoy5soluigr0vG6mHtscA9Fxp5FraPHgH7xEKQL4ihPhc2XP1WeSVB3miEuCgeAS7O&#10;3IDsNiSKp0DqhX1DK0J+ahLqVVoT11bXIeNmLIrqlU88lZmYzEVAQehPnwqsdbCzg/PZC6isKEdF&#10;nRhyZT1GLNwNeQsw9GM2Arl0Ps0nOhPMHBj9VkZhfOjYdI3IM/fatWt8aAWCshQvl/oFeeCSZ25e&#10;Xh4fcoHWKRbu+6ozM2a/plG//j3A2gaunfFrdrUIT83N7csuvLl+0RmX/tYOXj/1571io2Ysw81V&#10;23F3uxXunzyH9CPce8+anYiavRKhI2cioNcYeP/Uz7T/5534ZUvlm5vnj31w/8R5GLm/a0xMTEwf&#10;shisZWJiYvrARS/SNNglo4E3AVvzl3ymXy6FSv8khIKu5hGs1y1A/4FDMHKBBS6nVkGLehwe2xmj&#10;D5omGKsP24NOfWci/EE9jNp6ZLutQ7++s3C5rFkYhDeAtcu9yrg6UJoGAdumYKzVXaj0aoTZz8JE&#10;yzjusxG1uYGYOnwmQh7KIM71x5IhAzFhuRU2rp6IrhP2oVRGSLcRekURoi4egpPjKdy4nQKZhhuM&#10;NBqgVZbAftwgbIrOBj88EeXCevYo7Ah6ADWtMzE1EwEFYRD/qcBan8BIXHO3x7aNO7Bz4xxEJj7A&#10;xLWHsWvRRKxZtQFlhQ9RwNVJLJW2CEEFI+BI1lLah27NJzp7nxCXjK4LHZ+uIV03BwcHHuKSV+62&#10;bdsYrGX2SdrvAdZWJaW1CEvNjeCqyz864nKHgYiauQzFEdehrKo2FfAG9dJKpCi+GsuDXb9uI+H6&#10;eSfeXgZvCfJWJab9au1nYmJielsxWMvExMT0gYte6AmWkNFLJcENAgUC5GB696J39wb+/V2PrPgo&#10;eMWX8ee+scGAez7bMXDwGCxdMBnDRk7Fmov3IdeZx0J7Q1jrWfoE1l7ZMRWT7BKh0jei/pYTeo/f&#10;hWpuUPfIfSVGLXFEvlqBwHVDMHLVJeQouP5gqIP7kh4YvD0OBqME3lunYsDotbA/dwHzJ4zAvL1e&#10;qJNlwWJUN3Tt1AVDp83ByZCHXLPUqK8oR41cC9aLmFoSAQVhEPupwFq3S65YMHceTtkewCG7HQiN&#10;vo2Ja+ywe94ozBjSHeEhTjh50RNxGaUtgk7B6Pm7YcMGVFdXt5j+sZp5fNwPAeTSF5QtbX9TozZQ&#10;yAXqu9SXqX/QNgLWLeVnxuzXtk8Z1lJ4qtSDx1oEpIK5fdEZnq16I3LGMlTdSW7a0yTa38A9f5SV&#10;1RBn5aDkWiyKw6OR4xmAR+c8kMsty2/cQV3GQ8hLy2FQPfuVM7VHXlSKVOtj8O8+0uR1+xJoS967&#10;dCwmJiamD00M1jIxMTF9wKKXTnqhp0ErLQVwSy/7QsxCpt9WdA1qq6uQmJyGm5kVUD1HOxtRkx2A&#10;gV3GIPBe8wnGXh/WQp2OZYNGw6O8DpeWDsba8+nQGoqxf1w/jFxhj8TERP4nw5JbO9F54Hrk6yth&#10;O6sP5p1IgkJvhKzwOpZMXIyAMhkaKjOxe+JILDrhBvf4AhhrMrFxQE9YXM/ijsr1L2UJbvs44OQx&#10;B0RcT0FNfQXqRfKmev0C6TWQ1NVBo2cTenysomeMMIj/VGCtMMEYAQwF9/yMjbsN77A4nLfegi0r&#10;FiEs6BzWL5uHgMSC50CmuRGsXbJkCdauXct7gZp72apU1bgaEY2svFIUZD9CbW0t3zZ6XpuX8TGZ&#10;EFaBzNwjVwBPH7rRc5L6SH5+Puq45xLFxqW/nVZWVnx/pvZRn6S8JSUl/JL6vPC3lhmzd22fKqwl&#10;cBo7b3WLUJSMoKlXq95IOXAEOpniybENWh2k+UXI9vBH9OyV8G7dF+7f9sClv7bjwyLQfry37Gcd&#10;4PoPk8esy9/a4/x//oCL//UTrvQZi7tbD6D4Wgx00mfndyiNjkf4uHkvhbY+7QehIPDqOz0XTExM&#10;TG8rBmuZmJiYPmDRiyO90AsvkPSZ4AYtCeDSCz4Npn+Jl22juh7F2Q9QVVkFPfPSfYdqhE4txp34&#10;JOTXNA8yIILN8LYYaJWKRkMWNo9tjyXuJS3DWugQvn0iplraYdnwmfDOaUCDoQp2Uwdi1HJrbN64&#10;EdOmz8Do0aPQe8wCRNY1IO+6C6aOGg8LZ19k5ZWgtroSFUquvygLcGTmeOyOeciVyg2Mqh9g5+gh&#10;2H8jG1qdFHcuLkGXbuOw8dBF7N26AjOnjcD0jedQ0tAIvbwMCZ6HcMzhMILDY7jyXiMER91D2C2e&#10;hfPJJc947holD3E3NgaFdWruLDF9yCKgIDx3PjVY+0KTy6HValpOMzOCszSB1rx58+Di4vIMrNVq&#10;yuAVchcHLfbh3Ak7RERFw+3cSTiddkRu7iMEBAQgu6gKMkk9DwzNy/3YTPjCkK4dQaEPFeRSvby8&#10;vPiJzdzc3BAbG8uHWaCJz5ydnXlAS9uLi4vh6enJ9xfynL506RJSUlL4GLstlcuM2S+1TxHWakQS&#10;Po5sSzBUgKQUpkBRVtG0B/d3RqHEY5fLCB4yFW5fdIHrPzryy+b7v44RzCW4SzA3YvoSFAZehUYs&#10;4dtn5N6Xq5PuIWrWcrh+1rHF/cnubNkHg4af2ICJiYnpvYvBWiYmJqYPXPyLJvdSTya8VAvrBGwJ&#10;pAiDZvOX/5dJIyqE165ZGDdmEsaMG4tJC3cipUaYbKGRe5nOwIOMe6iprWvaxvRu1ICaghwkFcjQ&#10;aKzH5WMWsI2oboK1avhsGI2h++5AqTNdZ3XSEXTr3hnjV7mjlls3Nmhxbd9kTNkRCMpC11/BDXZq&#10;6uoh06hh0GtQei8ehw7uxbiRo7HVOQYyfQMa5flNsPYRaBhiqH74BNaq63OwbUR3rD2XwOVtRIOi&#10;DE6rRmL05kuo0EsRuWssBo5fCVsPX2ydMQKTLbxQyzvMcnnVItzzP4njdtbwDYxAkUhtmrBMr8L9&#10;W9EIz6rm68nLWAk/i7kYuuAgvFNr2cRmH7gIKAjPm98NrH1Nk0gkCAoKQk1NzXNpWk0JLvlE4rhr&#10;OM6ccEDcrQQEuJ3GhTOOCI0IQ0ziY2zdYYOTtgfh5+2O+9kZcHR0RmJmDu7eug1xXTnq6kQ8zPnY&#10;Jz5rCeSaA6vf0qif0TktKyvj+zNB2OzsbLi7u/MQNywsjIeyBGup32/fvh3BwcF8f/Xz8+Pb0lK5&#10;zJj9EvvUYK1WLH0xqP2iM3y7DEPV3ZQnx1Jzz7gkCzt4t+kPl886tLjf25jgeUtxaRO2W0FeXMYf&#10;l1R5KwlBg6e8ENoGD50KVTW9cTExMTG9XzFYy8TExPSBi15uCcrRYJOWwjbzl2x66aeXf/LwogHx&#10;S2XUIy9sOwYMWwyX5EqolCL47J6JkUvtUWJoQG3cUayYOghDJi3AyKH9MHNvELRN7/Kq/NuIv3sf&#10;tWU5EEvpJ2ym7Uy/XE/PYSNkNWVIL5LBYAqYC6PhMTaOGoYtYUp+HY1GSAtDMXnIKOy6EAuZqh7p&#10;/gfh6JoMXc0dbJoxDwF5pkGGPD8Ek3t0h316PRoUL4K1OVDWJGLRkDE4dUNk8nZtNOCx3waMX3MW&#10;pXoxgk6dwsXEOui4caVOFIXxbTrhYKqeq5wMNw4vxKChM7Hngj/2rpqFiavtkSfXwVCZDruF8+Gf&#10;UwW+xxq1qC9+jPLiYlQrnwI0pg9XBBSE5wuDtW9mNXViFOTm4vHDB8i8/xCBAQGoqBFDWpGJy0Hh&#10;uHQtHbv22HH3XjmOuvkjPq0IPu6X4OriiZqCRERFXMU5dx8cOh8E93POCHc7AVdPX1M4ApWKf9a3&#10;dNyPycy9ct+3Ny71b1pSnxH6EMW4PXToEN9XCdZS32y+HzNmv9Q+JVjbwN0/EVMWtQg+CZpGTlsK&#10;Tb24KTeQdcETXq378hC3pX1+DfP8vhdurd0FrVjC14HCNTx0doXHtz1azO/beRiUFSyOLRMT0/sV&#10;g7VMTExMH7joRZogrWD0gi+8XDd/ySbwQS/nNAimATF5gNHSHOA2GrS4uWcshm70Qk3TNo24CIf3&#10;H0dCXiJspw7EOIsI5NRzA4q6NGwa0RbznR7xnpC1YZbo0b0PZk8YjG7zbfH4qjPmTLNAxI3jsHLw&#10;QKW8FlWFeVA/M+EW0y8VXV8dd+3UgtMzLyPqcmKxZs4U9OnTF4PGL8PRmFxoGpUIcliNQRO2ILGw&#10;BIXXHTGufSfsuFELgzYPDrNGYkfkfVBR5p61ytp0LBk6Cs63pKbiG/V46LcRE9ecQSFdRl0d7kdc&#10;RnRUJIqLo7C6cycsC1ShUXIDy4YPxq6YCmgpXIKiDPvG98BUpxToau9hbZ+esLidA71ehZyAnZg5&#10;dggGDB/P2QSculb4JAxCaWIIHhfUQKOWN215PanvB8DqgBNKpZonZTG9OxFQEJ4vDNa+I5NKUCeS&#10;oKysHIW5j3E1PAz3H9/DqXMeOHvBAy4XXVFXkAAftzPIr65DXb0YDgct4XP6ELIzb+JmejFKivJg&#10;Y3UQ15PSccLuAK5cv4eHd6O5e7PEFI5B/nGHViDjoTTXH+hv2fsEudTv6dj19fUtpr+pUXmnT5+G&#10;q6sr3++p31L7qG+2lJ/Zp2ufCqylycDi1+xoEXhSOIJki0Mw6k3PePJWDR0xg4e0L4od+2saHdfj&#10;ux5I3neIrw9JVlyGgB6j4fr58+DY45vuqM981JSTiYmJ6bcXg7VMTExMH4mEl2oB2L5IQj7BaFBI&#10;P0GlQTDBW7lEjDunt2K5QzjMp7/i85dcxsSBw3D0nuzJ5FL6DEt06jYDd7RAfcRBDOo/B8ciUpBV&#10;LYE27Tx6d+mIPuMXYbmdN7Lqb2F9r46Ye77QtDOnFLd98LhRxJWvg7iiGIaGF9e9RemVKEuOQGpO&#10;tclLk4mXMMBXa/RPzkujXoxAJyuMHTUKXfqOxirHWBRrDNxgSQR/i7Hot+QI7hdL0GAGa7XKepxe&#10;2B/rLiQ1edbqkee/DhPWnEeFthxnlozH5IW7sHWvFWbPnYvunTtifYgG+hwfTOoxGZfL65/AUo2k&#10;Hsk59dDVpmN9/z44cKcUytoI/NxnEFY6J6FKYUBR/CkM6jcW3vdMcDZg4Tf4ptdsbFs3DV07dsSo&#10;ufvwWPXqwaM6+RLGjFmLlErZi2GtsQHK4jTkFpbD8OoimcxEfYueCaR3DWupjN8lrH2JSSRSHraK&#10;xSLO6uHs5Awb5yuwP7AH3iet4XPhJKTcOVIoFTh76gyqs+JxJ7MIVy8dQ/CZg6gqL0R0wiNYWeyG&#10;jb0jZIqPd0Kzl5kAculv2vv0xv0lRteXQi7Ql6m+vr78ZGfh4eFYvXo1fx/MmjULly9f5mPlUhtp&#10;H8Hrl9mnZZ8KrM3xvvIc5CSj2LMPTrs05QKq7ibD7fNOcH8PkPY5+5I8Z4dCnJ3H161Bo8XtjXv5&#10;OjfP6/FdTz5sAhMTE9P7EIO1TExMTL8T0Qs5DQ4I9tLAkEzwHKIXehpISquy4Hj8LHwr5Fxe00u8&#10;0RCLmV0Gw6MQEEVbYdjUA8hXNE3A8OgsenWZiUiDKYauXpeJbcP7Y7lbsSmdU+i2oRix/xaXLsbR&#10;aV0xfJklFgxqj47dB2LX2RuQPwlqytWRK4PKeWYAoRbh2q4xGLHJBdVPsjagofY2bH4ehS0uyeDn&#10;42J6qZQVD2G/ZTnG7Y8G6h9hQ7/u2BT1AGroUXr3FDp3HA6PuyWoSHHB6qFdMHqbB6orozF98EA4&#10;3FU9uSanxnbB0isqGCvDMb3PVFwubwqfYKaG8lQTrE2pgijeAn2GLkZkpZBLhVjbCRi6+SIk3Fg1&#10;aGV7dBixGd7JldBIH2HTmD6YvT+c9wA2l9GgQUX0KWyYNxnb9x/FHd8jGDt+A1Kr5E2QuYVBZ4Me&#10;+S6L8M2Q1UhoiiTxVDTpiAr1lcXcPWACk6wbPRUBBeF8vg2sJXBARp8J0NJnAhL0uaio6AmspWcQ&#10;TfT0a8Ja8pBsCQB+8CbnTGGaTJI+nztzkVvWw+/6HXid2I9QZ0uolGKcOOUKt9AkpMSHIDuv9Ply&#10;fgdmDnLNzRyUvU87e/YsP5lZYGAgX18Cs+fPn+f7r6WlJZ8WFRXF3ycUF9nDwwMnTpzA1KlTIRaL&#10;+b5N7aG/4x9a25i9vtF1+9hhLYU2aA43ychr9v7xc3weKrswJBKX/tK2xbzv01z+2g6ZXD2F9j86&#10;625Kaw6Uv+6GOvKw/YXniYmJiemXisFaJiYmJiZe9MJK4IR+lkkDBxpI0uBQUpePpDtJeFQhQdWd&#10;S5g03w4FctNPNxsfnkXvLsuR2OQta9Ddfx7Wbh+G8QfvcvklOLtkMHpO3I+QIjnKbntgXK+O2BGY&#10;D52hEbraXFyxWoxhvXug36BRsHKPh7yBgJoeamkdZCotTFiHE1fXhyEnscg6BFk1TZNaMb2xFPoG&#10;GLlz2WhsQFbkGUwcNQx9xyzHpp2LMWPTeZQaRLiwfhqGzNmDxHu34bFvPvp36IC1QdwA0FAEixmD&#10;sDWsGA1URqMRdVl3kFsmhkGAtcmVqI/ajm5jNiJJ3XRQaPAgai9Gz3JAid4Ea4etCQCP1Yx65Luv&#10;wpAFx1DE5xVkQEXkYQzv3g1z7a8hwO8Clk/ph46DNuJetZw7dgN05TfhtHs5du/eg9C4NCjI3Zjr&#10;O4Xea9Fj6k6kPTtm5dSAnFAbTOjRBW37TYddQPrT/sXEAwVhEPsuYK0AHgSQkJCQwM++L8Ba8jYk&#10;eEvA4teCtXQMer7Rs40PGdAE+Mw/f2ymUaugVGu5c/AQUoUcly+ehss5Z5TVtpz/92p07QlcCWEV&#10;3ifoFL4kJc9aAsvkXbtnzx44OjrCy8uL/1KB7p3IyEicOXOGz5eRkcFPikbgltpAE6I5ODjgwoUL&#10;fP93cXHht1NeWrZ0XGYfjn3ssJa+WPfrPvJZqNlktzft49NJeX6hfDiElvJ9KBY5bQkMalOosPK4&#10;O3D7osvzYRq+7QF5ydNJypiYmJh+CzFYy8TExPQ7lvmL+qte2GlgQYNAGvTST1EppIK0IgsXz4fg&#10;AbeNoItW/RD7p43Heq/iJ+WZw1qnBX2wyE2IlAvcv7QRAyYdRLlSipsnf0bvMevgnSlCdX48lg3p&#10;DYvAdKgV1fBa1ANjd11GHbePUSdH3rUjOH7kGO+BVFL3nMsk05tIJ0Oy1x4c8kyAWm9Eg6ISgRuG&#10;YdQOT9DQRCfJximrXRg3bhZWnvXHlhGdMP7IAy6lESVRzhg1dDJc72ah9I4HVg7qiuln70ErymwK&#10;g1ACWbk/RveZjtCSpoFpoxKpvqswbM5RlAqwdu0VE6xt0KLAZzOG/nwCT3E/p4YaeO8ZjQFrgyHR&#10;cn2gQY9HAdboM2gN0quVUJbcwM5JvTFoxUlcDrqMhaMHYX/QQ6hfBGsbdVCIy+G/eQJ6LjqPuoZG&#10;GLi8LMzGUxFQEO7ht4G1AnAwh7a0PTk5mfekFWAtAbWCgoIn4NUcxL6OvQ6sJSDCPfHoYce3zfyR&#10;R20ksCGXm55vVB/+1wYfMchl9mozj49L4NQc5prDtd/KqJ/SPVFRUcHXycfHh4e32dnZPJy1sLBA&#10;VVUV1q5dy3vdEtwlUEv9lOBuSEgIPD09Wyyb2YdjHzusLQi69izMJPuyC0JGzOAnHCMVh0c/n+cD&#10;NIplG9hvPBQVVXy9a5Lvwf2bbs/l8+k4GFqpjM/DxMTE9FuIwVomJiam37GEF/Xm9jIJeWigIUx6&#10;JngK0WCXBgc08KDBIw2Eb5xch9XOqVweEc4sHoglrpVNJQH65FMYPmg57kgKcHL2KKwKuI8G/vCN&#10;KLh5AROWHEORqB4B60dihlUgJFDjvuMcdOk7EWuO+MF2x1wMnrETGTVPocyz0kNSU857CBu4er6x&#10;JPnIyc6DwkChGZq2fYJSlN/DnkUTMWXGHCyZMwL9x22AR0J9i/BSz13nclGTm2yjHllhFzBv9nQM&#10;GTsDq49fRbZMh4byJKzo1gm7b2VDr66D66qBGL3pEsplBqiK7+LUgv4Ya+ELMTdWfQ7WXt7UAqwt&#10;x/n1Y7HobBLkTe6vqqSLGDd2HdKr5cgM2Iguo/YjT6RHg7EB+XHnMWT8GiTXaFDo0wKsNYhx9cwG&#10;9GjXFm279sPyHfZcvY0oTopCVnE1akvyIZbTxGVvf9HJ4/hjFAEF4VnwNrCWwh3Q0hzW0ra0tDSU&#10;l5fzzw8SPS9yc3OfgNfmMPZV9jqw1jRRlJb3+uKfY3Rpmp5nT43SnvZ84efmwnONvqwiyMdA7qdv&#10;dK3pmgsQVwC55tDttzTqw7Sk/k5fbFCYhKtXr/JGX1wmJiby9wGFVWi+L7MPyz5mWNvYYIT718+C&#10;TDKvH/tAWW4CnqKsXLh+9nwM2A/ZvNsOgKK0gq9/5Z1kPvxB8zzhY+bAoGkKA8bExMT0K4vBWiYm&#10;Jiamdyrh5Z/3tOUGJDTApcEuDUbqqitQWCnmIS5vmVewfMkB3KzIgeXYYdh9/eEzP0WnuLl6RS0C&#10;1o3ADOswKDRJWN6nO5Z5l0OpBxo0NQjYMgqjNvtA0rTPUynxOPoY5o4chqEjRmHikr1ILVZyhWoh&#10;KknGo7wSiOuqIRFLXjxYSTuGju0Gw71Sw+Vp2vaJSqdRoaAgHzduJyEl3zT515tKS1CbWxo1MiSE&#10;hyKysBYG7sSpqx/BZvUkjJk0AwunD8fAOZYIfSjnw1cErmj7GrC2Bi5bRmLWsdtPYW3yJYwbtx7p&#10;NVIknZmH1t3GYN/hYwgNDUNyjA8WDB8Lr7RaFPmtbzEMQmOjCt6bJqLvsgvIyi+FSKeB54ph6DB8&#10;JmYOHoAFR66iXlmHh36HcWD3Tlxw8cbjKoUp5EYjTfL3evBf/dAPZ91jIW1aF0QxeI2/5AuE30gE&#10;FIT74m1hLRntY+5ZS2VRmQKspS9UyHvwl4BasteBtclJXP3j7iA5IR1x1+NRWVENjVaNkpJiPt30&#10;7OKWTZ+5C23auQWZP+MEkEvPNAZxP32j69wc5FI/eF8gl+5P6ou0JO9auo9ayvemdv36db5twr1E&#10;X67QL2qa52P25vYxw9o06xPPQUzyTs3xusKnG1RqXG474MOYTOwN7XKb/lCUmYBtWewtuNKkaM3y&#10;JO6xfRLmgYmJienXFIO1TExMTL9j0Us6DRjMTXh5N3+BN9/W3MxF683LakmURoNLGggKkKM4+zGS&#10;C8sh5wbBz3gySaoQuGUiZthdgzLfHYN7DMOFYgHCGCHOO4thA6bjanXTJl6NkGX6Ylb3/lh18SbK&#10;5PUIsJ2PQT87okSqRJrvanTqNgKrV2/AhLGjMHrqYlx9oGja10wZzujbexy8qz59WPurijt5WqUc&#10;ebm5uJvyAFlVTz1ToveOxbjNweC3NGiR57YSfWbao5BPFaRHhtc29J60H/n1GhgbjSbP2tEUBkGO&#10;FPc1GDTbAmc8/XHQ2gZLVqzA2DErcf5eGUr91qNnizFrVfDdMhkD1vmhwUgXlxtgrhuLXvOPIiQx&#10;H+USGRKOzkOfgbNg6RuJY1sXYvTPFrhXp4axoQQee6Zgm1c+VxcqqwGS8mwUVYiaynoqVaozhk3f&#10;jsRm/FuZdAELxq5EfH0TAP7AREBBuH/fFtZSfFr6TPsJwDY9PR3V1dU8rKXjkNcrwQWCrS3B2FfZ&#10;68Da6uoaZGfn4dHDHNy+mYAA/zD4+QbDyfESUpMz4ex0CRHXonEr/i6k3PU3eUWTvdnNT+2hcyZ8&#10;WUXPOIJ8fOgYBnI/aTMHuQTKhL9l5qDuYzD6+3z48GGUlpZi27Zt/LbTp0/z7aJ7OTo6mu/j1J8p&#10;b/P9mb3cPlZYS18wev7Q+zmAGTZqlunLR66s2J/XPx/z9SMynw6Doa4X8W3JOu/RIrAtv3G36Yww&#10;MTEx/XpisJaJiYnpdywBqja3F73QvyzPyyTkNTfz7VSe4BnUfFBDA10ZNyDMLa2GpDodO9duh2+5&#10;MAAxQlYTjLn9JsEnt2kTLz0yvHejzeAtqNGZBkTGuhSsGDkJbo9q8ODKerTtORN2AY9QK6uGx+ZR&#10;6L3IAbnNeW0zWNtoVKLoQSIPHVVNE1IwvZ3IQ1Wu0plwWCN3PQtTcSHgLp5GNjbJKMqD7aKhGL/+&#10;GOJjvXBg3mC07rUWGdUKVCVdwtDBC5FYaopfTH1Kq9VDo9e9ZIIxAdb6PoW1a8dg4tGH0DdQv9Qi&#10;KcAVjnHV0HBj0AZVFraN74clHtnQGkvgvKofRttlNsFaPeKdVmPYShdUyp5Fr7r8W0jKzIfq2c1Q&#10;JpzFiK7TEFgl/eRhLZmwLuxPgJUmQ6J7n4BtTU0NHj169KvC2pTkVNzkBtm52fm8J6/w3KnnBub1&#10;onr+p+XJSSmIjIji9ze133QO3pXomMJzjp5tBPaYN+7vw5qDXP7LyPfkjfsqo/vi+PHjOHLkCK5c&#10;ucLX2dnZmY+JS+EXaElt8ff3x7lz5/gvW9zd3XH27FlcunSJbx+1mcpq6e/6790+Vlib7eb7HLgk&#10;MFuTnM6n0wRdLYUP+NjMt/NQGA0NvAftrbW7nvMS9mzVGzp5C1/wMzExMb1DMVjLxMTE9DuW8KLe&#10;3JrrVXlaSn+VCfsJsMZ84NJcQj4a9NEgh7yVaKDIgw5xJTIzHiC7yjQQpoEQoEOC+0706dQbAwYP&#10;wYhRo/Hz/Mno3+5HbA4txiO/teg/ywaPxabyRSV+GDV4CWILm/0sXYC11QRrRbhxfhNGDRyLcVOn&#10;YMCEZYh6WN+U0QhpaRoS4mJQWFQCPfeS//Z6/QHU70ONUFdl48KxQ1i8di8O2ezDyMk7kcpd90a1&#10;CME2c9Br+lbcTE5GUuBhrNpgi/vVOhRefjNYO+nYAx7W0vEaG6TIuuYCb093JCSG4uD0wZhsnwGN&#10;oRxn1gzAePv7T2Dt3fObMXa9Jyrlz/ZjmdfP+KzvaqSZ5lx5IoK1o7rPQHC1zARreS/OD0d0Hwn3&#10;6dvAWsEE8ED7E7yln2qTpynd13RPl5WV8dCVZr1vDmJfx14H1hYWFCEyIhYR12Lh5xOE2tparo10&#10;3k3PJMpjCm/BLfm2m9r/OhJyv84edCzezHILxxe+tKJnHMEu5o37+7CWQisIYO99Gd0fNJkZfbFB&#10;8aTpC5WLFy8iIiKCB7KURiCXYuQ6OjrixIkT2L59Oy5cuABXV1f+fievekoPDg6GtbU137/pXqd7&#10;nv7ut3Tc34N9rLD2St9xz0BLsqvj55vKaTAicMCE59I/VgsZNp1vM8WovdJn7HPp0bNX0Ank8zAx&#10;MTH9GmKwlomJiel3LOFFvbm9SC3lfR0TRJ9NQOSp0YCNBnDCz6HfVMIxaH8a4NKghwa/NeXFuOgd&#10;g+KKShQWFiEtLQPBoaG49kiMh/5rMWCWDR6JTGXUFYRi2tgliC1oGdZertdAm3AeYzsPh01sFqQG&#10;JW6fWY1uEw4it86AmsdhWDt6OCbPX42p40dg6JydyFWbR98102u2sfyqPQbNs4JU3YzyMZldbx0M&#10;Ru7600adCBFeTli4cCFGzlgPx2uPuXOnQ96lBfhh+FokmZxuzfRyWNtoFMFn40SMnLUTNo7nsGXr&#10;Vgzp3RlTTzyApuH1Ya3cdzl+GLEZ6S+DtY0K1D70x76FYzF82HCs2n0S2TXv97oTUBDux7eFtQJ0&#10;ICOQkJycjJKSEh5K0TOA7lfyaiXQ+mvCWqVSwS1NzxqaaKyhQc+10QRnuV7FG62TmWDt64nvj01m&#10;eh413eZPPpjE91Tuv6L4ZOgMdAz6hYJZ6Bn++KZ9+CXt0/RZeFbStaBnHAO4vy8jmCuAXAJ95uDv&#10;tzLhuAQACeDS5+LiYj5OLqXt3r0bx44d47e7uLjw9fX29sauXbt4D11bW1seAK9fv57/my/A22vX&#10;rsHJyenJM4GgMG0Xjvsp2scIa1XVtS16zVbeSuTTCwLCP+rwB88Z15Y0u5N82yS5hS3mkRWW8ulM&#10;TExMv4YYrGViYmL6HUsAAOZG21p6gad1SmvJXudln/I0P5ZwnOb2umqe37wMc6Nj0QCJBoLkvSSq&#10;r0NIbBoKauQ8/KgrCHkprPUVa5F1eTs6DNuECu4zqVH5AGtHjcOZh1V44LcGfaYfxH0Jdz51tXBY&#10;OByzLYMg43M+la7qAfx3TkG3Du3Rb8h4nLlRTOymRdXFHEeXybtQL2czD7+J6Hrz/ZJbcivQSWtx&#10;I+UxKp9jn0q4Lu2PDj+7twxr9RlYO6I9VvnWNV2jBoRvn4IZR02etc6r+787WFt6ByuGtMfwnSEo&#10;qKyA055JGLHqDMqlL+odv77ofqFzSXoXsJYAAhl9pni1BG2E5wCFQ8jJyXkCW1uCsa+y14G1BC7M&#10;nwtcBzEzUiM0Gi3atRqN/n3Hm+URgK65nu5DE8416HWoKCyEwaDn+15DA5efno2c8fuaHTfRwwsx&#10;h88gxv4EQs6fx00PX6i5uvH7cfn1jQZuVxPMFfYz35/KI8hLwFZ4/tKSABCBPRZW4fdjgkcu9e33&#10;6Y1LfY+M/sbSOtWHnhUUHiE1NRWnTp2Cg4MDLCwsEB4eznvlhoWF8ZOYeXh48G2h7UlJSYiLi+Ph&#10;7v79+3nPclpvfryP3T5GWJtideQ5WOnfc9ST/YMGTXku/aO3r7tCXlrOt+++44Xn0j2+6c6nMTEx&#10;Mf0aYrCWiYmJ6Xcs4UW9uTVXS3nMrSXRdh6aNcEEYZu5CWppmyDztObpLW17HVGdBM8dc29c8hYS&#10;iUS80br2vjsGDZwMf5EGDy/vQJ9ug9G730B06NQZffp0R5tvvsSqkAJIim9jfu9eWH4iBGotNxjT&#10;1uJmcg7Ez1RNhsidI9Fq6DZcqzOiLM4JI/oMhssDCdcGQC8uxtWDC9C/WycMn7EOLkf2o9v0PRAp&#10;9GhoUPPAjMCW+QDveRmhqEvDRdujSK9qBp6ZmqkR0toK3Lpf0QRctQjZt+gprG3U4vbZzeg+cCb8&#10;r99AgP1yDO/UGlNPPITWoECg5VQM23WT37ex0YCkS5swZu0vhLVaBVIS7qOuqS/L8+5i+uBxuJJR&#10;8xwi/K1E94Zwb7UEa82tOSww3ybEq6X9CEQkJibyMJUgE4mOU1FR8SRe7a8Na18supBGVFXWYORP&#10;E3H94GlI6qXcOSDgauCX3P/4c2I6L7SkL5xMQFZSV49kD284H7DBg5gbuBkQhJIHj6CQyvjzR5Pv&#10;mH5BQOUAElEt6irKEOzsjCtOzghxOo+bvoG4dcQZOXcTcX7NZiReDUeEuxd0au7+555T8uo6yKVS&#10;aLl1Ada+zvPP0KCHUq0yQVyZlI8BzlsT8GP26Zo5yBWAKhndG7+1CX+/qF4EZekzhUvw9fVFbGws&#10;H1KBvGypfuSFS4CXJjULDQ1tsbyP2T5GWBs6YuYzoJK8aJMsDvFptffuw+2Lzs+kv5E198j90uzz&#10;ezb/7iP5ZzyZf49Rz6UXBobz54CJiYnpXYvBWiYmJiamV+pNXugFCfu8zr4vy2ee1lL6ryE6Dg2m&#10;aKBDg12CHARwI2JTUCUiyCHnPYPIQzC5WAYdNwhVFt7BpgVT0btXL8zfdR512gZiMmYyorogHylV&#10;2qZ2SHBqyVBMsEvmBm0K3Dm3Cr37zcWR+CIUpoVh6aDW+MsYK4gVBhSkHsS4QTOxY9M6TJ8wDlut&#10;z6NYpoW07DEqKyoglsqhJwjEHVEpeoTdSzbi/M1a/qgvlLoaWfcyINLom9WTSZDRUIcwt9NYOH8J&#10;lhx2heXyKRiwIRAqXQOqUy9jaPvuOBadhqwIZywZ2g691/mi6pfA2gYdJI9CcWzrcuzeswdn7fdi&#10;dL9xuHyv8r3BWur/wv1GcKG8vBxpaWk8MCAAS0CAwAJBAQIEFJtS2C4AXWEbfaa8N27c4MsgOCvA&#10;CrrHioqKngG1BC2aw9jmRnCWjPKSvTWs5dpKnqwNRgN3n5ZDGh4HSY0IkuwiyAvLoaqohU4sg1au&#10;gYG733lI29jAew5qtTpuWyPUGg0qHmWj9OEj3AoNR7K3Px5FXMe1y57wOXgIsZ4+SI2IxuOUJMQG&#10;hULM7atWqiCTK6HSm+5DjUYNpUKGkuxs3PANwP2oWEQdP4vwE2eRfDkQkYdPozo7jw+58DqwllKN&#10;jQaoxBLI80ogyy+GtKAIsuJiyMrLIKuuhoyrh0zCpTcBPh7qMpj7SZt5WIUPAeTS/Sl8tre35+9j&#10;mriMvHLfJayl5wKFYSFv/pbSfysTnn+CPnRYazQY4Pl9z+dApUYk4dMTd9k8l/a65vKPjvDgyvbt&#10;NAQe3/WE29dd4fljH7h/04MHwLxx+Vw/55afd/rNQy24fdEF9w458u0sv37rOSjt2aoXGk3f+DIx&#10;MTG9UzFYy8TExMTE9AoJAxoyGmCRhxB5y9Egl2BuTXkZHpXU8gMuvbIcDkvGYPHhINQ9Q9qMUNVn&#10;wNdqFRb9vBD7Lbdj+cjuGGOdCKO6CM7LRmCGYxKkTQ6x+Vds8NNYC4gUBhRnHkX/74dio/stZGUn&#10;YPeMYRgzcwHWrViFabNmoVfvQbD2SeehsUqaibiwWFQpuIM3KCCu5walevIMbDaYqLuNNRNGwPZO&#10;OfTviwh+hJKrTT9zB3TIjPHFqmVLMW3FTmxetxQjN11GpezZkym7vATfD9v0QlgbUi2D6n4QZvfr&#10;i80XIhF5/SYunrTGoIGz4J9e8cHBWgIBBAQIHBAQEGCt4EFL24U8tM0c7JKRB60AGcnTlGAnwVX6&#10;4oOAa3MYa76tuQlpAtwlwEPbaPIy+jKF6i3oVbDWdG9z949Sh6pcPWoKDChJ5+6f/CJICG7mF0NV&#10;XIa1c5bgwC5LBPqHwPeyH/btPgiXC66orqrh6pGFBkMDDA3csbjzJ5XJeE9aAh1qiQwlj7KRFXUD&#10;yT7+iHVzx52gUIQfOgp/e3tc59ZTo6IRcyUI9ZWVyL3/AGq1EhqV0gSRGwwQ1dTg8b0MyEXi14O1&#10;XBLfLu65IM0rhrygGIqCEii5tii5pYLW+c/FXPuKUM0tG7lzQCBazx1PozX96oCecQT3CPIxkPvp&#10;G13vlkCuOWz8Le1dxa+lNlEsXfpMoRcoxELzPL+VfWywtvJu6jOAkuxy+4F8Gj3fLrcb8Fz665jn&#10;971Qci2WL4c8Vxt0T/9Q6pUq7rlVhKqEVJRcjcHDM25I3G2LuMUbETJ0Gnw6DIZnq95w/7Y7XD/v&#10;BNfPOr6dd+9LjGCyRmwC01cnzH8u/fElbz6NiYmJ6V2KwVomJiYmJqZfIB6CNIFbGkwSvKVBGA1u&#10;aYBEcEMseToAlstrkRrmhS1Hg3En8zGiY2KweWp/jLVLglFVgBMLpmJH5EOom8qvjDiGrlN287C2&#10;6J49Jk+3RiY/VmhA3u3T6PLTOJyKeAwlV48HwfvQsf/PuJGnQ12xH0a3Gw7HBCVQfwXjunXGDudA&#10;HFg6BSvXbkRQQgVfPvQKlBcVIL9eC94p9wVq1KtRX5KLOpmGeeC+RNQXpEotH0LBXMrIg+gxzQLp&#10;T7khL8Wd0xjWeQqCq6WQpPqgf+dhCMuoRqNBA0nuTaybNBWeKeUfDKwlb1ghDALBAIKwFNLAHMYK&#10;kNbco5ZMgAfkJUdetAQmSHSf0KRCBFppYjEBtpIJXrLmQLa5mQNbYR9aEqwlDzpqgyC6PsJxWxJ/&#10;PzcaISkXofyxBtX5elQ/0KP0Xi0UeQWQ55E3agH2bbbE/u2HYG1lDx8vP0RF3IDjiTPYZ2GF9Ws3&#10;w9HxNJKT0xAXexOeHj54kJQCNUEh7tg0q7hBp0eDwQgDVx+t3gCNSg1FfR1KsrKQe/M2UqMikZ+a&#10;hmgXD4Q5nICnw3HkRd/E/bhbeJyQgvSUJKi5shoaG14Ja00hOhq58ushzi2CtKIcisJiKIo445bK&#10;whJuyVl+CQ9yJXnF0KuU3D7GF97rVB497wjk0fUjsEfPNwZxP30T4uOag1wB5pqDyA/VqA2Cly49&#10;z+i50TzPb2UfG6zNPHH+OUAZPn4+nybKynk+jMFrmpR7/vwSEdil56lWwj1zistQFhOPB6cu4c6W&#10;/TxM9eX+nvKewF+bwjW8C2/cO5v38ceuz8ziPX3N03y7DOPTmJiYmN6lGKxlYmJiYmJ6iYTBTPMB&#10;Da3TYIvsZYMdSiOgSwM0wRPX5KUmRUFKHPzj86GSlyPAfidsrj2EgstLqop8FtZOm34QmWJKMaI8&#10;2RuDB87FnVwpn1dZ/gDzBw2E291qiEqDMLXXRJxP4QZpolCM7doJA+ZZwS8lDwG2i9Ft8FzEVXI7&#10;lVzFwhFDcCy1EvpGbtCoKMLtoIsICQnBvfs5kGtoIMm1S10Ft5UjsMk1nZ9mienNRd6V+mZdRJMb&#10;i3UL9yCiTo4GtQiXd89C3/HzcMLeEmtmDsb37aa8V89a6q9Cvyaw0BKsNYeywnaCBbSdjLYTfKDw&#10;B7ReWFjI932hbIInBFbNwawAX81BrLkJeZrDXGE7fabJysiz9k1gLTf653/KWhd7C9KHpajL1qMu&#10;34ja4LtQpWRAWliAevKyrayEqLIG1dkFKCosxv1HjxEccg2W+xxw4bwb9m60xqlTF7F/ryUO77DB&#10;Mdsj0JRXQ5ZfCGl+AWf50KqUqEvJRH1CMsQPsqHlngt6ekZwRkvyVNPJldCpNRCJ6nE/Nh7ZcXfw&#10;OCoWKVdCUJr1mKur4ZWwltL03DmQ5xRBLZNAT18i5RdDVkBetU2gtskkfNuqIOW2EwimUl9c8vOi&#10;alB4CDrn8po6yGo5E4n52LjkYWwO/Zh9ekb3Nd1fBAfNPXIFOPmhWEpKCiIjI+Hn58f/WqClPL+F&#10;fWyw9saKrc/ASbIcd38+Lc8n+Lm017HIGcte69hvKipTr1BCVlSC8ht38MDpEq4v2oCAPmP5kAW/&#10;1PvW49seUFWbwkuFjpr1XHrF7SQ+jYmJieldicFaJiYmJiaml0gYzLxsUGGep6W8tC544JIJE60I&#10;JoRVoEEuDXoJwlSmR2Pt/kuolapRlH68Gaz1wpCBc3E7x/SzPHlJJhYO6o+z8RUQN4O143v2hPVd&#10;k5ekTlGAzUN6YUNIPVAVzcPag0kV0GmL4LN3MvqM3wCLg7aYPH4oNp+6Can8EQ4vmIYRfbth1JxV&#10;8L9ViAajCPXVNXyd30YNOvUzg9Xfq+jn7NRb9Io6pN65iTMXPeEdegtHtm2FU3IhnuLG31bUTwUR&#10;WCBPVQpV0BweNAcK5kbQgGZyJ1hLEJV+dizcC9TXCZYQcKVyKZ1CJDT3nG1uAqg198QV8tI6LQVY&#10;S1BEEPW15uDCXPx9a2iEuq4WhVeiUXT9EarzjKjKlUHFtUN6OxOSolKo6kS892l9bjFUcjGuVtTB&#10;vVyCh3V1qFcrIa2VQafXIT05FSlxSXBxPAc5t580v5jfX1ZQDGlpEZQX/VC/bR9EO6xQw1mdnz93&#10;b9EXP/RMIC/fRhiarIFbN3DG/0zYYApR0MidwxfDWnoGmeCzpLiCs1KuHCNXjzKIC4shyngESU4+&#10;ZORlSyEQuKWcM4rXK80t5L2A6fh8z6Timw7R0pHMRXVR1Yghzzd56/JevJwpi0q4Z1QZZOWVkFfW&#10;QCmTP3nOSckzrgX4x+zTMbrWLYVWaA4wfysTQhhdvHiRr09LeX5t+9hg7dXxz/70nzxVNXXcewSn&#10;m6t3PJP2ulYQfI3f/7cShYNRlFUg1+sKrvQZ94ugbarVUb6siviE59Iipi7i05iYmJjelRisZWJi&#10;YmJieomEwcyrBjTm+VrKb76dYJUAbM3zmafTgJIGdDSopAGXRMoNfMlbhBv81pbn46SjB+4V1PP5&#10;TbB2AM7dqnwO1k7o1QsOqQStuHJ1YhyZ1h9r/KqA6hge1lonV0AvSse2Yb2x8WomDASD065gyuTl&#10;iHxUj/rcDBycPwJT1lrjUEguN9AMwMRvO2DZ5q2YPGQ5rtfKAY0Yj2+HIzkpCTV1omfa9CIVRZ3C&#10;VvtA6F6d9XcrHtA1ff6tZQ7jCS4IE+oRTCAjKEBetbQ0hwq0jYyAAUFagga0H4FZ6s/UN6g/U/gD&#10;Aq0UB1eAtQJ0FYCsYILH7IsgLm2jPFQO5SdIIUxiJujlsNYER93dvXDn5l3k52ShID0Pknw9xLl6&#10;+LhdweUDR1DlHoXjR04jyCUA5fnFSJMq8H1ONb64X4xj+eXo+agKQx+X8RPGSYuLoefuXWVZJaQ8&#10;EC2FsqCUB6fycgXkPuFQ5hVCVV6Jxzv2otwnCHoe0jY9E5ouPC144/7X5OtuAqlc3hfBWtrUQPF3&#10;xRKIC0pgoOcI99yo5+qs12qQevoi4g87wiCR8KEQ5PlFEBXmQ6eSQyOqhYKrJ3nXkn8tlU/9kNYN&#10;3LopXrOpHk/ErVA+vU4LCYHZJgBMZVM8XIWwrYjbll8CEXe8hgY9Xya11zyMDF0jesbxIJczc+jH&#10;7NOzlkCuOdT8NY2OT97+LaX92vaxwdqAnqOfg5OC/LuPfC7tdUySU9BUwm8v8ryNXbSuxXq9zChG&#10;rl5hOqc+7Qc+k0ZxbfUqIZAVExMT09uLwVomJiYmJqaXSBjMNB/QmG9/kTUXbaMBmgBrBWArWEv7&#10;mEsol+AGDfZoIEYDXYmoDo/vZyKruAa1pUnYu24frmRIYKi92gzWinBk2gCs9a9+CmuTKqBvVCLR&#10;Zz/6DJyCS5H3oOXKr68oQamIG5TIK+C2bgI2X0oGlaLXBWP0Pzpi4jZnuF1JRL68Gtf2TcXoiXMx&#10;d/kSDBswCo63q560pdGgRUFiBFKTk/kYvoLqs25iy15XVBtfPVBk+u3VHNaSZy2FQSAAS0ZQgGLW&#10;msetNYcLAtQleEqgl0CMAOXEYjEPEiiGLaUTcCVPWTKCruawVvCgJRPSmoNa8sgVyqB8bwpr+Qm1&#10;yBv2XjrExSXQKBWou3kXItuTUFsdRvUpJ0iLS9Fg0KM6Kw/iynqUZhfBPTsb3z+W4h8PinEuvxRt&#10;sgvx0+My7p7Q8BPlyKrqoJIrICop4qGlKjASkrRKVN2vgyhbiToRl49CDnDn2mCkZ0ETDG3hlqBN&#10;gpHo/noxrOWeEVyZ0uIyyKuqoW3UQ5JXCmllNYwNBtw9egYRVvYI2HkAkfsOIznkKi5s2I1bp1zw&#10;MDEJei5vg14LPVcnNZc/N+Mhd05UJoDLnQMCrDrOyCvcVCPTs0tZWQNxURlk3LmnsA8EffkJzYpK&#10;eGArxMelMAxqmdQEa1tqbJOEZ6VSo8YVN2/kZD2GWquBjutDzaEfs0/PzEMrfKhhFX6pfWyw1uun&#10;fs+ASfevu/HbDWrNs9vfwBTlVXwZ70sN3HOEJilrqW4vtC+7oCgsmt+fYtg2T3903pNPY2JiYnoX&#10;YrCWiYmJiYnpF0gY5DS3F4nSBPgggFkhP62bm7BdyPMmRuULg0GVUoHamhpU1YlNg19JDc6unfMc&#10;rOW9WxsbkBnlgaXzZ6FH3+E4EprF18Eoq4ArD2uTQPM067XBmNR+DAJLqD2NkFUnYsP0RTgaUwWN&#10;0YCs4F3o1Gc24sRcfRr0SDiyAMMHjsakhUsxoO9QWIU+5j0I82JdcNbvLldn/jDc8VlIhA9J1A8F&#10;UV8iz1iCqwQTCAQQFCBI2zw+LYU9oHRKI3hKkJcArdA/qW8SZCTP2vz8fBQXF6OgoIAHCwKMFTxl&#10;m8NawYR8Ql4ygrW0TkuKg/smYRC4ngxjowGi4nLo1CqI8ouhEYtRt2s/5AftoLQ8AknsXSjLq3nA&#10;YODuK3FRMcplSrR5UITPHhXiWFYZfsjOx+d51YgrqMCli5ewbfUm2O+wgNfmnaj1CkKNfzRE8bdQ&#10;d7caFY/U0MiVfIgD8pKlEAd86AK6IYR74iWifC+DtbKaekjzSmAkOM6dC3F+Cf9sUNTWId3TE9H7&#10;DiHBPQCxR84gM+wqbl2LQOAea1xxOIqrThcR7nAGPvsPItnHHzaTZuPqJXfI601hLFJv3MbJ/dY8&#10;tKV1o7EBeqWSn6BMp1RBK5dyn2lSNoqPa5rQjAe2hcUQFxRBXl2D+vxCbj9Di/U3F6WrNRrsWb4e&#10;5+2OYs/qjfA+5IQ1PwyFdZ/p2NB5FK6dckNdVQ0fRkKhMv36gNmnb4I37scIcT82WNscSrp/Y4K1&#10;GpH4+bTXNHW9iC/jfao87k6LdXuZhY2Zze9L4WKaT1wWOX0pn8bExMT0LsRgLRMTExMTUzO97gCm&#10;JQn7mpu5aIAmAFvzwVpz0X5C3pZM2L95+c1lXg55NtJAUQitQF65IpEI4pKHcDzmjGJlA5ffiJo0&#10;T/RpNxR+KRUwysrh0gzWTu04FsFlpvK5I3D76KBXmcBRY2MMJrQfhbMZRuhq3TCm+0DsjxVDyTW1&#10;JskdQzr2gWeBDPddNuHbUZYmWKVVojjmGJaN7o6Onbpg9jp7ZIsI8HHnq0H2pJ2CMf26EvqXIOor&#10;RUVFSEpK4mGAOZwlKEBwgIzWySgfAdOamhoeSpCE6yb0RYIsQtzS+vp6Hq4KAJdizj5+/JiHDeQ1&#10;+6JYtgRyzU0Ig/CiCcZeBGuNjQ3QcgNvZVE55NW1UEukUFRWQ2RpA4njWdQePg6p9RFouHIb1DqI&#10;CksQHx4LnUINZWUtksUSBOQWYEd+BVYkpcJoaIAoPw8GjRrSwnI0KLXQldZAx+0b6h2Bsmwj6iu5&#10;cvLyTKCW79d0vsler3/TPs/CWq4M7h955uq5cyvOL+DaIeFDMYjziqAiT1a1BtLcYjTUyyCrq4G+&#10;uhoKcT3KUlIR5XQe153PIeLoKQQ4OsOo1SP6gD38Nu1GjKcXwiwO4dqBE6jn9onddxIX9tsgwvkS&#10;fB1PQ8WdO31xNRrkSqRcjUV9Th7qiwuhyKewB4VQctdVQZ62hUWQF5RC16CHvKQcGpEJ/r5MlE6w&#10;1nLdVthvt4C/iyfSIm/hgUckkk7541ZoDIKPXMCa9iOx8P+0xob/7Irpf/gM61oPxK2TnkgMjuD7&#10;gVKt4s9XS9CP2adn9LeN7nfBI1ew5tD0fRnVxfwZ+7HBWo9vuvPbFeWVz6W9runkCr6MN5FBYwql&#10;866kLK9qsW4vM4p1q64zgWbP73o+m/5tDzRw71lMTExM70IM1jIxMTExMTXT6w5gWpIAo14EVOlz&#10;S9tbklAP833MTUj7paJ9hdi4BM9owEhAQ1Rfi4ykJDwoqYKorhLhznawDsiEgTumThPyFNY2GqGW&#10;5MNrzxJMHD0Ovfv2Q/fuXfFTn6nwyjFCE7UdXXusRaLpcJwMuBd6GedvFCHLcxtaj7PhYW3tYx9M&#10;69MX845cR3FdDVz2TsHQ5adRpWiESuqBfn9qg837D2HpuIGYNm8FrtwpfYq0uDroteon3ptMby+C&#10;+ubnksBHXl4eD2kJBDSHAgK0pXTybiVvWZpMTLgm5v3V/DPdIwJAoSWBBQK4FCaBAG51dTXv0Uvl&#10;EcQlACx44AqAVvC0FWAtLSkPhUEgUCOIjvkcuOD/x91DXD3q8ougqKwyxW8tLoWksBS1NkdQfOIc&#10;5BIRau3OQLLbBnIuj6ZehBvht3Ej9AZcLlxCbU0dlCoN6nUNuHDCEVWZ2dBX1UNZWQ2dTA5ZWTVU&#10;3FJRXYNTx85gYs9lOGXpBo1CBqVI3BQO4Cm4eR3R+XsW1jadU66dsooqPgSCsUEPRTEB6Hrusxai&#10;/EKo8rntXB5lKcXSLYJaJoGmuhIi7jN59yqyC7h7TgStRoXanHz+XEQ7OCHuxCVEXPRG5f1shO89&#10;ivzUTMQcPIkYRyfUFRTj+qmLuO3qjSi74zgzewkOL1+PxxFXIXqUi2sOp/hjUWgEVUEpNGLumBIp&#10;vx/V5WWiNhGsPbh+G2y37objjgPYOno2zm6yQcje0/DZYIuAg05wGLMMobtOwm/LIXivOYDQtVY4&#10;MmEhNrcehDX/3Bohm2wx/19/gP9ue3hvs8Gd4Gt4nJgGcR3Xz7jzJeH6HPW9lsAfs0/HhNAKgkeu&#10;YM1h6q9tdEzzvv+xwlr60qV52usahVB4U9HEiP49RnLPYH621beWkftb19w79nWs6k4yv3/EjGXP&#10;pVXEP33jYWJiYnobMVjLxMTExMT0mhIGNi2ZIBqANTchvXneliTkeVW+15F5WeZlmq8LdXyRKA9B&#10;NxrcErQjkHYr6iZSKpTQaFSoun8eMyctgUeG0lSW5iGWjxiDS4+M0MbuRrcea5DaVNZTGZFycVMT&#10;rDXi/uWV6DfdFg+lTcn197Fz4iAciCmCWh6IYX/7CcNWnkJcXhXCjixCtzGrcKeU6mxESYILtk4Y&#10;hP4DB2HO4u24Vf7Um9Ikrp1G8hh+0/NJ58cAeX0tVLo3A2kfuwRYK5wzuu4ESgnGCp60BA7os2DJ&#10;ycnIzc1FbW0tD0mFPiX0LzKhv5l/kUHHoqW5KJ/gBU6wgSALwVvy1CUISx64NDEQhU8QluRNS7CD&#10;wO1rw9qm+lBoAFlukWkCrPIKSAoqIc94CNG6HVAT0JTLoeHapTxgA8nNRN67y/XYOVw664HjR4/D&#10;5bAnbC1tcNb+DA5xdtndF7UETAvL+H3lFdV8fFedRIzB3ediev81GNd1Lgxc+0QlZTAYuXPQ+DRG&#10;8OuI6v4MrOVDEhihVnDHyy2BVq2CRiqG7GE+Mq5GIJyrp/f2vQg6ehL5ySmoSEpDbXYB8mPjkZee&#10;gfKHWdArZNw516IiNRO6BgPqM7OhliigM9IkY9y1ori63PEUGjUe301GVW4+MqNiIM7MwtVDJ5Dq&#10;7YeIvTaIOeIIT4ejcBs5BbHOFxDJrd/zC8bja7FQiyV8eARqs7iwGHLueULhFOh+a0nUPoK1VuRZ&#10;u2MvTuzYj90j5mLvsHmIsLsE98V74bXnGNw3WuP6zlO4YXkO5+Ztw6H24xF+/AKsB82E8/CfYdlt&#10;Ajb9awcs+efWWPdvHeC2fBeWftUdh4bMxq4OoxCy0wGrvuuJRK8g+NufwqO7SchPf4jSvALIuPMs&#10;5+6B5uCP2adj5vFx6W+duUduc9D6LozB2q4w6ui3Om8maV4hvy8dP883mA/z8rYK7Df+ubq9ym6t&#10;383vW3vv/nNp6fan+TQmJiamtxWDtUxMTExMTK8pYWDTkpmrpW2kF+U3l3meF9nrivLSgJDsdfYV&#10;8rSUVyhH8BomgEsmDDyFn7VXleXi8iVvhD3mBrx1IZgycjau1AiDUgJjlZCrdUi5uPkJrE09PAUD&#10;119E8ZNfD4rgZzkZ023ToFQEYviPw3HpnglmqWoLsW7sUByNoMlJHmPXkE4YtycUBVIpvC2moc+4&#10;TXjwDK81ojw1ANY2xxHpewGeHh5IzcyGXGMCRKafn7ekRhg0NbAc1RWbg2qbtpmL2lIBseJpXNRP&#10;RXRNzfsAwQwCCQIIEGAAGQFc8m4lgErw0Bz0kgl9RihL2NZ8XTBhuyAh3bzfCX2OAAfVjbx4CeSW&#10;lpby8JY8cWmd8gmiMpqDC/L0pgmz6gka5hOsLYKcPheWofaUE+ou+8NAoLKRJgAzojbkGsSHjkNR&#10;QqFDqlGcU4iYoEC4nHNDkEsIfC744eHde9i8eitkFXXQKzSQFpji4BoMOkSEXke3f0zCjEEbYbv1&#10;FGoKiqCRyaEWy55r96tE+c1hLfVjAqCy/BKoqmq44+mhoknFKipRkHkf17l633S7jAcBIfBcuBSR&#10;p07jhvtlxNmeRqjNMTyIisGti5dw3TcAhTHJqKuuRKTdMdTmF8LQYICxoREPUjK4+1wDo8EIHXc+&#10;5DruHq+tgqykmDt+AzSVFZAUFaA6Lw+ZEZGIs3FANk1Id/Ic9/kUHgVGQm/U816/5FlLMR8pPjDV&#10;nestfDuai9pHsNZ6w3Yc2bEPR3dbwmLcAqz8Uzds+q9eiDvuiaSQ60i4egNZ4XcReOAU7GasQczh&#10;S/BYbwmXTZYI2mKLYMuT2PzP7bHxz92w4d87YvO/dMDe7wZjA7c8M3IxdvUagyDrkzi/bBt2dBuN&#10;/YOnYcW/tcH+vlMx7f/7M6yGz8aR5ZuQeucGcrPuozg/F3W1NVBwbWAeuZ+20fU1D6sggFx6vvxS&#10;++hg7TfdnwGST8IglP3yMAj0i4Y3lQBryVw+64jYheugrq1vSv1lipq5/Jl6vY55turN1d90/Zqn&#10;Rc9eyW9nYmJielsxWMvExMTExPSaEgY2Ldnr6HXym+d5kb2u3nTfN8n7ItEAlIAaDWhpAEoD3Yoa&#10;EaTcoFdSX4XkyBCEp5ciO+w4+sw9xodBeBS+HUPn2CNPcIRsrIHf/omYdjCNKyMQo34agYv3TCRX&#10;KyqD5bwhcAgr4dakODKtF8buvIwKBc2qX4FzllYIfxJPl2REcYIHRrVpjQlrj+LICXuM6dsFq07F&#10;Q6VrgKg8DBar9yGh2ER4jQYdasqK+DSDtg52k/pjc3BLg0EtvH/uhW4bw7nPDShKDsON1BJoP/Jw&#10;dYJHq3kfoLjGaWlpPAAQYC1BAZpwjMIjkNcrXW8BPtCSjPYXPpured8yz9887WWivARwhToLoTzI&#10;qD6UJojKJ+DyVNxxGo3QqhSQFRRyZvKslRUWQ5mVjZJD9tBxaUYDeZUSsOXawg3ORdZ2qLuXAQ19&#10;OVFaCUW9iA+LoMwvgF4hR2VOITKTUnmwqaoVQ15WzeWrgKqiCkM7TsfYLj9j8qBVOLT3OBRVNTy0&#10;lJWUc/cB139fACxbErVdgLXk7UqT/UlraqAoKEUDdy7EtTUQF9FnDVQ11VAUFkBcXYPCG3eRF3kd&#10;eZmZCHU6jwSXy4g/eRGB6/fg4rLVyL59F4/upiFozU74Wx+A75bdXDklCDl3Htd8/JBzPxMalRxF&#10;ubl4EHMDd4+eReRFL2ilcsiy86FXKrjzL0M1d7wGLfcMqK6GsrAICqkYksIS6CQyPpautKCEO58G&#10;yPJKoOLawXvXcu3gzUzUPrVGDfvNu3Fs5z4csbCE9aQl2PzjUKz/Yw9EObgiMSwOqaE3kRYaj7Tw&#10;eNzj7RYexyRxyxuIveCDgF2HYdt7Cs7MXoszk1fB8utBeHT5Ktb8Uxucmbgcq//pR2z6qidW/0tr&#10;RO06it1th2PNjwNwefsh7Ok3FRdW7MHgP/wNl45ug/fZ/ZzthdvJXTjvsAk+F+wQE+aNlNuxeHgv&#10;CcUFufy1UarULcI/Zp+OmYNcc49cczDbkn1ssNan45BnoeTXpgnGKHbrM9vfwIxvCWvJKH6s5/c9&#10;URoV91rtaEm31u56pszXNQpxQ2q+3afTkOeeY0xMTEy/RAzWMjExMTExMf1mogGqEFahsKSKhxq1&#10;ZQ9w+ogzYu5XQaVRQ1mRiiNLJ2GByyOoFM/D2gM8rC3m1hohLb+HXbNHYeSUOTh4/BKK5I3QPTMG&#10;NKLo1gWMnrQFycVKfkBXHO+Kwb0mwD9DirpCH4zpNhkuKaZBrVZag20TuuBoRA0MWjEOTR2A5U4x&#10;iL18AVExN1BcrYCRH4fp4Ld8EDqtDeM+63HbZSdGLL+ISunb/yzzfYqujSA6VwRCKW4sgYLY2Fh+&#10;SSEPCASUlZXxwIKgqABcBRO2/dIB9LsW1YWACPWZp2qEVqmCLJ8mvjKBWvKqTb0aj5kTZyAhNo4H&#10;K3xMWbIGI9SFRah08YGivAKK6jpuwK6AhNtXym0XFRVxfU8HMf3MX62BpLCcbz+B1IQ7aWj9p2EI&#10;uxKJ0T3no0GhgKKkDKKCQkjyC7l+x51HLu/rAlsqV4C15Jmq02ohzSuBsqQSermC+1wMNZeu5+4n&#10;cWEhNAo5GjQaiHOLYJDKwYc04M6JnjyLH2Vxxxej8n4mEt39IOHaleB4CdEH7eG+aQdEWcVICQuD&#10;72FHRHh7I2aLHW77ByHJyQUB6/bhQVQcUv2DkXXzFuRyKSSPC3joG3LeFdqySq4u+dBLJNCKZdw5&#10;LuP6hoEHyRqu79DEblKuTg0NelO4kqb2CaL2Eaw9vGk/jm63huNeaxxZtRNHJq+E9ypLxLkEIjE4&#10;FikhcUgLu9kEauORce02Z7eQGRGP1IibyIi8hUdht3DV0Q2uK/cg6ZwvbOethOeKnQg4eAKb/9oV&#10;277ogc3/3gGb/toDy/6jAzb/sSs2dxmF4AMnYDFiDpZ2G4HACwdw7shWXLl0GGmxvkiMcYfr6T04&#10;47AFF45uxcWj23D28GactlkPJ7st8Dx/GKEBbrh5NRApd+NRUV7Keycrqd+ZQT9mn54RxH0RyP3Y&#10;YG3wkKnPQskmWKvnyn9m+xsYfan0pmoOa58YV5/bm/dDr6Bn/Jspee/hlst8hVFMcpLHtz2eS6Mv&#10;r5iYmJjeVgzWMjExMTExMf0qetlAkLbTYJWMwJ7gISl45YolUlSLpJCIi+F1xgvXshR82hNYe7Uc&#10;kOUgNTkTckk9srPuw3n9JIxaaoWcZyaZNsHaCTN24mGVCUQ2qkpwZO5grPW7D1GRHyb2ng6PNNOg&#10;VierxZ7pfeBwjWCtBIfGd0WnYfOw3e4k1v48FoPmHOTKUVNOM1hrQH3ZY+SXiaE3POtF+jGJrglB&#10;BEG0TtCB4tUKHrU0iRfFiKXYxQQdhGsoeIzRZ+HaCsD2QxDVw+RZa16fRmgUKkhyiyDPK4GcvGtz&#10;8hFsZYvYC96IPnwK9yOuozw3j48BS3teOeOKbes3wGqXHWpLynlQK6G4toXFvIeuoqoKWrkC8vxS&#10;6LUaPoQC/ch/7uSNOO/kjbLCSkzsuxblj/Igys+BvKwc6loRFIVlfLiBN4W1vFctfS6t4EMgSDlT&#10;8m0phayQWxaVQpFXCFVNLddHaVsRGihkQqMe9+8mQK2QQV1Xj/r8Au4cNUBTUgGVXAqtUgJlKXc+&#10;6ushLi5FvNMlFD/Oxu3gEGT6X8WjO0mI3nsC1x0vIPzgMTwIi4T3sRPw22aFgoQ0xPpcRuDRk4h3&#10;88aj8GjIuHNYUlgAWUUl9Fy9FXIxxFx5FD6BwiLIueO0FLeX2kmw9sjmAzixywbO++1weNEmLPq3&#10;9tjyXz0RvOck7obEIiX0Kaw1gVrOIm7jQdRd3I+6g4yrt5DJpaWGXEfInuM42nYc4s65496VCITs&#10;PQqX9Xvgv+4A7PrOwJV1Vjg+cRn8dhzCsn9ujZX/3gFL/9IZIz7/Cb7nt+Ok5TKsmT0JG2ZOxIGt&#10;i3F07xoc2rcIh/f+jMO7FsFmxxzY7JwPu93c+r6lXF9ZCDvLVXA6uh0WS6di/4Z5OLhzOY7b7sKF&#10;Y3Y4ffwkoiMi+XtNw91DLKzCp210fcnMn40fOqyNnrPqOSBJon29fuz7XNrrmEFNf0ffTC+EtZy5&#10;ft4JPh0Gcc/zgqbcr6c0O8cWy3uViR/n8vtHTF70wjQmJiamtxGDtUxMTExMTEy/ioSB4OsOCM1F&#10;+WkwKwBc4SfuCrkM5cUFKK4UQ1qbBzdHZ/imFfOQw6i8hfkdO2F7pKypFNLzsBa6clzcNAGLz6Wg&#10;rtj/JbBWDJuJfbH4bBbkOiM04hJYz+iLaZZx0KHRDNYqccVmKnotdEOV3AhjgwaFN1xht20djjme&#10;Q2pWOSoqymF48199/qYiUEuAVRCd/6qqKmRkZPBhEB4/fsxP3EXAga6LIMpHoJaukwAg6Pp9aLBW&#10;zvUdCn3wVA3cqgENOi30ahXvDVWfV4iAA7YIOnMOsdy18zlgj7sBoYg+eQqe+yzh73gemWFRyLmf&#10;DbeVG1GdlgFdZRXSfIMhLirkJ83SyaSQV5aDftqvUXN9V6bE7iU7oOHOr0QkweIJFijPzYKsqICH&#10;p7L8YsjyuD4sIU9Zqh9dg5efNzq/AqzV0c/t80qgJa907tgEXmmiMSV37Si8g4iHtMWoLyxEhOVh&#10;BOx3wPXznkhy8cHVLTbIirkBUUEu1981CD9zCYryEu586SHm9lVKRdDIpah7mA2dQYMG7nzpG3SQ&#10;5uRDXV0HZX0d6lIzkR4agTve/ki94IOksEgEOJ5G9tWbCLQ6ioDDJ5EVEI6UM67IjrqBuw6nkRob&#10;gyCbY/y50ioVfFiERu4Gaf6coHWCtce3WuH0Hjuc2WuDYyt3YNG/tcOaP/WA32Z7JIZcfwbWphOY&#10;jbjDA9vMyDu80ed7V+ORFnkL5xdvheV3QxFucRwZMfEI238Saz7vipteAUjzCkWadxgirZxwfp0F&#10;rIbPgf3QuZj9x5+we+gk2K2bh8XDRmHId90xr+cQjGjTA+M69sOhrRtweP9CHN47H1Y7p8Ny+2xY&#10;7pgJy13TsXP9dByyXI/Tm1bh4ORJ2DdqFB93e+XskVg1azC6temOft26QsfdPwfnrcGmvhMRdOoS&#10;bnqHIvSUK/IfPObvLzXXT5uDP2Yfr5k/Gz90WJuw3epZIPllF8hLSvm0yFlvHvOVTAgj8CZ6Eax1&#10;+UdHBA6chKKQyDf2rr1/8nyLZb7KCoMi+P1TuOdp87SK+AQ+jYmJieltxGAtExMTExMT03uTMFgk&#10;o8GrYC8bQJrnFzxxaaIfSV0l8h5n416p5In3kkajRuGtixg1bh2ya5o8axXFsJ3SB8u8MlBX7IcJ&#10;vV4Ma/mYtUFNMWsbG7gB2hYMnmGJMgMQsEKAtSqEOszD4OXeqJIbUJnsgVk9OmHC3otwcz+FpRPH&#10;o+2Q2YjLVaMy7QgWLduDzDpTkXqtBNXlFTx0e58isErn0vy80zYKgUCQlibtIm9a4ee7wvkXgKyw&#10;FK4N2YcEa6k+gjcb+bpSvETyJCXPTpOZ6smnGwxc3Q3QEfwUS6CUy1CcmIiAE87wO30BPht3ouxh&#10;NtLcvOC7Yi0KYq/jrn8Qoi0PoSbuLu57XkHilRDIRWL+uAqRFiqpGjqDEQYd1z+SHkBVWwdpQTEU&#10;ZDSxWUERJMUl/Dnjzh7VmK/Pi0Tl8rDW2AhZfjkUNJkYefoWlXDlFnHHq4eE9/StRINRBwqRoKmq&#10;gee2g7gVeQ3nVm5C2kUvpJ3xRLJvCGL3OaD6YR5inVxw+6IPHt9KROnjLJSkpPDxZuVcOQqFiC9L&#10;VVwOMXnocueosoI7Blf/hkYt5BWVkJWUQqfm7sWiYkiz8yDi+nbpgyxkR8QhdLctXC2sELrVEnlB&#10;ETizdjvffqNBjzquDGVN7ZPrIIjaSbD2KFfv0/sO44zVYbjaOeLktLVY8y+dEGLhiKSwG0gNvYF7&#10;4Td5UPvEs/baHWTynrV3kcl9Tr4Wj7iTnvBdtgshO47g8roDeBwQC9flFnAYNgc3znohKyyOK+86&#10;koKiEe8VjCT3IByduQoWo2Zj79x1mDtoMEIObEPqcUtkHrXF/aNWSDq9H6fWLMPAn9ph+KC+GDWk&#10;N5YtmIBDB7cgJvwyfN2PY83yGdi2Yj42LZ6JTXMnYcPQ4Vg+exSWzBmKXh16ol+P7tBz/e7QgvW4&#10;H3wdySGxCDrjhSOLtmHh37th47cDsfrrvjjQaSw2/jgIBwZOx/VLPhDV18PA9Rm5QtEiEGT24Zr5&#10;s/FDh7U5HgHPAcmHTpf4tPsnLzyX9jpG8W7fVM/A2i+7wOVv7XF14gLUZTxAg/aXTfb50NntmXq9&#10;rmUeP8fvn+3u91xaUWgUn8bExMT0NmKwlomJiYmJiem9SRgsNrfmetF2Eg/YGkyhFOizkJc+m08+&#10;JZcrIJFIkJsYgUmTVuFcUhXkpQlYMHgivFJNg9pGnRh7ppjB2snmsNaIigRr9B++FAlK4EpLsFYp&#10;QuyxmRiw7ALK1VQPI3IindBp4M+4XaBBWZINBgxfhCiaH42TrCIe07oPwMU0AsmN0Cuz4G61Dofs&#10;7BGfnAtdw6sH0m8rOlcEvIXzKyzpfNLkYtXV1TzopHMpnFtKo3Uy4ZyTaEnr5ts+BFFdCJAouetf&#10;8iALebeS8PBOEqofZPN1pXNPRvmeGLed4sgauGtIULRBb+pLQl/TcX1KVl4JbXUdbp73gveC9cjy&#10;CkFF5mMkhF3FdX9fJAQEIdzFDSEOp3gP3Rs+/hCVVkEqEqOhRsx7vio5U9AkZ/n5MHDXgTs4X+eX&#10;iepHsFZRW8+VUQpZURHvPSsnK6D4u0VQ5RXx0JSHtnklMNK14uqt59ogq6pGfto9XNxtiTMbdyHM&#10;5gRUBWWIcrqI4G22uM61x9fpHHLcryD9gg+uX/SG7/JNCHE+jzR3f1x38UAD1/7qtBQ8SkhCgMVh&#10;/ngEatUyCUR5hdDrtdAb9dCjAfkZD0wev9z5NyqVXB0L8DAxEYp8rv119fxEb6Ki0qa4tfTvaTsp&#10;jvWx7XvhtN+as8M4s9MGziv3YEenkYg57omE4GikhMYiJfgG0q/e4ew2bxnkXRt51+RZG3Ebj6IS&#10;sPm7ITjYaQSKo5JweZ0lfNcdgOfyPfDaaQv/XfbICI9DWgjB0hgkBEXi7pVriPcPQ5S7H06u3QXH&#10;1fNxy9YCD06fRG2wB0QhYch0PIQb3D3rt20t5vYbiUFdh6LzT23xx3/9Gj98+Q2+/vIHDBk8G8tW&#10;78TEIWOwevZUrFs4FUtmjcfcqaPRq2MPDB0yiIeuM//YngfPl1YdgMdmO8S5B8P5550IcDiPx7EJ&#10;SHT05uoXhatn3HGg9wT4cW1YzO2z5cs+cF+yE/P+30/IS07Ho/hE6Llzp9Fz17oZJGT2YZjpuWPS&#10;hw5rKaRKcyAZOGgyn1Z5J/m5tNcxRVklv/+biGAtTSpGIQ/ubrOEsqrGVP/XaMOLlHn8l3nWJu+3&#10;5/cvDIl8Li3PJ5hPY2JiYnobMVjLxMTExMTE9KvIHNq9zoBQyNfczMtpruZ5X5SH9iewyMe91Wp5&#10;OEkDZIKQNHAmr9HauhpkRHtg6ZINuHijGnqNCLaT+2OlayHv+UrlFPiux8DJe/BQB1xZ2QzWriBY&#10;W4uwXbMw8/g1SJqqIs25jakTZ+FGrgblybYYOGIxok2/IIW8OgGLR06E5wOufqJMWAzrhAGzD8DJ&#10;9SSGDxqP0zG5MFDbG6RId9uP1UsXwf6YMzIK6/gfy7+tqE3msWYF4C2kCedMSKelkEcw2t48jdY/&#10;JFF9CNir1UoeVmr0WmiNeu7ccm1r5s3ZXEJLGo3P9jNqIm2jvkHniSYi40GuQc+ZDnKuT1Gc1/Nb&#10;t+GKgz2CbY9BVlsPlz0WuLHDDuU3kyArKoGS97At4UMhmGBt0wFfIjq+jOu7NLGZrLAQCj5mLnnp&#10;cuU1maKQrBjS/GKoeThkmsTL2MDVuYFrM8XINRJsp2vWAGVNNdQFpbh/+w7KUjIQdeI8Qk+dxdWN&#10;NrgbeBWJx87gyoHDCLI5ioL79xGxZS/qcwvhumM/PHZb48oeO1Rzx6x78BBiCpvAtcWg0yPS/gy0&#10;jSoopBI+xm+DXgcpxdLl1rVcGyjcgpGri7ywFEru/Gj562E6CdROgrUndhzAmX22OGt5GM7bDmJD&#10;xxG4dsoTUcfckRpyGyd32uOC1UnEuIYgxPkyMiISuHs52QRro+4i/dotxJ33x5b/1R5Xd9gjNeYO&#10;4o5ewsGekxG0/TDyI27jUJ8ZSPIIQ0pYPB9SISn4OhICI3DHPwyx7v44unIrfPZu5GFt3qWLyDh1&#10;HNWBnrh/wga3D+5E6OZlOLFgNgZ07okeHdvhr//1JXp1aY12bdpg0qQ1WLbRFqMGTsao3mPwr//8&#10;Ldp90w3dfuyJb/7aCt993oPvO3P+oz2W/rELjkxeg6igSNwJiEJyaBzu+UbjzPQNWNR+EO67hyFs&#10;2xHYzVzJnQNX3Drrg6STntjXZgQ2/70HFv/TD9j1WW+s/1NXxB53gcXg6Tixdic8bY7D94gzKkvK&#10;oJLJ+S+uyJpDRGa/jdFzUtCHDmtJl9sOeAZIercbyG/X1It5gGqe9jomfpzH7/8mkpdV8B6tr1vn&#10;11Ga7ckW6/cqS957iN+/LCb+ubQcD38+jYmJieltxGAtExMTExMT068iYSBoPiCkpQD5BKgnWPP1&#10;lqy5WsrTklHZ5iCyJVE+IayCAHKrKysRGB6HpIIaiIsTcHTpeMw9cBUyrhz/JzFrzT1r63DVYjqm&#10;O4RC2lRdHtZOaoK1STYtwlrfAiMq3Oai/cCNuKun+uqRG7QHPUdtRa5ch3vn1qB714k4FpOMMwc3&#10;cmUsQFS+6K2ALbWX2kqwVlg3vy50vmgppNE6DyW5ZXM131fY70MR1YfaWZaVi5ybiUgLjUJlEUHC&#10;XwaWaQ/ajdpLYJaAegMPPQ18gnAOyCOXYG5kUBh33mgSNg0PhysfZKEgNQ1ymlyrgKyUh7V69RvC&#10;2oIi3ptWWVgGBVfGM6CW4G1+MepKSvhjkudmytVoqDQqXD3vAp3GFKNYUlXLXVcjNIYGKLJLeY9d&#10;NWfykgoYuftBVVIOo0IOcU4BHgdGITUiEo4j5uCRTwiyuXPpv9sOMScvIdk9APkhsfDZZ4krlseQ&#10;G34X0qw83Npjh4jDjngUFYGShFRopGJoquugyCnmPX0leYWQ19ZAz/VFSUEJD3OFcAjUToK1x7fv&#10;x5l9djhnZY/Te+2w+P/XCgd6TIPztPW44uwFj8PncG7/MTjtP4orTp44ve8IXGxOI+SsDwJOuSEx&#10;MAb3Qm6gIC4VSaGxyIi6g4fh8dj8w2BEWZ9BemQ8To1fCY/Jm5AYEc97tyYHx3H7ReGOfzhueoXA&#10;Y98hzOo8CHvGTkXYli1IOGyLOwetcHXfFoTuWgePNQtxbulszOg+DEO698Df/vItunXqjK4dumLy&#10;xJ8xf8km9O82FOMGjsZf/vgdvuTSv/9HW3zz2ff48buu/LWY+8dOWPVVPxwcsRC3AyK5Y3MWGI3E&#10;oFgeHqeE3cTd8GhEnnDFda9gHJq0HKFHzsGq0zh4rtmHba0G4vz0tQjizsWOv/XC1i/6Yttfe8Bv&#10;iw12fN4X3lsP4ti0ldjWZigCHZwx7t+/x+K2/bFx9AzkZKWhuqoCddy1qK+vM0HFpi+zmL17o2eH&#10;oI8B1l6b/PMzQNLtyy7Qce0ghQyf8Uza61hhcCS/7/tWksWhFuv3KkuzPcHvX8j9LWmexmAtExPT&#10;uxCDtUxMTExMTEy/mWhgKEC9lux1Bo6vM8AU8jTPK6ybH888ndRSurBOsJIAJw22H8WFwcI1mdsm&#10;R6TzekzdegVVMjXSg/dhyEwbFEgoBqwRioI7mDpe8Ky1wYARSxDVDNZeKTEi/sAkdBowE65eXkhJ&#10;TUPRYx/MHjAcrgVq3D2xCF1nHoVIaYBRVwtv6zXY7ZMOxS+ktdQmGshTe4R1MkEEjghcC2CW0ugz&#10;5RfOS/NzZL7/hyiqP123Bu6a0I/tDY1ce/h4tW9eb661PACVlpch2uIgdAY9HoXF8fFuKQauMEEY&#10;f17II5f3yqVjcX2o0ZSHYr6anz8eHHPrbwJrCdRS+AMCteSdqyxsgrXcZym3XZxfCINe23Q8PR7G&#10;3YLPkRO4dugY3NbuxdklG5AWE4P4wCBUlBRCXFWFukc5qMx8xJdBHpgaiRwSrlwRhVPIL+ZDSVQl&#10;3oO8rhoNXB+R5heh9nEeCh89QnHUDQQfPYHrVF76I0iqK7nzY4dzi1fi1kU31GbnQlRYhPq8Aoi5&#10;8qSFpZDn0CRrJVCLRZDQsl7EndumcAhcO9Xc/Wa7ZRdOcOf5zH47XDpwBAv+9w9Y9n/bwar3DESd&#10;uoyQM5fhd8IV1875IeyCP6LcQ+Bz0hVuR87j4iEnxPpegxe3ftHGEV6Hz8Dt0GmEXriMm34RyAi8&#10;juSw68gIikGIxSncD7+FlJA4JHLrCVeiccc/Ajc9Q3FxjzUW9B2E0a27YEWfvtjSsSva/ccX6P35&#10;95jXsy/cVi3CkdkTMLHnUIzs2w9ffd4andt3QJtW7TB40GRMm70CowaOw5QRk/C3P36L775oi5++&#10;/RHff9kRP37Xm49ZazN1JY7N3ohgK2fc9o/ij59wJQZJQbFcnW4gLZSMJlK7iQzOHsUmIDP6DvwP&#10;HMepxVvgPG4ZYk67I3jnYdhOWoTLlkex4Y+dsf3vvbH9r72w45sB2PrXHtjbbwqWtO+HMDtnnPl5&#10;M1Z3HoJbV87B29kKV32ckBTth6iAk/C7aIdb0f7IfpCCkuJ8VHD9XSwSNcXIZSD3bYzufUEfA6xt&#10;KTZtKte/SI/OeTyX9iqLnrOS3/d9K371jhbr9yrLuujF709gtnla7uVAPo2JiYnpbcRgLRMTExMT&#10;E9NvKmGA2JK9SpTnbSGh+X4t7fui7eai4xO4FEIq0E/sacDNe+RKxSjMzcHDokrIpLVIDHDCyFk7&#10;cDtXiZr8yxjXfyZC88h7sBGqutv4eehE+BUacd9+EjpP24szzqexbv0GTJk2C0PGTodttATamjzY&#10;LB6Dicv24tqtJFTUS1Er0cDwdLz/2iJoSfUUQCzJ/JySKK05rDU32k7tJzMv50MW1VuhUPAQI7+g&#10;ABKaoKuRa/Pr0FFOT85Rk7eslrvu0dvtkBMWhZyIeNw96oa6/ALumpig7BNR8fwhTMcxHY/bn+s7&#10;ERERyKdYtdx5fKIn1aEynqw8I2oLwVoKc8B70zaFPHjiWVvAWX4J5JXVJvBJkFinQ/BuWwSfvYgA&#10;66OIdPNB8PkLCDl9AVcveiDgzAXcdPHEPVcveM9eiXD7Y0g8fYmfICw38iayrt9EbXoG1HnFUJRU&#10;opG77vKyMshLK0zQtqKcO3YZ9Hx4hQb+uHq9BhWP8+B1+ChuBYXgYdxtPlSDWiKCkjNZXhGUtbUQ&#10;FRfzXsIEbZW5xdx+Ju9aaifB2n1rNsFm626Th63FIWzoMAKbOo2B7aB52P4vPXB44Dyk+kfh0OQV&#10;CFt1CGl+1xG68zgij7oi+qwvot2CEOdzFfH+kVxbfRHrEYwQZ29EuwfBy+EcXGxOIuz8ZXieuIjg&#10;M96IuOiH657BuHk5DPG+VxHrEgg/m8OwnDIR6/r3QeS2TYg/sAMzfvoJc9t2x5yu3eG4bA5sZ4zD&#10;1H4jMbpff7T7qRs6tSUQ2xojRw/H6LFz0b1zH/TvPQR//3MrfP7XH9D+h/b4y39+i2+/6s7fR7P/&#10;0hnbW4/Cru5TkHQlBnevmIBtYgjB2jg+PENaWDzuhccj9doNZFy9wS1vITX8BpIj43Fy9Q74bNyP&#10;O95BuO0egIub9mN//6m4sHgbdv04FDHWzljfZjC8Vu7Fqr90wcovemD9T4Mwp1U3hAYcw0XHPXA9&#10;tQ9n7XfhlNUObF4yHQsnTsXOFcs4m4+daxbB3mI9nA9vgZ/7MVyPDMCDjCQ8zExFaUkR/2sEpVLV&#10;Ipxk9qzRs0TQxwBrdTIF3L/p/gyUDOw3nk+j+LPkaWue9iqj/Hqur7xvRU5b0mL9XmUVN+7y+yfv&#10;d3gurTDoGp/GxMTE9DZisJaJiYmJiYnpV9GrBoJCenNQSBLSBBPUfHtL1lwvy9PS9ubrv1TUJgIw&#10;BHMJEtaJpBDXVyPG1wuXbzxEXW0xIi5ZYeKMtfDNNkKTeAg9+y9BhkzdhPMAtUYLmUYFaW0lNPUl&#10;uBbkjy0rZ2P8wl1ILlfC+AZVJCBIUNnco5ZE7aR6kgntFuouXJeW0gRYK+QR7EMWXYu7d+8iICAA&#10;p0+fhpWVFY4dOwZ/f38elCQlJaGoqIjP11wVFRUoLChEYWEhyrnPtdXVeJSYALlKgYjt9lDq9bBt&#10;3Z87H6Zz9KrzUV5ejrZt22HIiDFo1aoVunTpggULFsDOzg5OTk6IiopCDXeMpxJ6hemaPQNrBUjL&#10;rZO3LQ9qKaSAVsdPkMbVhN+HYtMSWBWVlKGmrBwZiXcRFxKO6wFBCHTxQE5qGi5MWoTEg44IOX8G&#10;dy56I2yXNcpSMxB+8DiubtqJy3v2I+HUOYTaOaDk5m3kc2kasQQ1jx+jJCcHFYVFPMiuyC3gQauu&#10;wQg9f05M50VbVw8Jl0cjkUCRVwilqB5apYyfbI3CLhD4UVXXcfU1QWaNVovti1Zhx9I12Lt8PSzX&#10;bcWmbmNg1X8GHEb8jA3/3hVXDpyG/awVCFhrhctrreG9+TBsu06CXfsJsO05Ddu/GAD3VfsQZH0a&#10;7sv2IN0vEoG7j+Kq3QXcdgtBSkAUbl8OR4xrEEKdvHDTOwShzu5ws3WEp4MTXO0c4X3wAFKPWuH6&#10;3u24d9QB0Tu34f5pO7gumAOnBTPgsmExnFYvxKIBozCp5xC0bdMJHX7qhNatWsPR+QCWrlgKR4u1&#10;GNdvPL7/pgM+/7o12rfugr/9vRW+/KIjd08ZMfbffsTyz/tge7sxfPiDuwGmEAgpoXF8aAaCtekh&#10;8cgIu4X0q00WHs+lX0ciV3+3Zbtg32UiUn3DkR4dD++99vDfaouIQ2fhs9UaAfuP4vKmg/A8cASL&#10;v+yOA90nYsmfOmJxu/7wPLsPLqedkBZzDccsNqLHd50xpG1/9G3bE91/6Ip2X7bGgDa9MLxLb+xe&#10;ORdHD67Dwd1L4X7mIK4GnoPLWSvs3DQXB3YswwVHOwT5euDS2Yu4cSOO7+t0TxGUbAlc/h6N7gVB&#10;HwOsJQX2n/AcmFRWVPFpEVMXP5f2Krs6YQG/7/uUf4/RLdbtVSYvLef3j5jyfLvLr9/m05iYmJje&#10;RgzWMjExMTExMf0qetVAkNIE8CfAQEFCmmCvknAs8zIEmac1z/Oq7S9SS/uQzLebpwnr5m2iNlMc&#10;VRqoV9XLIZXU4GZ4CA6dD0FWSTGyYl1wYK8jCpTVcNk4ESvPpUDHnQqjrhQnVw7G6P0REGtffW7o&#10;WDRoJ09Ogqt0XNom1I+W5tdAqKeQLtSVlsJnIU2QkNZ8+4cmaj9NJkewhAA6nfvq6moebKSkpCAu&#10;Lg6XL1+Gvb09rK2tce7cOQQGBuLatWtITExEZaVpBnNqp0qlhogri2J8VlRXIrcgD1U1Fagoq+DL&#10;pGOYw+zmIoDVpVcfuDk54vieTejZeyj8QiLQq1snLNpyED26tUe7tm3x9VdfYdDgwVi6dCl27tyJ&#10;6Ohovjw+Zm0+TS7WBGp5WFvCg1BxXiE0chn4WLVcXvrH7WSCtvSPPgvG1YW7ejA06KFSqqCoFyEz&#10;8BpyEhIQ534Zd067IuzYaYQcOIq7J53hvdsCAVv24J61E5JdfVCQ/hAJbj64ZuOIB7EEDiPgvc0K&#10;/lZH8PBuMsoLi6HRqPm60JcLusYG1JeWmOLtFhTzk6SJior4esvKKqGoqIYkt4iPBUzAlmDtlgXL&#10;sHnhcmz+eTn2rFiPuX9sjwX/9ycs+ed2ODt7C5I9Q7H5Pzvjyg5bBFg5wqbDRMQdccXhHlPhMGUl&#10;9vacjPAj5xC6/wQPKwNtT2HLN/3gt2w3TvSdgZOzVsNt3R4EHzqNkws2cvssw5mVOxFy9Bxi3P0R&#10;6OyKK5Z2ODVzPrYPHAKb8ZOwq/9wnJw6C7et9yLB3hIRe7bAYc5ELOnRB3O79sJ37buhw08d0fGn&#10;Dli2YCmmjp+HUYMGY2ifsWjVqiO+bdUObb/vhC+/botvvusIrU6L85tssOq/umN1+xFICIpBon8U&#10;H46BJhlLDSWv2pu4FxqP9NBbSL92m7d7V7n1qzcQanEc3usOIGCNJS6s3oMHUfFwWbQdlsNmcWVd&#10;Q2bUTdy/FoeUqzEIOHgSnnYncW7VLliMnIUDP6/BxaO7MaTfSNhst8GANj0wpV0nHJ8zgXv2LMXh&#10;BTNhMXk0pnTri8/+9BXaftkGoV5ncMX9EKz2LIXV7kXYs3URdnO2fdVM7O85ANvHjkO/tt0wsv9A&#10;9OnWFX17dMb8mfP4mMhX3LxwKyoWuVmP+ftQpVY/AzJ/D0bPBUEfC6xtKdzBnS37+bSSyDi4/wLv&#10;2uBhUyF+nGsKAfMby6DWtFiv1zGNSMyX4fFtj+fS6jIf8WlMTExMbyMGa5mYmJiYmJjem4TBYksD&#10;xpelfch60zpTXgGCUugBArgEVskLViZTQCqXo7o4F9dvJuN2ViHy0iOxY/IAjLOORr265QEulSV4&#10;slE55oC1pfo139b8c3Nrrhdt/9BE55ngkABsX2SUh6BSWVkZ8vLy8ODBA8TExOD8+fM8xD1y5Ahc&#10;XFx4sBscHIz09HR+HxJN5EXwiWbaF4lEqK+vb/HcEKxt07YdTrhfwdCeXdG2a2ds3O+OVh2HID3h&#10;Onp374iVc0YhICIO3f/xGSYt3ow1C4Zj/PjxfHlUP5okTKtUQymW8hOFiUrLIaJ4tWUVMDbo+XAE&#10;BrUKegP3uYG7Rsama8gtDfxnCmFBdeM+c//4eL5culoqh6KoHCqxCPLCQoiz8yApKEDhzVvIjopG&#10;sp8/QndaI9Y3AB57D+GOhzeuHHNGzvU7uO7ug6y7ybh29DS8j51EWlgk7oVFIPTkGUSdvAAtGqBV&#10;EGgugqKQrBiy/EJT/N2iYkg5k+dzn2tq+ZASBGs3zVuCTfOXYiNn235eiS3DZ2LhP7XlrA3m/3t7&#10;rP3Xdtj8H52w9c9dseWLPtj2b12xufMwbPyPLtj6n91xoP1o2I9eiM1f9UW0zRms/74vIq1PYU+n&#10;kdjRdRQirU7Ab+N+XNlhg7jj5xGwdCc8Vu3CobHzcWnzfrhtP4gVXfpgeqtO2DZuOhZ17oeFbXrD&#10;dfV2LGn9E87Nmw/3lctxcs507Bg8DNO69cKPbXqg3Y/t0LF1O7TvPhkzf7ZEvyFTMbjPCHzzTRt8&#10;+91P+ObvrfGXv7XB51925MNH7Jm1ClbDFuDo9HW47ReJu35R/ORoSQRrQ26a4tWGEZwlr9rbSOOM&#10;YG3qtZs4OuJnHB27GPaLNsJz/QFE2Djh8k47XOHaFmx/BvdiuX0iKWzCdaRevY67oZFIDLiK6y6+&#10;cFi5Ba5O+zFh2CSsX7oJPb5tD/8tPyPBehtKXY5AEh+GeNuN3LZFWDpwADp91Qn9OvfCqPGjsXb7&#10;TljbWmDrusXYtWkJdk8YgX3zxmNVz36Y8Xk3jBs2GiP7DsDwAX3Rt+sw7v6SwnrjdgScc8GJPQex&#10;dPBEOK22wNlt1ki5ehP34xNR9DAbdbW1UKpMEz22dI9+7PYxwlqaENDzu57PgEnvNv3RoKfQJ0YE&#10;9h//TNrrGAFbl7+35/adyIPfwuAIqKprm47464q+MGqpTq+0r7uhQafny2gpXV1Tx6cxMTExvY0Y&#10;rGViYmJiYmJi+oAlDKjJS1MAsBWV1aiul0BqNvgneCd8JnBIeZt7wQplmdvvTYJ3LcFUmVwBrdY0&#10;YdzrGIEjMoKwFBaBgCuBXAK2BHAJ5J46dYqHuhcvXkRoaCgKCgr469BctG/7Dh2xYsUKbF+3BLuW&#10;L4DFbg90/upbnNi1Ef7O29CmbRssP+CATq3awM3HH7vXjsGECRP460bXm7+GXFmEfYQrSceieLEN&#10;nJE3q8eaLXD/fiDyMzL4dQKy2cERqM540HT9hb2pLOoT3H7cOZIWlfKTl8kpHm6BKbyCMp8mM+OW&#10;BUXQctvVBNPyipEUEAIJeSjH3UE1l35p2364cOfivLUdH2Lh+mEnpF2LxM3TrqBQDGQiKr+gxBS2&#10;oek4siKTkcetiNtm0HF9nmDt/KXYvHAZ1sxcgKXT5+LEpn1Y/d1AHOw3F3cuBWPT1/2x6d87YdG/&#10;tMbmf+uMdf/aCXtbDUPUbkes/L9tEL3jOLb+uRtW/bkz1v6xMzb/pQuW/ak9tvy1KzZztun73tjW&#10;ph+2dB0G1znrsPkf3bD66x6473IFtqPnwmrSAthO+Rnbho/CsG+/w95J43F4/lysGjAQI775ErPa&#10;dcXxWbOxZ/QweK1ZjXZftMEPbduh9fdt0Pa71hgxaiGGj16OdeuOYtTQwfj+uw744YdO+OKvP+A/&#10;//N7fPZ5O36SuqX9x+LMCgu4bbbDLb8oeDpcwE3fSDjvP4oo12DcC7uNe9fuNMHaWzyoTbt2C6E7&#10;T8Diz31x+5w/sm8kwWPtPuztP4Urxwpuqy1wetoqPIjk9omKR/q1OG6/60gLi0EC1w9u+IRiy7T5&#10;CL3sgJnjxmP1z+uwYFBfhO9cjuj9G5HisBOpxw7ihvUmxB5Yj0sr56PzZx3Q5u8/YUCvIVi1+Tic&#10;PSKxeN5yrJy5El9/0R4Txk7mbCw6d+uNXn0moHuv4Rg4aAT+8ZcfIZdJYbNpJxz32cDl0Am4Wh7j&#10;6mmLxEuheHQrFbm373Ftu8GHf7gbHIuUa1ydryfgQVwSspPvo4L6CHcvKrjnYPP782OyjxHWkq5N&#10;/vlZOPllFzw4fYlPy/W+8sbetU+M28/ti85w/awjXD/vBO+2AxA8dBrilmxCxvFzKI+9DUlOPrRS&#10;+Tvzwk2zPt5yXV5hUbOeTo7WPM273cB3Vj8mJqbftxisZWJiYmJiYmL6SCQMrl9mBOuEn983V0v5&#10;fy8S2kpL8l5OL6mEw8ED6Nl3PMTlBVDITRBFIqrn0rWQSiXQqpTPAPHXMfKkJRhcW1uL1NRUuLu7&#10;8xD30KFDcHR0xPHjx+Hs7MyHVujduzdat26NH3/8Ee3bd0Cnzp3RsUMHdOnUGV07tMfimUOxbM0G&#10;dP7qKyzeuBenrRZh7LjnYa35VeS38bDWiDsR0bi0/xCuzduKK5ZHuD7RiJL8QrhP+hm+P/ZFZW4u&#10;aLK0Bh7T8nvz+1KsWK1UBikPUU0w1WSmUAtK2l5AHrFFEBcVQWfQcWVTnzPtS6CYvGKpLyq5cqq4&#10;/OUFebgXGvUkn04q50MgEJx9EsZBsKay1dV1z8DaVTPmYdm0udg1dj4cF2zB2WV7cH7xDvhttsOK&#10;f2uPa9sc4LRwKxb+e3s4zlgL15122PXTCAQ7nMOOPhOxtdUAbG4/DMv/3BGXt1vBYcICuC7fBjsu&#10;bdNfOmHz592x9fNucJ21BlZf9cOO9oOx/cueWPn3jhj/tx+xfdok2C6YiyUdh2H2jx2wd8xEHJw5&#10;CVuHjMSmAUOxtt9ATOrQGT9+2QY/tu2O77/5Dt9/0QrftOqNtSu3o+1PP2DCqNH44fs26NmjJ/72&#10;x2/wx//4Dp9/1paHtfM+645jC7fAf+sRXPcKwZHt1jhz4BjCLwXAYdM+XLRyRNCZyzix2xaBzp6I&#10;9gzGnaBopF+7hQSPMGRG3sWDiDu4dT4Ae78agviLvngQeRMWrYYg5JAz7nGf0yNMsDY1NAZ3A6/h&#10;ll843CwPozQnCktnz8L2DQewe8JYXNm+BnftdyPpqCUeONvirvV23LTcCOcl09Hju/b45m8/oEv7&#10;3li+3h4OzlewZP4KbFm0Dv/4ayt06tAJPTr3Q8dOg9C5y1B06jgYndoPwd//qzUPa20378TxXZZc&#10;Ow5i/+Ql3Pnthe3fDsX1095ICTPF5s2MuoOCO/dRnpSFitRsFCU9Qnb8PaSGmyZYozi9ycHRuLDO&#10;Aim+Ybh34w6K8wqg1uug5u7flu7ND8k+VlhrUKmfA5SX2w+CUafny/LvOeq59F9kBG/NzPXLznD5&#10;rAMPcn25/nRt4kLc2XoAWec9URoZB9HDx3z8XIrT/ToqCon8xWC5ODyGL6Ms+uZzaZHTlvJpTExM&#10;TG8rBmuZmJiYmJiYmD5gCQPqVw2qXzff71UER4RzQ59z8otwJr4M/ftNQFHuQ8wcNxlGnQjLl23G&#10;qYM7EHQtDBV1Ij5OLQHbuup8yJsBlzc18ngmkF5TU4Pr16/j5MmTT8IqEMg9e/Ys9u3bj4kTJ+Gr&#10;L7/Gt998iw4dOqBjx47o3KkTt+z0nGdtc/GbuP8ZNTpcXroNTis2IcbdB1ftnFCYloFzB+3hYrEP&#10;Xtv2IfTYBe5cEKzldjHtbfpH+zcaIKqqRE1BMcR5BGdLoSws401RWMrDW2l+MXRKBe9JRvs1F20h&#10;JMVXibMG/p+Rh8MEiSncgaLo2UnSzI3ArUZnBmunz8Oy6XMx+cuO8N59BN5bD2P1P7WH72YbOM3Z&#10;gJV/6Yzt3w3AwYEzkOYRgvU/DMA127Ow6DIaMWe8YdtvJpwmr8KBjmMRbHEUlzZb4Oym3TixfCNO&#10;L1iLqxaHcW7uBlyzOQWnVZvgsdkaVr0nYlvr/rCesQC+jjY4sXgpbCdMw4GR43B++RycWDgLM9u3&#10;wbK+/bC0Vy+s7tMLY1q1Rcf23fDVF1/h+y9bYcSwDZg6fT+GDl+Jvv2G44fWHdC/dzf85d+/wh//&#10;41t8/hl51uqwqNUALPpLN6z4W0/cOB+AaJdAxLoF4ZZ/BO9petMzHMd32WDH/NU4a3kUTvsdcMXZ&#10;A5dPXMTVS364dOg0gs96IsYrCJkxd3i7FxmPmAuXcW7JTtyPuo0Mbj3j2g2khcciOTgKdwKuwnrJ&#10;KhjVOdi9dSVsrF0wsVc/DPihI4a3+gnOy6ZjcZd2WDygD85tWgW7eRPQ77t2+M8/fouuHftgyrQ1&#10;2GbljHkzf8aOJZu4trRC774D0L/LAHTpOhidOg9Fx05D8VOrPvj8b+34e8h+2x4c32MFx7028LZ3&#10;wsYe43lYG+PohaQw02Rq5DlM0JaP0xt+i6vzbX4ytUxue+bV21ye60gNi8X+qYux+cs+qL/zALfP&#10;+eDs0u3YN3Aa9nYbj2l/+AdcFm5DuJMrZBIp/wXChxJW4WOFtaTLHQY9Bynvn7rIp9Ukp/Mess3T&#10;f01z+6ILLv2lLS7+V2u4/qMjLrcbCL8uw+DffSQ/KVosd2+nHHBAms0JXF+8AYEDJsH1sw4tlvUq&#10;o7YpK00TPwYOmPhcevohRz6NiYmJ6W3FYC0TExMTExMT0wcsYUD9skE1pdHgXwCSggnbhO3mEvL8&#10;XiS0V/A8pli+Cbfj0WP4EgwcNQejh42FUSfBsqWbEOfjiKWrViLjXjoSA6xxv1iC7LsncC/GB5t3&#10;WOCa3xlssHZDXU0VD00pLAIt3wYEUdgKqtPjx4/5Sc0I5J44cYJfOjk54dixY1i/YQOOOBzhjyOV&#10;SNDI5W8uikdL1/u6gzOc/q0VUn1D+XaHHjiKkJW7ccXBEVcs7BBzyBH+m/ehKrfwyT6mc2Teh+jz&#10;03WNVsMdV4z6ykrUFZehprLiSZ4XiXpYS72MKw4amQTywiLeU7clWEtGsHbjvCU8rF05fR4WT5mF&#10;Wd/2wNz/+T3m/88fsOBf2+L/3959gFVxpv0ff3ezm2wSe6f33nsvKmBvqIgdBRGUoiAKgth77733&#10;3ktsSTQao4lGjRq7sfcC9mT3+z/PmJM/ISSbuq959/5c132dc2aeM3NmzsAuvzze0/ktJ6LfsSKl&#10;sjfdK3iTUtaNxFJOJL3tRMcq3rQv7UIPj7okVvEkzSiAcbU60MchkuERLekf0oSpMclkWAbStaIr&#10;+2YsoKtdEOsHj2FOci6JrrWJd2tBYlQPAu0akRIcxbSEJFakpbC2Ryrj2rYkztePhKAgEgMCaOwd&#10;hIWVPc7uvliYWmBlYkE1gxDCanclICgOQ1NvrGx9CHBxx6C8NVUqWGNm7Mbzly9ICmhImmstOpsE&#10;0raKB/GlnFnaewwfzF3D+tyxWnC7YfYyts1fzbY5K9m+cC27t+zi8PaPmD9yMiOy+rJzzmpWTZrH&#10;qsnzWDt9AeumLmDnojWsmzyfnYvX8sHyTexbvZXPtnzAwQ272LdyM2PTe/FNwXF6ZyUzdtwyOkTV&#10;IdrFl0gzG84smEJ1I2Mcq7rhbmxHVr2atA73wbyyOR7Onnh4+RNQqzH1I3XfS5M2WNs44+7lS4Bv&#10;KPbOAbi518DdrQYmhm5YW/rw6OEjxvTuz6T+w5jcdygz+wxnUlJvulvX4MDc9VpYe1DNrlU3Ttv8&#10;qt2Dvj7fvIdjW/dxVLf88NY9HFi2mRXdBjGiekv26o7ts23vs3HQJG0WcU6tWPoHN2NpvzH09m/E&#10;0uR8upZxo63qcaz73sdnDWTzykWcPnGUBw/uce/uPe7rfo6L/1z+UaV+3vT+bGHt80cFPwgpVYj5&#10;9M5dbf2meq202bDFx7wWZV7Csl9QG+u01I5RWWjt94P11/Yc+HatEEL8NhLWCiGEEEK8xvR/TOv/&#10;sC5eJdGv0we1+iBOr+i6/ybquIu2iVDtEFS7Am3G68uXqNYHq5csYODUVaycO45FYwcwvn8Sh8/f&#10;5dS+cRzYMIOdh0+R038oI6YtJiEll3ad0vD1C2Vgeltye/bg9uVTHDp0kAf372m9hXevW8blOw9+&#10;dZCr3qduOHfnzh0OHDig3dRs7ty5PNR99n+++67u/83r/u+8oSH06sW/PvqIf376KS8vXeLwkrXM&#10;65nHN7pj/UZ3rF8eOsI0s0BmJXbn0b17Wgg63T2C5a2S+eblN+zfv59TX37J5atXOXHylNbOQfX1&#10;VfvWXz/fK/7/Mt2ZfXWCtUc1T1ddV6pKvj4VtQXVcuGBml2rwlrVXqFISKst+zas7d42gcy4RJKa&#10;t9bC2tYOIXSs4kXHsu7Ev+tE0jvOHJq5ljlJfUgr68nJBVvItK9J19IeJL7rTtLbrrQr5cCy5H60&#10;edOadb3GEF/ehRQDL7oYepJk5EM3v1gSQruSXGcQifWH07p+f5o1GEzD2gOo5ZNFg/BeeFrVo713&#10;TWIcfGmqq7auAST6BZAQFEhSYCCpIcE0847E3SkMF/dA7K3ssLO0pmLVAEKrx+HuE4OrSwQ2tj66&#10;5XZUrGhJlQq2mJu48+LlC7rWimVkbBrTU/oyom5Hcu1rsTB/FAtyRtLDtiabBk5lZZ+xZOiOqZuh&#10;P+lV/Umr7MOaIVNYPXAy701fyrZ5q1g2cjo7F63l083v8+GarRzYuIu9q7awee5ydixaw/b5q1g3&#10;bSGbZy1lxgDd9geN5PmdL+idkcHkKesYmdSZ3flZrEvrwvk549mS1YVUf1/y6oQxJb4ZOfVqEGXr&#10;TG2fAJYsn8LQUZOYPCiLLvFdcHfxx8PTlxD/cGzsfbC29sfK0gdjA2dsrVVY+5AJvQcyte9Qpuv2&#10;PaxTDyZ37cPq3HHsmbeOT7d8qPus73Fo84ccUYGtPqhVM2t1pR6PquXv7WFOWl8Wp/ZjU/Zo1g+b&#10;wqF17zGpVTqTWqZydPMujm/5gC2T5vH+LN3PTMYAujtF0NnQly4mIUzJy2XRtDyW6GrR5DzmT8xn&#10;zuhc7TgWTh7BB9s2cObLE9y6eVP7DzEP7t/Xfk+U9DP6a6ro794/W1ir3rOtWcIPgsoPkntq61TP&#10;64VWPwwy/+ylAuhLW3dp5+D6ngM/CH4X634vqZutCSHE70HCWiGEEEKI15j+D2p96UPWEgO0YvVj&#10;1Dr9Nv6bqONVYa0qRZ0HFUimD5ujBSYlhSpqxqvqZ3vvznXOHf+ET0+dZ/qC5fQfMYWsjF4c+OQT&#10;EgcvoUfbSL7YPJpPjn7EnNF9GDIoi36DBzF6yCi2bF7J0KHDOX/yEz45sJ+HBQV8dfECt699xa6D&#10;x0vc788pFdiqKty7l2fZ2bxo3Jivw8L4p5ER//rLX14FucHBMGYM/1qzBnbvpvDoEb7mX7z859cc&#10;XLSKxW71uH76HDt37uS9nTtYvmIlez/ax5Ily1m7dh0HDx5kje69hw8f5uzZs1porEJutX8Veqtz&#10;+WPX4qvAVu9f3Lp1U+vV+/HHH3P9+jXtfV8/e/rqpmWqH64Kab+tR+cuUHD+Is90+1JhbUb7TnRu&#10;1orOTVsRFxDF2NhUxidkk2UXSU+7KBZlDmNe+iCyvOuzOGMIU9plkFjBk7ENU+gfGMuAGm2Y2q0v&#10;yb61mJjah/ywFgyt1ZbhtVqTF9yQ1nWzaRw5kCZRg4iOGkDTuoOpVzOfmsFZ1AzMpFZwD5xMG1LL&#10;vjrN3QOJ9QjRVQ1a+QTRKSic5OAw0kJqEh3chjD/ROrVSqd6YB283NyJqplI4yaZBIS1JcA3SmuD&#10;YGvuSLny5lQoa4yluQsvv35JRp3WNK/qTqeqPvRwjGRp1jAW5AxndFQHVo+YzoK0AazrO57+Ddqz&#10;JnUgK7NHkOdRjw39J7Gi+2BW5Y5i28iZ9DQIoI99FN2tQlmcNZTFvUeye+YyNgyfynvTFrNh3Fw2&#10;z1zK3gWr2Dx/GRN65fPk7mGyuyczYtR8+rZqy8LENgyr15gPh/Rkfnwcm3p146PhuSzJ6EDTQB/a&#10;efgRGeDPlGmjye49hG5d2tOpfQ+cXfwIDa6Jv2cwvn6RODqHYmvrj5EKa61ezaydkDOMqX1HM3PQ&#10;GEbGdSfDqwGbhs7k/dELWTNtCYtHzWJc9mDWTlnMjgXrOLTxQ45v/5hj2/fz+bZ9fL51Dyc3fkBK&#10;eQ9Wx/dj+4jZbMmfxLrBk1nTawSr88dwaMN2Pt2qWiXs5NCabRxev4OFecPpHx3PmNQc3T4GsmHu&#10;cBZPGcyEganMGNmDxZP7MX9CLnPH9WbOmGxd5TJlaE+mj+rNsD5dGJmXzrwpo9m5ZQ0fvv8+hz/9&#10;lEsXL2ohrgpGi/98/lQV/d37ZwtrlecPHv0wkDX35tqHH2vrr+za+/11/wdquVsNvn76TDu+dTWa&#10;/mD9znap2johhPg9SFgrhBBCCPEnov8Du2ipP/yL1o8p6b3/LYqeH3Xc+ucvX77k8rVrzJw8mXlr&#10;P6Dw0UMO7NnF5eu3uHn9Cg8fPOTxjwQxT5481YKaz09fYdPy2Vz8dCNbNswnv1cqY6dMYfGq9UwZ&#10;MojOyfFcPrqNQX1TOXbqBOO37Sd34AiGzVjP4AWbfnMv3OL18PFjHqhA9eZNnixfzrNu3XielMTX&#10;oaH8s2zZVyFu+fIQ00ILcv85dSovP/yAe7rzcPX6dS5dvcLly1c4depLDh06pIVA58+f126YtmHD&#10;Br766iuOHTvG+vXree+997Rxp06f4ZxuzDXdNvQzl4ueb1VbtmzBxdmFZrGtcHd3w9TUFF8/PxLi&#10;4hg9ZCiLZ83mg/UbuXL0OAUqsNXC2uekt+5I93YJJDZtSccmLWjnHUHTNyxoU9qZhGo+bB8znz7h&#10;LcgPbcHOiYvp5lSD5b1G0iuwMemmISQb+rNh+CxiDVxYOWoGLQ3dWT16JgkmfnQw8mBexhCiwnpT&#10;N7wvDSMG0CCyL/Vq9iXMLxM/965EhvSiemBPQnxTqesRTaxjGC3cAmjmGExz5yA6+FWnU2AksS6h&#10;tKrbUze2CyE+yYT4JVMnMoPYpnm0aJGHV2BzfDz8cXB0w9bCjWpVbKhSyRxTI3tefvM1GfVb06ai&#10;m9a6IbWSN4m2IXQ29SOjmj9jm3Ym3TaUTPNgVmQNpmslD9J148bHpjCxdTfmp/Rhee/hzIzvSd+I&#10;GEY3jmdo7dasyxvF/O79WTNoPIu65DKrXTozY5MZ1yWTWal57Bgzmy4RDSm49ym9M7vRKy2HPk3r&#10;0tjejd66c93CzVdr/dArsjZZ1WsxsHUD0muFkBRanWBfL8JqtCWtx2Rad8iiU8t4XN2CCPANwdPZ&#10;V/cdh+HgFIKpiTuGVR2xs/al4OEjJmYPZVrfUcwZOIFRHXrQ1TiILLNwVgybxp7V2/lo5Q5WTpjP&#10;klGzWDN1MQt139nycbN5f8lGDq5/n8Ob1IzZ+YwMaMGJHfv5Yud+1uaPZ1yzLszLHcb89L6sHTmV&#10;45ve57NNO/l0/XYOrt3Gx6s2s3flJubmD2fRqAHMGpyPr4UDNZ09aR1Zk95JrenVuSUDMzoze0wu&#10;88bnM3d8b+aN68lc3evpo3sxbmAqo3K7kJ3YnrjIKNroqnZICE1q12VAbi4LZs9h59Zt2kzcWzdu&#10;aK1NSpqRq34u9P6MYa3yxbT5Pwgsl9gH8aKgUFu/r0f/X30Tr9euzH20m5kpBZevssjS9wdjLmzY&#10;pq0XQojfg4S1QgghhBCvMfXHtD70KknR9cXH6f8YL6n+26jzomaB6o9fP8NW//zYkc9IyhrL/StH&#10;yRo4lWnTxpM1aAxZQ+fRrHFT5k4YzNr3dnHm0jXOnDvPzZs3tZBVtSkoLCzg9PmvtBDm6eMCLSRR&#10;s3G/unqd08eOcO78l4wdPZa9m2dy9dYd+i5dRULOMDr0nvmbwlo167ek5T9VD3Xveaj7fAXHjvFk&#10;/nyeDRnC865d+drN7VWIq8reHjp04F/Z2Xw9ZQovPv9c68t7Q3fMqj2CmmF7/PhxbbatmiX76aef&#10;sfW97WzZuo3Vq9dqY8aOHcfixYu11g1ffnmaL06cZN6CBTg7e7Fp52e4uEaxbe0qUpqH4ubhy3jd&#10;fqoH+FCnQWOcXZzo1KkTTx4XamFtamwc6W060ik6lg4NmtEqpA713jSn+bv2tH/bkSTbcDq840B8&#10;aVdSTYKJfceZhLIedDIMIO7vjrR4x5HmlT1o9aYdrco40uYt3dhyutcGPrQ2cqeZc0NqheXRILwf&#10;DWv0pW5kPpFhOYT6ZRIR0psoXUUG9iLcN5385Em0cgsjOSyKjn6RtPUIo7PueQffcJp51qVV4wGE&#10;+HTVjU0hyCcVP7cuWmhbI6in7rEVPq5+WFu5YGfvio2VM8ZGdlQsZ6pdg93iOjGgUUc6lndjVud8&#10;lvQaQWZlP7qbBNLTLJgM0yDd8wB6WIaQZOZPllGAFt5mm4aQ4xjJAN9GZFoGM61hAnnWofRxrMmw&#10;Fp2Y2CSeIeHN2TtiJgP9G9LPrx4H5i5jXo98xnXsRp+YOAruHmFgblc2LVnI0jE9Sa/dkITgmrTy&#10;CyKrdmPa+vvQ0tOTjOhaNPbxooarF3VDw+mVFE+3/HmMmrGergltcfUKIcgvBBcHTxxsvLGz9ad8&#10;eSsMqjhgben1KqztPYwZ/Uczb8hoxiVm0dOpFsnWYQzwiWFSg65MSRvM1sXr2LtyK/vW72Lnkg28&#10;N2cVayYvYPGo6ayftoTNs5awd9lGdi5cw+c79rF74iJG+DXnwOZdHFq5hWzddXBKt/zIlt18tmEH&#10;h74NbPcu38DycdOp7RmIWzU33K1caV+3MbHeuutG97lrewdQz6cmLaPqMnlwFvMn5rB4Sh4LpvVl&#10;xphsJg1N1VU6OdF1GRHTgkG169O/XUvCdNtrWqsWdULCaN+8BVfOniaqfCmiTMxIqFGdMSkpzMjN&#10;Y+3s2Xx59Oj3fk//WcPab56/YG1oox+Elpsatn31v0Vff82muq1+sP7PWKuDGmjHq2xvlfSD9cs9&#10;avJPaYEghPgdSVgrhBBCCPEa04eM+mCxpD+u9ct/Tv230sIDXalzoM6l/p/w68+Len7l2g0ePbhN&#10;RlJHZi5azJCJc4hulkz9dj3p07Q6N69+ztxNe4np0JmM3JGMnDCZvF69mL3ufUbMW8eBDVP5+Owd&#10;rcfl06evZuM+efrs+y0WHj7SwlkVdB48dJxDJ87+/3W/oJ48f4G3f0stKL7x1WmuXL/NQ91ybV8F&#10;hRw5sI8Hun2V9N4SS9207OlTHt29S+G+fTxeupQn06fzon17/lmt2qsQ9513wNeXf7Vty7/i43mx&#10;YAGFly9rrSTUMd+5fZeTp05y9POjnDhxkrNnz/HZZ59x7NgXbN6yhSzduTI2NmDwuE1Y2zYhtqYj&#10;c8ak0KltMiP7JjJhRA8WbtpIjSBXmjdvrvtevnkV1raMo1ubjtrM2vhGMbrnnUjyr0v03yyZldaf&#10;Ue0zSCjjQkJpVzq86Ujbv9rR7m0XlvYaQ6JxIAMaJ9GzeizRb9rQ8F0rWrxtT2ZQMybE55ISVJe4&#10;Ot0J8+lCZFgedWrkUzsiD2/XZML8exARnK2FtRGBPanu040Zwz8kMbwF/eo1ZFCTaHJrR9MtohHx&#10;QRFkt+5HTJ2+hHh11W0vlSCfJPw9E/F0bomPWwJ+ngkE+sbj7dIUVxcfLC2tMDWypWJZc7755zd0&#10;rNecMZ170c27HtN7DGZa5kB6etSlq6EPw6PaMqVBIj0N/JnVrS+L+4+mu0MNdo6fR45dTfra1CTH&#10;KpxM0wDWD55ApmMYs7v0IsUtjAzLALLtw8jzjGJISBPy3SLp7VOb3g7hdLMIINExiIJ7R1g6czi7&#10;lq3g1L5t5LSOYXZmEkm+oYyLbcuybmmM6BhLYlQo9f0CCHD3IdjflwmDYmlcrz2xzeNITYnH0zdA&#10;dx7D8XL0xMPBE3sbLyqWs8agsgM2lt7atT8pbxizBo9jztCxjOuRz+iWaSzpMpDZSf3JN6zBxp4T&#10;+GDKcjJtqrO6+zC2zVzG1tFzOLp2N5+s28WeJRvZMnc5m2YuZs2kuayaMo8tC1bw6YZdfLHhA47u&#10;2Mfc6DTem7KYz9XNyjbt0q37dnatrmIjGmNr5I5peXt8LFxp5B1IWlhtEoPCqe8djI+lL17mvgQ7&#10;OjJ2QBdddWLiyDQOH1jBRzuWMmVEDv2y4hjcrTPD0hLoVqcB/q4eNImspbtWQujQMpavzp6hsZU1&#10;E3pksmBQX6b06E5q7Sitx3FLJ7f/E2Gtcv/U2R8El+pmYwf6DNPWP3/wkNUB9X4w5s9UC3R19f19&#10;2vHc++JLFlr9cFbtx9mDtPVCCPF7kbBWCCGEEOI1pv6YLho0/ljplbSuaOnH6Lf530J/zPrgW38+&#10;VWirSj1XLRFU6Hj//qsbgp09dYKrt+7x8adH2Tx/OoUPbuLr40P91onkDZtOYkICY5ds4fyFr+ic&#10;O4SuU9+jQWQj6jeOJblTIs+fFjB9+nS6Z/Zh8dRhtErpx4tHV1i3fosWrL78tvfrrykV1gaGttOC&#10;nlVTh5LSOpoXz5+S2LIpvfoNp1eXRM6cOMQXZy5r/yT7he7YDm1exJ07N9i5+/0St/lj9bCwUGut&#10;8Oirryj45BMKt2/nybRpvIyM5F9vvMGY/Hym6V4vWLBAm027a9cuLl26pM38VYGRmpV78cIlZsyY&#10;iY2NDWHV62Bn58jadWtoGu7OpIGpbNqwknH5cfSZPIuawW7fhrX/0sLalNg4urWN10LbLi3aEdcw&#10;hgEtu5Di34BxcVmMbtOd1tW8SKrmS05wC0ZEJdDFMoyxnXszsn0PxrTPYk7aYNpZ+5MZ3owUv/rM&#10;Sh9Mj8bx9ItLJyogDR+Hdlqrg6iafXB36kRoQAbVA7KICOpJTd3yiICe1PDvga1BHRIaD6FLwy4M&#10;aNaOnlHN6NukHSM659K362yiaqTj792FAK8u+Hl0ws25Pe4u+mqDl0cHvNza4+eaRGhwPYyqWmFQ&#10;yU4LazvUa0GyVx1mDRzP4JZp5OuOZfukhYyt2ZZc9bn965JsHcx742YztWsOC9P7sTZ/LFNjU1mZ&#10;kMeK3iPoZhPC0kFjmJczgGX9h+uOvQvDmsYxokl7xjfvxKqhY1ncox/T4rsztkYs+e51GJbUjduX&#10;97Jj+Qym6K6dFVMnMTSjl255G6YnJ7Kuby/W9c8mu0kdOoYH0zw0Ch83L1I7teb2xR2642iOu0cw&#10;Ce07ERgSRue4WBrXrq07nyE42rhiWNWeKpVsMDd21a6nKX0HM3voaOYMG8fY7rkkVPMm26YWI7xa&#10;MKx5CvsXbWZRh2wW9RnF6kETWNN3HH2sIxgX1JKRIa2Y26k3x9buZN/qzby/dC0HN+/iow3b2DJv&#10;hRbcrtPVyW0fcXjzHo5u3cOnG7drQe6hdTsYlz0EF2MX3Cva0K9JA+amdGDn2Hwe7FjL9kEpRNh7&#10;4GjoilkVO2wM7IhtGMHyWUMZmd+RIbltGdCzNf16taF3Zgw9uzWjW5cGxMfWobpf0KuwNjSYuJYt&#10;OHf2DCbVqmJpaoK5iSFulmbU93alfbA/vZo1/d7v3j9zWKve/8WMhT8ILxeYenJG990oj2/cYrlH&#10;xA/G/BlqgZk3e9PztONQNpYwU3ixXRAvv239IIQQvxcJa4UQQggh/mT0f2QXrV9Cjf9vC2sVddz6&#10;sFavaFirqHOiekzevn37h6GlmhVbUMDFL/bSe9QSbt69z4GP9rLn6Hk6DZpBrYgoajeMp2nbFAZ2&#10;7ciTF8+4d/kwcZkjieuczspBnThx7hyHN01m/eZZTJi9iPlbD/5gPz+nCnSfsUVkJE4uLrSsGUxM&#10;rXBevnxGRnoG04b1p3NCPKtmDSfMN5Ah7YOZOLATW2YOYcygHAZNnsuFm/e5dO6sFho/e/a0yLYf&#10;8qRAPf77O9+r92pB7sOH3Lp1S6vLly9rgdGsWbMYPHgwo0eP1oLcqVNVa4lptGvXjoCAAOzt7XFy&#10;csJZ9/m9vLwIq14db09PauiOyc/H47uw9vmL53Rt0V7rWdu1RTsSomNpEdWI1k6hLMwZRaZPA1Id&#10;qvPehEX0sKlJbGlnmrxrz/JeY0m00R13ux70imhJe4dwBjdMpMlfLWlRypl2/nVp+Q9n6jo0xs85&#10;niC3zvi5pxAckImnSxKR4b0J9c3QZtSqCvfNpGZAFm5mDXA3b0C32PG0j+xMqGVjIr0TCfNsjVm1&#10;ENwdXs2i9fXujK9nMl6uCbi7xOHq2BYXx5a4O7bCzakV9natsbVoRMXSxlQrZ6WFte3qx9KklD3x&#10;9uG0M/KhUyUvMqJakOUUQQ/TYHoYBTK5eTKjWnYhyzSUI9PX0K2cJzvGziXHtqbWJmFFaj96+dVj&#10;aZ8hjGjYljWDxpBk60eyXRAfjJ7FyAbtWJ43lA+mqj6/jRlQK5bJ6dmcPrqRGWP6MGlIPxbrvqum&#10;1esTG1KDeK8QkmrWIrNRQzrXCCezVgRtdOu83bzp3Caagtv7aNoqg6gmKfgH1MHLJ4S2zeqRENeY&#10;uNaN8Hb2wsLEFmMDV8y0sPYho3vmM23gSOaOnMCwtF50rORJqnEoWRYR5Dg2oI9vEzINAziwdCNT&#10;E3oysXkXprfpxrqMobw/aibdTPzZNm0hM5N6s33CPDYMmcTWkdPZu3gd+1dvY9+abexe+Wr27a7F&#10;a3XX/VLem72Mg6veo5FfDRyrOZPfOJqPRuVwcHxvPp04iOMzx3NwdDazk3XflYE7NlWcMKvoiI2h&#10;K53atSavVyJD+6czMC+J/Ox29OrWlKxujclMqUeLejWoE1KLetWjiAgIpH2LaM6cOU3VCuUxMzTE&#10;xEBXVQwwqliZylXKEOzm/KvC2uLLSqqfE9bqf9cVff5b/FP3+3RnXNoPQkxVX23bpY15cvsuSxxD&#10;ShzzOtcKr8jv2h+cmr9cmzVcfMzebv8/zBVCiN+LhLVCCCGEEP+Ffq8/1P9M9Mdc9LhLOg/q9YsX&#10;L1790/47d34YUuqWP1JVfLmuHuiWPy4s5P6DhxQ+ukeTSH+qWbiQk5pM9xa1uf7VF/jUTOLU6sEc&#10;PXOanhOX/6qeteoz6G9c9PDBA232amHBA5I7dmT5ex+T3z2FhBb18XByZ1Bbf858MIuZ4/NZPG8W&#10;K9YuISM3mw93bmfg6PHMHJ3L0S/3kNC5I7cun2bPuTsM692TB0+eauF08X3/ktK3SFCB1MWLF9m0&#10;aRNjx45lyJAhjBo1inHjxjF+/HhycnJo1KgRbm5uODo60qpVK+170MLamLZaUNu5SUva1W9K85r1&#10;qPGGMeFvGtLkLWui37KheQUX2pRyovU/dO99y5HG79oR/Q87mpV20j3a0uAv5nRyq02tv5ozuGkX&#10;mhp4UqusDRGeXQj26UqgRxd8XBNxdYwn0DeNiJAc7QZjalZtTf8sLagN8UonJ3kKkd4daB7Vk9iI&#10;bDo1yyTEKQZ/hxi8baJxsYnFxz0BF5cODOiajLdrAjaWzXC0jcVFN8bFMRYn3aOtTWOszBry7ptm&#10;lC1looW1bevGEl3WkfgKnnSo4knnSr4klXNnRFRrutoEkWbiR1eLQFKNAkiu5kf3Sn6kVfYjxTiA&#10;TJsaZBkGEF3KghQLf9JtgsmwDiHd2p/udiFkOYbTzT6UHk5h5LjVJNU5hJ52YXSppnr3OtA1rjWN&#10;I6KIrtsWP3d/anpF0dinLp38q9PSL5S4gOrkNWhIn4b1aeAZio+LD317JLNz41Rats8hsmEXomq1&#10;x9MriLiYFsS1iSYxrgUu9u6647THxMANC1M33TXxkN6dUhia0Zvx+YOYOWwcY1qk0qWqPwvb92Fx&#10;54HkVA2ih4E/Pav5k22sK4MgFiTmkGMcSJ55CLPadWdxt75sHT2THRPms3HQJIZ7RzM6tjM9jYI5&#10;tvQ9FvQYzpE129m/bjt7l21h57zVzB84gSBzTyzKmLCiZyr7BmVwbOoQTs4cxeXlszk0sie7BqQw&#10;omUMBmWtMKxsS5UyVjhaeBDiXZ2GEa0IdKtBuHcYfm4e1I4IJb5lQyL8Q3Gy9cLO0g0/3fF3bBPH&#10;mdOnqVyuHCbVDDGqUhXjqgYYVa6MYZVKuLu5/G5h7f79+7XSvy4a1qqbmxVX0u+734PqT7s6qP73&#10;g0zt5mK+XPvgY22MaomwzL0GC/4sNx2z8tNCZuXh+UssstFdo8XGqGX/KvIf/4QQ4vciYa0QQggh&#10;hBAlUKGG+qf8KghVoa0W0pYQSP7cUjfMeqn7w/7ChQt8eOwKFkaWvP/pQdZt3MaBAwe5cP4CDx78&#10;vH08ffES/3opPH/2WAuO9Z/tZgkzgp+9+IZHhc84e/ok2zatZ8Wq+Uyav5jRI4aSnxjD9nXzyE9t&#10;w72X3/DFx++RPbAvm3cdoFvPTGpE1WPyoi08KSxgzaJ53L6vQukCLWDWgthi+/ql9fz5cy2s+vzz&#10;z7UWCirAHTNmjBbiDh8+XGvfEN+wOfGNY2nboAktIuvTqmZ9avzVmFpvWtL0bzZEv6lCWVvGd8om&#10;8i+m9PJrwpxuQ6jzVwsavGlNi0oehP7VhCHxWcR71CavXTo9GnaglmENavllEOiVipt9HB5O7XB1&#10;bIevZxfCAjMJ8elOuH8PXWURpnse7JnG2Px1jOu7kZnDdzGi1wpmDdtB784qwI2naUR3vJzb4eWW&#10;/KrlgWMs3k5xWjjrYKsC2+Y42qnnMViZN8DSrCFv/t2eUu/YarO9W9VrRkNDdzo7RtA3sDmJlXzo&#10;qzuWFWOmMV13bH1DmrJg5CSyA5vQ1cifbvY1yaoWxJCItiwfPoXeHnV1j5NINPJkYsOODK7ZQvee&#10;Rszu1Y/hHZKZlJBGlm8dhlaPId+/PquGTWRF1ihiHcJoWKMewS7B+LmF4OkYgJOpO4vHLqKRcxgJ&#10;fhF0qVGLnIb1yaodRbPQRgQ718HGzIVh/YfQut1goltmUq9OO7x9/GgU2YD6EbVp1qAuDhYuWBja&#10;UKWiPaZGztq1mtEugbykdAZ1z2ZkSjbTu/ejs30487JHsHL4dFLMQsis6k/3yt7kGAXRwzCQCUGx&#10;DHOqQ55pENlmAeQbBbK4VSZTa7ZnR/oQJjSIZ0azZEbqPsPqIRMY0yyRA8vWk1MlgEzXOqxPHsz2&#10;ucvxNHKhgXtNEoLDSQ+LYGmXToxt2pB+Desxs2syeyYMYm1eGh3CQ6hW1oKqZa2xMnCgdvUoWkV3&#10;oF54Azo174iXgw8u1j4EuQXiae2CtaUnVhZumJu6EBnR8NuwtoIW0qoyqVYN4ypVtODW09n1V4W1&#10;+udFq6SwVm2n6MzaPyKcLcnXT56yxD7oB4HmfBMPrn2wXxvzje7nfUuj9q9/YGvpy8OLl7XP/PLx&#10;E1Z4RZU47vTiNdoYIYT4vUlYK4QQQgghRBH62Wf6kEMFafreqyq01c8WLSl8/LX17PlzLRh+UMK6&#10;kkqFtT6RnQi2daJv+0gyu6cwf+wANm3bysefHOLatata8Hvv7t1v31PArZvXv7cNFRIVFD7Rjunc&#10;nad4uLtz/NO9TFq1gZETptA1PZ35q3aTO3YGd75Yz/YjV8kaPIChq/ZQq20ewaE1SOjQgckzF3Hx&#10;9HGOHj+hOy//f/u/pdSsYTW7WT1fNn8hvVK60b5Fa9pGxxIT1ZiWzmG0t69Ol8BomvzVgv7NkpiQ&#10;lkdOVGvGtM4kNyaZ9nZhDKgTT07NNrR1iaBrcBPGJeYS6xpBfuNEavgl4OfflTDfVHxdO+Fk0woP&#10;xzh8PboQ5JOOn3tXQny7E+KToYW1QR6pDMxczORB2xjbZwOTB7zHtMF7tAB3yuBN5KfPJjIkDVfd&#10;NjycE7R+tV4uca9m09rHYGsVjZ11NPY2zTExrI2pcW3MTGvyzrt22jXWsk5T+jZKoHtwNCmBTejm&#10;XpfF/cYzuFE8M9L7MCU1l7EtU1jdbxL5Qc0Y3zqdobXbsW3gNMY16MS6ETNo6xTIxv5jGRrZkr6N&#10;2zGtazYjWiQwPS2HZXlDGBoeQ25EU8YmZtA0ojE+Fn74OVXH3zEcX9tQfBxDcbcPwdHEk3mjF5GX&#10;2Juk4Jp0DqlOz3r1SAyuztisUTQMaY6NhZd20zBbKz+CghoREhZKQEA4ERH1CAuM0B17ACZVXahS&#10;1pwKZSwxNnDRwlrVezi7U1f6p2UxpEM6A6PasnrENGYl5TK7VU8+mryC3q71WJA2gJU9hpNl4M+a&#10;QePY2HcMg8OacXLHB/TVLetjqft+zcPpYxXGQI86DDQNYlvqAHrbBvPl+vdItQlgXmpv1mYNol9E&#10;DFtGTsPLwoMot2DCrbzwtXRhSUoik9o0IdojhNSIBqTWimR0XCyDWuu+m4oWus9uTbVy9njYBdKo&#10;TnMi/aNoEFYXb0dPnG28CXQNxt8tADsbT2ys3LE28yLQrzZnTp+hSvlKmFQzwNTAABODqphWrYpR&#10;5Up4uPy6mbX65z9WaoyaVau2c+LECW276ndY0X390R5dvMwi24AfhJrzjT04vXTtd79T9/foz/wS&#10;Wgr8r9e3s4ELLl3RPuc3L1+yJbrjD8fpaoVPLW2MEEL8ESSsFUIIIYQQogh9wKFKHy7ol6n+tioE&#10;UcHt3bt3/5Dg9ufUk2fPCW2aSXp1L9rUC6Zbj2yy0lL4YPVidn12kmUrF5EyYBaNOvWgZUJ3+g2f&#10;ysRBWdy5fJpLl69w+9YN7Ri+uniuxNm8z1+8oLCgQAtyt+47yJMnhXTvnsnUFVvIGTWTNu260y1v&#10;ON2692Rkn94kpmWwZkwvzlz/4cze37tUiKvC85NHv2Bs30Ek12/MxikLqWVox4jEHvRp0olmRp6M&#10;7tSbiL+aE/mGJckBjQn/uwWhb5hS8y/mBJUNwN+zAwHuHfDXlY9bO5xtm+Ph2AY/92T8vVJ0lUaA&#10;ZypBXumEeKcR5JlC/4wlzBi2g2E9VzJp4DamDdnGpEHrGJ69lKG9lhDsnYCTfWvcnOKwNK9FubIW&#10;VKvig4VZJJZmtbGyqIOtdQNMjWtRpWI41pZ1efddRy2sja0dTRNjL1qWcaJjOQ+ynGqzuM84EowC&#10;6B3SjN3jFxJfwY2xrbuT59+U9Ep+ZBgHM7pZMnHl3VnSbQjtdO8dHtWWxKruJFkHkGwTSCdzH9pa&#10;emuve3rUpKt9MEFu1XFzDMXfoboW1vo6hONnH467TRCe31ZN3wYktelOVnQrcmpFkFGrPk1dfMju&#10;2At3q0DsVFBr4YWt7tHO0gt7Gy+8PIKoXbsR1WvUwdralXLlLHi3tAWlylhgYOSkhbUpse3JbJ9I&#10;ZlwSPeO60rqKJxNbZZBqHkJn3XHvm7mGzrpj7mEYSi/L6kyMTWX74Cks7zmIdaMms67/WHq7RLI0&#10;qTcza7ZjiFddvliruy4dwvhgzEwGmQTR3cKPHOsQpjdNZJBVOPN1x5Ef2Jg67jVoG6RmCdchOSqC&#10;D0YOYX1Wd1p7BuJr6EakhQvZ9SNYmNmRADs3KpVxoGppK0wqWhMSWJ1w3xqEB0Tgau+Do5W37poI&#10;wt3FGxsLT125Ymnhhr9/FGfOnMGgckXMDQ2xMHpV5kbVsDQ20l1zHv9nw1rl9qdHWWwXWGLA+Ynu&#10;d8bXz55p424dOsISh+AS+8D+b5Sa7btM93NRcOWa9vlUa4ed7VO/DXC/P3aRtR/PHxVo44QQ4o8g&#10;Ya0QQgghhBDFqJCjaKkwrfhrNRNWBSKqr6sKbO/fv68FuKpUEPpHB7nPnz/l6YsX3L15mVFTFrBk&#10;1nQO7trMxwf20aVnb7r0GkO/5bvxbNiNtPoRDOweS7vGDWkTE03H9q3okpJJQst6fHroEzZuWM19&#10;3Tbv3bnJ9atXtPYGhbpjK2m/Wj/fB/c5cvwki5etZOmc2SyYPZluyZ21G5eV9J7/RD1+8liboXzt&#10;8lU2zl3CoISu9Gjelrbetchvk4b3X6pQs6wTDQx9cTWJxNstHl/3eLyc2uBs0xxHy6a4O7TBX4W1&#10;nl3x80rBz70zAV5JBOleB7p3oXvHacwZsZMxeeuY2H8LU4duZeLAtYzIWUZ+2nx8XNtobQ/cXVpj&#10;UM2Tv/61LAkdEyn/dlneelNX/yivW/YWf3ujFGVKW1K1ih/VqgRqPWujazeie8N21ClrQ2wlFzI8&#10;65Fg4EcHIx/doxeJht4kVvEgpbwXoxolkVDRmyyvBmRaR9C5ghedKnvTvpI76e5RjGmfRq+gRgyL&#10;7UySpT/dnaoT7xDI5vEzSPWtg6t1IO62oXjaheLtEIaXrjzsQ/Cw05VtMB7WQTQIa8b0/lMZkJxP&#10;eoNo0qtHMT1vLH1SBuNk6o2jtT+25j668sbGzAtLXVlZeOqO3xcf71DsbF2pUM5Cd5wqrDXHwNhJ&#10;+3lQ/YfTWnUgvXVHerTqRFxFT1Ir+5NaxZ/0qgF0rehLh384kKE7L5mGgUysG88A7/qMCGnGlqGT&#10;dMt82Tl5Hn296jK+TluWZQ9iTb+RbBwynq2TZpHrWYtxjeLoZx3GoTnLyHGLYEPGYPLMggmq4MjQ&#10;2E4cnzSC3X17cGLScPaPGMC5hTNYkJ7I6pw0tvbLZE1mErGhARiVtqHqu5ZUfteMCeP6EO4TRahX&#10;TXycfHFw9iXQJwAXO9WX1xkrc2fMzZzwD6jO2dNntFm0VibG2FuY4WhlhoOunG2sqOHv96vD2uJt&#10;D4rWrw1r9b/Tfk+3PzumBZrFQ07VEmFzo/Y8uXFLG/dC9xn3Z/X/wbj/dC3Q1Xu6nxXVV1f5+tlz&#10;trdMKjlItvTlyu6PtHFCCPFHkbBWCCGEEEKIIvThhQo59M9VOKuvHws29ONUmKlu7qP+Kb8Kp/Sz&#10;cFWYW7T+qCBXtSJ49uw5d+/d59iFa4yasZLFE8Ywb9IgZo7IZfqcxfTI6M74vnn0SmvPySMfMnfm&#10;RNacucGRnXMYMmUqU5ZvZ+K40ezasYO5i5bzxWcHuHbrnrZ91Trhu5uiPXzwKpTWPX/65FX/3KKf&#10;5bdW4ZNnDOrbn5Gjx/FEd061ZT8SIv9UPXn6hKfPnnH+1Bl2rNvKwNwpZHYbRb3aCTha18PKuBb2&#10;5tF4ObXTbjSmAtsAj2Td8474e+hee3TWqlPMWEZnr2JS/y2Mz9/MhH6bGZW3XFeryEqehbNVU1wd&#10;Wmg9aw2revI/f6lBHU8b8pLr4OVgweB5W+gQ2Ywxk2bSJNCDN/9eEWur2nz9zde0qd2ErLhkOnnW&#10;ppN9dWYPHMvwFl2Jr+xBV+catDf2JM7IkzTTIBb2G0NOcHMmpeQzMSGbzlahDI9JIdOnATMzBzIu&#10;JZthHdMYk5ZDakgD+sYkMDCuK3mN2zGuR3/srQN0n1VXlv646p57OoTiYhP4bWAbqs2wdTby5urn&#10;N9g8byt7l3/A+PTBbFuymzkjFurWB+No5YeduQ92Fr7YmHphZf6qLM08sTBzwtrSDYNq9lpYW7q0&#10;OYZGr8JaNbM2rXVHLbDNbNGRFIeadDIJINuzIRnVgujr0YjPlu+gp0Mtcl3rMrNtBlmWweRah5Gj&#10;O/aeViHku0TRz0w31jqURV1yyHeozo6JsxnqHMWa3GEMq9+aiQ3j2DpwHBvHT2PL2OkMiYghzNiD&#10;zNrNmdA0mrSAEIY3iGFmuzgmtmjK8ZEjOTNhJB/kpbGkS1va+AZiUMpKK7Py9iR1jmVGv1ZEeQbq&#10;rg/defP0JSQgSAtr7a3csbRwxtjAgUD/KM6eOYNJ5co4WJjjZGmBq60V7g42eDraUys06A8Pa1XP&#10;2v/NsFZRrQSWOof/MOxUZe7NuVUbvx0J9744xZYmccwzcv+P9rNVYexSp1C+XLiSf317nh5fu8Ga&#10;0EYlzqhVdXTCLHXStLFCCPFHkbBWCCGEEEKIIvQBR9GwtmigUdJz/Wu9osv1Ia9qofDy5UttRm7x&#10;2bgq0NXPxi0pbPy9qqCgUAtxLl2+yrFPD/H5gd0c+HgX+X36MPPgZT5/fwHz1q8hLiWP1K6p9O7V&#10;lckrdjEwuzve4S14/uJr3fJu9MkfzMIV6/hgyyqmzpzHpFlLte0+Liz4bl9376geub8tvH36/Gus&#10;qzrSb8A48tPbMXjwYEb3SWPD+x9x/ORp7ty+pZ1LNbbgwR3OXL75g238VKlAXQXrN2/eYu+Hn7Bs&#10;8RYmjltIWpdBhAe2w868IR4OrfF164Cve0faNBjE5H7rGZO7iiGZc1k6fTODey6gT8pMfJ2aYlzZ&#10;H5OqNbU+tdWqePI//2PC2P659GodgEdoIz4/sp+4Gv607zkEa6OKvPNONcxMI/had320rd+cuIgm&#10;5Mcm079tKv2iE5nYpQ9dHWoyrmU6U5Nzmdc1n2kJ2XQLb8q03sPJq9+BiYm59K/RhhT7CDoa+zIn&#10;azCdjLwZ3bUXneyCSfWvSxsDd1I8Iulo7kticGMszH1wsgrA0dIPKyN3bUatq+61i3UArrZBr2bY&#10;Wgexdeluvth1guObDrNi/HK2ztvJ3uX7cbL2171XlR92Zt7fBrUeWJq6Y2LogomRC0bVXKhSyYFy&#10;Za0ppYW1Lto1r2bWprRsr4W2nWPaklejJTM65DCiVXeS33FlTb9JLO41knmJ+czu1Jtlo6YwyKch&#10;o3TjRkW2Jss8gNXZQ5jSIZUJjeKY3qoL/e2q00cFulYh9HGNIM8ujKH+DRnoVYd1ucPorTsHK3oO&#10;IMTIg5bu4SS6+tM9KJQu3iEk+4WTERRFsq8f89q3ZF23DkyLa0jn0GAcKtljWNoSk3J2umP2pElY&#10;AIEeIXj7hOHm4Uuwr+4cWrtjbeGJnbUPVSvaEeBXSwtrLaoZ4GhhoTunlrjYWOFuZ4WnnTV1dNv9&#10;I8JaVeoGYyqwPXXqlNYqRP3++d8KaxUVfG6Iiikx9FRhqApoH114dSMv1R/2+kefsLVJB63H7QLd&#10;dVXi+36Hmm/qySKbAD7OGcyTm7e1/SuXt3/AYocf3iRNXwdyh/BP3c+qEEL80SSsFUIIIYQQopii&#10;AYY+uNWHt3rquVqmD2P164u+98fot6fepwJcNRtXhbgqYNEHucXD3D8yyFX7LCx4xLEPl7Fqzyfc&#10;uXeXzevXsWLFItbsOUL9OvVwD67P19+8xM6tNnPnzCM3oQU5uQPIHTiK1JzhbN6yncTMISQ2b8jR&#10;Kw/YujiP248ec/XqtRL3+XNKhbX2tjW5ePESqfGtWT91GOMmjmTy6IEs37aV/JHT6Z7Xj42fnWTi&#10;nLXM2XGIjevWc+XEfpZs2f/dbNxfU0+ePNbC3Avnv+LA/s95b8telizYxpyJ6xmWO5+8bvMZnruc&#10;/hnzGZS5kDohXbAwrI6lUS2c7WOoWtmNt94qi4mpDW+/UwE3W2Mc3APxt7Rj5qj+/O1v7/D221Ux&#10;NgzXroOYWk2I9o2kg2sEoxJ60qSiM509a/Ph9JW0ruBMfFUvYt+1Y1xMKs3Lu5DlXo/2xn7ElXOj&#10;vZEfKeW8aWvmT5tyzrQycifGxINYUw9GxKXRzi6QoR3TaW3hTSPLIN059cOsqisOFq/CWkdLX5yt&#10;A3C08NXCWvdvq3ndOD7ffpzdS/fw4Yo97Fv9MZtnbsXOwkc39lVga2/mhbmZB5Zm7hhVc8TYwBkj&#10;XVWsYEO5claUK2NFqTKWGJm48fDRQ7o0b/MqrG3Zga6tOtCqoivtyrvTqaIP/cNa8snyrdrrlXlj&#10;WJU/ltzwZqzPH82cZl1Y2CWPTLsQPpoxn/WjJrFx4BjWDhtHP9dI5iT3pI9LTXaOmEKeX12OLFpN&#10;H4sg+tqG6yqM2Q060MjEjzAzN7oGhtLYzpkOPv6k+4YwsmlLWrm7ku4TzpDG9RnTvB55EaEEWumO&#10;q4q9VtYGrjSs1Z7IkBDcXf1wd/cn0NMfc0MXzEzctRnFFXXH6++jZtaexqRyRd35McfZ0gI3Gyu8&#10;7K3xtrWmUWiI9rOv90vC2n9XRcNa9R8hlH/3u+jn/L76LV4WPuaDpKwSw081i1bdaGxvWi7Pvm1B&#10;oNw7cVoLUld4Rf1+M23Vvkw9tT65h3TXTeHV69/Npn165z7vd+6h7evH9vdRRl++efFSGy+EEH80&#10;CWuFEEIIIYQoQgUX+iC1eABbvPSha9Equr4kRceVpOj71TgV4qrQUAWI+gBXhbdXr1zmwuVr3L11&#10;nes3bvH02XPtpmDFQ8dfUioQfqDbR/Hlav/Xb7yatfrV+RPs//Q4+zYt4v3PjtO9zyi69RpIiw7p&#10;1K7fgdoR0TzRjXtvaV++PPk5CyYO5viNXz/D9vyZM3x2+DNOnTrJp3t2sWntPOrWb8zBL07QKjmH&#10;NTs+IiqiCdu/uEDm1GVERCeyb/tG8icsZc78hfSfuJTnzwtZPGsit+6/Oo+PHt1j7wf7vrefX1KF&#10;hQU8uP+Aa1dvcuniVb44eobpk5ZSPbgtxtWqY2NZCwvzKCwtalGpghel3rXgb38rw9/eeFv3+C5/&#10;/evb/P3vpXnrzUoYG9fQrrXGNevTOKQ2Nd61on55Z2LLuxJTzpnoCs60MvDUbsSV5FyTHu71aVPB&#10;jeYVXIgv70lcBQ9W9J1AJ+sQpnXJp2ej9nS0DaZXzVjaOocxsFN3+rdPZUjXXqSFN8LH0gsH1XPW&#10;MgAbEy8trLW39MXJ5tVMW1WqJYIqe936IztPsH3RbvavO8j7Sz9kweilWqhrr2bVWvlirVogmHpi&#10;aeaBQRUHTAxcMKz2KqwtXcrsVc9aXRkYOuvO3UOSvw1ru8a2p1uLeNqbBNBZdxxdynvT3bI6qWah&#10;pFbxI8cugr7+jUgz9WdtznByHWuQbxXC4k5ZjGvcgbnNktkyYCzTO2Uwo0M3JjRLYEJMIut6D2Pz&#10;wHEsHziSAY1b8d7ICYxq2p5t46fSMzwGp8rWZEbVJCeyCZ2daxBj50sTCy+izJxICQygX90IhkbX&#10;oJ2PL6bl7LCt5ohlFTuqVDaha1xnosKq4+3hiZ9vKP4evhgZO2Bq7IaJoSvly1ji5x2phbWmlSu9&#10;CmstzHHTPYa4OlPTQ/e9RYZrP9d6vyas1a8vvrxoWKt+b/wc+t81fyQVip5bsb7EEFRfi+2D+Dh3&#10;KE9v3fn2XfDiUYEW3B7sN5K1oY1YZO3PQvOS31+8VIsDFbzOruSghb7vd8rk+v6DvCgo/Hbrqjft&#10;Mw6PmMwiG/+fDIUP9hul3XBMCCH+UySsFUIIIYQQogh9SKoCNFX6MKN46RV9/u+osWqbqiVC0TD4&#10;p6gx+nHFSy1//vy5FqY+uH+Pm7fucPfbWbiXju3n5p1XfWb/6Lpx4wa3b97g/IWvWLJopRbWbpqf&#10;xazR+QzMSeHjcze0cU+fPvnBe/9dFTx+pp2v7y37NpS+ffM6d+/f5/inByl4eIt+C3cS7u/D6PGz&#10;GDBmKun9RtAxbQjPXzylUaATdjW7vXr/w9u0iY5j+PiprFy4gM/2buHLi69mAL988eLb/RRoM55f&#10;Pf959d3nun2Hmzdvc/XaTbZu3U2LFqmULuXEW2/aU7G8F+XecafSu55ULeeDuWF17Z9WNwyvQ3Ro&#10;PWqWsqV2aTtqv2tNi9JO5NeLY9GACTR/14ExnXoyvks+sWWdGdYihXFtMujsEsmoxGympfajV9ME&#10;lvcdTxv7YOJMfOjfvBNNHQPoWb8NTSx9iLEPwMvEE3szP4wq2mNS1QkTI1csjT201gZOVq9KzbJV&#10;4a26edjulXvZNn8HW3XnduPcbYzIGYejmbc2K9fG3AdrMy+sTT0xN3HHoLKD1gZBhbZVKthSppQp&#10;ZUqbfz+sbdZaa4WQFNOGlOZxjO45iLgqXgyo255ts1fQwdSPlKp+dC7rRjdDP1ItA8jyrMWQ+q3p&#10;ZeLH8IgY+tiEkmcfRg/X6uQ71KCbCqVtq5PtEUEPx1CG1YolxcqPD4dOJM8xnPHNOjKpYwqL+4/E&#10;xcCZTqHhTGjdgoSAMFLcglmUEM+SlHi66ZbnN6rFoMa1cDFyoVI5e8wr2GBb1RHjynY4WLoQ6hdM&#10;kF8IUZF18XD0wNDQDhNjXRnZ647b/rs2CKaVK2NnaoKLhTkellZUd3alpqsbDYJ/fRuEoq+Lj9Ev&#10;V2Ht6dOntWv359D/LvmjqX08PH+RjXViSwxEtVmtWsDqwwbd9/fVlt3ftRxQ7/1GdzwqvC24fIVz&#10;qzaxNz2PdeHRrNB956sDG7CuehOWOoawPrI5H3bpxWfDJnL7s6MUXrvBN7rfkUU9vn6DA72HstQp&#10;TJttW9Ln0crKl9NL1/xHzo8QQhQlYa0QQgghhBBFqD/M9QFp8VLr9KUfq3+uFF1fdLmeWlbS9n4L&#10;/TbU9lSoqUIaFeCqUm0VVBikZuTq++Leu3uXPR/u4eKFi98LGn/PUvvTP6p/jv3i+TPOnTnNsDGT&#10;uP9IP7v139fT5y+xd2/AJ+8t4P3Td/jko30c2beGicOHsv7Do9+NU/t58exVEKxudqZev3z5XPf+&#10;F3yw7zBPnn+NRdUKWHi149Gd68zduIvW0XFkDRhFXkYWC8flER7VmAbBdUgMsuTF1y/JiY1i4/qV&#10;TFv9ERfPfqltWwXsbTvlf7ffX1rqc6lAV31XKlCfNmUh/j71te3WDKhB0xr1yW3ciZzGCfRu1JHa&#10;ZW0YmtSL7PrtGNmpJ6MTetE9siUj23ajrXkA0WUdmdYxhw4WIQxrlEgLA28alrWnbilrWpl4E2Pj&#10;T7SZJ42M3YkxcGNOznCcjNyxMXHWZtA6WPljYe6FqYFqieCrLVM9aB3UDFuLV7NsR/adwuY521g9&#10;bT0b52wlOyFPm5lrr2bUWnhhYeaBhamHFtZWq2yvK0eMqjnrHu0oX9aSsmUsKF3G6lUbBN3xJzVr&#10;rVVyTBuSm7dlQMdudIuMYWbXPkxP7c/spL6kVvVnced8xrZMoaOJF1M7ZrBkyBh6+NRm05SZpOk+&#10;a3ebAHLsQ8l1qs6+uUvJDqjDrsmzybUOIdPMn8GWocyITSbfpToj67Wit0Mo6VZ+hFR2xrmiLYu7&#10;JTEytiErUpL5aMxQ1vZJoX90FFkR4bT18qPi26ZUKmOJWSUb7I1cMKlsjpWBCy52vlQPrUn1sBDs&#10;LN0wNrLD2NAKM1NnrQ2ECmvPnD6NQdlymBsa4Ghmgp+1JZEeTtR0s6f5b+hZq1+uZtAWH6Nfr8La&#10;M2fOaO1Viivp901Jy/5Ial8nZi0uORz9tlRwO8/IjRmlLNlcvw1Xduzhn1+X3CtW//mLV3EvHj7i&#10;1NxlbIhqwezKDq/C4Z+YTbvYIZgHp899+24hhPjPkrBWCCGEEEKIn/BTAUDx5UXHFl3+e/kt21fj&#10;VSiowlwVoKrZuCo8u3Pnjhbi3r59W/f8Ll8c/ljrLarWlRQ4/idLhbV21bsQ6ViJTR8dZfGkYWQM&#10;6se0MUMZ2Cebju3bcOLCV6xYsZYWvSZw/+49HjwseVuq9DNfVVimHpfNnkCjNhl07dSGGvVa0jSy&#10;Gatz6vD85T9JrBXBk+dPeHj3Fge2LGHUlHEERrWhfqs8Jg/syYyl2/jq1GEuXvrqe/v4LaX+6fo3&#10;us927NPDDO7ak4FdepLXIZ0mZt7MSx9MgkcULco5M7xuAg3LOdCioiuNyjnRVLVFKONKw/JO1Cpv&#10;y6L+Y2lk7smUbn1pYO9HTtOOdPCuSd/YJOwt1WxYdyyquWNp6I5hZXuMKjtgbeKpBbX2Fr7YqNm3&#10;6iZk5r5EBTZm09z32LZgJxtnb6VjY902dOPUWNWnVbUAsPj2xmLqBlsGlZ0xrOKse+2Olbk35Utb&#10;Ub6CLcbmHq/C2qat6KyqWSsSY9sSY+jKrNGTmNixJ9Fv2fDh1OV0douis0MNBujOd25QY1YPncCU&#10;5Czm5QxmdPsubMgfxZrswazqksuY6I5s6D+a5X2Gsih/KPl1W2g3IOsV1pBVA0axILMva8dNJD+8&#10;ITNaJRNrHYinsQeuVZ3oUr06udUjGNGkCf3r1SLRL4D2vn5EWTpTpYw1lUqZY2/qprVBMChngWlF&#10;G91588TWxg9/30DdcTtiritTYxusLdy0fr2B/rU48+VpqpYug6VBVaxNTXCzssDVqApOlSvi4mCt&#10;/Rzq/ZKwVh/Sfvzxx9rjBx988L116vGTTz7h0qVL2n+4Ke7X/N74ozx/WKDNjlUtCEoKS4vWfN31&#10;OEt3Xc+qYKfdsOyTfqM4v3YL906e5tm9+7zQbUvdzOzp7bs8u/+A20eOcfX9fRweMUm7YZm6WZkK&#10;f38qnNWXarXwvu5a++b5z5uZLIQQfwQJa4UQQgghhBBaiKNm46kgV4War25qdl+bAar65KpSYZt6&#10;/Z8McguunyQwpAZ79u4hMzODzEEDmDp6KL2zMvn8yMf07JnLycfPaZM1hAadBtM4Oo7nTx4yfkge&#10;G3d+yHvbtnDiy3M8fv41fvbePHn4QHd8r7b98OH/D3BVqeN//Pwlj9Tx37xIQGgE85YsJS+7B4PH&#10;j2HRtr00j+tPnQ7ZrOrVmJykdmxcs4rHTx5/t40/qlT4poK97as2MDtvBFPS8kmq0ZRZ/UbTtKIz&#10;vaPa0b9pZ+I8Islo3pGRKTm08a9NXpuu1Ddyp6VXOHWtvLEydcdaVzYmuucGbpgZumJUxVF7NNeV&#10;pW6stbEHdqZe2Jv54Gzqy5pZm1g+YRXvzd9JHb9G2Jp4YmvsiamRK2XLVOXvf/8HVasa8sZf/87f&#10;3vgH77xdnnKlzXFx9KJcKVMqlLbC0tRTu266xLTV2iB0jW1HUvO2NK3mRtTfjGhWwZmWldzoYBrA&#10;oBpt6fiuC62rupNXI4YBDdvRzsKLWam5dDH2YV3uMJLNvMi1CGJtv5H08ohg++hpZDqHsX3EZDKM&#10;ventHsnoJh3Y0HcM/as3Z0mfEXTzqkP3xh2xreqAUVkrfKo6U9/BnXq2LkQ5OFLD3om23n74GNhR&#10;ubwtVXTH4GTgjGUVB0xVOwRDN3xdgnFw8CXQPxRjIxtMjOwwN3XBwtSNqpXs8XKvwZdffkmpt96h&#10;SoUK2FauwsbU1mzt0or30toxuv2rmdR6v3RmrXosKaxVM2rV47Fjx7T/8FJ09u7r7PmDh7zXMokl&#10;9kElhqcl1QLdtTTP2J35Jh7a6zmVHZhd0UF7rWqu7nvV2huocPZnBLT6UkGwzKYVQrwOJKwVQggh&#10;hBDiv5R+pl3xGXcq6FGBkgoIVYCpSj8jVwWHDx68Cm3v3r37baj7nwtw1ezTJ48LOX3yOFcun2PB&#10;zmN0zxlI0pBZxHXNo0tyV548vIi7nSNtkjNIGbiAFnWa8vT5N4R712Rofh+Gj59FYcEjnj4ppHdO&#10;H+7fucntO3cpKCj8XnirLzULWe33kW79pm372L9hOim9RjN+YB4dW7XRbfuX9+L9Xum2e/H8Oa1t&#10;xaNfeB4Lnzzmhe77uXTuAnPHT2PL/OUk125GUmQ09S28aWDmRb1qriTUbkw9Uw/sdWVY1RFzIyct&#10;nDXVratWyRajag4YGzpjbOyKmZp5a+aBlbkXVsYezBg+nznD5tO321C8ncKxMdKt0y03qepMmVKV&#10;eaecN+PGDqWWS2WqGDswZNQYqparTO16DTGpVJFSb5fH3vrVzNqUFu1IaxWn3WgsoWlrmlV0oWkZ&#10;R2LKudK2ojttyrrSN6odHaxDaa1bN6RJIh2tAmhv7kMHU0+STbzp6hTMgOpN6W4fwpjGcfSyCiHT&#10;3I/e5oH09atHhm55n7DG9Db2o4G9L0G2Pjibe2Jj4IZFBXssytloYa1lWWuaewXS2MGZBg4uNHL1&#10;JMbVA7vylhiqgFm33rycFcYVbXGy8SXQK5IQ3yDc3H0ICa6JoaE1xga2WlBbrZKzNovY072G1jO2&#10;1LvvUqVyJTxMbBnbIIxVHRsxJNCDjTnxvzqsLfq6aCsEVSq43b9/P+fOndOu16I/z6879VkLL1/j&#10;0yHjWe4ZUWKQ+kfVYttAtkZ35OaBz77rkSuEEP/bJKwVQgghhBDiv1TRoPaXhDv6MFc/E1ffUkE/&#10;A1cFuEUfVZhbUtD4e1ZhQQHPX7zgvtpXQSGbl85g0dptDJuxno7RMVpYG+YdQb3q4QSF1ePls0Je&#10;vHhKYpc02rXvTFyHLvRs24R1Gzcybc4cTl+5yWcHD/LgUQGPHlxn5ZqtuuP8fpCrwlV10zTVJ7fo&#10;8l9aqt2Dm2MN8gcO5fAnH3Hq9Fk+2LaR2/cfaue2+PjCYq9/rNT5UO8//PFBNi5bydi8IbRvlYiv&#10;ZyQVSllqYauZkQtVKtpTrZIjxtXctBYGhlWdMDZw0nrRWpp4kNKmBwNShmBj5I6luacW5JoauGg3&#10;KCtdqjJvlbWgbrNONK3pRHTjBJo2iKZZ0w6MHpKFvVE1rM1Mia5VS7sOtH61LdoR36QVHXTPW1sF&#10;k1WnPePa9aTVO050Mg9mXOdchrXtRgfHUKZk9adXzeZ0sg0iI7AeHSx9GNc+jdn5QxneoD1LBo+m&#10;u3M4Y5vGk+9Xl9mp2Yxp34Vlw8bRPbwxjhZuuJkF4GjsjVUlF0wrOmJUxhaD0tYYl7cmyt6Npi6e&#10;NHZwpZGDO0FGFphUMsegjCVB5l4YlLehXAUb3F2r4+lek2Avfzy9/fFw98PB3hNrS915MLKnzDvm&#10;lH7bEnfn6nx5+kveKVWKShUrUbliRapWqEANJ1uGto9hflbKrw5r9TNq1VgV1upfq1m177//vtYC&#10;4dq1a9rP5S/5eX7dfPXebnZ1SGeldy0WWvqWGLL+ptJdQ8s9ItjfaxB3j574dq9CCPH6kLBWCCGE&#10;EEII8T0lhbhFn/8caqwKpVSYq0K6ogGuvtTrkkLG37vUZ1B9eE8cP8GeDUuYPnsxjx/doVe3FFLz&#10;x5DdM5dubVsTGxHF9X0r+aLgHl2Gr6Jj25akZOWRlduP7n1GMXHyVDZ+8CkFhYWcOX6Y6IhmPHv6&#10;hCdPHrNl3Rrd8oISZ+b+u1JhrbtjOENGTCE5oT35GWn0zc5k7NA8JsxbzdCRI/lg/z4u33rIsU/3&#10;s+KjU69mOT+4R0EJ2/t3pQJCNVP4yuWrbNm8ndGjJpGdPYAmDdtgZuxG6XdMtRuFmarWCEZuBHvV&#10;ITM+l9ohzTCqqtoleGBQxQHjak6UfrcKb775Lr179cDH05741s1ZvnYbjZs3oWZkU7rWdaZC6fK0&#10;rF9Puw4SGjUjPjqW1o1b06ZpW+I969DUwItGRt60sQhmbuYIetVrz+CWKYxPzqFv3TbM6zuC3NCm&#10;5IQ1pbtvHbaMn0VueBM2D5vMsLptWZjRj0GBjcgLqs/crL4syRlED696BNsHYWfqoytvre2DaRVn&#10;KpWzpnJ5OyqVscKigh1uVa1p4uxBAzsnoqzsCTO1wb68OVYVbPAxdaV8BdVz1x5T3XlQPXqdbd0J&#10;D6uJj683ri6+ODp6Y27mTJl3LYqEtad5t1QpKlaspAW2VStWpWqlilStXFH3HpdfHdaqmbP6cFY9&#10;HjhwQFumZtWqsPbzzz/Xfq5+yc/p6+zFowKu7v6Ig/1Hsb1VEqv86/7q8HaJQzCb6rTiE921dH3P&#10;x/zrT9ImQgjx30nCWiGEEEIIIcT36IPZoqVm06r6OfTvUdR79G0U1KNqraBKvVZBlT7c1Ae6+tK3&#10;Vbh++TyPCx5R+Pg3thooodSsUzVb9u7tmxw7d5UPt23jzoXjnHlwm+7DFlEjsjFxSV2ZNH8JOX2G&#10;MmDoaOokDOLl8wLqZ06nugoIe3Rn6OCh5KSn8fKbF6R07cLgUVO4+Mla3j9xrcT9Fq+CwseM0217&#10;4NARpKd1Z3r/bAb27c3I/B6cPbOX1NzRtMoYRsbwqQydtZE+E6cyZMw0FkwbT/8py1ixeAFXb955&#10;tS3VykHbbsGrQLfIfn5OqdnC6jv54vgJNm/azvx5S+nfdxizJy7G3TaEyhXssDT2oFolGwyr2lKx&#10;ggVv/v1d3njj77p6kzf++qbu9T94629vU6d+IyqXegcTAwNS49pr33Gruk1p0yCGmLoxxDaMpZ6p&#10;D/XKONCorDNNqnoyJKEndUrZE2vqx4g2aUQbuNFdd57jLP1pU9mVRDM/Mn3qkmzoQ6ZXbVK0tggh&#10;JJl4kmzpS7K5DynmviSaBGFt4oq1sRc2Jl7aDdHMq7lSuaI9FcqpsNYSxyoO2JezpJGTJw2dXIh2&#10;cCfGxZd6tp64V7bBprwDFarYYVzFWQtrTQ3dMNftx1G3j8a165CS3BRfN29MDRypVN6WUv+wwM0p&#10;/Ns2CKWoVEnNrH1VFStWpkqlKrg4Ov3qsFa/XP9aBbXqUQW1atmZM2e0a/r/KvU7Rd2Y7OHZC9zY&#10;d4hzKzfy+eip7EnPY1P91myo3YL3Yjtrs3L3duvD0QmztDG3Dx/TeuP+U/f7Rwgh/gwkrBVCCCGE&#10;EOK/WNFg9af80nFFx//U+9Q6FeiqAPf58+dawKgCJxUYqvYC589d4PSFKxw++DGfHj2pBX4qVLx0&#10;5jh37v1xM3NViKs+x607dzny6UGOnjzDsmVLSc6ZzBPdZ4yoH0uwf30iQ4JZt3YdWenpvPznC9J6&#10;D+bDFcNYPiqTawXPS9x2SaXCa/X4+HEh93THdePaVxz+7DB37z9g6rhRLHn/SyIdLLh07hQ5E+fQ&#10;OaEDa5YvZM763XRo0Yi6iSN58vgRWz48RELubO7dPk+67vHDNXPZe/IS169f1UJhdUz6fapz/Ozx&#10;z5sJrG7KpoLFW7ducfTzY+zetZfly9eSlJiJmak7f/9becqUMqJSeUtdWVOutCmlS1XkH2/9A3cn&#10;J7KTE7XvrmX95sTWa05MvWa0qtucbvXaUaesI43ftqe1QzhNSjvSrJQTTUs706iMPTFVXWlh5MGY&#10;Vqm0NHBjekoebU09aWviTbyuUkx8mJSURV5YNHMz+tHTJYJkp1ASnKOwMPfApLKzFtbamnphZeSJ&#10;ge61CmurlbMizNKNIBMXWrr4EO8aQHs3Xzp7BNLR3YdoJ38MK9lgUcUJ82rOmBi6YGzgot1UzdTI&#10;BQtjZ3zcfLAzc9CNc6RSWRXWmuPqGMbpL09T+p1SVFEBbcWKVKxQWQtuq1SshJOT468Oa/V9alVI&#10;q0rNsFXvU3XkyBFu3ryp/Qz91M/b/zlFjlX7XfLy629fCSHEn5eEtUIIIYQQQvwXUwFH8XBHv6yk&#10;+iVKek/xbalHFdaqAEs9Fl1ftNR69U/3VcB4//4D7t+7x83rVzlz5iy3b91GzSTVB4vvbd7K7Ttq&#10;2Q9Dx9+ltP6897h85Qq3b17l7IWvWLd2PS++eUGAlwutmjRgy7gMLt5RYXLBqxuHlbSdb0u1QQiN&#10;6MzDe7d58m14qmYWP1U3NSsyTgWtDx7c58btu3x58hRXr37FiMmLiYqsTo0Wvfnnk5s06TmX8CY5&#10;3L97kboNEohv2Yw+fdJYvWwRY/pl0CF7EHM2H2bMpEVsnT+W0zcLuX/jIsP79+HixYvfzWj++hfc&#10;NE0frl+9epVzZ89x/PgJ5s1ZRP26sZQvb83f/1oFR9tALaxtUa8BMfUaEVMnWqu02AQ6+NcjzjaM&#10;0en55DdNom4Ze5pWdiemigetqnnSyS2Kkd1ySfCMZHBCOmPjM+gd1pSJST3JC4lmSc9BzM7IZ3Ra&#10;T6bm9CcvuDH1HUIxMXLFrIoL1saeWlhrY+qp3VytckU7qpW1oqaNCwneQXT1CaSLruI9AojXve7s&#10;40+YlTvGRo5U1I2rVN4GYwNnTFSfXi20VT19HTEzcsOoqhMVSllT5h1LrdxdqmthrZpZq2bUqjYI&#10;FSuombUVqVShIk7Ov35mbfGwVrU/2L17t9a79vz589q21H/0+Lkz4IUQQryeJKwVQgghhBBCfEcF&#10;oyrs+bHSKx6m6hVfXnyd2oY+mNUrPk75sWVFP4vajgqnVHsFNaNQhaIqOFRtFG7cuMFXly5y/8HD&#10;77UDuHj2y+8Fjb9n6YNOtU81K7jw8WO+PP4544aP4NnTxz8Yry8V1laPSubc6TMkdU7lSYHqs/uE&#10;lu3TuXLyAGcv3+Cx7tie6LZX0vtV6ff96OED7SZrD+5eZeTkNWyYMYIRE0cwde581ozrx4kbd4is&#10;157hW7ZjYedAnWadKbhykrikdO6d/5ik5GQufHWV9sNXcu3yJQru3aTPlLXF9vX/n/+cUiHtnTt3&#10;tM94+avLLJgzn3YxbYnwq06gvQcZTeLoE5NE7+gEJiTm0d6hOkNbpDEkNo1etdswJi2PWJsAJvcc&#10;QDuvGqwcMokmZW2JM/RkWLNE8uq0ZGTDOOJdQ0nSjUs09CLKxEebBWtWzVWbUWtt8iqwVWFrtUr2&#10;GJa1JsjMgbbu/qQEBJPuF0KiVxDxviG0cw/ErKK9FtAaGThhUNnhVVirBbXOr5ZX0y2v4qh7dKH0&#10;2+aUeceCMm9Z4uakwtovKfXuu9ps2goVKlC+fHkqqFJhrZPzrw5r9cv1r1VYq9534sQJ7t69q/0s&#10;lPRzI4QQ4s9FwlohhBBCCCH+y+kDHn3IU/R18folir9H/1oFrf9uWz/13p96v36Mvk+umo2rn9mq&#10;bmim6tbN69o/GX/4qEALHr8LOn9QD7V1Kngtef3vUyqsDanZgdj23UjomMizx4W6z/6cdoldSMwa&#10;R/+E1tR1cmLlklE06diVjR99xKCBQ7j7oIDbN8+Slj+JwoLvh6gq3FWP+mXPddt79uJrHhYUaK0R&#10;nnz9gobVfZi2aD13LxxjwNTF3Lt4BA93V1KGr6Rr3+EM23qL0PqpxOcMoF69WJas3sa8GRO5ePUa&#10;GUNnaLNpVRD7W8/PM91ne/nN13y6Zz+949OYlD8Cz3cqU6+iI82MPOlVrx2xBh60dQmnmYEbMVXc&#10;aGTsQjtzbzq716CjoScdjL1INPMlza0GA5rHE2EbimFVB6pVtMNC3RzMxF0LbNUN1KpUtsewigPB&#10;Fi7EOnmR7B9Eql8onb0CaeXhhq+FMxYGrphWc8LEULU9cKVs6Wq88cbfePsfZalQzhTDao66beiq&#10;mjMVy9lS5l1LSr1jgatzOF9++SXv/uMdLaQtW6YsZUuVpnyZctrMWsff0Aah6Do1y1a9/uyzz7h2&#10;7Zp2rf/Yz4QQQog/FwlrhRBCCCGE+C+nD0KL10/5OWOLjyla+vX/LnzV079PBV36mbn6Zb+Ueo+a&#10;hahm3KrA8dqN23xx+jyHPzvEV1dvaIGu1lbh4X02rN+s3eDsxwPd36+ePnvOyxfPeaT7TBMG5zN5&#10;zT4GZafQPLol9f0j+PKDWRw+c4r0obPxdLAgNzOHuZt3k5k/koxBIxmycIcW0s6cOJr6rbpz5/pl&#10;Ch/fIiWtj9Ze4eKF89y7/0A7rjv3XvX+1aqg8FWvYN2Y9h3a0mvkUnpMW0N83nSWrnufzrkDqR7Z&#10;mFYdezB9ySq69RlHysAJfPPyAd7129Fv4nLSe/Vl257D3zue4vVLz2FBYYH2XauWF+vnLyejSQdi&#10;HYJp61mdSYOGE2Prx2TdZ0txjyC3oe5z12tJ3xaJjErLIcI+FDMDZ20WrVEVR8wM3bAy8cTcRLU3&#10;eDVDtkoFM2rbetHBI5AknyA6evrTzN0PawNHLKu5YVJNzah1xdjQmdLvVuLdKlYsWzKfcv94m7/9&#10;7R/aTcP+/sZb/OUvf+evf32Tt98xxNU1jLNnzmBUuSpW5haYGJvo3m9E1UqVKV+uHHY2tr9pZq2+&#10;FYJ6PHDggNb+QM0mV9f0z/k5EkII8fqTsFYIIYQQQgjxXfBZtH7Kzx2r1v1YIKuWFQ1ff4mfs++i&#10;io4v+h7966KfpWhbBRWmqdmjVy5d0m6udU/NzL1zV/tn5wUqVHxwn6++uvy9kFGFkioELrrst5b6&#10;TA8ePuLa9ass3rKf6MaNmDV3If0HDyGlZy7dhk0nJncmL56eY9qWozSJ7URsTByt49rQo9dQ3THe&#10;JjFjBInxyRxaOoKDl25x8dJXJe5LX+pGaiqovqM71hmTxjJm1ESWbNxCv1Gz6TZ0Ci8fnaND5kh6&#10;D59B3MAlxMfE/2S7h4LChyS1bs/WHbt0x/LwVcsK3bZ/aVsFVU+ePtFmk146f5FdqzfQu0U8HUPq&#10;MDNvKC1t/XEwcsfQwBGDKg4YV1NhrRMWJu6Y65abGblqbQzKl7GiWjlL6lq608LZhVauXoRZeWFq&#10;6KH1p7UwdMS8kr3uuQprK/LWP94lqmkCjep5UyPIi/1bV/OP//kro9d/ptvOP3jrzbJ4uFXn3Nmz&#10;2JiaY29lg42lFbYWltiY68rahujo6O/CWnXdqXNw/Pjx78LaooGsvjetCmr1NxRTrQ/UOhXUqvYH&#10;quWHvv3Br/k5EkII8fqRsFYIIYQQQgjxh9IHosXpl//Y+t/br9mPGq8CsKJtFVSAqwLDu/dUW4V7&#10;nD5zTpuNe+fOba5du8G5Lw6yYtV6rTVB8ZDx9y41I1YFpCdPfsnKHYco0H22jLRUEjMG0aNLZ977&#10;cDfpmQN0x3GbzIFz2TK8LeuGZnLki530TGvN2RuFJW7339Vz3T5VKH1k//vsOXaJUUt2MzR/KE+e&#10;/Pj2CgrvE+Rdk63bd5PWOY5BQ0bRoXE9du3ezucnznDhyy9021Szmh9x+/plzl299YNt/NsqKNC+&#10;J/XZtmx6j5xe/WjZMp66dVrg5hyGYRVnrX2BUTV7Kpaz0m4gVq6cDWXL2FOlwqsZuGomrWEVe2yM&#10;PajtG4FRFRdKvVuByoa+7H9vKSYW1lStUIpJE8Zj59eUpVsPYlrpHf7xZhk8XMO4eOECznYOuOjK&#10;ztoGe2tr7CytMDE0YsaUqd9dgypcVdfN0aNHtSBWH9aq5/qZs6r0ga1arkLdQ4cOcfbs2e+CWkX/&#10;HxskrBVCiD8/CWuFEEIIIYQQ4jdQAZkKCPW9cc+dOc2nnx7mxpXz3Lh+nXv37mvBmgrmSmoF8Ef1&#10;xH385KkWLJ86fYGnT+8zsH8/Bo6cxq7JeWxYms+Ikb04fPISN2/e4MGD+zwq4bP9nlVQcB9fvzrs&#10;37+X9B65jMrOIis1jZGZiRw9tZ/AJh1pltST5bv2MHrCbOauf4+1azfw6fblbN17lAf375W43Z9b&#10;6qZtasb02TPnWbJ4Fbk5g0hM7EbN8IZUq2JH+VIWGFS0waCqHcZV7HGxCqBuSC1cHfy1Ngh/e+NN&#10;/vI/b1C6XFUsjSoR07Qp77xViloJA6jhWRFzIzPq1Wig2/5Z7G1t8XHzwM7SGlMDQyzKV8GpgiGF&#10;BQXfXjWvwtrbt29z5MgRLZxVoezHH3/8vcBW/1yFtGr9sWPHuHz51Uxu9X5F/x8U9GHtL/0PEkII&#10;IV4vEtYKIYQQQgghxC+kAjF9SKafzVh8mSoVoKkgV98fV7VUUKGtCm/1pXrGLl+0jD2ffM77W9dz&#10;6sLV7wJG7QZev3eIqtuf6sl75co1Tpw4zod7P2Lbzg+0Wakljv+96uEjLTw+duIkn3z6OR/t3MGW&#10;lQvIz8rkzp3LtEvOYvaaXYT5h7N5x3YGz1xESvfeHNo0l6Xv7WPD5k0Mm7OTZ08fMGzkJI6cvsy1&#10;i6fJzcmmd//hPCh8WvJ+f0apGdPqPH9y4BCLFq5g7JipdI5PJaNLN0q/U5mypU0pX9qc0m8bUerd&#10;avzjzfL8/W/vaL1q3/jr3yn1TilszC1ISWjPhQsXsLW00logqN61xmUq4FDeAJ/yJtq1oL9W1Gxt&#10;1Vrj888/14JZNXtWzaRVga0KaN9//32tVOuDTz75hFOnTmntN/RtD4pfa0VfCyGE+POSsFYIIYQQ&#10;QgghitAHYar+nZICs5KodSpk07dTUKVmeWptFZ480W6idffuq1K9ZG9fv6Ld5f/86S8oKHzVO7d4&#10;wHj79q9oE/C/WKo3bWHh949DBaTq2NTjndu3uXzzPof37+P6pfNs3LmbiBqR7N62mglTptO192Ca&#10;dJ3M88d3SU7rQcOk0RQUFLJkbD/2nbtKdnYuI2atZ3B+DjduXmX/p8cpePRQd45/fYiresqqGdNX&#10;rlxl30cHWLN6E1OnzKJli3iMqjrx1pvVKFfGgorlLKhQ2oow/zpcOnsOGwsrylYzxLh0RRzLVcOj&#10;vDGBZU2/mw2rrgf1/auZtWq2rApnd+/erc2gVWGtCmf17Q8OHz6s2/8V7bPo2x6o60xtS70uet2p&#10;xx+7BoUQQvw5SFgrhBBCCCGEEEXoA6/iVRL9uqJhrX6s/rm+9GOKhmvFqeUqhFNBnnYDrnt3uXXj&#10;OhcvXuKSri5fPM+ZE8c4e+4C27e/z5VrN0sMGV/HKih4QOuYNvQeMIZRA7LZueeQ7jif0rH7UJ49&#10;f/mD8arUOVCP127e5vixY3xx+iKFBQ+Ja9eWmLg+uueFLB3Xn09Onia+Wz/mLF5Py4xRtPa3olfb&#10;KMb2TWfVoulMHDeMISNG8bDwKVvnj6VB/QY8KnzE0A0HfrDPn1v6AP287rv4/PPj7Nu3n7VrN1J4&#10;4oTuL+3/4WtdXf/LXzn2xt/47I03WRNei3/pvnv996xmW6sQVoWx+rBWfwOxgwcPau0Rzpw5o82+&#10;VeG+/prRX0vqOlFV/LoTQgjx5yZhrRBCCCGEEEIUow+/itZPKWnML3lf8bHFl+tLBXNqNqUKc9WM&#10;T9VS4ezpU3x16Rwb167iztWTXLxwnmtXr/Lk6a+fUfqH1P3b1I3PY8GiJWT3G0JaeiYvv35Ji6S+&#10;jJm9mvDGPbRxBQWPSGkfw+PCh7oq0G6a9oNtaeNetW24e+c29x8+1HoFv3/kLClDpvHhwuH0y89l&#10;3ri+tI+pz+A+3Wkc24obD57TrEVr3fhHXL1xk36rt9CoWTyLt33EpPGT+OLkSa7fuMXjp8+1z1F8&#10;nz+nVA/ih+qz3b3LI9338PCrryjYv5+nV65o36Ge+vyqtYGaQatm1KpSQa26gdiJEye4ePGitj39&#10;9170Gvix10IIIf78JKwVQgghhBBCiGL0QVjxKokKyvQzHFXp/dh7iy8vWj+XGqvfrwpv9W0V1GxN&#10;FeLqZ6SqHqfHjh1n/6GjnDz+OQ/u39eNff69cPHRowec/vJ0sWW/f6k2CNev32DrnkMMHTeFTgnJ&#10;WljbLiOfhp1HExZQmycPH1JY8IikVnVJS85g6IBetGsYSeeUdsS3jeXWwwI2rVurbe/l41tEt8vi&#10;cZFQVd/fVwtMdc9Vm4SXuuM9d/JzkrrmcO7mfbbMGs6COaOYuvEg3cdNptvo2XTvN4LR01eQPXQM&#10;2Tl9iE/JoVHLJGqEhJPSZyJ1Pey5UfhUu0HYo0e/vIew+izqu9J/x+pRfTdqVq0+qFWhrepfq0Ja&#10;1atYfZ/660k/i1Ypeq3orwNV+uX6dUIIIf6cJKwVQgghhBBCiBIUDb+KV1H60FSVPlz7pdQ29aFb&#10;8dJvW7/f4vtX9J+r+Dr1/qIzcdVsTjUb986dO7q6zaFDR7h/7w7bd7zPk0K17gH3HzwoMXBUpULQ&#10;kpb/lnr54qnuM37Dp4eP8FT3GTrU8SQheyRDsjMYktudDu2T2LpoECeOH2X6x8eYO30cXYctIiZ9&#10;EPVbp9I5rhUrt3xIQWEhJ098QXhsJo8LHvLg0WNGjhxPgW4fDx7c1/alD3P1zwt1j0tnT2HT3gOM&#10;mr6cjH7DycnuTXpWfw5/8SWRsdmkVvdldNcY1s/qz7Yda1my5+x32yixdNu9ffMGt27f+W6ZCtH1&#10;1HekeherFghqJu2uXbu02bRnz57VWh6o70lPjdVfA+pR0b8u3q9WUa+LLxNCCPHnImGtEEIIIYQQ&#10;QpRABV4/VkWp18VDsh8bq5S0Tj3Xb6Ok0oe1xccVXabCO32op1/+Y9QYNVaVCg5VmKuCXDXb88TJ&#10;0+z+cC/7j55h/8cfc+v2XW58dYqp0+dqbQn0AeSVs8c5f/7VP9X/I+rVrNhn3Lx1hzOf7+XShbMs&#10;3PMRWYOHkzFuDX1GTSe2Qyr1atYgJiWfwluHmLXhIHUT++Do5EeNoIZER7fm68KbeLl6kJI7gj1r&#10;p7N4xyHthm4/Fjw/efKYZ8+ec+n6HaYu2MSQuBi2z8hly4bFzF+3hau3XwW/P1YP71+hQ9JAeqZ0&#10;4dy505w7f0E7v/rvQ517NU71oz1w4IA2u/by5cva+dd/z8W/W/1z/Ws1rmhYW3SdfpkQQog/Jwlr&#10;hRBCCCGEEOInFA3D9PXv6EOzomGannpeUqimH1e0ii8vut2i2yhev4balgoAVXir2iqoevbsmTYr&#10;VH8zLTUr99zJY9pM3NMnT3D4syPcvvaV1t6gaGD5R9eTx4Xa57t89QYzJ45h6NT5PHv6gOx+w6jR&#10;NofajZOYPnsxTZu21cLaxG792TpnBF3SU1gxYyQDu8dz/c4vb2egzk1Jy4vWw/vXcDKyoGbjjnTr&#10;HMfxY0e09+m/FxW03rx5k9OnT3PhwgXtnKr1+u+yaBCrqGU/9l0r+nX69UIIIf7cJKwVQgghhBBC&#10;iJ9QPCDTV3EljSlaej+2/N9RY4sGc/pwTr+NH9vej73v11BBogpJ9QHug3t3uXr1GtevXebe/Qfa&#10;zNx79+5pAaTqu6qqaOuBBw/ucfX6Te35q/6vPww7f0up2akvnj/TWhHs/ew08xcs41nBHTLTu5OT&#10;ncfwQT2Z1KcLSa3q8MWFW69aIXzb3/f3qgf3b7N4xQ5Wzp/Jhx/s0IJY/YxZ/TlU50cFtvrZtIr+&#10;+1Pfj378T5X+eyxeQggh/twkrBVCCCGEEEKIf+PnhGL/bv3v4ae2rZarAK84/fKi9Ud8PrVNfZir&#10;74+rwloVTOpD3CP7P2DrniOcPLibLfs+peBRgTbu1OF9useSw8/fq1Q4XFj4hIf3brNqw3q+OLiX&#10;Tz5Yz+qFM3j65NXM4d+lHj7SgmwVBKtQW52X4t+Bfvayeq4/d/p1RemXFf2+io4tulwIIcT/DRLW&#10;CiGEEEIIIcT/ET8W3qnlReuPpt+PCm9V6dsrqN6tqrWCCmbVDbhuXvuKUyc+59ODezmydwc7d73P&#10;yS9Ocu/OLR4/fqL1j93z4V4uXLpacjD6O1XR2b+/uR7cpFePQbptPvgufC16Ln7sOyhp+S8ZK4QQ&#10;4v8GCWuFEEIIIYQQQvxHqaBRPwtXhbdqJmphwSPu3L3PjRs3uXb1CudOn+TI58c58MlnnPryDB/u&#10;3KJb/tWrtgWFjyl49IhD+z78w2fk/tJ6+PA+t2/d0Y6v6AxY9Vg0sBVCCCFKImGtEEIIIYQQQog/&#10;lH4maNH6seX6UuGmmpGrZuOqdgL3793j3r27fLz/I45//hnnz59m79732bVlHZ8c/oIb16/y7Mlj&#10;CgtLbmnwUFeq5UJJ636vUi0fXrx4qR2bUjycVY/6EFcIIYQoiYS1QgghhBBCCCH+EEWDV31wqS/9&#10;jNOi9OOL029Dvx0V4qpHfe9XNdv23r37fHHiFPuPnGHLzo8YP20uH39xWQtRVUuCwkcP2LH7gDYj&#10;t3jI+nuU6s+rPk/Rz68/1qLLfuwYhRBCCEXCWiGEEEIIIYQQfyh9QKkvffBa9Ln+tSq9ktb/GLW+&#10;6ExcrV3Co1f9aO/cvcfdO3f45LMv2PHBARYuXMi+Y+e4eOEijx+/usmZGvfwwQPu3bmtPdeHsNpy&#10;Vd++Lrpcf+M01cZB/xnVZ1Cl/7z60q8XQgghfoqEtUIIIYQQQggh/uOKBpn6MLP4jFv98qJVdJ2+&#10;fg61bX2PXBXkqrD12o3bXL50luMnTrP/yCkKnzxh27ZdWhj74MF9XT3k4Ic7GDV+NoUFr0Jb1epA&#10;hbQq4FUzafX0n1Uf1hb9XPp1+s//cz+zEEKI/z4S1gohhBBCCCGE+EPog8niVRIVZJbUNkCv+DZK&#10;GlOSksbrX+vDVX07BRXkqlm5T5480QJdFciqR/VazdjVB7EltTYoGsaW5OeMEUIIISSsFUIIIYQQ&#10;Qgjxu1OBpD581YeURcPK4lV0XUnUOv329Nv8d4puV18/tv2S6Meqx5LeV3S9fvs/RT+upG0JIYQQ&#10;ioS1QgghhBBCCCF+d0UDzOKl1pVUeiWt+7nbUKVXdFlJ7ytJ8XXq+U/tUz9GX/qx+vHF6ccJIYQQ&#10;JZGwVgghhBBCCCHEa6V48Fk03NSvK7q+6LiiY3+pottWpd9uUUXX6xVdVnT2b9ExQgghxM8hYa0Q&#10;QgghhBBCiNeKPvgsGsLqFV32Y1VU8WVFxxWtouuKPte/VtRzte/iYax+mX598c9YVEnLhBBCCD0J&#10;a4UQQgghhBBCvFb0gWZJwWbRIPTnKL4N/evi9XOoccXDWOXHPlNJ2y5pmRBCCKEnYa0QQgghhBBC&#10;CPEL/FgIK4QQQvxWEtYKIYQQQgghhBBCCCHEa0DCWiGEEEIIIYQQQgghhHgNSFgrhBBCCCGEEEII&#10;IYQQrwEJa4UQQgghhBBCCCGEEOI1IGGtEEIIIYQQQgghhBBCvAYkrBVCCCGEEEIIIYQQQojXgIS1&#10;QgghhBBCCCGEEEII8RqQsFYIIYQQQgghhBBCCCFeAxLWCiGEEEIIIYQQQgghxGvgf7755psHUlJS&#10;UlJSUlJSUlJSUlJSUlJSUlJS/7slM2uFEEIIIYQQQgghhBDiNSBhrRBCCCGEEEIIIYQQQrwGJKwV&#10;QgghhBBCCCGEEEKI14CEtUIIIYQQQgghhBBCCPEakLBWCCGEEEIIIYQQQgghXgMS1gohhBBCCCGE&#10;EEIIIcRrQMJaIYQQQgghhBBCCCGEeA1IWCuEEEIIIYQQQgghhBCvAQlrhRBCCCGEEEIIIYQQ4jUg&#10;Ya0QQgghhBBCCCGEEEK8BiSsFUIIIYQQQgghhBBCiNeAhLVCCCGEEEIIIYQQQgjxGpCwVgghhBBC&#10;CCGEEEIIIV4DEtYKIYQQQgghhBBCCCHEa0DCWiGEEEIIIYQQQgghhHgNSFgrhBBCCCGEEEIIIYQQ&#10;rwEJa4UQQgghhBBCCCGEEOI1IGGtEEIIIYQQQgghhBBCvAYkrBVCCCGEEEIIIYQQQojXgIS1Qggh&#10;hBBCCCGEEEII8RqQsFYIIYQQQgghhBBCCCFeAxLWCiGEEEIIIYQQQgghxGtAwlohhBBCCCGEEEII&#10;IYR4DUhYK4QQQgghhBBCCCGEEP/r4P8BOol7VLgimRAAAAAASUVORK5CYIJQSwMEFAAGAAgAAAAh&#10;AOSWN47eAAAABwEAAA8AAABkcnMvZG93bnJldi54bWxMjsFqwkAURfeF/sPwCt3VSay1Y5qJiLRd&#10;iVAtiLtn8kyCmTchMybx7ztdtcvLvZx70uVoGtFT52rLGuJJBII4t0XNpYbv/ceTAuE8coGNZdJw&#10;IwfL7P4uxaSwA39Rv/OlCBB2CWqovG8TKV1ekUE3sS1x6M62M+hD7EpZdDgEuGnkNIrm0mDN4aHC&#10;ltYV5Zfd1Wj4HHBYPcfv/eZyXt+O+5ftYROT1o8P4+oNhKfR/43hVz+oQxacTvbKhRONhsUiDDW8&#10;zkGEVk3VDMQp5JlSILNU/vfP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0CyNEiwMAACgIAAAOAAAAAAAAAAAAAAAAADoCAABkcnMvZTJvRG9jLnhtbFBLAQIt&#10;AAoAAAAAAAAAIQCCx0R3X/8HAF//BwAUAAAAAAAAAAAAAAAAAPEFAABkcnMvbWVkaWEvaW1hZ2Ux&#10;LnBuZ1BLAQItABQABgAIAAAAIQDkljeO3gAAAAcBAAAPAAAAAAAAAAAAAAAAAIIFCABkcnMvZG93&#10;bnJldi54bWxQSwECLQAUAAYACAAAACEAqiYOvrwAAAAhAQAAGQAAAAAAAAAAAAAAAACNBggAZHJz&#10;L19yZWxzL2Uyb0RvYy54bWwucmVsc1BLBQYAAAAABgAGAHwBAACAB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36" type="#_x0000_t75" alt="Texto, Pizarra&#10;&#10;Descripción generada automáticamente" style="position:absolute;width:51974;height:44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uzxgAAANwAAAAPAAAAZHJzL2Rvd25yZXYueG1sRI9Ba8JA&#10;FITvgv9heUIvUjdalDa6iq2teitNSnt9ZJ9JSPZtyG5j+u9dQfA4zMw3zGrTm1p01LrSsoLpJAJB&#10;nFldcq7gO/14fAbhPLLG2jIp+CcHm/VwsMJY2zN/UZf4XAQIuxgVFN43sZQuK8igm9iGOHgn2xr0&#10;Qba51C2eA9zUchZFC2mw5LBQYENvBWVV8mcUuPkv7V/HTZWmn4dd9fJu9rvuR6mHUb9dgvDU+3v4&#10;1j5qBbPFE1zPhCMg1xcAAAD//wMAUEsBAi0AFAAGAAgAAAAhANvh9svuAAAAhQEAABMAAAAAAAAA&#10;AAAAAAAAAAAAAFtDb250ZW50X1R5cGVzXS54bWxQSwECLQAUAAYACAAAACEAWvQsW78AAAAVAQAA&#10;CwAAAAAAAAAAAAAAAAAfAQAAX3JlbHMvLnJlbHNQSwECLQAUAAYACAAAACEAk/Yrs8YAAADcAAAA&#10;DwAAAAAAAAAAAAAAAAAHAgAAZHJzL2Rvd25yZXYueG1sUEsFBgAAAAADAAMAtwAAAPoCAAAAAA==&#10;">
                  <v:imagedata r:id="rId209" o:title="Texto, Pizarra&#10;&#10;Descripción generada automáticamente"/>
                </v:shape>
                <v:shape id="Cuadro de texto 26" o:spid="_x0000_s1037" type="#_x0000_t202" style="position:absolute;top:44881;width:5197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58EEE59D" w14:textId="0187AA21" w:rsidR="004D416C" w:rsidRPr="00DE6B10" w:rsidRDefault="004D416C" w:rsidP="00E760C2">
                        <w:pPr>
                          <w:pStyle w:val="Descripcin"/>
                          <w:jc w:val="center"/>
                          <w:rPr>
                            <w:rFonts w:ascii="Arial" w:eastAsia="Times New Roman" w:hAnsi="Arial" w:cs="Arial"/>
                            <w:smallCaps w:val="0"/>
                            <w:noProof/>
                            <w:sz w:val="16"/>
                            <w:szCs w:val="20"/>
                          </w:rPr>
                        </w:pPr>
                        <w:bookmarkStart w:id="222" w:name="_Toc67646436"/>
                        <w:r w:rsidRPr="00963019">
                          <w:rPr>
                            <w:rFonts w:ascii="Arial" w:hAnsi="Arial" w:cs="Arial"/>
                            <w:smallCaps w:val="0"/>
                            <w:color w:val="9D2235" w:themeColor="accent1"/>
                            <w:sz w:val="16"/>
                            <w:szCs w:val="20"/>
                          </w:rPr>
                          <w:t xml:space="preserve">Ilustración </w:t>
                        </w:r>
                        <w:r w:rsidRPr="00963019">
                          <w:rPr>
                            <w:rFonts w:ascii="Arial" w:hAnsi="Arial" w:cs="Arial"/>
                            <w:smallCaps w:val="0"/>
                            <w:color w:val="9D2235" w:themeColor="accent1"/>
                            <w:sz w:val="16"/>
                            <w:szCs w:val="20"/>
                          </w:rPr>
                          <w:fldChar w:fldCharType="begin"/>
                        </w:r>
                        <w:r w:rsidRPr="00963019">
                          <w:rPr>
                            <w:rFonts w:ascii="Arial" w:hAnsi="Arial" w:cs="Arial"/>
                            <w:smallCaps w:val="0"/>
                            <w:color w:val="9D2235" w:themeColor="accent1"/>
                            <w:sz w:val="16"/>
                            <w:szCs w:val="20"/>
                          </w:rPr>
                          <w:instrText xml:space="preserve"> SEQ Ilustración \* ARABIC </w:instrText>
                        </w:r>
                        <w:r w:rsidRPr="00963019">
                          <w:rPr>
                            <w:rFonts w:ascii="Arial" w:hAnsi="Arial" w:cs="Arial"/>
                            <w:smallCaps w:val="0"/>
                            <w:color w:val="9D2235" w:themeColor="accent1"/>
                            <w:sz w:val="16"/>
                            <w:szCs w:val="20"/>
                          </w:rPr>
                          <w:fldChar w:fldCharType="separate"/>
                        </w:r>
                        <w:r>
                          <w:rPr>
                            <w:rFonts w:ascii="Arial" w:hAnsi="Arial" w:cs="Arial"/>
                            <w:smallCaps w:val="0"/>
                            <w:noProof/>
                            <w:color w:val="9D2235" w:themeColor="accent1"/>
                            <w:sz w:val="16"/>
                            <w:szCs w:val="20"/>
                          </w:rPr>
                          <w:t>2</w:t>
                        </w:r>
                        <w:r w:rsidRPr="00963019">
                          <w:rPr>
                            <w:rFonts w:ascii="Arial" w:hAnsi="Arial" w:cs="Arial"/>
                            <w:smallCaps w:val="0"/>
                            <w:color w:val="9D2235" w:themeColor="accent1"/>
                            <w:sz w:val="16"/>
                            <w:szCs w:val="20"/>
                          </w:rPr>
                          <w:fldChar w:fldCharType="end"/>
                        </w:r>
                        <w:r>
                          <w:rPr>
                            <w:rFonts w:ascii="Arial" w:hAnsi="Arial" w:cs="Arial"/>
                            <w:smallCaps w:val="0"/>
                            <w:color w:val="9D2235" w:themeColor="accent1"/>
                            <w:sz w:val="16"/>
                            <w:szCs w:val="20"/>
                          </w:rPr>
                          <w:t>.</w:t>
                        </w:r>
                        <w:r w:rsidRPr="00963019">
                          <w:rPr>
                            <w:rFonts w:ascii="Arial" w:hAnsi="Arial" w:cs="Arial"/>
                            <w:smallCaps w:val="0"/>
                            <w:color w:val="9D2235" w:themeColor="accent1"/>
                            <w:sz w:val="16"/>
                            <w:szCs w:val="20"/>
                          </w:rPr>
                          <w:t xml:space="preserve"> </w:t>
                        </w:r>
                        <w:r w:rsidRPr="00DE6B10">
                          <w:rPr>
                            <w:rFonts w:ascii="Arial" w:hAnsi="Arial" w:cs="Arial"/>
                            <w:smallCaps w:val="0"/>
                            <w:sz w:val="16"/>
                            <w:szCs w:val="20"/>
                          </w:rPr>
                          <w:t>Las redes sociales de la A</w:t>
                        </w:r>
                        <w:r>
                          <w:rPr>
                            <w:rFonts w:ascii="Arial" w:hAnsi="Arial" w:cs="Arial"/>
                            <w:smallCaps w:val="0"/>
                            <w:sz w:val="16"/>
                            <w:szCs w:val="20"/>
                          </w:rPr>
                          <w:t>gencia Valenciana Antifraude</w:t>
                        </w:r>
                        <w:bookmarkEnd w:id="222"/>
                      </w:p>
                    </w:txbxContent>
                  </v:textbox>
                </v:shape>
                <w10:wrap type="topAndBottom"/>
              </v:group>
            </w:pict>
          </mc:Fallback>
        </mc:AlternateContent>
      </w:r>
    </w:p>
    <w:p w14:paraId="775F5964" w14:textId="1782E517"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Así mismo, se ha dado traslado a los medios de comunicación de las actividades llevadas a cabo que han sido dirigidas al público en general a fin de que tengan la difusión adecuada. Diariamente se recopilan todas las menciones que en los medios de comunicación hacen referencia a la Agencia.</w:t>
      </w:r>
    </w:p>
    <w:p w14:paraId="1FF55787" w14:textId="7B863449" w:rsidR="00B9275E" w:rsidRPr="00973028" w:rsidRDefault="00B9275E" w:rsidP="004522FD">
      <w:pPr>
        <w:spacing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En el siguiente gráfico se recogen las menciones según el medio de comunicación y en donde tanto los medios digitales con un 42%, como la prensa escrita con un 45%, acaparan la mayoría de ellas.</w:t>
      </w:r>
    </w:p>
    <w:p w14:paraId="3413A863" w14:textId="4624D939" w:rsidR="00074E2D" w:rsidRPr="00973028" w:rsidRDefault="00CB5309" w:rsidP="00074E2D">
      <w:pPr>
        <w:keepNext/>
        <w:spacing w:beforeAutospacing="1" w:after="240" w:line="276" w:lineRule="auto"/>
        <w:jc w:val="center"/>
      </w:pPr>
      <w:r w:rsidRPr="00973028">
        <w:rPr>
          <w:noProof/>
        </w:rPr>
        <w:lastRenderedPageBreak/>
        <w:drawing>
          <wp:inline distT="0" distB="0" distL="0" distR="0" wp14:anchorId="0EAE28FE" wp14:editId="62FDE01F">
            <wp:extent cx="5377815" cy="2620370"/>
            <wp:effectExtent l="0" t="0" r="13335" b="889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6238087F" w14:textId="4A893712" w:rsidR="00074E2D" w:rsidRPr="00973028" w:rsidRDefault="00074E2D" w:rsidP="00074E2D">
      <w:pPr>
        <w:pStyle w:val="Descripcin"/>
        <w:jc w:val="center"/>
        <w:rPr>
          <w:rFonts w:ascii="Arial" w:hAnsi="Arial" w:cs="Arial"/>
          <w:b w:val="0"/>
          <w:bCs w:val="0"/>
          <w:smallCaps w:val="0"/>
          <w:color w:val="95070A"/>
          <w:sz w:val="16"/>
          <w:szCs w:val="16"/>
        </w:rPr>
      </w:pPr>
      <w:bookmarkStart w:id="223" w:name="_Toc67646419"/>
      <w:r w:rsidRPr="00973028">
        <w:rPr>
          <w:rFonts w:ascii="Arial" w:hAnsi="Arial" w:cs="Arial"/>
          <w:smallCaps w:val="0"/>
          <w:color w:val="9D2235" w:themeColor="accent1"/>
          <w:sz w:val="16"/>
          <w:szCs w:val="16"/>
        </w:rPr>
        <w:t xml:space="preserve">Gráfico </w:t>
      </w:r>
      <w:r w:rsidRPr="00973028">
        <w:rPr>
          <w:rFonts w:ascii="Arial" w:hAnsi="Arial" w:cs="Arial"/>
          <w:smallCaps w:val="0"/>
          <w:color w:val="9D2235" w:themeColor="accent1"/>
          <w:sz w:val="16"/>
          <w:szCs w:val="16"/>
        </w:rPr>
        <w:fldChar w:fldCharType="begin"/>
      </w:r>
      <w:r w:rsidRPr="00973028">
        <w:rPr>
          <w:rFonts w:ascii="Arial" w:hAnsi="Arial" w:cs="Arial"/>
          <w:smallCaps w:val="0"/>
          <w:color w:val="9D2235" w:themeColor="accent1"/>
          <w:sz w:val="16"/>
          <w:szCs w:val="16"/>
        </w:rPr>
        <w:instrText xml:space="preserve"> SEQ Gráfico \* ARABIC </w:instrText>
      </w:r>
      <w:r w:rsidRPr="00973028">
        <w:rPr>
          <w:rFonts w:ascii="Arial" w:hAnsi="Arial" w:cs="Arial"/>
          <w:smallCaps w:val="0"/>
          <w:color w:val="9D2235" w:themeColor="accent1"/>
          <w:sz w:val="16"/>
          <w:szCs w:val="16"/>
        </w:rPr>
        <w:fldChar w:fldCharType="separate"/>
      </w:r>
      <w:r w:rsidR="00000D1F">
        <w:rPr>
          <w:rFonts w:ascii="Arial" w:hAnsi="Arial" w:cs="Arial"/>
          <w:smallCaps w:val="0"/>
          <w:noProof/>
          <w:color w:val="9D2235" w:themeColor="accent1"/>
          <w:sz w:val="16"/>
          <w:szCs w:val="16"/>
        </w:rPr>
        <w:t>23</w:t>
      </w:r>
      <w:r w:rsidRPr="00973028">
        <w:rPr>
          <w:rFonts w:ascii="Arial" w:hAnsi="Arial" w:cs="Arial"/>
          <w:smallCaps w:val="0"/>
          <w:color w:val="9D2235" w:themeColor="accent1"/>
          <w:sz w:val="16"/>
          <w:szCs w:val="16"/>
        </w:rPr>
        <w:fldChar w:fldCharType="end"/>
      </w:r>
      <w:r w:rsidR="00364B3C">
        <w:rPr>
          <w:rFonts w:ascii="Arial" w:hAnsi="Arial" w:cs="Arial"/>
          <w:smallCaps w:val="0"/>
          <w:color w:val="9D2235" w:themeColor="accent1"/>
          <w:sz w:val="16"/>
          <w:szCs w:val="16"/>
        </w:rPr>
        <w:t>.</w:t>
      </w:r>
      <w:r w:rsidRPr="00973028">
        <w:rPr>
          <w:rFonts w:ascii="Arial" w:hAnsi="Arial" w:cs="Arial"/>
          <w:smallCaps w:val="0"/>
          <w:color w:val="9D2235" w:themeColor="accent1"/>
          <w:sz w:val="16"/>
          <w:szCs w:val="16"/>
        </w:rPr>
        <w:t xml:space="preserve"> </w:t>
      </w:r>
      <w:r w:rsidRPr="00973028">
        <w:rPr>
          <w:rFonts w:ascii="Arial" w:hAnsi="Arial" w:cs="Arial"/>
          <w:smallCaps w:val="0"/>
          <w:sz w:val="16"/>
          <w:szCs w:val="16"/>
        </w:rPr>
        <w:t>Menciones de la Agencia Valenciana Antifraude según el medio de comunicación.</w:t>
      </w:r>
      <w:bookmarkEnd w:id="223"/>
    </w:p>
    <w:p w14:paraId="7D1EEFC7" w14:textId="77777777" w:rsidR="00B9275E" w:rsidRPr="00973028" w:rsidRDefault="00B9275E" w:rsidP="004522FD">
      <w:pPr>
        <w:spacing w:beforeAutospacing="1"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En ese trabajo de recogida de datos, en lo que respecta a las menciones en medios de comunicación de la Agencia Valenciana Antifraude, creemos que es interesante la información que se recoge en el siguiente gráfico y que hace mención al número de referencias por meses. </w:t>
      </w:r>
    </w:p>
    <w:p w14:paraId="26E18D5F" w14:textId="77777777" w:rsidR="00B9275E" w:rsidRPr="00973028" w:rsidRDefault="00B9275E" w:rsidP="004522FD">
      <w:pPr>
        <w:spacing w:beforeAutospacing="1"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De esta forma vemos cómo en los meses de marzo y abril hubo un descenso significativo que coincidió con los meses de confinamiento provocados por la Covid-19 y después el correspondiente al mes de agosto que suele coincidir con un mes con menos actividad formativa.</w:t>
      </w:r>
    </w:p>
    <w:p w14:paraId="2BC834CC" w14:textId="4B5A3FE7" w:rsidR="00074E2D" w:rsidRPr="00973028" w:rsidRDefault="00CB5309" w:rsidP="00074E2D">
      <w:pPr>
        <w:keepNext/>
        <w:spacing w:beforeAutospacing="1" w:after="240" w:line="276" w:lineRule="auto"/>
        <w:jc w:val="both"/>
      </w:pPr>
      <w:r w:rsidRPr="00973028">
        <w:rPr>
          <w:noProof/>
        </w:rPr>
        <w:drawing>
          <wp:inline distT="0" distB="0" distL="0" distR="0" wp14:anchorId="605262EC" wp14:editId="39777C2F">
            <wp:extent cx="5400040" cy="2442950"/>
            <wp:effectExtent l="0" t="0" r="10160" b="1460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14:paraId="3460EFAB" w14:textId="48B46CA5" w:rsidR="00B9275E" w:rsidRPr="00973028" w:rsidRDefault="00074E2D" w:rsidP="00074E2D">
      <w:pPr>
        <w:pStyle w:val="Descripcin"/>
        <w:jc w:val="center"/>
        <w:rPr>
          <w:rFonts w:ascii="Arial" w:eastAsia="Times New Roman" w:hAnsi="Arial" w:cs="Arial"/>
          <w:smallCaps w:val="0"/>
          <w:sz w:val="16"/>
          <w:szCs w:val="16"/>
          <w:lang w:eastAsia="es-ES"/>
        </w:rPr>
      </w:pPr>
      <w:bookmarkStart w:id="224" w:name="_Toc67646420"/>
      <w:r w:rsidRPr="00973028">
        <w:rPr>
          <w:rFonts w:ascii="Arial" w:hAnsi="Arial" w:cs="Arial"/>
          <w:smallCaps w:val="0"/>
          <w:color w:val="9D2235" w:themeColor="accent1"/>
          <w:sz w:val="16"/>
          <w:szCs w:val="16"/>
        </w:rPr>
        <w:t xml:space="preserve">Gráfico </w:t>
      </w:r>
      <w:r w:rsidRPr="00973028">
        <w:rPr>
          <w:rFonts w:ascii="Arial" w:hAnsi="Arial" w:cs="Arial"/>
          <w:smallCaps w:val="0"/>
          <w:color w:val="9D2235" w:themeColor="accent1"/>
          <w:sz w:val="16"/>
          <w:szCs w:val="16"/>
        </w:rPr>
        <w:fldChar w:fldCharType="begin"/>
      </w:r>
      <w:r w:rsidRPr="00973028">
        <w:rPr>
          <w:rFonts w:ascii="Arial" w:hAnsi="Arial" w:cs="Arial"/>
          <w:smallCaps w:val="0"/>
          <w:color w:val="9D2235" w:themeColor="accent1"/>
          <w:sz w:val="16"/>
          <w:szCs w:val="16"/>
        </w:rPr>
        <w:instrText xml:space="preserve"> SEQ Gráfico \* ARABIC </w:instrText>
      </w:r>
      <w:r w:rsidRPr="00973028">
        <w:rPr>
          <w:rFonts w:ascii="Arial" w:hAnsi="Arial" w:cs="Arial"/>
          <w:smallCaps w:val="0"/>
          <w:color w:val="9D2235" w:themeColor="accent1"/>
          <w:sz w:val="16"/>
          <w:szCs w:val="16"/>
        </w:rPr>
        <w:fldChar w:fldCharType="separate"/>
      </w:r>
      <w:r w:rsidR="00000D1F">
        <w:rPr>
          <w:rFonts w:ascii="Arial" w:hAnsi="Arial" w:cs="Arial"/>
          <w:smallCaps w:val="0"/>
          <w:noProof/>
          <w:color w:val="9D2235" w:themeColor="accent1"/>
          <w:sz w:val="16"/>
          <w:szCs w:val="16"/>
        </w:rPr>
        <w:t>24</w:t>
      </w:r>
      <w:r w:rsidRPr="00973028">
        <w:rPr>
          <w:rFonts w:ascii="Arial" w:hAnsi="Arial" w:cs="Arial"/>
          <w:smallCaps w:val="0"/>
          <w:color w:val="9D2235" w:themeColor="accent1"/>
          <w:sz w:val="16"/>
          <w:szCs w:val="16"/>
        </w:rPr>
        <w:fldChar w:fldCharType="end"/>
      </w:r>
      <w:r w:rsidR="00364B3C">
        <w:rPr>
          <w:rFonts w:ascii="Arial" w:hAnsi="Arial" w:cs="Arial"/>
          <w:smallCaps w:val="0"/>
          <w:color w:val="9D2235" w:themeColor="accent1"/>
          <w:sz w:val="16"/>
          <w:szCs w:val="16"/>
        </w:rPr>
        <w:t>.</w:t>
      </w:r>
      <w:r w:rsidRPr="00973028">
        <w:rPr>
          <w:rFonts w:ascii="Arial" w:hAnsi="Arial" w:cs="Arial"/>
          <w:smallCaps w:val="0"/>
          <w:color w:val="9D2235" w:themeColor="accent1"/>
          <w:sz w:val="16"/>
          <w:szCs w:val="16"/>
        </w:rPr>
        <w:t xml:space="preserve"> </w:t>
      </w:r>
      <w:r w:rsidRPr="00973028">
        <w:rPr>
          <w:rFonts w:ascii="Arial" w:hAnsi="Arial" w:cs="Arial"/>
          <w:smallCaps w:val="0"/>
          <w:sz w:val="16"/>
          <w:szCs w:val="16"/>
        </w:rPr>
        <w:t>Número de menciones en medios de la Agencia Valenciana Antifraude.</w:t>
      </w:r>
      <w:bookmarkEnd w:id="224"/>
    </w:p>
    <w:p w14:paraId="2C7FEFC5" w14:textId="77777777" w:rsidR="00B9275E" w:rsidRPr="00973028" w:rsidRDefault="00B9275E" w:rsidP="004522FD">
      <w:pPr>
        <w:spacing w:beforeAutospacing="1"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Así mismo, se ha ido informando puntualmente a los medios mediante la elaboración de notas de prensa, las cuales relacionamos a continuación. En total se han redactado 28 notas de prensa.</w:t>
      </w:r>
    </w:p>
    <w:p w14:paraId="0B9ACEDA" w14:textId="003AD332" w:rsidR="007642F6" w:rsidRPr="00973028" w:rsidRDefault="007642F6" w:rsidP="007642F6">
      <w:pPr>
        <w:pStyle w:val="Descripcin"/>
        <w:keepNext/>
        <w:rPr>
          <w:rFonts w:ascii="Arial" w:hAnsi="Arial" w:cs="Arial"/>
          <w:smallCaps w:val="0"/>
          <w:sz w:val="18"/>
          <w:szCs w:val="18"/>
        </w:rPr>
      </w:pPr>
      <w:bookmarkStart w:id="225" w:name="_Toc64465904"/>
      <w:bookmarkStart w:id="226" w:name="_Toc67646357"/>
      <w:r w:rsidRPr="00973028">
        <w:rPr>
          <w:rFonts w:ascii="Arial" w:hAnsi="Arial" w:cs="Arial"/>
          <w:smallCaps w:val="0"/>
          <w:color w:val="9D2235" w:themeColor="accent1"/>
          <w:sz w:val="18"/>
          <w:szCs w:val="18"/>
        </w:rPr>
        <w:lastRenderedPageBreak/>
        <w:t xml:space="preserve">Tabla </w:t>
      </w:r>
      <w:r w:rsidR="002A4453" w:rsidRPr="00973028">
        <w:rPr>
          <w:rFonts w:ascii="Arial" w:hAnsi="Arial" w:cs="Arial"/>
          <w:smallCaps w:val="0"/>
          <w:color w:val="9D2235" w:themeColor="accent1"/>
          <w:sz w:val="18"/>
          <w:szCs w:val="18"/>
        </w:rPr>
        <w:fldChar w:fldCharType="begin"/>
      </w:r>
      <w:r w:rsidR="002A4453" w:rsidRPr="00973028">
        <w:rPr>
          <w:rFonts w:ascii="Arial" w:hAnsi="Arial" w:cs="Arial"/>
          <w:smallCaps w:val="0"/>
          <w:color w:val="9D2235" w:themeColor="accent1"/>
          <w:sz w:val="18"/>
          <w:szCs w:val="18"/>
        </w:rPr>
        <w:instrText xml:space="preserve"> SEQ Tabla \* ARABIC </w:instrText>
      </w:r>
      <w:r w:rsidR="002A4453" w:rsidRPr="00973028">
        <w:rPr>
          <w:rFonts w:ascii="Arial" w:hAnsi="Arial" w:cs="Arial"/>
          <w:smallCaps w:val="0"/>
          <w:color w:val="9D2235" w:themeColor="accent1"/>
          <w:sz w:val="18"/>
          <w:szCs w:val="18"/>
        </w:rPr>
        <w:fldChar w:fldCharType="separate"/>
      </w:r>
      <w:r w:rsidR="00ED7F0D">
        <w:rPr>
          <w:rFonts w:ascii="Arial" w:hAnsi="Arial" w:cs="Arial"/>
          <w:smallCaps w:val="0"/>
          <w:noProof/>
          <w:color w:val="9D2235" w:themeColor="accent1"/>
          <w:sz w:val="18"/>
          <w:szCs w:val="18"/>
        </w:rPr>
        <w:t>20</w:t>
      </w:r>
      <w:r w:rsidR="002A4453" w:rsidRPr="00973028">
        <w:rPr>
          <w:rFonts w:ascii="Arial" w:hAnsi="Arial" w:cs="Arial"/>
          <w:smallCaps w:val="0"/>
          <w:color w:val="9D2235" w:themeColor="accent1"/>
          <w:sz w:val="18"/>
          <w:szCs w:val="18"/>
        </w:rPr>
        <w:fldChar w:fldCharType="end"/>
      </w:r>
      <w:r w:rsidR="00364B3C">
        <w:rPr>
          <w:rFonts w:ascii="Arial" w:hAnsi="Arial" w:cs="Arial"/>
          <w:smallCaps w:val="0"/>
          <w:color w:val="9D2235" w:themeColor="accent1"/>
          <w:sz w:val="18"/>
          <w:szCs w:val="18"/>
        </w:rPr>
        <w:t>.</w:t>
      </w:r>
      <w:r w:rsidRPr="00973028">
        <w:rPr>
          <w:rFonts w:ascii="Arial" w:hAnsi="Arial" w:cs="Arial"/>
          <w:smallCaps w:val="0"/>
          <w:color w:val="9D2235" w:themeColor="accent1"/>
          <w:sz w:val="18"/>
          <w:szCs w:val="18"/>
        </w:rPr>
        <w:t xml:space="preserve"> </w:t>
      </w:r>
      <w:r w:rsidRPr="00973028">
        <w:rPr>
          <w:rFonts w:ascii="Arial" w:hAnsi="Arial" w:cs="Arial"/>
          <w:smallCaps w:val="0"/>
          <w:sz w:val="18"/>
          <w:szCs w:val="18"/>
        </w:rPr>
        <w:t>Notas de prensa enviadas</w:t>
      </w:r>
      <w:bookmarkEnd w:id="225"/>
      <w:bookmarkEnd w:id="226"/>
    </w:p>
    <w:tbl>
      <w:tblPr>
        <w:tblW w:w="8505" w:type="dxa"/>
        <w:jc w:val="right"/>
        <w:tblCellMar>
          <w:left w:w="0" w:type="dxa"/>
          <w:bottom w:w="28" w:type="dxa"/>
          <w:right w:w="0" w:type="dxa"/>
        </w:tblCellMar>
        <w:tblLook w:val="04A0" w:firstRow="1" w:lastRow="0" w:firstColumn="1" w:lastColumn="0" w:noHBand="0" w:noVBand="1"/>
      </w:tblPr>
      <w:tblGrid>
        <w:gridCol w:w="1418"/>
        <w:gridCol w:w="5078"/>
        <w:gridCol w:w="2009"/>
      </w:tblGrid>
      <w:tr w:rsidR="00D968EB" w:rsidRPr="00973028" w14:paraId="252D2047" w14:textId="77777777" w:rsidTr="00D968EB">
        <w:trPr>
          <w:tblHeader/>
          <w:jc w:val="right"/>
        </w:trPr>
        <w:tc>
          <w:tcPr>
            <w:tcW w:w="1418" w:type="dxa"/>
            <w:tcBorders>
              <w:bottom w:val="single" w:sz="4" w:space="0" w:color="000000"/>
            </w:tcBorders>
            <w:shd w:val="clear" w:color="auto" w:fill="9D2235" w:themeFill="accent1"/>
          </w:tcPr>
          <w:p w14:paraId="759AF2D1" w14:textId="77777777" w:rsidR="00B9275E" w:rsidRPr="00973028" w:rsidRDefault="00B9275E" w:rsidP="004522FD">
            <w:pPr>
              <w:spacing w:beforeAutospacing="1" w:after="120" w:line="276" w:lineRule="auto"/>
              <w:ind w:right="126"/>
              <w:jc w:val="both"/>
              <w:rPr>
                <w:rFonts w:ascii="Arial" w:hAnsi="Arial" w:cs="Arial"/>
                <w:color w:val="FFFFFF" w:themeColor="background1"/>
                <w:sz w:val="18"/>
                <w:szCs w:val="18"/>
              </w:rPr>
            </w:pPr>
            <w:r w:rsidRPr="00973028">
              <w:rPr>
                <w:rFonts w:ascii="Arial" w:eastAsia="Times New Roman" w:hAnsi="Arial" w:cs="Arial"/>
                <w:b/>
                <w:bCs/>
                <w:color w:val="FFFFFF" w:themeColor="background1"/>
                <w:sz w:val="18"/>
                <w:szCs w:val="18"/>
                <w:lang w:eastAsia="es-ES"/>
              </w:rPr>
              <w:t>Fecha</w:t>
            </w:r>
          </w:p>
        </w:tc>
        <w:tc>
          <w:tcPr>
            <w:tcW w:w="5078" w:type="dxa"/>
            <w:tcBorders>
              <w:bottom w:val="single" w:sz="4" w:space="0" w:color="000000"/>
            </w:tcBorders>
            <w:shd w:val="clear" w:color="auto" w:fill="9D2235" w:themeFill="accent1"/>
          </w:tcPr>
          <w:p w14:paraId="546230BD" w14:textId="77777777" w:rsidR="00B9275E" w:rsidRPr="00973028" w:rsidRDefault="00B9275E" w:rsidP="004522FD">
            <w:pPr>
              <w:spacing w:beforeAutospacing="1" w:after="120" w:line="276" w:lineRule="auto"/>
              <w:ind w:right="260"/>
              <w:jc w:val="both"/>
              <w:rPr>
                <w:rFonts w:ascii="Arial" w:hAnsi="Arial" w:cs="Arial"/>
                <w:color w:val="FFFFFF" w:themeColor="background1"/>
                <w:sz w:val="18"/>
                <w:szCs w:val="18"/>
              </w:rPr>
            </w:pPr>
            <w:r w:rsidRPr="00973028">
              <w:rPr>
                <w:rFonts w:ascii="Arial" w:eastAsia="Times New Roman" w:hAnsi="Arial" w:cs="Arial"/>
                <w:b/>
                <w:bCs/>
                <w:color w:val="FFFFFF" w:themeColor="background1"/>
                <w:sz w:val="18"/>
                <w:szCs w:val="18"/>
                <w:lang w:eastAsia="es-ES"/>
              </w:rPr>
              <w:t xml:space="preserve">NOTA DE PRENSA          </w:t>
            </w:r>
          </w:p>
        </w:tc>
        <w:tc>
          <w:tcPr>
            <w:tcW w:w="2009" w:type="dxa"/>
            <w:tcBorders>
              <w:bottom w:val="single" w:sz="4" w:space="0" w:color="000000"/>
            </w:tcBorders>
            <w:shd w:val="clear" w:color="auto" w:fill="9D2235" w:themeFill="accent1"/>
          </w:tcPr>
          <w:p w14:paraId="55F4A364" w14:textId="77777777" w:rsidR="00B9275E" w:rsidRPr="00973028" w:rsidRDefault="00B9275E" w:rsidP="004522FD">
            <w:pPr>
              <w:spacing w:beforeAutospacing="1" w:after="120" w:line="276" w:lineRule="auto"/>
              <w:jc w:val="both"/>
              <w:rPr>
                <w:rFonts w:ascii="Arial" w:hAnsi="Arial" w:cs="Arial"/>
                <w:color w:val="FFFFFF" w:themeColor="background1"/>
                <w:sz w:val="18"/>
                <w:szCs w:val="18"/>
              </w:rPr>
            </w:pPr>
            <w:r w:rsidRPr="00973028">
              <w:rPr>
                <w:rFonts w:ascii="Arial" w:eastAsia="Times New Roman" w:hAnsi="Arial" w:cs="Arial"/>
                <w:b/>
                <w:bCs/>
                <w:color w:val="FFFFFF" w:themeColor="background1"/>
                <w:sz w:val="18"/>
                <w:szCs w:val="18"/>
                <w:lang w:eastAsia="es-ES"/>
              </w:rPr>
              <w:t>Enlace</w:t>
            </w:r>
          </w:p>
        </w:tc>
      </w:tr>
      <w:tr w:rsidR="00B9275E" w:rsidRPr="00973028" w14:paraId="777EE2E5" w14:textId="77777777" w:rsidTr="00B9275E">
        <w:trPr>
          <w:jc w:val="right"/>
        </w:trPr>
        <w:tc>
          <w:tcPr>
            <w:tcW w:w="1418" w:type="dxa"/>
            <w:tcBorders>
              <w:top w:val="single" w:sz="4" w:space="0" w:color="000000"/>
              <w:bottom w:val="single" w:sz="4" w:space="0" w:color="000000"/>
            </w:tcBorders>
            <w:shd w:val="clear" w:color="auto" w:fill="FFFFFF"/>
          </w:tcPr>
          <w:p w14:paraId="4F3BFB50" w14:textId="77777777" w:rsidR="00B9275E" w:rsidRPr="00973028" w:rsidRDefault="00B9275E" w:rsidP="004522FD">
            <w:pPr>
              <w:spacing w:beforeAutospacing="1" w:after="120" w:line="276" w:lineRule="auto"/>
              <w:ind w:right="126"/>
              <w:jc w:val="both"/>
              <w:rPr>
                <w:rFonts w:ascii="Arial" w:hAnsi="Arial" w:cs="Arial"/>
                <w:sz w:val="18"/>
                <w:szCs w:val="18"/>
              </w:rPr>
            </w:pPr>
            <w:r w:rsidRPr="00973028">
              <w:rPr>
                <w:rFonts w:ascii="Arial" w:eastAsia="Times New Roman" w:hAnsi="Arial" w:cs="Arial"/>
                <w:sz w:val="18"/>
                <w:szCs w:val="18"/>
                <w:lang w:eastAsia="es-ES"/>
              </w:rPr>
              <w:t>30 de marzo</w:t>
            </w:r>
          </w:p>
        </w:tc>
        <w:tc>
          <w:tcPr>
            <w:tcW w:w="5078" w:type="dxa"/>
            <w:tcBorders>
              <w:top w:val="single" w:sz="4" w:space="0" w:color="000000"/>
              <w:bottom w:val="single" w:sz="4" w:space="0" w:color="000000"/>
            </w:tcBorders>
            <w:shd w:val="clear" w:color="auto" w:fill="FFFFFF"/>
          </w:tcPr>
          <w:p w14:paraId="4B251CC1"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eastAsia="Times New Roman" w:hAnsi="Arial" w:cs="Arial"/>
                <w:sz w:val="18"/>
                <w:szCs w:val="18"/>
                <w:lang w:eastAsia="es-ES"/>
              </w:rPr>
              <w:t>Reflexiones de la Agencia Valenciana Antifraude ante el estado de alarma declarado por la pandemia de la Covid-19.</w:t>
            </w:r>
          </w:p>
        </w:tc>
        <w:tc>
          <w:tcPr>
            <w:tcW w:w="2009" w:type="dxa"/>
            <w:tcBorders>
              <w:top w:val="single" w:sz="4" w:space="0" w:color="000000"/>
              <w:bottom w:val="single" w:sz="4" w:space="0" w:color="000000"/>
            </w:tcBorders>
            <w:shd w:val="clear" w:color="auto" w:fill="FFFFFF"/>
          </w:tcPr>
          <w:p w14:paraId="69CCF925" w14:textId="77777777" w:rsidR="00B9275E" w:rsidRPr="00973028" w:rsidRDefault="00B9275E" w:rsidP="004522FD">
            <w:pPr>
              <w:spacing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http://bit.ly/3bEC8yg</w:t>
            </w:r>
          </w:p>
        </w:tc>
      </w:tr>
      <w:tr w:rsidR="00B9275E" w:rsidRPr="00973028" w14:paraId="4E3EA4CE" w14:textId="77777777" w:rsidTr="00B9275E">
        <w:trPr>
          <w:jc w:val="right"/>
        </w:trPr>
        <w:tc>
          <w:tcPr>
            <w:tcW w:w="1418" w:type="dxa"/>
            <w:tcBorders>
              <w:top w:val="single" w:sz="4" w:space="0" w:color="000000"/>
              <w:bottom w:val="single" w:sz="4" w:space="0" w:color="000000"/>
            </w:tcBorders>
            <w:shd w:val="clear" w:color="auto" w:fill="FFFFFF"/>
          </w:tcPr>
          <w:p w14:paraId="59D35EF4" w14:textId="77777777" w:rsidR="00B9275E" w:rsidRPr="00973028" w:rsidRDefault="00B9275E" w:rsidP="004522FD">
            <w:pPr>
              <w:spacing w:beforeAutospacing="1" w:after="120" w:line="276" w:lineRule="auto"/>
              <w:ind w:right="126"/>
              <w:jc w:val="both"/>
              <w:rPr>
                <w:rFonts w:ascii="Arial" w:hAnsi="Arial" w:cs="Arial"/>
                <w:sz w:val="18"/>
                <w:szCs w:val="18"/>
              </w:rPr>
            </w:pPr>
            <w:r w:rsidRPr="00973028">
              <w:rPr>
                <w:rFonts w:ascii="Arial" w:eastAsia="Times New Roman" w:hAnsi="Arial" w:cs="Arial"/>
                <w:sz w:val="18"/>
                <w:szCs w:val="18"/>
                <w:lang w:eastAsia="es-ES"/>
              </w:rPr>
              <w:t>27 de abril</w:t>
            </w:r>
          </w:p>
        </w:tc>
        <w:tc>
          <w:tcPr>
            <w:tcW w:w="5078" w:type="dxa"/>
            <w:tcBorders>
              <w:top w:val="single" w:sz="4" w:space="0" w:color="000000"/>
              <w:bottom w:val="single" w:sz="4" w:space="0" w:color="000000"/>
            </w:tcBorders>
            <w:shd w:val="clear" w:color="auto" w:fill="FFFFFF"/>
          </w:tcPr>
          <w:p w14:paraId="1CEEA8E9"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La Sindicatura de Comptes y la Agència de Prevenció i Lluita contra el Frau i la Corrupció firman un protocolo de colaboración para mejorar el cumplimiento de sus objetivos comunes.</w:t>
            </w:r>
          </w:p>
        </w:tc>
        <w:tc>
          <w:tcPr>
            <w:tcW w:w="2009" w:type="dxa"/>
            <w:tcBorders>
              <w:top w:val="single" w:sz="4" w:space="0" w:color="000000"/>
              <w:bottom w:val="single" w:sz="4" w:space="0" w:color="000000"/>
            </w:tcBorders>
            <w:shd w:val="clear" w:color="auto" w:fill="FFFFFF"/>
          </w:tcPr>
          <w:p w14:paraId="0AD2A633" w14:textId="77777777" w:rsidR="00B9275E" w:rsidRPr="00973028" w:rsidRDefault="00B9275E" w:rsidP="004522FD">
            <w:pPr>
              <w:tabs>
                <w:tab w:val="left" w:pos="960"/>
              </w:tabs>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http://bit.ly/35Ge1LR</w:t>
            </w:r>
          </w:p>
        </w:tc>
      </w:tr>
      <w:tr w:rsidR="00B9275E" w:rsidRPr="00973028" w14:paraId="24D6C69D" w14:textId="77777777" w:rsidTr="00B9275E">
        <w:trPr>
          <w:jc w:val="right"/>
        </w:trPr>
        <w:tc>
          <w:tcPr>
            <w:tcW w:w="1418" w:type="dxa"/>
            <w:tcBorders>
              <w:top w:val="single" w:sz="4" w:space="0" w:color="000000"/>
              <w:bottom w:val="single" w:sz="4" w:space="0" w:color="000000"/>
            </w:tcBorders>
            <w:shd w:val="clear" w:color="auto" w:fill="FFFFFF"/>
          </w:tcPr>
          <w:p w14:paraId="5445481A"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15 de mayo</w:t>
            </w:r>
          </w:p>
        </w:tc>
        <w:tc>
          <w:tcPr>
            <w:tcW w:w="5078" w:type="dxa"/>
            <w:tcBorders>
              <w:top w:val="single" w:sz="4" w:space="0" w:color="000000"/>
              <w:bottom w:val="single" w:sz="4" w:space="0" w:color="000000"/>
            </w:tcBorders>
            <w:shd w:val="clear" w:color="auto" w:fill="FFFFFF"/>
          </w:tcPr>
          <w:p w14:paraId="00EC026A"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eastAsia="Times New Roman" w:hAnsi="Arial" w:cs="Arial"/>
                <w:sz w:val="18"/>
                <w:szCs w:val="18"/>
                <w:lang w:eastAsia="es-ES"/>
              </w:rPr>
              <w:t>20 personas denunciantes de corrupción reciben protección de la Agencia Valenciana Antifraude.</w:t>
            </w:r>
          </w:p>
        </w:tc>
        <w:tc>
          <w:tcPr>
            <w:tcW w:w="2009" w:type="dxa"/>
            <w:tcBorders>
              <w:top w:val="single" w:sz="4" w:space="0" w:color="000000"/>
              <w:bottom w:val="single" w:sz="4" w:space="0" w:color="000000"/>
            </w:tcBorders>
            <w:shd w:val="clear" w:color="auto" w:fill="FFFFFF"/>
          </w:tcPr>
          <w:p w14:paraId="79253E5F"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u w:val="single"/>
              </w:rPr>
              <w:t>http://bit.ly/3oINsgH</w:t>
            </w:r>
          </w:p>
        </w:tc>
      </w:tr>
      <w:tr w:rsidR="00B9275E" w:rsidRPr="00973028" w14:paraId="4E4135B7" w14:textId="77777777" w:rsidTr="00B9275E">
        <w:trPr>
          <w:jc w:val="right"/>
        </w:trPr>
        <w:tc>
          <w:tcPr>
            <w:tcW w:w="1418" w:type="dxa"/>
            <w:tcBorders>
              <w:top w:val="single" w:sz="4" w:space="0" w:color="000000"/>
              <w:bottom w:val="single" w:sz="4" w:space="0" w:color="000000"/>
            </w:tcBorders>
            <w:shd w:val="clear" w:color="auto" w:fill="FFFFFF"/>
          </w:tcPr>
          <w:p w14:paraId="5E8E3D0A" w14:textId="77777777" w:rsidR="00B9275E" w:rsidRPr="00973028" w:rsidRDefault="00B9275E" w:rsidP="004522FD">
            <w:pPr>
              <w:spacing w:beforeAutospacing="1" w:after="120" w:line="276" w:lineRule="auto"/>
              <w:ind w:right="126"/>
              <w:jc w:val="both"/>
              <w:rPr>
                <w:rFonts w:ascii="Arial" w:hAnsi="Arial" w:cs="Arial"/>
                <w:sz w:val="18"/>
                <w:szCs w:val="18"/>
              </w:rPr>
            </w:pPr>
            <w:r w:rsidRPr="00973028">
              <w:rPr>
                <w:rFonts w:ascii="Arial" w:eastAsia="Times New Roman" w:hAnsi="Arial" w:cs="Arial"/>
                <w:sz w:val="18"/>
                <w:szCs w:val="18"/>
                <w:lang w:eastAsia="es-ES"/>
              </w:rPr>
              <w:t>19 de mayo</w:t>
            </w:r>
          </w:p>
        </w:tc>
        <w:tc>
          <w:tcPr>
            <w:tcW w:w="5078" w:type="dxa"/>
            <w:tcBorders>
              <w:top w:val="single" w:sz="4" w:space="0" w:color="000000"/>
              <w:bottom w:val="single" w:sz="4" w:space="0" w:color="000000"/>
            </w:tcBorders>
            <w:shd w:val="clear" w:color="auto" w:fill="FFFFFF"/>
          </w:tcPr>
          <w:p w14:paraId="11C897D4"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eastAsia="Times New Roman" w:hAnsi="Arial" w:cs="Arial"/>
                <w:sz w:val="18"/>
                <w:szCs w:val="18"/>
                <w:lang w:eastAsia="es-ES"/>
              </w:rPr>
              <w:t>La Agencia Valenciana Antifraude emite una recomendación general sobre el abuso del enriquecimiento injusto en el sector público.</w:t>
            </w:r>
          </w:p>
        </w:tc>
        <w:tc>
          <w:tcPr>
            <w:tcW w:w="2009" w:type="dxa"/>
            <w:tcBorders>
              <w:top w:val="single" w:sz="4" w:space="0" w:color="000000"/>
              <w:bottom w:val="single" w:sz="4" w:space="0" w:color="000000"/>
            </w:tcBorders>
            <w:shd w:val="clear" w:color="auto" w:fill="FFFFFF"/>
          </w:tcPr>
          <w:p w14:paraId="577568C5"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u w:val="single"/>
              </w:rPr>
              <w:t>http://bit.ly/3srQNTq</w:t>
            </w:r>
          </w:p>
        </w:tc>
      </w:tr>
      <w:tr w:rsidR="00B9275E" w:rsidRPr="00973028" w14:paraId="5D99BB6A" w14:textId="77777777" w:rsidTr="00B9275E">
        <w:trPr>
          <w:jc w:val="right"/>
        </w:trPr>
        <w:tc>
          <w:tcPr>
            <w:tcW w:w="1418" w:type="dxa"/>
            <w:tcBorders>
              <w:top w:val="single" w:sz="4" w:space="0" w:color="000000"/>
              <w:bottom w:val="single" w:sz="4" w:space="0" w:color="000000"/>
            </w:tcBorders>
            <w:shd w:val="clear" w:color="auto" w:fill="FFFFFF"/>
          </w:tcPr>
          <w:p w14:paraId="36B699C1" w14:textId="77777777" w:rsidR="00B9275E" w:rsidRPr="00973028" w:rsidRDefault="00B9275E" w:rsidP="004522FD">
            <w:pPr>
              <w:spacing w:beforeAutospacing="1" w:after="120" w:line="276" w:lineRule="auto"/>
              <w:ind w:right="126"/>
              <w:jc w:val="both"/>
              <w:rPr>
                <w:rFonts w:ascii="Arial" w:hAnsi="Arial" w:cs="Arial"/>
                <w:sz w:val="18"/>
                <w:szCs w:val="18"/>
              </w:rPr>
            </w:pPr>
            <w:r w:rsidRPr="00973028">
              <w:rPr>
                <w:rFonts w:ascii="Arial" w:eastAsia="Times New Roman" w:hAnsi="Arial" w:cs="Arial"/>
                <w:sz w:val="18"/>
                <w:szCs w:val="18"/>
                <w:lang w:eastAsia="es-ES"/>
              </w:rPr>
              <w:t>19 de mayo</w:t>
            </w:r>
          </w:p>
        </w:tc>
        <w:tc>
          <w:tcPr>
            <w:tcW w:w="5078" w:type="dxa"/>
            <w:tcBorders>
              <w:top w:val="single" w:sz="4" w:space="0" w:color="000000"/>
              <w:bottom w:val="single" w:sz="4" w:space="0" w:color="000000"/>
            </w:tcBorders>
            <w:shd w:val="clear" w:color="auto" w:fill="FFFFFF"/>
          </w:tcPr>
          <w:p w14:paraId="163546A6"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eastAsia="Times New Roman" w:hAnsi="Arial" w:cs="Arial"/>
                <w:sz w:val="18"/>
                <w:szCs w:val="18"/>
                <w:lang w:eastAsia="es-ES"/>
              </w:rPr>
              <w:t>La Agencia Valenciana Antifraude se ofrece a elaborar el informe pericial al que 5 peritos se negaron en el presunto caso de corrupción de Enrique Ortiz en Alcoi.</w:t>
            </w:r>
          </w:p>
        </w:tc>
        <w:tc>
          <w:tcPr>
            <w:tcW w:w="2009" w:type="dxa"/>
            <w:tcBorders>
              <w:top w:val="single" w:sz="4" w:space="0" w:color="000000"/>
              <w:bottom w:val="single" w:sz="4" w:space="0" w:color="000000"/>
            </w:tcBorders>
            <w:shd w:val="clear" w:color="auto" w:fill="FFFFFF"/>
          </w:tcPr>
          <w:p w14:paraId="14E4175D" w14:textId="77777777" w:rsidR="00B9275E" w:rsidRPr="00973028" w:rsidRDefault="00B9275E" w:rsidP="004522FD">
            <w:pPr>
              <w:spacing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http://bit.ly/3nPiH8I</w:t>
            </w:r>
          </w:p>
          <w:p w14:paraId="0D610216" w14:textId="77777777" w:rsidR="00B9275E" w:rsidRPr="00973028" w:rsidRDefault="00B9275E" w:rsidP="004522FD">
            <w:pPr>
              <w:spacing w:beforeAutospacing="1" w:after="120" w:line="276" w:lineRule="auto"/>
              <w:jc w:val="both"/>
              <w:rPr>
                <w:rFonts w:ascii="Arial" w:eastAsia="Times New Roman" w:hAnsi="Arial" w:cs="Arial"/>
                <w:color w:val="9D2235" w:themeColor="accent1"/>
                <w:sz w:val="18"/>
                <w:szCs w:val="18"/>
                <w:lang w:eastAsia="es-ES"/>
              </w:rPr>
            </w:pPr>
          </w:p>
        </w:tc>
      </w:tr>
      <w:tr w:rsidR="00B9275E" w:rsidRPr="00973028" w14:paraId="3BCCC122" w14:textId="77777777" w:rsidTr="00B9275E">
        <w:trPr>
          <w:jc w:val="right"/>
        </w:trPr>
        <w:tc>
          <w:tcPr>
            <w:tcW w:w="1418" w:type="dxa"/>
            <w:tcBorders>
              <w:top w:val="single" w:sz="4" w:space="0" w:color="000000"/>
              <w:bottom w:val="single" w:sz="4" w:space="0" w:color="000000"/>
            </w:tcBorders>
            <w:shd w:val="clear" w:color="auto" w:fill="FFFFFF"/>
          </w:tcPr>
          <w:p w14:paraId="6DB7BEE7" w14:textId="77777777" w:rsidR="00B9275E" w:rsidRPr="00973028" w:rsidRDefault="00B9275E" w:rsidP="004522FD">
            <w:pPr>
              <w:spacing w:beforeAutospacing="1" w:after="120" w:line="276" w:lineRule="auto"/>
              <w:ind w:right="126"/>
              <w:jc w:val="both"/>
              <w:rPr>
                <w:rFonts w:ascii="Arial" w:hAnsi="Arial" w:cs="Arial"/>
                <w:sz w:val="18"/>
                <w:szCs w:val="18"/>
              </w:rPr>
            </w:pPr>
            <w:r w:rsidRPr="00973028">
              <w:rPr>
                <w:rFonts w:ascii="Arial" w:eastAsia="Times New Roman" w:hAnsi="Arial" w:cs="Arial"/>
                <w:sz w:val="18"/>
                <w:szCs w:val="18"/>
                <w:lang w:eastAsia="es-ES"/>
              </w:rPr>
              <w:t>11 de junio</w:t>
            </w:r>
          </w:p>
        </w:tc>
        <w:tc>
          <w:tcPr>
            <w:tcW w:w="5078" w:type="dxa"/>
            <w:tcBorders>
              <w:top w:val="single" w:sz="4" w:space="0" w:color="000000"/>
              <w:bottom w:val="single" w:sz="4" w:space="0" w:color="000000"/>
            </w:tcBorders>
            <w:shd w:val="clear" w:color="auto" w:fill="FFFFFF"/>
          </w:tcPr>
          <w:p w14:paraId="3D238540"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eastAsia="Times New Roman" w:hAnsi="Arial" w:cs="Arial"/>
                <w:sz w:val="18"/>
                <w:szCs w:val="18"/>
                <w:lang w:eastAsia="es-ES"/>
              </w:rPr>
              <w:t>El director de la AVAF comparece en Las Corts para presentar 6 recomendaciones al nuevo proyecto de ley de la función pública valenciana.</w:t>
            </w:r>
          </w:p>
        </w:tc>
        <w:tc>
          <w:tcPr>
            <w:tcW w:w="2009" w:type="dxa"/>
            <w:tcBorders>
              <w:top w:val="single" w:sz="4" w:space="0" w:color="000000"/>
              <w:bottom w:val="single" w:sz="4" w:space="0" w:color="000000"/>
            </w:tcBorders>
            <w:shd w:val="clear" w:color="auto" w:fill="FFFFFF"/>
          </w:tcPr>
          <w:p w14:paraId="16BBC04B" w14:textId="77777777" w:rsidR="00B9275E" w:rsidRPr="00973028" w:rsidRDefault="00B9275E" w:rsidP="004522FD">
            <w:pPr>
              <w:spacing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http://bit.ly/35CDar2</w:t>
            </w:r>
          </w:p>
        </w:tc>
      </w:tr>
      <w:tr w:rsidR="00B9275E" w:rsidRPr="00973028" w14:paraId="44C3428B" w14:textId="77777777" w:rsidTr="00B9275E">
        <w:trPr>
          <w:jc w:val="right"/>
        </w:trPr>
        <w:tc>
          <w:tcPr>
            <w:tcW w:w="1418" w:type="dxa"/>
            <w:tcBorders>
              <w:top w:val="single" w:sz="4" w:space="0" w:color="000000"/>
              <w:bottom w:val="single" w:sz="4" w:space="0" w:color="000000"/>
            </w:tcBorders>
            <w:shd w:val="clear" w:color="auto" w:fill="FFFFFF"/>
          </w:tcPr>
          <w:p w14:paraId="3919FE8F"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19 de junio</w:t>
            </w:r>
          </w:p>
        </w:tc>
        <w:tc>
          <w:tcPr>
            <w:tcW w:w="5078" w:type="dxa"/>
            <w:tcBorders>
              <w:top w:val="single" w:sz="4" w:space="0" w:color="000000"/>
              <w:bottom w:val="single" w:sz="4" w:space="0" w:color="000000"/>
            </w:tcBorders>
            <w:shd w:val="clear" w:color="auto" w:fill="FFFFFF"/>
          </w:tcPr>
          <w:p w14:paraId="3547792F"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eastAsia="Times New Roman" w:hAnsi="Arial" w:cs="Arial"/>
                <w:sz w:val="18"/>
                <w:szCs w:val="18"/>
                <w:lang w:eastAsia="es-ES"/>
              </w:rPr>
              <w:t>Las agencias y oficinas anticorrupción de España se reúnen en un encuentro virtual.</w:t>
            </w:r>
          </w:p>
        </w:tc>
        <w:tc>
          <w:tcPr>
            <w:tcW w:w="2009" w:type="dxa"/>
            <w:tcBorders>
              <w:top w:val="single" w:sz="4" w:space="0" w:color="000000"/>
              <w:bottom w:val="single" w:sz="4" w:space="0" w:color="000000"/>
            </w:tcBorders>
            <w:shd w:val="clear" w:color="auto" w:fill="FFFFFF"/>
          </w:tcPr>
          <w:p w14:paraId="1200D39F"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http://bit.ly/38EnyoK</w:t>
            </w:r>
          </w:p>
        </w:tc>
      </w:tr>
      <w:tr w:rsidR="00B9275E" w:rsidRPr="00973028" w14:paraId="6DAB967E"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11DCA8CA"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23 de junio</w:t>
            </w:r>
          </w:p>
        </w:tc>
        <w:tc>
          <w:tcPr>
            <w:tcW w:w="5078" w:type="dxa"/>
            <w:tcBorders>
              <w:top w:val="single" w:sz="4" w:space="0" w:color="000000"/>
              <w:bottom w:val="single" w:sz="4" w:space="0" w:color="000000"/>
            </w:tcBorders>
            <w:shd w:val="clear" w:color="auto" w:fill="FFFFFF"/>
            <w:tcMar>
              <w:bottom w:w="0" w:type="dxa"/>
            </w:tcMar>
          </w:tcPr>
          <w:p w14:paraId="5943FC23"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 xml:space="preserve">23 de junio. Día Mundial de la Persona Alertadora. </w:t>
            </w:r>
            <w:r w:rsidRPr="00973028">
              <w:rPr>
                <w:rFonts w:ascii="Arial" w:hAnsi="Arial" w:cs="Arial"/>
                <w:i/>
                <w:iCs/>
                <w:sz w:val="18"/>
                <w:szCs w:val="18"/>
              </w:rPr>
              <w:t>Whistleblowers</w:t>
            </w:r>
            <w:r w:rsidRPr="00973028">
              <w:rPr>
                <w:rFonts w:ascii="Arial" w:hAnsi="Arial" w:cs="Arial"/>
                <w:sz w:val="18"/>
                <w:szCs w:val="18"/>
              </w:rPr>
              <w:t>.</w:t>
            </w:r>
          </w:p>
        </w:tc>
        <w:tc>
          <w:tcPr>
            <w:tcW w:w="2009" w:type="dxa"/>
            <w:tcBorders>
              <w:top w:val="single" w:sz="4" w:space="0" w:color="000000"/>
              <w:bottom w:val="single" w:sz="4" w:space="0" w:color="000000"/>
            </w:tcBorders>
            <w:shd w:val="clear" w:color="auto" w:fill="FFFFFF"/>
          </w:tcPr>
          <w:p w14:paraId="202CB1BE"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https://bit.ly/3rpiStd</w:t>
            </w:r>
          </w:p>
        </w:tc>
      </w:tr>
      <w:tr w:rsidR="00B9275E" w:rsidRPr="00973028" w14:paraId="0AA0FDE5"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6AB9631F"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25 de junio</w:t>
            </w:r>
          </w:p>
        </w:tc>
        <w:tc>
          <w:tcPr>
            <w:tcW w:w="5078" w:type="dxa"/>
            <w:tcBorders>
              <w:top w:val="single" w:sz="4" w:space="0" w:color="000000"/>
              <w:bottom w:val="single" w:sz="4" w:space="0" w:color="000000"/>
            </w:tcBorders>
            <w:shd w:val="clear" w:color="auto" w:fill="FFFFFF"/>
            <w:tcMar>
              <w:bottom w:w="0" w:type="dxa"/>
            </w:tcMar>
          </w:tcPr>
          <w:p w14:paraId="651C8622"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eastAsia="Times New Roman" w:hAnsi="Arial" w:cs="Arial"/>
                <w:sz w:val="18"/>
                <w:szCs w:val="18"/>
                <w:lang w:eastAsia="es-ES"/>
              </w:rPr>
              <w:t>La Agencia Valenciana Antifraude solicita a la R.A.E. la inclusión de la palabra “represaliador” en el diccionario.</w:t>
            </w:r>
          </w:p>
        </w:tc>
        <w:tc>
          <w:tcPr>
            <w:tcW w:w="2009" w:type="dxa"/>
            <w:tcBorders>
              <w:top w:val="single" w:sz="4" w:space="0" w:color="000000"/>
              <w:bottom w:val="single" w:sz="4" w:space="0" w:color="000000"/>
            </w:tcBorders>
            <w:shd w:val="clear" w:color="auto" w:fill="FFFFFF"/>
          </w:tcPr>
          <w:p w14:paraId="1252B972"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http://bit.ly/38GCdzz</w:t>
            </w:r>
          </w:p>
        </w:tc>
      </w:tr>
      <w:tr w:rsidR="00B9275E" w:rsidRPr="00973028" w14:paraId="226A51D7"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5D38E580"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1 de julio</w:t>
            </w:r>
          </w:p>
        </w:tc>
        <w:tc>
          <w:tcPr>
            <w:tcW w:w="5078" w:type="dxa"/>
            <w:tcBorders>
              <w:top w:val="single" w:sz="4" w:space="0" w:color="000000"/>
              <w:bottom w:val="single" w:sz="4" w:space="0" w:color="000000"/>
            </w:tcBorders>
            <w:shd w:val="clear" w:color="auto" w:fill="FFFFFF"/>
            <w:tcMar>
              <w:bottom w:w="0" w:type="dxa"/>
            </w:tcMar>
          </w:tcPr>
          <w:p w14:paraId="6AC938E3"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14 organizaciones de lucha contra el fraude y la corrupción se reúnen por segunda vez en el Consejo de Participación de la Agencia Valenciana Antifraude (AVAF).</w:t>
            </w:r>
          </w:p>
        </w:tc>
        <w:tc>
          <w:tcPr>
            <w:tcW w:w="2009" w:type="dxa"/>
            <w:tcBorders>
              <w:top w:val="single" w:sz="4" w:space="0" w:color="000000"/>
              <w:bottom w:val="single" w:sz="4" w:space="0" w:color="000000"/>
            </w:tcBorders>
            <w:shd w:val="clear" w:color="auto" w:fill="FFFFFF"/>
          </w:tcPr>
          <w:p w14:paraId="4498510E"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http://bit.ly/3oPwwW0</w:t>
            </w:r>
          </w:p>
        </w:tc>
      </w:tr>
      <w:tr w:rsidR="00B9275E" w:rsidRPr="00973028" w14:paraId="53C6D0D0"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63D27115"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6 de julio</w:t>
            </w:r>
          </w:p>
        </w:tc>
        <w:tc>
          <w:tcPr>
            <w:tcW w:w="5078" w:type="dxa"/>
            <w:tcBorders>
              <w:top w:val="single" w:sz="4" w:space="0" w:color="000000"/>
              <w:bottom w:val="single" w:sz="4" w:space="0" w:color="000000"/>
            </w:tcBorders>
            <w:shd w:val="clear" w:color="auto" w:fill="FFFFFF"/>
            <w:tcMar>
              <w:bottom w:w="0" w:type="dxa"/>
            </w:tcMar>
          </w:tcPr>
          <w:p w14:paraId="1B491384"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Organizaciones antifraude de toda Europa reclaman que se proteja a las personas denunciantes de corrupción.</w:t>
            </w:r>
          </w:p>
        </w:tc>
        <w:tc>
          <w:tcPr>
            <w:tcW w:w="2009" w:type="dxa"/>
            <w:tcBorders>
              <w:top w:val="single" w:sz="4" w:space="0" w:color="000000"/>
              <w:bottom w:val="single" w:sz="4" w:space="0" w:color="000000"/>
            </w:tcBorders>
            <w:shd w:val="clear" w:color="auto" w:fill="FFFFFF"/>
          </w:tcPr>
          <w:p w14:paraId="5D7E5D1C"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http://bit.ly/3qiokO1</w:t>
            </w:r>
          </w:p>
        </w:tc>
      </w:tr>
      <w:tr w:rsidR="00B9275E" w:rsidRPr="00973028" w14:paraId="7C0D4E7B"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0D45AD02"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23 de julio</w:t>
            </w:r>
          </w:p>
        </w:tc>
        <w:tc>
          <w:tcPr>
            <w:tcW w:w="5078" w:type="dxa"/>
            <w:tcBorders>
              <w:top w:val="single" w:sz="4" w:space="0" w:color="000000"/>
              <w:bottom w:val="single" w:sz="4" w:space="0" w:color="000000"/>
            </w:tcBorders>
            <w:shd w:val="clear" w:color="auto" w:fill="FFFFFF"/>
            <w:tcMar>
              <w:bottom w:w="0" w:type="dxa"/>
            </w:tcMar>
          </w:tcPr>
          <w:p w14:paraId="450AD95A"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El director de la Agencia Valenciana Antifraude reivindica la protección de las personas denunciantes de corrupción.</w:t>
            </w:r>
          </w:p>
        </w:tc>
        <w:tc>
          <w:tcPr>
            <w:tcW w:w="2009" w:type="dxa"/>
            <w:tcBorders>
              <w:top w:val="single" w:sz="4" w:space="0" w:color="000000"/>
              <w:bottom w:val="single" w:sz="4" w:space="0" w:color="000000"/>
            </w:tcBorders>
            <w:shd w:val="clear" w:color="auto" w:fill="FFFFFF"/>
          </w:tcPr>
          <w:p w14:paraId="4C41314E"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http://bit.ly/3qiokO1</w:t>
            </w:r>
          </w:p>
        </w:tc>
      </w:tr>
      <w:tr w:rsidR="00B9275E" w:rsidRPr="00973028" w14:paraId="5516D26A"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2588BA06"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4 de agosto</w:t>
            </w:r>
          </w:p>
        </w:tc>
        <w:tc>
          <w:tcPr>
            <w:tcW w:w="5078" w:type="dxa"/>
            <w:tcBorders>
              <w:top w:val="single" w:sz="4" w:space="0" w:color="000000"/>
              <w:bottom w:val="single" w:sz="4" w:space="0" w:color="000000"/>
            </w:tcBorders>
            <w:shd w:val="clear" w:color="auto" w:fill="FFFFFF"/>
            <w:tcMar>
              <w:bottom w:w="0" w:type="dxa"/>
            </w:tcMar>
          </w:tcPr>
          <w:p w14:paraId="09553D0B"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La Dirección General de Infancia y Adolescencia y la Agencia Valenciana Antifraude colaborarán para concienciar contra el fraude y la corrupción en la infancia y la adolescencia.</w:t>
            </w:r>
          </w:p>
        </w:tc>
        <w:tc>
          <w:tcPr>
            <w:tcW w:w="2009" w:type="dxa"/>
            <w:tcBorders>
              <w:top w:val="single" w:sz="4" w:space="0" w:color="000000"/>
              <w:bottom w:val="single" w:sz="4" w:space="0" w:color="000000"/>
            </w:tcBorders>
            <w:shd w:val="clear" w:color="auto" w:fill="FFFFFF"/>
          </w:tcPr>
          <w:p w14:paraId="26137FB4"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http://bit.ly/3ic6Jo6</w:t>
            </w:r>
          </w:p>
        </w:tc>
      </w:tr>
      <w:tr w:rsidR="00B9275E" w:rsidRPr="00973028" w14:paraId="61B2EF7C"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679304EC"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15 de septiembre</w:t>
            </w:r>
          </w:p>
        </w:tc>
        <w:tc>
          <w:tcPr>
            <w:tcW w:w="5078" w:type="dxa"/>
            <w:tcBorders>
              <w:top w:val="single" w:sz="4" w:space="0" w:color="000000"/>
              <w:bottom w:val="single" w:sz="4" w:space="0" w:color="000000"/>
            </w:tcBorders>
            <w:shd w:val="clear" w:color="auto" w:fill="FFFFFF"/>
            <w:tcMar>
              <w:bottom w:w="0" w:type="dxa"/>
            </w:tcMar>
          </w:tcPr>
          <w:p w14:paraId="0E30B877"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La Junta de Castilla y León se fija en la AVAF como modelo de su futura agencia anticorrupción.</w:t>
            </w:r>
          </w:p>
        </w:tc>
        <w:tc>
          <w:tcPr>
            <w:tcW w:w="2009" w:type="dxa"/>
            <w:tcBorders>
              <w:top w:val="single" w:sz="4" w:space="0" w:color="000000"/>
              <w:bottom w:val="single" w:sz="4" w:space="0" w:color="000000"/>
            </w:tcBorders>
            <w:shd w:val="clear" w:color="auto" w:fill="FFFFFF"/>
          </w:tcPr>
          <w:p w14:paraId="7E2161D4"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http://bit.ly/2LTeUtp</w:t>
            </w:r>
          </w:p>
        </w:tc>
      </w:tr>
      <w:tr w:rsidR="00B9275E" w:rsidRPr="00973028" w14:paraId="1697A460"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289A506C"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18 de septiembre</w:t>
            </w:r>
          </w:p>
        </w:tc>
        <w:tc>
          <w:tcPr>
            <w:tcW w:w="5078" w:type="dxa"/>
            <w:tcBorders>
              <w:top w:val="single" w:sz="4" w:space="0" w:color="000000"/>
              <w:bottom w:val="single" w:sz="4" w:space="0" w:color="000000"/>
            </w:tcBorders>
            <w:shd w:val="clear" w:color="auto" w:fill="FFFFFF"/>
            <w:tcMar>
              <w:bottom w:w="0" w:type="dxa"/>
            </w:tcMar>
          </w:tcPr>
          <w:p w14:paraId="430C1A0C" w14:textId="1DE15C42"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La Agencia Valenciana Antifraude recomienda al Ayuntamiento de Val</w:t>
            </w:r>
            <w:r w:rsidR="00FC1996">
              <w:rPr>
                <w:rFonts w:ascii="Arial" w:hAnsi="Arial" w:cs="Arial"/>
                <w:sz w:val="18"/>
                <w:szCs w:val="18"/>
              </w:rPr>
              <w:t>è</w:t>
            </w:r>
            <w:r w:rsidRPr="00973028">
              <w:rPr>
                <w:rFonts w:ascii="Arial" w:hAnsi="Arial" w:cs="Arial"/>
                <w:sz w:val="18"/>
                <w:szCs w:val="18"/>
              </w:rPr>
              <w:t>ncia mejoras en el proceso participativo “DecidimVLC”.</w:t>
            </w:r>
          </w:p>
        </w:tc>
        <w:tc>
          <w:tcPr>
            <w:tcW w:w="2009" w:type="dxa"/>
            <w:tcBorders>
              <w:top w:val="single" w:sz="4" w:space="0" w:color="000000"/>
              <w:bottom w:val="single" w:sz="4" w:space="0" w:color="000000"/>
            </w:tcBorders>
            <w:shd w:val="clear" w:color="auto" w:fill="FFFFFF"/>
          </w:tcPr>
          <w:p w14:paraId="42501DE5"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http://bit.ly/35G8ncO</w:t>
            </w:r>
          </w:p>
        </w:tc>
      </w:tr>
      <w:tr w:rsidR="00B9275E" w:rsidRPr="00973028" w14:paraId="774DAD1B"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5289A39B"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24 de septiembre</w:t>
            </w:r>
          </w:p>
        </w:tc>
        <w:tc>
          <w:tcPr>
            <w:tcW w:w="5078" w:type="dxa"/>
            <w:tcBorders>
              <w:top w:val="single" w:sz="4" w:space="0" w:color="000000"/>
              <w:bottom w:val="single" w:sz="4" w:space="0" w:color="000000"/>
            </w:tcBorders>
            <w:shd w:val="clear" w:color="auto" w:fill="FFFFFF"/>
            <w:tcMar>
              <w:bottom w:w="0" w:type="dxa"/>
            </w:tcMar>
          </w:tcPr>
          <w:p w14:paraId="05565C03"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Hombre y policía local, el perfil de la persona protegida por la Agencia Valenciana Antifraude.</w:t>
            </w:r>
          </w:p>
        </w:tc>
        <w:tc>
          <w:tcPr>
            <w:tcW w:w="2009" w:type="dxa"/>
            <w:tcBorders>
              <w:top w:val="single" w:sz="4" w:space="0" w:color="000000"/>
              <w:bottom w:val="single" w:sz="4" w:space="0" w:color="000000"/>
            </w:tcBorders>
            <w:shd w:val="clear" w:color="auto" w:fill="FFFFFF"/>
          </w:tcPr>
          <w:p w14:paraId="5D148560"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http://bit.ly/3oVDBUE</w:t>
            </w:r>
          </w:p>
        </w:tc>
      </w:tr>
      <w:tr w:rsidR="00B9275E" w:rsidRPr="00973028" w14:paraId="3C936B79"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79F6E0F6"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lastRenderedPageBreak/>
              <w:t>3 de octubre</w:t>
            </w:r>
          </w:p>
        </w:tc>
        <w:tc>
          <w:tcPr>
            <w:tcW w:w="5078" w:type="dxa"/>
            <w:tcBorders>
              <w:top w:val="single" w:sz="4" w:space="0" w:color="000000"/>
              <w:bottom w:val="single" w:sz="4" w:space="0" w:color="000000"/>
            </w:tcBorders>
            <w:shd w:val="clear" w:color="auto" w:fill="FFFFFF"/>
            <w:tcMar>
              <w:bottom w:w="0" w:type="dxa"/>
            </w:tcMar>
          </w:tcPr>
          <w:p w14:paraId="0F213CD3"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La Concejalía de Transparencia y Gobierno Abierto y la Agencia Valenciana Antifraude comienzan a trabajar en el Plan de Integridad del nuevo reglamento de transparencia del Ayuntamiento de València.</w:t>
            </w:r>
          </w:p>
        </w:tc>
        <w:tc>
          <w:tcPr>
            <w:tcW w:w="2009" w:type="dxa"/>
            <w:tcBorders>
              <w:top w:val="single" w:sz="4" w:space="0" w:color="000000"/>
              <w:bottom w:val="single" w:sz="4" w:space="0" w:color="000000"/>
            </w:tcBorders>
            <w:shd w:val="clear" w:color="auto" w:fill="FFFFFF"/>
          </w:tcPr>
          <w:p w14:paraId="09271D15"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http://bit.ly/39vKeGP</w:t>
            </w:r>
          </w:p>
        </w:tc>
      </w:tr>
      <w:tr w:rsidR="00B9275E" w:rsidRPr="00973028" w14:paraId="768F2C9B"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7E8EC750"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7 de octubre</w:t>
            </w:r>
          </w:p>
        </w:tc>
        <w:tc>
          <w:tcPr>
            <w:tcW w:w="5078" w:type="dxa"/>
            <w:tcBorders>
              <w:top w:val="single" w:sz="4" w:space="0" w:color="000000"/>
              <w:bottom w:val="single" w:sz="4" w:space="0" w:color="000000"/>
            </w:tcBorders>
            <w:shd w:val="clear" w:color="auto" w:fill="FFFFFF"/>
            <w:tcMar>
              <w:bottom w:w="0" w:type="dxa"/>
            </w:tcMar>
          </w:tcPr>
          <w:p w14:paraId="46813768"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El Notariado y la Agencia Valenciana Antifraude cooperarán en la lucha contra la corrupción.</w:t>
            </w:r>
          </w:p>
        </w:tc>
        <w:tc>
          <w:tcPr>
            <w:tcW w:w="2009" w:type="dxa"/>
            <w:tcBorders>
              <w:top w:val="single" w:sz="4" w:space="0" w:color="000000"/>
              <w:bottom w:val="single" w:sz="4" w:space="0" w:color="000000"/>
            </w:tcBorders>
            <w:shd w:val="clear" w:color="auto" w:fill="FFFFFF"/>
          </w:tcPr>
          <w:p w14:paraId="6637679F"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http://bit.ly/3ik5Lqc</w:t>
            </w:r>
          </w:p>
        </w:tc>
      </w:tr>
      <w:tr w:rsidR="00B9275E" w:rsidRPr="00973028" w14:paraId="265743C9"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6DAF1B16"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15 de octubre</w:t>
            </w:r>
          </w:p>
        </w:tc>
        <w:tc>
          <w:tcPr>
            <w:tcW w:w="5078" w:type="dxa"/>
            <w:tcBorders>
              <w:top w:val="single" w:sz="4" w:space="0" w:color="000000"/>
              <w:bottom w:val="single" w:sz="4" w:space="0" w:color="000000"/>
            </w:tcBorders>
            <w:shd w:val="clear" w:color="auto" w:fill="FFFFFF"/>
            <w:tcMar>
              <w:bottom w:w="0" w:type="dxa"/>
            </w:tcMar>
          </w:tcPr>
          <w:p w14:paraId="71AF00AB"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“En España se sigue condenando a las personas denunciantes de corrupción” ha declarado Joan Llinares en el Seminario de Política 2.0.</w:t>
            </w:r>
          </w:p>
        </w:tc>
        <w:tc>
          <w:tcPr>
            <w:tcW w:w="2009" w:type="dxa"/>
            <w:tcBorders>
              <w:top w:val="single" w:sz="4" w:space="0" w:color="000000"/>
              <w:bottom w:val="single" w:sz="4" w:space="0" w:color="000000"/>
            </w:tcBorders>
            <w:shd w:val="clear" w:color="auto" w:fill="FFFFFF"/>
          </w:tcPr>
          <w:p w14:paraId="61B98CB1"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http://bit.ly/39A8kAr</w:t>
            </w:r>
          </w:p>
        </w:tc>
      </w:tr>
      <w:tr w:rsidR="00B9275E" w:rsidRPr="00973028" w14:paraId="21579399"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7CD0358E"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23 de octubre</w:t>
            </w:r>
          </w:p>
        </w:tc>
        <w:tc>
          <w:tcPr>
            <w:tcW w:w="5078" w:type="dxa"/>
            <w:tcBorders>
              <w:top w:val="single" w:sz="4" w:space="0" w:color="000000"/>
              <w:bottom w:val="single" w:sz="4" w:space="0" w:color="000000"/>
            </w:tcBorders>
            <w:shd w:val="clear" w:color="auto" w:fill="FFFFFF"/>
            <w:tcMar>
              <w:bottom w:w="0" w:type="dxa"/>
            </w:tcMar>
          </w:tcPr>
          <w:p w14:paraId="5AA389FC"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La Agencia Valenciana Antifraude insta a la demolición de una vivienda ilegal en Daya Nueva (Alicante).</w:t>
            </w:r>
          </w:p>
        </w:tc>
        <w:tc>
          <w:tcPr>
            <w:tcW w:w="2009" w:type="dxa"/>
            <w:tcBorders>
              <w:top w:val="single" w:sz="4" w:space="0" w:color="000000"/>
              <w:bottom w:val="single" w:sz="4" w:space="0" w:color="000000"/>
            </w:tcBorders>
            <w:shd w:val="clear" w:color="auto" w:fill="FFFFFF"/>
          </w:tcPr>
          <w:p w14:paraId="4EF17D0F"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http://bit.ly/3snL7dl</w:t>
            </w:r>
          </w:p>
        </w:tc>
      </w:tr>
      <w:tr w:rsidR="00B9275E" w:rsidRPr="00973028" w14:paraId="6793C959"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37C624AE"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28 de octubre</w:t>
            </w:r>
          </w:p>
        </w:tc>
        <w:tc>
          <w:tcPr>
            <w:tcW w:w="5078" w:type="dxa"/>
            <w:tcBorders>
              <w:top w:val="single" w:sz="4" w:space="0" w:color="000000"/>
              <w:bottom w:val="single" w:sz="4" w:space="0" w:color="000000"/>
            </w:tcBorders>
            <w:shd w:val="clear" w:color="auto" w:fill="FFFFFF"/>
            <w:tcMar>
              <w:bottom w:w="0" w:type="dxa"/>
            </w:tcMar>
          </w:tcPr>
          <w:p w14:paraId="477A07B8"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El Ayuntamiento de Sueca abonó más de 2 millones de euros sin contrato en la Residencia Sant Josep.</w:t>
            </w:r>
          </w:p>
        </w:tc>
        <w:tc>
          <w:tcPr>
            <w:tcW w:w="2009" w:type="dxa"/>
            <w:tcBorders>
              <w:top w:val="single" w:sz="4" w:space="0" w:color="000000"/>
              <w:bottom w:val="single" w:sz="4" w:space="0" w:color="000000"/>
            </w:tcBorders>
            <w:shd w:val="clear" w:color="auto" w:fill="FFFFFF"/>
          </w:tcPr>
          <w:p w14:paraId="2F86F5E3"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http://bit.ly/35FfzWK</w:t>
            </w:r>
          </w:p>
        </w:tc>
      </w:tr>
      <w:tr w:rsidR="00B9275E" w:rsidRPr="00973028" w14:paraId="798F8042"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2BA04AE7"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30 de octubre</w:t>
            </w:r>
          </w:p>
        </w:tc>
        <w:tc>
          <w:tcPr>
            <w:tcW w:w="5078" w:type="dxa"/>
            <w:tcBorders>
              <w:top w:val="single" w:sz="4" w:space="0" w:color="000000"/>
              <w:bottom w:val="single" w:sz="4" w:space="0" w:color="000000"/>
            </w:tcBorders>
            <w:shd w:val="clear" w:color="auto" w:fill="FFFFFF"/>
            <w:tcMar>
              <w:bottom w:w="0" w:type="dxa"/>
            </w:tcMar>
          </w:tcPr>
          <w:p w14:paraId="3F664527"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El Consell de la Agencia Valenciana Antifraude aprueba un decálogo de principios para proteger a las personas denunciantes de corrupción.</w:t>
            </w:r>
          </w:p>
        </w:tc>
        <w:tc>
          <w:tcPr>
            <w:tcW w:w="2009" w:type="dxa"/>
            <w:tcBorders>
              <w:top w:val="single" w:sz="4" w:space="0" w:color="000000"/>
              <w:bottom w:val="single" w:sz="4" w:space="0" w:color="000000"/>
            </w:tcBorders>
            <w:shd w:val="clear" w:color="auto" w:fill="FFFFFF"/>
          </w:tcPr>
          <w:p w14:paraId="5177BCB6"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http://bit.ly/39yaoJe</w:t>
            </w:r>
          </w:p>
        </w:tc>
      </w:tr>
      <w:tr w:rsidR="00B9275E" w:rsidRPr="00973028" w14:paraId="76856B9A"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113864A2"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3 de noviembre</w:t>
            </w:r>
          </w:p>
        </w:tc>
        <w:tc>
          <w:tcPr>
            <w:tcW w:w="5078" w:type="dxa"/>
            <w:tcBorders>
              <w:top w:val="single" w:sz="4" w:space="0" w:color="000000"/>
              <w:bottom w:val="single" w:sz="4" w:space="0" w:color="000000"/>
            </w:tcBorders>
            <w:shd w:val="clear" w:color="auto" w:fill="FFFFFF"/>
            <w:tcMar>
              <w:bottom w:w="0" w:type="dxa"/>
            </w:tcMar>
          </w:tcPr>
          <w:p w14:paraId="3B7949AF"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La Agencia Valenciana Antifraude publica una recomendación sobre la necesidad de planificación para prevenir la corrupción en las administraciones públicas.</w:t>
            </w:r>
          </w:p>
        </w:tc>
        <w:tc>
          <w:tcPr>
            <w:tcW w:w="2009" w:type="dxa"/>
            <w:tcBorders>
              <w:top w:val="single" w:sz="4" w:space="0" w:color="000000"/>
              <w:bottom w:val="single" w:sz="4" w:space="0" w:color="000000"/>
            </w:tcBorders>
            <w:shd w:val="clear" w:color="auto" w:fill="FFFFFF"/>
          </w:tcPr>
          <w:p w14:paraId="370C8635"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http://bit.ly/3bDxWip</w:t>
            </w:r>
          </w:p>
        </w:tc>
      </w:tr>
      <w:tr w:rsidR="00B9275E" w:rsidRPr="00973028" w14:paraId="397D1886"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777DF6AB"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10 de noviembre</w:t>
            </w:r>
          </w:p>
        </w:tc>
        <w:tc>
          <w:tcPr>
            <w:tcW w:w="5078" w:type="dxa"/>
            <w:tcBorders>
              <w:top w:val="single" w:sz="4" w:space="0" w:color="000000"/>
              <w:bottom w:val="single" w:sz="4" w:space="0" w:color="000000"/>
            </w:tcBorders>
            <w:shd w:val="clear" w:color="auto" w:fill="FFFFFF"/>
            <w:tcMar>
              <w:bottom w:w="0" w:type="dxa"/>
            </w:tcMar>
          </w:tcPr>
          <w:p w14:paraId="366CE48D"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La Agencia Valenciana Antifraude concluye que la Institución Ferial Alicantina (IFA) debe reclamar al PP el pago de la factura por actos celebrados en el año 2009.</w:t>
            </w:r>
          </w:p>
        </w:tc>
        <w:tc>
          <w:tcPr>
            <w:tcW w:w="2009" w:type="dxa"/>
            <w:tcBorders>
              <w:top w:val="single" w:sz="4" w:space="0" w:color="000000"/>
              <w:bottom w:val="single" w:sz="4" w:space="0" w:color="000000"/>
            </w:tcBorders>
            <w:shd w:val="clear" w:color="auto" w:fill="FFFFFF"/>
          </w:tcPr>
          <w:p w14:paraId="0A88B464"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http://bit.ly/2LxrgHZ</w:t>
            </w:r>
          </w:p>
        </w:tc>
      </w:tr>
      <w:tr w:rsidR="00B9275E" w:rsidRPr="00973028" w14:paraId="34BE5C20"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0F22AF5D"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19 de noviembre</w:t>
            </w:r>
          </w:p>
        </w:tc>
        <w:tc>
          <w:tcPr>
            <w:tcW w:w="5078" w:type="dxa"/>
            <w:tcBorders>
              <w:top w:val="single" w:sz="4" w:space="0" w:color="000000"/>
              <w:bottom w:val="single" w:sz="4" w:space="0" w:color="000000"/>
            </w:tcBorders>
            <w:shd w:val="clear" w:color="auto" w:fill="FFFFFF"/>
            <w:tcMar>
              <w:bottom w:w="0" w:type="dxa"/>
            </w:tcMar>
          </w:tcPr>
          <w:p w14:paraId="40AE3EBA"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La Conselleria de Justicia y Administración Pública reconoce el nombramiento de un interino sin la titulación exigida tras una investigación realizada por la Agencia Valenciana Antifraude.</w:t>
            </w:r>
          </w:p>
        </w:tc>
        <w:tc>
          <w:tcPr>
            <w:tcW w:w="2009" w:type="dxa"/>
            <w:tcBorders>
              <w:top w:val="single" w:sz="4" w:space="0" w:color="000000"/>
              <w:bottom w:val="single" w:sz="4" w:space="0" w:color="000000"/>
            </w:tcBorders>
            <w:shd w:val="clear" w:color="auto" w:fill="FFFFFF"/>
          </w:tcPr>
          <w:p w14:paraId="77A94B65"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http://bit.ly/35IeOMi</w:t>
            </w:r>
          </w:p>
        </w:tc>
      </w:tr>
      <w:tr w:rsidR="00B9275E" w:rsidRPr="00973028" w14:paraId="787D36A5"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05E109FA"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23 de noviembre</w:t>
            </w:r>
          </w:p>
        </w:tc>
        <w:tc>
          <w:tcPr>
            <w:tcW w:w="5078" w:type="dxa"/>
            <w:tcBorders>
              <w:top w:val="single" w:sz="4" w:space="0" w:color="000000"/>
              <w:bottom w:val="single" w:sz="4" w:space="0" w:color="000000"/>
            </w:tcBorders>
            <w:shd w:val="clear" w:color="auto" w:fill="FFFFFF"/>
            <w:tcMar>
              <w:bottom w:w="0" w:type="dxa"/>
            </w:tcMar>
          </w:tcPr>
          <w:p w14:paraId="254860D6"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La Universitat de València y la Agencia Valenciana Antifraude firman un convenio para realizar acciones de prevención y formación contra el fraude y la corrupción.</w:t>
            </w:r>
          </w:p>
        </w:tc>
        <w:tc>
          <w:tcPr>
            <w:tcW w:w="2009" w:type="dxa"/>
            <w:tcBorders>
              <w:top w:val="single" w:sz="4" w:space="0" w:color="000000"/>
              <w:bottom w:val="single" w:sz="4" w:space="0" w:color="000000"/>
            </w:tcBorders>
            <w:shd w:val="clear" w:color="auto" w:fill="FFFFFF"/>
          </w:tcPr>
          <w:p w14:paraId="64B7C13D"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http://bit.ly/3qkKvmV</w:t>
            </w:r>
          </w:p>
        </w:tc>
      </w:tr>
      <w:tr w:rsidR="00B9275E" w:rsidRPr="00973028" w14:paraId="3074129F"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76A650F3" w14:textId="77777777" w:rsidR="00B9275E" w:rsidRPr="00973028" w:rsidRDefault="00B9275E" w:rsidP="004522FD">
            <w:pPr>
              <w:spacing w:beforeAutospacing="1" w:after="120" w:line="276" w:lineRule="auto"/>
              <w:ind w:right="126"/>
              <w:jc w:val="both"/>
              <w:rPr>
                <w:rFonts w:ascii="Arial" w:hAnsi="Arial" w:cs="Arial"/>
                <w:sz w:val="18"/>
                <w:szCs w:val="18"/>
              </w:rPr>
            </w:pPr>
            <w:r w:rsidRPr="00973028">
              <w:rPr>
                <w:rFonts w:ascii="Arial" w:eastAsia="Times New Roman" w:hAnsi="Arial" w:cs="Arial"/>
                <w:sz w:val="18"/>
                <w:szCs w:val="18"/>
                <w:lang w:eastAsia="es-ES"/>
              </w:rPr>
              <w:t>30 de noviembre</w:t>
            </w:r>
          </w:p>
        </w:tc>
        <w:tc>
          <w:tcPr>
            <w:tcW w:w="5078" w:type="dxa"/>
            <w:tcBorders>
              <w:top w:val="single" w:sz="4" w:space="0" w:color="000000"/>
              <w:bottom w:val="single" w:sz="4" w:space="0" w:color="000000"/>
            </w:tcBorders>
            <w:shd w:val="clear" w:color="auto" w:fill="FFFFFF"/>
            <w:tcMar>
              <w:bottom w:w="0" w:type="dxa"/>
            </w:tcMar>
          </w:tcPr>
          <w:p w14:paraId="657C619A"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La red estatal de oficinas y agencias antifraude celebra su 6º encuentro semestral.</w:t>
            </w:r>
          </w:p>
        </w:tc>
        <w:tc>
          <w:tcPr>
            <w:tcW w:w="2009" w:type="dxa"/>
            <w:tcBorders>
              <w:top w:val="single" w:sz="4" w:space="0" w:color="000000"/>
              <w:bottom w:val="single" w:sz="4" w:space="0" w:color="000000"/>
            </w:tcBorders>
            <w:shd w:val="clear" w:color="auto" w:fill="FFFFFF"/>
          </w:tcPr>
          <w:p w14:paraId="6FB93D5D"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http://bit.ly/3oL7uXM</w:t>
            </w:r>
          </w:p>
        </w:tc>
      </w:tr>
      <w:tr w:rsidR="00B9275E" w:rsidRPr="00973028" w14:paraId="0E815E09" w14:textId="77777777" w:rsidTr="00B9275E">
        <w:trPr>
          <w:jc w:val="right"/>
        </w:trPr>
        <w:tc>
          <w:tcPr>
            <w:tcW w:w="1418" w:type="dxa"/>
            <w:tcBorders>
              <w:top w:val="single" w:sz="4" w:space="0" w:color="000000"/>
              <w:bottom w:val="single" w:sz="4" w:space="0" w:color="000000"/>
            </w:tcBorders>
            <w:shd w:val="clear" w:color="auto" w:fill="FFFFFF"/>
            <w:tcMar>
              <w:bottom w:w="0" w:type="dxa"/>
            </w:tcMar>
          </w:tcPr>
          <w:p w14:paraId="6FFB1EB9"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10 de diciembre</w:t>
            </w:r>
          </w:p>
        </w:tc>
        <w:tc>
          <w:tcPr>
            <w:tcW w:w="5078" w:type="dxa"/>
            <w:tcBorders>
              <w:top w:val="single" w:sz="4" w:space="0" w:color="000000"/>
              <w:bottom w:val="single" w:sz="4" w:space="0" w:color="000000"/>
            </w:tcBorders>
            <w:shd w:val="clear" w:color="auto" w:fill="FFFFFF"/>
            <w:tcMar>
              <w:bottom w:w="0" w:type="dxa"/>
            </w:tcMar>
          </w:tcPr>
          <w:p w14:paraId="0FD68B8E"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Más 150 personas participan en la jornada organizada por la Agencia Valenciana Antifraude con motivo del Día Internacional contra la Corrupción.</w:t>
            </w:r>
          </w:p>
        </w:tc>
        <w:tc>
          <w:tcPr>
            <w:tcW w:w="2009" w:type="dxa"/>
            <w:tcBorders>
              <w:top w:val="single" w:sz="4" w:space="0" w:color="000000"/>
              <w:bottom w:val="single" w:sz="4" w:space="0" w:color="000000"/>
            </w:tcBorders>
            <w:shd w:val="clear" w:color="auto" w:fill="FFFFFF"/>
          </w:tcPr>
          <w:p w14:paraId="34B4933D"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http://bit.ly/3bEI0Yv</w:t>
            </w:r>
          </w:p>
        </w:tc>
      </w:tr>
      <w:tr w:rsidR="00B9275E" w:rsidRPr="00973028" w14:paraId="3F2C8662" w14:textId="77777777" w:rsidTr="00B9275E">
        <w:trPr>
          <w:jc w:val="right"/>
        </w:trPr>
        <w:tc>
          <w:tcPr>
            <w:tcW w:w="1418" w:type="dxa"/>
            <w:tcBorders>
              <w:top w:val="single" w:sz="4" w:space="0" w:color="000000"/>
            </w:tcBorders>
            <w:shd w:val="clear" w:color="auto" w:fill="FFFFFF"/>
            <w:tcMar>
              <w:bottom w:w="0" w:type="dxa"/>
            </w:tcMar>
          </w:tcPr>
          <w:p w14:paraId="14012EB4" w14:textId="77777777" w:rsidR="00B9275E" w:rsidRPr="00973028" w:rsidRDefault="00B9275E" w:rsidP="004522FD">
            <w:pPr>
              <w:spacing w:beforeAutospacing="1" w:after="120" w:line="276" w:lineRule="auto"/>
              <w:ind w:right="126"/>
              <w:jc w:val="both"/>
              <w:rPr>
                <w:rFonts w:ascii="Arial" w:eastAsia="Times New Roman" w:hAnsi="Arial" w:cs="Arial"/>
                <w:sz w:val="18"/>
                <w:szCs w:val="18"/>
                <w:lang w:eastAsia="es-ES"/>
              </w:rPr>
            </w:pPr>
            <w:r w:rsidRPr="00973028">
              <w:rPr>
                <w:rFonts w:ascii="Arial" w:eastAsia="Times New Roman" w:hAnsi="Arial" w:cs="Arial"/>
                <w:sz w:val="18"/>
                <w:szCs w:val="18"/>
                <w:lang w:eastAsia="es-ES"/>
              </w:rPr>
              <w:t>16 de diciembre</w:t>
            </w:r>
          </w:p>
        </w:tc>
        <w:tc>
          <w:tcPr>
            <w:tcW w:w="5078" w:type="dxa"/>
            <w:tcBorders>
              <w:top w:val="single" w:sz="4" w:space="0" w:color="000000"/>
            </w:tcBorders>
            <w:shd w:val="clear" w:color="auto" w:fill="FFFFFF"/>
            <w:tcMar>
              <w:bottom w:w="0" w:type="dxa"/>
            </w:tcMar>
          </w:tcPr>
          <w:p w14:paraId="0C69620C" w14:textId="77777777" w:rsidR="00B9275E" w:rsidRPr="00973028" w:rsidRDefault="00B9275E" w:rsidP="004522FD">
            <w:pPr>
              <w:spacing w:beforeAutospacing="1" w:after="120" w:line="276" w:lineRule="auto"/>
              <w:ind w:right="260"/>
              <w:jc w:val="both"/>
              <w:rPr>
                <w:rFonts w:ascii="Arial" w:hAnsi="Arial" w:cs="Arial"/>
                <w:sz w:val="18"/>
                <w:szCs w:val="18"/>
              </w:rPr>
            </w:pPr>
            <w:r w:rsidRPr="00973028">
              <w:rPr>
                <w:rFonts w:ascii="Arial" w:hAnsi="Arial" w:cs="Arial"/>
                <w:sz w:val="18"/>
                <w:szCs w:val="18"/>
              </w:rPr>
              <w:t>La Red Europea de Autoridades de Integridad y Alertadores (NEIWA) advierte de que solo falta un año para la transposición de la Directiva Europea de protección a las personas denunciantes de corrupción.</w:t>
            </w:r>
          </w:p>
        </w:tc>
        <w:tc>
          <w:tcPr>
            <w:tcW w:w="2009" w:type="dxa"/>
            <w:tcBorders>
              <w:top w:val="single" w:sz="4" w:space="0" w:color="000000"/>
            </w:tcBorders>
            <w:shd w:val="clear" w:color="auto" w:fill="FFFFFF"/>
          </w:tcPr>
          <w:p w14:paraId="41E311BE" w14:textId="77777777" w:rsidR="00B9275E" w:rsidRPr="00973028" w:rsidRDefault="00B9275E" w:rsidP="004522FD">
            <w:pPr>
              <w:spacing w:beforeAutospacing="1" w:after="120" w:line="276" w:lineRule="auto"/>
              <w:jc w:val="both"/>
              <w:rPr>
                <w:rFonts w:ascii="Arial" w:hAnsi="Arial" w:cs="Arial"/>
                <w:color w:val="9D2235" w:themeColor="accent1"/>
                <w:sz w:val="18"/>
                <w:szCs w:val="18"/>
              </w:rPr>
            </w:pPr>
            <w:r w:rsidRPr="00973028">
              <w:rPr>
                <w:rStyle w:val="EnlacedeInternet"/>
                <w:rFonts w:ascii="Arial" w:hAnsi="Arial" w:cs="Arial"/>
                <w:color w:val="9D2235" w:themeColor="accent1"/>
                <w:sz w:val="18"/>
                <w:szCs w:val="18"/>
              </w:rPr>
              <w:t>http://bit.ly/3oKZy8X</w:t>
            </w:r>
          </w:p>
        </w:tc>
      </w:tr>
    </w:tbl>
    <w:p w14:paraId="2A2C27B5" w14:textId="67768D97" w:rsidR="00B9275E" w:rsidRPr="00973028" w:rsidRDefault="00B9275E" w:rsidP="00837C34">
      <w:pPr>
        <w:pStyle w:val="Prrafodelista"/>
        <w:keepNext/>
        <w:numPr>
          <w:ilvl w:val="2"/>
          <w:numId w:val="25"/>
        </w:numPr>
        <w:spacing w:before="360" w:after="240" w:line="276" w:lineRule="auto"/>
        <w:ind w:left="851" w:hanging="851"/>
        <w:jc w:val="both"/>
        <w:outlineLvl w:val="2"/>
        <w:rPr>
          <w:rFonts w:ascii="Arial" w:eastAsia="Times New Roman" w:hAnsi="Arial" w:cs="Arial"/>
          <w:b/>
          <w:color w:val="9D2235" w:themeColor="accent1"/>
          <w:sz w:val="28"/>
          <w:szCs w:val="28"/>
        </w:rPr>
      </w:pPr>
      <w:bookmarkStart w:id="227" w:name="_Toc67646315"/>
      <w:r w:rsidRPr="00973028">
        <w:rPr>
          <w:rFonts w:ascii="Arial" w:eastAsia="Times New Roman" w:hAnsi="Arial" w:cs="Arial"/>
          <w:b/>
          <w:color w:val="9D2235" w:themeColor="accent1"/>
          <w:sz w:val="28"/>
          <w:szCs w:val="28"/>
        </w:rPr>
        <w:lastRenderedPageBreak/>
        <w:t>Grupo de Comunicación</w:t>
      </w:r>
      <w:bookmarkEnd w:id="227"/>
    </w:p>
    <w:p w14:paraId="7AFC16E1" w14:textId="77777777" w:rsidR="00B9275E" w:rsidRPr="00973028" w:rsidRDefault="00B9275E" w:rsidP="004522FD">
      <w:pPr>
        <w:spacing w:before="280" w:after="240" w:line="276" w:lineRule="auto"/>
        <w:jc w:val="both"/>
        <w:rPr>
          <w:rFonts w:ascii="Arial" w:hAnsi="Arial" w:cs="Arial"/>
          <w:sz w:val="21"/>
          <w:szCs w:val="21"/>
        </w:rPr>
      </w:pPr>
      <w:r w:rsidRPr="00973028">
        <w:rPr>
          <w:rFonts w:ascii="Arial" w:eastAsia="Times New Roman" w:hAnsi="Arial" w:cs="Arial"/>
          <w:sz w:val="21"/>
          <w:szCs w:val="21"/>
          <w:lang w:eastAsia="es-ES"/>
        </w:rPr>
        <w:t>Conscientes de la importancia que la comunicación tiene para la Agencia se constituyó durante el año 2021 un grupo de comunicación en el que participa personal de los diferentes departamentos que la forman.</w:t>
      </w:r>
    </w:p>
    <w:p w14:paraId="7DE3CE4C" w14:textId="05660AB0" w:rsidR="00B9275E" w:rsidRPr="00973028" w:rsidRDefault="00B9275E" w:rsidP="004522FD">
      <w:pPr>
        <w:spacing w:before="280" w:after="240" w:line="276" w:lineRule="auto"/>
        <w:jc w:val="both"/>
        <w:rPr>
          <w:rFonts w:ascii="Arial" w:hAnsi="Arial" w:cs="Arial"/>
          <w:sz w:val="21"/>
          <w:szCs w:val="21"/>
        </w:rPr>
      </w:pPr>
      <w:r w:rsidRPr="00973028">
        <w:rPr>
          <w:rFonts w:ascii="Arial" w:eastAsia="Times New Roman" w:hAnsi="Arial" w:cs="Arial"/>
          <w:sz w:val="21"/>
          <w:szCs w:val="21"/>
          <w:lang w:eastAsia="es-ES"/>
        </w:rPr>
        <w:t xml:space="preserve">El grupo se reúne de forma periódica cada dos semanas y en él se debaten y analizan las acciones de comunicación que se pueden poner en marcha, así como la coordinación de eventos públicos y otras cuestiones que afectan tanto a la comunicación externa como interna de la Agencia. </w:t>
      </w:r>
    </w:p>
    <w:p w14:paraId="4B33CC4E" w14:textId="41A57FDF" w:rsidR="00B9275E" w:rsidRPr="00973028" w:rsidRDefault="00B9275E" w:rsidP="00672ABA">
      <w:pPr>
        <w:pStyle w:val="Prrafodelista"/>
        <w:numPr>
          <w:ilvl w:val="2"/>
          <w:numId w:val="25"/>
        </w:numPr>
        <w:spacing w:before="360" w:after="240" w:line="276" w:lineRule="auto"/>
        <w:ind w:left="851" w:hanging="851"/>
        <w:jc w:val="both"/>
        <w:outlineLvl w:val="2"/>
        <w:rPr>
          <w:rFonts w:ascii="Arial" w:eastAsia="Times New Roman" w:hAnsi="Arial" w:cs="Arial"/>
          <w:b/>
          <w:color w:val="9D2235" w:themeColor="accent1"/>
          <w:sz w:val="28"/>
          <w:szCs w:val="28"/>
        </w:rPr>
      </w:pPr>
      <w:bookmarkStart w:id="228" w:name="_Toc62561790"/>
      <w:bookmarkStart w:id="229" w:name="_Toc67646316"/>
      <w:r w:rsidRPr="00973028">
        <w:rPr>
          <w:rFonts w:ascii="Arial" w:eastAsia="Times New Roman" w:hAnsi="Arial" w:cs="Arial"/>
          <w:b/>
          <w:color w:val="9D2235" w:themeColor="accent1"/>
          <w:sz w:val="28"/>
          <w:szCs w:val="28"/>
        </w:rPr>
        <w:t>Elaboración del Plan de Comunicación</w:t>
      </w:r>
      <w:bookmarkEnd w:id="228"/>
      <w:bookmarkEnd w:id="229"/>
      <w:r w:rsidRPr="00973028">
        <w:rPr>
          <w:rFonts w:ascii="Arial" w:eastAsia="Times New Roman" w:hAnsi="Arial" w:cs="Arial"/>
          <w:b/>
          <w:color w:val="9D2235" w:themeColor="accent1"/>
          <w:sz w:val="28"/>
          <w:szCs w:val="28"/>
        </w:rPr>
        <w:t xml:space="preserve"> </w:t>
      </w:r>
    </w:p>
    <w:p w14:paraId="1D31B1CB" w14:textId="77777777" w:rsidR="00B9275E" w:rsidRPr="00973028" w:rsidRDefault="00B9275E" w:rsidP="004522FD">
      <w:pPr>
        <w:spacing w:before="280" w:after="240" w:line="276" w:lineRule="auto"/>
        <w:jc w:val="both"/>
        <w:rPr>
          <w:rFonts w:ascii="Arial" w:eastAsia="Times New Roman" w:hAnsi="Arial" w:cs="Arial"/>
          <w:sz w:val="21"/>
          <w:szCs w:val="21"/>
          <w:lang w:eastAsia="es-ES"/>
        </w:rPr>
      </w:pPr>
      <w:r w:rsidRPr="00973028">
        <w:rPr>
          <w:rFonts w:ascii="Arial" w:eastAsia="Times New Roman" w:hAnsi="Arial" w:cs="Arial"/>
          <w:sz w:val="21"/>
          <w:szCs w:val="21"/>
          <w:lang w:eastAsia="es-ES"/>
        </w:rPr>
        <w:t xml:space="preserve">Durante el año 2020 se ha elaborado un Plan de Comunicación para la Agencia Valenciana Antifraude para el año 2020. </w:t>
      </w:r>
    </w:p>
    <w:p w14:paraId="167E69FA" w14:textId="77777777" w:rsidR="00B9275E" w:rsidRPr="00973028" w:rsidRDefault="00B9275E" w:rsidP="004522FD">
      <w:pPr>
        <w:spacing w:before="280" w:after="240" w:line="276" w:lineRule="auto"/>
        <w:jc w:val="both"/>
        <w:rPr>
          <w:rFonts w:ascii="Arial" w:hAnsi="Arial" w:cs="Arial"/>
          <w:sz w:val="21"/>
          <w:szCs w:val="21"/>
        </w:rPr>
      </w:pPr>
      <w:r w:rsidRPr="00973028">
        <w:rPr>
          <w:rFonts w:ascii="Arial" w:eastAsia="Times New Roman" w:hAnsi="Arial" w:cs="Arial"/>
          <w:sz w:val="21"/>
          <w:szCs w:val="21"/>
          <w:lang w:eastAsia="es-ES"/>
        </w:rPr>
        <w:t>Para la redacción de este plan se ha partido de un análisis de la situación tanto interna como externa en la que se encuentra la Agencia para después definir cuáles son los públicos objetivos a los que nos queremos dirigir con nuestras acciones de comunicación.</w:t>
      </w:r>
    </w:p>
    <w:p w14:paraId="444431E8" w14:textId="4C980114" w:rsidR="00B9275E" w:rsidRPr="00973028" w:rsidRDefault="00B9275E" w:rsidP="004522FD">
      <w:pPr>
        <w:spacing w:before="280" w:after="240" w:line="276" w:lineRule="auto"/>
        <w:jc w:val="both"/>
        <w:rPr>
          <w:rFonts w:ascii="Arial" w:hAnsi="Arial" w:cs="Arial"/>
          <w:sz w:val="21"/>
          <w:szCs w:val="21"/>
        </w:rPr>
      </w:pPr>
      <w:r w:rsidRPr="00973028">
        <w:rPr>
          <w:rFonts w:ascii="Arial" w:eastAsia="Times New Roman" w:hAnsi="Arial" w:cs="Arial"/>
          <w:sz w:val="21"/>
          <w:szCs w:val="21"/>
          <w:lang w:eastAsia="es-ES"/>
        </w:rPr>
        <w:t>Este análisis previo ha permitido definir los objetivos estratégicos del plan que a su vez se han concretado en líneas estratégicas de trabajo en las que se engloban acciones de comunicación tanto interna como externa. El plan recoge así mismo cómo se va a evaluar la ejecución del plan, una planificación de las acciones previstas y el presupuesto que comporta la realización de las actuaciones previstas.</w:t>
      </w:r>
    </w:p>
    <w:p w14:paraId="073B7AA2" w14:textId="6EA85839" w:rsidR="00B9275E" w:rsidRPr="00973028" w:rsidRDefault="00B9275E" w:rsidP="00672ABA">
      <w:pPr>
        <w:pStyle w:val="Prrafodelista"/>
        <w:numPr>
          <w:ilvl w:val="1"/>
          <w:numId w:val="25"/>
        </w:numPr>
        <w:spacing w:before="360" w:after="240" w:line="276" w:lineRule="auto"/>
        <w:ind w:left="851" w:hanging="851"/>
        <w:jc w:val="both"/>
        <w:outlineLvl w:val="1"/>
        <w:rPr>
          <w:rFonts w:ascii="Arial" w:eastAsia="Times New Roman" w:hAnsi="Arial" w:cs="Arial"/>
          <w:b/>
          <w:color w:val="9D2235" w:themeColor="accent1"/>
          <w:sz w:val="32"/>
          <w:szCs w:val="32"/>
        </w:rPr>
      </w:pPr>
      <w:bookmarkStart w:id="230" w:name="_Toc67646317"/>
      <w:r w:rsidRPr="00973028">
        <w:rPr>
          <w:rFonts w:ascii="Arial" w:eastAsia="Times New Roman" w:hAnsi="Arial" w:cs="Arial"/>
          <w:b/>
          <w:color w:val="9D2235" w:themeColor="accent1"/>
          <w:sz w:val="32"/>
          <w:szCs w:val="32"/>
        </w:rPr>
        <w:t>Relaciones con las Corts Valencianes</w:t>
      </w:r>
      <w:bookmarkEnd w:id="230"/>
    </w:p>
    <w:p w14:paraId="4BC26C64" w14:textId="77777777" w:rsidR="004C75D4" w:rsidRDefault="00B9275E" w:rsidP="004522FD">
      <w:pPr>
        <w:pStyle w:val="NormalWeb"/>
        <w:spacing w:before="280" w:after="240" w:line="276" w:lineRule="auto"/>
        <w:jc w:val="both"/>
        <w:rPr>
          <w:rFonts w:ascii="Arial" w:hAnsi="Arial" w:cs="Arial"/>
          <w:sz w:val="21"/>
          <w:szCs w:val="21"/>
        </w:rPr>
      </w:pPr>
      <w:r w:rsidRPr="00973028">
        <w:rPr>
          <w:rFonts w:ascii="Arial" w:hAnsi="Arial" w:cs="Arial"/>
          <w:sz w:val="21"/>
          <w:szCs w:val="21"/>
        </w:rPr>
        <w:t xml:space="preserve">De acuerdo con el artículo 5.4 de la Ley 11/2016 de la Generalitat, de creación de la Agencia, </w:t>
      </w:r>
    </w:p>
    <w:p w14:paraId="0FDC5B2B" w14:textId="3AB4F908" w:rsidR="00B9275E" w:rsidRPr="00A928E2" w:rsidRDefault="00B9275E" w:rsidP="004C75D4">
      <w:pPr>
        <w:pStyle w:val="NormalWeb"/>
        <w:spacing w:after="240" w:line="276" w:lineRule="auto"/>
        <w:ind w:left="567"/>
        <w:jc w:val="both"/>
        <w:rPr>
          <w:rFonts w:ascii="Arial" w:hAnsi="Arial" w:cs="Arial"/>
          <w:sz w:val="21"/>
          <w:szCs w:val="21"/>
        </w:rPr>
      </w:pPr>
      <w:r w:rsidRPr="004C75D4">
        <w:rPr>
          <w:rFonts w:ascii="Arial" w:hAnsi="Arial" w:cs="Arial"/>
          <w:sz w:val="21"/>
          <w:szCs w:val="21"/>
        </w:rPr>
        <w:t>“La agencia se relaciona con Les Corts mediante la comisión parlamentaria que se establezca. A esta comisión le corresponde el control de actuación de la agencia y la comprobación de los requisitos exigidos al candidato o candidata a director o directora antes de la elección por el Pleno de Les Corts. La Agencia, siempre que sea requerida, cooperará con las comisiones parlamentarias de investigación en la elaboración de dictámenes sobre asuntos de su ámbito de actuación. Asimismo, el director o directora de la Agencia acudirá a las comisiones parlamentarias a las que sea convocado para informar del estado de sus actuaciones y podrá solicitar, cuando lo crea conveniente, comparecer”.</w:t>
      </w:r>
    </w:p>
    <w:p w14:paraId="4F48652D" w14:textId="7E6E3128" w:rsidR="00B9275E" w:rsidRPr="00973028" w:rsidRDefault="00B9275E" w:rsidP="004522FD">
      <w:pPr>
        <w:pStyle w:val="NormalWeb"/>
        <w:spacing w:before="280" w:after="240" w:line="276" w:lineRule="auto"/>
        <w:jc w:val="both"/>
        <w:rPr>
          <w:rFonts w:ascii="Arial" w:hAnsi="Arial" w:cs="Arial"/>
          <w:sz w:val="21"/>
          <w:szCs w:val="21"/>
        </w:rPr>
      </w:pPr>
      <w:r w:rsidRPr="00973028">
        <w:rPr>
          <w:rFonts w:ascii="Arial" w:hAnsi="Arial" w:cs="Arial"/>
          <w:sz w:val="21"/>
          <w:szCs w:val="21"/>
        </w:rPr>
        <w:t>Los artículos 23 y 24 de la Ley 11/2016 de la Generalitat, por otra parte, se refieren a la elaboración y presentación, cuando concurran circunstancias especiales, de informes especiales y extraordinarios, los cuales, junto con la memoria anual serán publicados en el Boletín Oficial de las Corts y en el Portal de Transparencia de la web de la Agencia. También podrá elaborar la Agencia recomendaciones y dictámenes no vinculantes sobre asuntos de su competencia.</w:t>
      </w:r>
    </w:p>
    <w:p w14:paraId="6ACAFE56" w14:textId="4E14CC83" w:rsidR="00B9275E" w:rsidRPr="00973028" w:rsidRDefault="00B9275E" w:rsidP="00672ABA">
      <w:pPr>
        <w:pStyle w:val="Prrafodelista"/>
        <w:numPr>
          <w:ilvl w:val="2"/>
          <w:numId w:val="25"/>
        </w:numPr>
        <w:spacing w:before="360" w:after="240" w:line="276" w:lineRule="auto"/>
        <w:ind w:left="1134" w:hanging="1134"/>
        <w:jc w:val="both"/>
        <w:outlineLvl w:val="2"/>
        <w:rPr>
          <w:rFonts w:ascii="Arial" w:eastAsia="Times New Roman" w:hAnsi="Arial" w:cs="Arial"/>
          <w:b/>
          <w:color w:val="9D2235" w:themeColor="accent1"/>
          <w:sz w:val="28"/>
          <w:szCs w:val="28"/>
        </w:rPr>
      </w:pPr>
      <w:bookmarkStart w:id="231" w:name="_Toc62561792"/>
      <w:bookmarkStart w:id="232" w:name="_Toc67646318"/>
      <w:r w:rsidRPr="00973028">
        <w:rPr>
          <w:rFonts w:ascii="Arial" w:eastAsia="Times New Roman" w:hAnsi="Arial" w:cs="Arial"/>
          <w:b/>
          <w:color w:val="9D2235" w:themeColor="accent1"/>
          <w:sz w:val="28"/>
          <w:szCs w:val="28"/>
        </w:rPr>
        <w:lastRenderedPageBreak/>
        <w:t>Comparecencias del director ante comisiones parlamentarias</w:t>
      </w:r>
      <w:bookmarkEnd w:id="231"/>
      <w:bookmarkEnd w:id="232"/>
    </w:p>
    <w:p w14:paraId="000B5B09" w14:textId="6460C404" w:rsidR="00B9275E" w:rsidRPr="00973028" w:rsidRDefault="00B9275E" w:rsidP="003C28C4">
      <w:pPr>
        <w:rPr>
          <w:rFonts w:ascii="Arial" w:hAnsi="Arial" w:cs="Arial"/>
          <w:b/>
          <w:bCs/>
          <w:color w:val="9D2235" w:themeColor="accent1"/>
          <w:sz w:val="21"/>
          <w:szCs w:val="21"/>
        </w:rPr>
      </w:pPr>
      <w:r w:rsidRPr="00973028">
        <w:rPr>
          <w:rFonts w:ascii="Arial" w:hAnsi="Arial" w:cs="Arial"/>
          <w:b/>
          <w:bCs/>
          <w:color w:val="9D2235" w:themeColor="accent1"/>
          <w:sz w:val="21"/>
          <w:szCs w:val="21"/>
        </w:rPr>
        <w:t>Presentación de la Memoria 2019</w:t>
      </w:r>
    </w:p>
    <w:p w14:paraId="550B6139" w14:textId="6B2DB4BE" w:rsidR="00B9275E" w:rsidRPr="00973028" w:rsidRDefault="00B9275E" w:rsidP="004522FD">
      <w:pPr>
        <w:pStyle w:val="Texto"/>
        <w:spacing w:after="240"/>
        <w:rPr>
          <w:rFonts w:ascii="Arial" w:hAnsi="Arial" w:cs="Arial"/>
        </w:rPr>
      </w:pPr>
      <w:r w:rsidRPr="00973028">
        <w:rPr>
          <w:rFonts w:ascii="Arial" w:hAnsi="Arial" w:cs="Arial"/>
        </w:rPr>
        <w:t>La Memoria de actividades del ejercicio 2019, presentada en las Corts Valencianes el 30 de marzo en cumplimiento del artículo 22.3 de la Ley 11/2016, de 28 de noviembre, no pudo ser presentada ante la Comisión de Economía, Presupuestos y Hacienda debido a las restricciones impuestas por la pandemia provocada por el COVID-19.</w:t>
      </w:r>
    </w:p>
    <w:p w14:paraId="230C846A" w14:textId="7E5E5754" w:rsidR="00B9275E" w:rsidRPr="00973028" w:rsidRDefault="00B9275E" w:rsidP="004522FD">
      <w:pPr>
        <w:pStyle w:val="Texto"/>
        <w:spacing w:after="240"/>
        <w:rPr>
          <w:rFonts w:ascii="Arial" w:hAnsi="Arial" w:cs="Arial"/>
        </w:rPr>
      </w:pPr>
      <w:r w:rsidRPr="00973028">
        <w:rPr>
          <w:rFonts w:ascii="Arial" w:hAnsi="Arial" w:cs="Arial"/>
        </w:rPr>
        <w:t>Dicha presentación se realizó el 9 de febrero de 2021, de forma presencial, en el hemiciclo de las Corts Valencianes</w:t>
      </w:r>
      <w:r w:rsidR="00DE7467" w:rsidRPr="00973028">
        <w:rPr>
          <w:rFonts w:ascii="Arial" w:hAnsi="Arial" w:cs="Arial"/>
        </w:rPr>
        <w:t xml:space="preserve">. </w:t>
      </w:r>
      <w:hyperlink r:id="rId212" w:history="1">
        <w:r w:rsidR="00DE7467" w:rsidRPr="00F41DFF">
          <w:rPr>
            <w:rStyle w:val="Hipervnculo"/>
            <w:rFonts w:ascii="Arial" w:hAnsi="Arial" w:cs="Arial"/>
          </w:rPr>
          <w:t>Acceso a la grabación de la comparecencia en video en la Mediateca de las Corts Valencianes</w:t>
        </w:r>
      </w:hyperlink>
      <w:r w:rsidR="00DE7467" w:rsidRPr="00973028">
        <w:rPr>
          <w:rFonts w:ascii="Arial" w:hAnsi="Arial" w:cs="Arial"/>
        </w:rPr>
        <w:t>.</w:t>
      </w:r>
    </w:p>
    <w:p w14:paraId="726A49AA" w14:textId="51C96A57" w:rsidR="00B9275E" w:rsidRPr="00973028" w:rsidRDefault="00B9275E" w:rsidP="003C28C4">
      <w:pPr>
        <w:rPr>
          <w:rFonts w:ascii="Arial" w:hAnsi="Arial" w:cs="Arial"/>
          <w:b/>
          <w:bCs/>
          <w:color w:val="9D2235" w:themeColor="accent1"/>
          <w:sz w:val="21"/>
          <w:szCs w:val="21"/>
        </w:rPr>
      </w:pPr>
      <w:r w:rsidRPr="00973028">
        <w:rPr>
          <w:rFonts w:ascii="Arial" w:hAnsi="Arial" w:cs="Arial"/>
          <w:b/>
          <w:bCs/>
          <w:color w:val="9D2235" w:themeColor="accent1"/>
          <w:sz w:val="21"/>
          <w:szCs w:val="21"/>
        </w:rPr>
        <w:t>Presentación de enmiendas al Proyecto de ley de la función pública valenciana</w:t>
      </w:r>
    </w:p>
    <w:p w14:paraId="6E18E78C" w14:textId="370167FE" w:rsidR="00B9275E" w:rsidRPr="00973028" w:rsidRDefault="00B9275E" w:rsidP="004522FD">
      <w:pPr>
        <w:pStyle w:val="Texto"/>
        <w:spacing w:after="240"/>
        <w:rPr>
          <w:rFonts w:ascii="Arial" w:hAnsi="Arial" w:cs="Arial"/>
        </w:rPr>
      </w:pPr>
      <w:r w:rsidRPr="00973028">
        <w:rPr>
          <w:rFonts w:ascii="Arial" w:hAnsi="Arial" w:cs="Arial"/>
        </w:rPr>
        <w:t xml:space="preserve">En virtud de lo dispuesto en el artículo 5.4 de la Ley 11/2016, de 28 de noviembre, de la Generalitat, y el artículo 188 del Reglamento de Les Corts Valencianes, el director de la Agencia solicitó su comparecencia respecto al </w:t>
      </w:r>
      <w:hyperlink r:id="rId213">
        <w:r w:rsidRPr="00973028">
          <w:rPr>
            <w:rStyle w:val="EnlacedeInternet"/>
            <w:rFonts w:ascii="Arial" w:hAnsi="Arial" w:cs="Arial"/>
          </w:rPr>
          <w:t>Proyecto de ley, de la Generalitat, de la función pública valenciana</w:t>
        </w:r>
      </w:hyperlink>
      <w:r w:rsidRPr="00973028">
        <w:rPr>
          <w:rFonts w:ascii="Arial" w:hAnsi="Arial" w:cs="Arial"/>
        </w:rPr>
        <w:t>.</w:t>
      </w:r>
    </w:p>
    <w:p w14:paraId="4C77E89C" w14:textId="77777777" w:rsidR="00B9275E" w:rsidRPr="00973028" w:rsidRDefault="00B9275E" w:rsidP="004522FD">
      <w:pPr>
        <w:pStyle w:val="Texto"/>
        <w:spacing w:after="240"/>
        <w:rPr>
          <w:rFonts w:ascii="Arial" w:hAnsi="Arial" w:cs="Arial"/>
        </w:rPr>
      </w:pPr>
      <w:r w:rsidRPr="00973028">
        <w:rPr>
          <w:rFonts w:ascii="Arial" w:hAnsi="Arial" w:cs="Arial"/>
        </w:rPr>
        <w:t xml:space="preserve">Las Corts Valencianes, a través de su presidente, Sr. Enric Morera i Català, de acuerdo con la Resolución de Presidencia de carácter general 5/IX, que regula el procedimiento de participación ciudadana en el proceso legislativo, invitó al director de la Agencia a comparecer ante la Comisión de Justicia, Gobernación y Administración Local el jueves 11 de junio a las 13:45 h. </w:t>
      </w:r>
    </w:p>
    <w:p w14:paraId="658DEDB8" w14:textId="77777777" w:rsidR="00D968EB" w:rsidRPr="00973028" w:rsidRDefault="00B9275E" w:rsidP="004522FD">
      <w:pPr>
        <w:pStyle w:val="NormalWeb"/>
        <w:spacing w:before="280" w:after="240" w:line="276" w:lineRule="auto"/>
        <w:jc w:val="both"/>
        <w:rPr>
          <w:rFonts w:ascii="Arial" w:hAnsi="Arial" w:cs="Arial"/>
          <w:sz w:val="21"/>
          <w:szCs w:val="21"/>
        </w:rPr>
      </w:pPr>
      <w:r w:rsidRPr="00973028">
        <w:rPr>
          <w:rFonts w:ascii="Arial" w:hAnsi="Arial" w:cs="Arial"/>
          <w:sz w:val="21"/>
          <w:szCs w:val="21"/>
        </w:rPr>
        <w:t xml:space="preserve">Ante dicha comisión, el director expuso las alegaciones al Proyecto de ley formuladas por la Agencia e hizo entrega de la documentación informativa complementaria. </w:t>
      </w:r>
    </w:p>
    <w:p w14:paraId="001EEF98" w14:textId="1D3A6DAB" w:rsidR="00B9275E" w:rsidRPr="00973028" w:rsidRDefault="00B9275E" w:rsidP="004522FD">
      <w:pPr>
        <w:pStyle w:val="NormalWeb"/>
        <w:spacing w:before="280" w:after="240" w:line="276" w:lineRule="auto"/>
        <w:jc w:val="both"/>
        <w:rPr>
          <w:rFonts w:ascii="Arial" w:hAnsi="Arial" w:cs="Arial"/>
          <w:sz w:val="21"/>
          <w:szCs w:val="21"/>
        </w:rPr>
      </w:pPr>
      <w:r w:rsidRPr="00973028">
        <w:rPr>
          <w:rFonts w:ascii="Arial" w:hAnsi="Arial" w:cs="Arial"/>
          <w:sz w:val="21"/>
          <w:szCs w:val="21"/>
        </w:rPr>
        <w:t>Esta documentación se remitió previamente a los grupos parlamentarios, con los que también se mantuvieron reuniones informativas en los que se explicaron las sugerencias y aportaciones a dicho texto legal que afectan o se relacionan con el ámbito funcional de la AVAF.</w:t>
      </w:r>
    </w:p>
    <w:p w14:paraId="33C3F3BD" w14:textId="408235FA" w:rsidR="007642F6" w:rsidRPr="00973028" w:rsidRDefault="007642F6" w:rsidP="00DE7467">
      <w:pPr>
        <w:pStyle w:val="Descripcin"/>
        <w:keepNext/>
        <w:jc w:val="both"/>
        <w:rPr>
          <w:rFonts w:ascii="Arial" w:hAnsi="Arial" w:cs="Arial"/>
          <w:smallCaps w:val="0"/>
          <w:sz w:val="18"/>
          <w:szCs w:val="18"/>
        </w:rPr>
      </w:pPr>
      <w:bookmarkStart w:id="233" w:name="_Toc64465905"/>
      <w:bookmarkStart w:id="234" w:name="_Toc67646358"/>
      <w:r w:rsidRPr="00973028">
        <w:rPr>
          <w:rFonts w:ascii="Arial" w:hAnsi="Arial" w:cs="Arial"/>
          <w:smallCaps w:val="0"/>
          <w:color w:val="9D2235" w:themeColor="accent1"/>
          <w:sz w:val="18"/>
          <w:szCs w:val="18"/>
        </w:rPr>
        <w:t xml:space="preserve">Tabla </w:t>
      </w:r>
      <w:r w:rsidR="002A4453" w:rsidRPr="00973028">
        <w:rPr>
          <w:rFonts w:ascii="Arial" w:hAnsi="Arial" w:cs="Arial"/>
          <w:smallCaps w:val="0"/>
          <w:color w:val="9D2235" w:themeColor="accent1"/>
          <w:sz w:val="18"/>
          <w:szCs w:val="18"/>
        </w:rPr>
        <w:fldChar w:fldCharType="begin"/>
      </w:r>
      <w:r w:rsidR="002A4453" w:rsidRPr="00973028">
        <w:rPr>
          <w:rFonts w:ascii="Arial" w:hAnsi="Arial" w:cs="Arial"/>
          <w:smallCaps w:val="0"/>
          <w:color w:val="9D2235" w:themeColor="accent1"/>
          <w:sz w:val="18"/>
          <w:szCs w:val="18"/>
        </w:rPr>
        <w:instrText xml:space="preserve"> SEQ Tabla \* ARABIC </w:instrText>
      </w:r>
      <w:r w:rsidR="002A4453" w:rsidRPr="00973028">
        <w:rPr>
          <w:rFonts w:ascii="Arial" w:hAnsi="Arial" w:cs="Arial"/>
          <w:smallCaps w:val="0"/>
          <w:color w:val="9D2235" w:themeColor="accent1"/>
          <w:sz w:val="18"/>
          <w:szCs w:val="18"/>
        </w:rPr>
        <w:fldChar w:fldCharType="separate"/>
      </w:r>
      <w:r w:rsidR="00ED7F0D">
        <w:rPr>
          <w:rFonts w:ascii="Arial" w:hAnsi="Arial" w:cs="Arial"/>
          <w:smallCaps w:val="0"/>
          <w:noProof/>
          <w:color w:val="9D2235" w:themeColor="accent1"/>
          <w:sz w:val="18"/>
          <w:szCs w:val="18"/>
        </w:rPr>
        <w:t>21</w:t>
      </w:r>
      <w:r w:rsidR="002A4453" w:rsidRPr="00973028">
        <w:rPr>
          <w:rFonts w:ascii="Arial" w:hAnsi="Arial" w:cs="Arial"/>
          <w:smallCaps w:val="0"/>
          <w:color w:val="9D2235" w:themeColor="accent1"/>
          <w:sz w:val="18"/>
          <w:szCs w:val="18"/>
        </w:rPr>
        <w:fldChar w:fldCharType="end"/>
      </w:r>
      <w:r w:rsidR="00364B3C">
        <w:rPr>
          <w:rFonts w:ascii="Arial" w:hAnsi="Arial" w:cs="Arial"/>
          <w:smallCaps w:val="0"/>
          <w:color w:val="9D2235" w:themeColor="accent1"/>
          <w:sz w:val="18"/>
          <w:szCs w:val="18"/>
        </w:rPr>
        <w:t>.</w:t>
      </w:r>
      <w:r w:rsidRPr="00973028">
        <w:rPr>
          <w:rFonts w:ascii="Arial" w:hAnsi="Arial" w:cs="Arial"/>
          <w:smallCaps w:val="0"/>
          <w:color w:val="9D2235" w:themeColor="accent1"/>
          <w:sz w:val="18"/>
          <w:szCs w:val="18"/>
        </w:rPr>
        <w:t xml:space="preserve"> </w:t>
      </w:r>
      <w:r w:rsidRPr="00973028">
        <w:rPr>
          <w:rFonts w:ascii="Arial" w:hAnsi="Arial" w:cs="Arial"/>
          <w:smallCaps w:val="0"/>
          <w:sz w:val="18"/>
          <w:szCs w:val="18"/>
        </w:rPr>
        <w:t>Reuniones informativas con los grupos parlamentarios sobre el Proyecto de ley de la Función Pública valenciana</w:t>
      </w:r>
      <w:bookmarkEnd w:id="233"/>
      <w:bookmarkEnd w:id="234"/>
    </w:p>
    <w:tbl>
      <w:tblPr>
        <w:tblW w:w="8486" w:type="dxa"/>
        <w:jc w:val="right"/>
        <w:tblCellMar>
          <w:left w:w="0" w:type="dxa"/>
          <w:bottom w:w="28" w:type="dxa"/>
          <w:right w:w="0" w:type="dxa"/>
        </w:tblCellMar>
        <w:tblLook w:val="04A0" w:firstRow="1" w:lastRow="0" w:firstColumn="1" w:lastColumn="0" w:noHBand="0" w:noVBand="1"/>
      </w:tblPr>
      <w:tblGrid>
        <w:gridCol w:w="1842"/>
        <w:gridCol w:w="6644"/>
      </w:tblGrid>
      <w:tr w:rsidR="00D968EB" w:rsidRPr="00973028" w14:paraId="5FC0FF22" w14:textId="77777777" w:rsidTr="007642F6">
        <w:trPr>
          <w:tblHeader/>
          <w:jc w:val="right"/>
        </w:trPr>
        <w:tc>
          <w:tcPr>
            <w:tcW w:w="1842" w:type="dxa"/>
            <w:tcBorders>
              <w:bottom w:val="single" w:sz="4" w:space="0" w:color="C00000"/>
            </w:tcBorders>
            <w:shd w:val="clear" w:color="auto" w:fill="9D2235" w:themeFill="accent1"/>
          </w:tcPr>
          <w:p w14:paraId="7A707C82" w14:textId="77777777" w:rsidR="00B9275E" w:rsidRPr="00973028" w:rsidRDefault="00B9275E" w:rsidP="007642F6">
            <w:pPr>
              <w:spacing w:after="0" w:line="276" w:lineRule="auto"/>
              <w:jc w:val="both"/>
              <w:rPr>
                <w:rFonts w:ascii="Arial" w:eastAsia="Times New Roman" w:hAnsi="Arial" w:cs="Arial"/>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Fecha</w:t>
            </w:r>
          </w:p>
        </w:tc>
        <w:tc>
          <w:tcPr>
            <w:tcW w:w="6644" w:type="dxa"/>
            <w:tcBorders>
              <w:bottom w:val="single" w:sz="4" w:space="0" w:color="C00000"/>
            </w:tcBorders>
            <w:shd w:val="clear" w:color="auto" w:fill="9D2235" w:themeFill="accent1"/>
          </w:tcPr>
          <w:p w14:paraId="48657A64" w14:textId="77777777" w:rsidR="00B9275E" w:rsidRPr="00973028" w:rsidRDefault="00B9275E" w:rsidP="007642F6">
            <w:pPr>
              <w:spacing w:after="0" w:line="276" w:lineRule="auto"/>
              <w:jc w:val="both"/>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ENTIDAD / AUTORIDAD</w:t>
            </w:r>
          </w:p>
          <w:p w14:paraId="78152F35" w14:textId="77777777" w:rsidR="00B9275E" w:rsidRPr="00973028" w:rsidRDefault="00B9275E" w:rsidP="007642F6">
            <w:pPr>
              <w:spacing w:after="0" w:line="276" w:lineRule="auto"/>
              <w:jc w:val="both"/>
              <w:rPr>
                <w:rFonts w:ascii="Arial" w:eastAsia="Times New Roman" w:hAnsi="Arial" w:cs="Arial"/>
                <w:b/>
                <w:i/>
                <w:color w:val="FFFFFF" w:themeColor="background1"/>
                <w:sz w:val="18"/>
                <w:szCs w:val="18"/>
                <w:lang w:eastAsia="es-ES"/>
              </w:rPr>
            </w:pPr>
            <w:r w:rsidRPr="00973028">
              <w:rPr>
                <w:rFonts w:ascii="Arial" w:eastAsia="Times New Roman" w:hAnsi="Arial" w:cs="Arial"/>
                <w:b/>
                <w:i/>
                <w:color w:val="FFFFFF" w:themeColor="background1"/>
                <w:sz w:val="18"/>
                <w:szCs w:val="18"/>
                <w:lang w:eastAsia="es-ES"/>
              </w:rPr>
              <w:t>Lugar</w:t>
            </w:r>
          </w:p>
        </w:tc>
      </w:tr>
      <w:tr w:rsidR="00B9275E" w:rsidRPr="00973028" w14:paraId="60384A04" w14:textId="77777777" w:rsidTr="007642F6">
        <w:trPr>
          <w:jc w:val="right"/>
        </w:trPr>
        <w:tc>
          <w:tcPr>
            <w:tcW w:w="1842" w:type="dxa"/>
            <w:tcBorders>
              <w:top w:val="single" w:sz="4" w:space="0" w:color="C00000"/>
              <w:bottom w:val="single" w:sz="4" w:space="0" w:color="C00000"/>
            </w:tcBorders>
            <w:shd w:val="clear" w:color="auto" w:fill="auto"/>
            <w:vAlign w:val="center"/>
          </w:tcPr>
          <w:p w14:paraId="0A08B75D" w14:textId="77777777" w:rsidR="00B9275E" w:rsidRPr="00973028" w:rsidRDefault="00B9275E" w:rsidP="007642F6">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20 de mayo</w:t>
            </w:r>
          </w:p>
        </w:tc>
        <w:tc>
          <w:tcPr>
            <w:tcW w:w="6644" w:type="dxa"/>
            <w:tcBorders>
              <w:top w:val="single" w:sz="4" w:space="0" w:color="C00000"/>
              <w:bottom w:val="single" w:sz="4" w:space="0" w:color="C00000"/>
            </w:tcBorders>
            <w:shd w:val="clear" w:color="auto" w:fill="auto"/>
          </w:tcPr>
          <w:p w14:paraId="0B6F0F81" w14:textId="77777777" w:rsidR="00B9275E" w:rsidRPr="00973028" w:rsidRDefault="00B9275E" w:rsidP="007642F6">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Grupo Parlamentario Popular</w:t>
            </w:r>
          </w:p>
          <w:p w14:paraId="3EB27B7D" w14:textId="77777777" w:rsidR="00B9275E" w:rsidRPr="00973028" w:rsidRDefault="00B9275E" w:rsidP="007642F6">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color w:val="000000"/>
                <w:sz w:val="18"/>
                <w:szCs w:val="18"/>
                <w:lang w:eastAsia="es-ES"/>
              </w:rPr>
              <w:t>Virtual</w:t>
            </w:r>
          </w:p>
        </w:tc>
      </w:tr>
      <w:tr w:rsidR="00B9275E" w:rsidRPr="00973028" w14:paraId="781A8E5B" w14:textId="77777777" w:rsidTr="007642F6">
        <w:trPr>
          <w:jc w:val="right"/>
        </w:trPr>
        <w:tc>
          <w:tcPr>
            <w:tcW w:w="1842" w:type="dxa"/>
            <w:tcBorders>
              <w:top w:val="single" w:sz="4" w:space="0" w:color="C00000"/>
              <w:bottom w:val="single" w:sz="4" w:space="0" w:color="C00000"/>
            </w:tcBorders>
            <w:shd w:val="clear" w:color="auto" w:fill="auto"/>
            <w:vAlign w:val="center"/>
          </w:tcPr>
          <w:p w14:paraId="6A7C72F6" w14:textId="77777777" w:rsidR="00B9275E" w:rsidRPr="00973028" w:rsidRDefault="00B9275E" w:rsidP="007642F6">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 de junio</w:t>
            </w:r>
          </w:p>
        </w:tc>
        <w:tc>
          <w:tcPr>
            <w:tcW w:w="6644" w:type="dxa"/>
            <w:tcBorders>
              <w:top w:val="single" w:sz="4" w:space="0" w:color="C00000"/>
              <w:bottom w:val="single" w:sz="4" w:space="0" w:color="C00000"/>
            </w:tcBorders>
            <w:shd w:val="clear" w:color="auto" w:fill="auto"/>
          </w:tcPr>
          <w:p w14:paraId="43533CB4" w14:textId="77777777" w:rsidR="00B9275E" w:rsidRPr="00973028" w:rsidRDefault="00B9275E" w:rsidP="007642F6">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Grupo Parlamentario Vox</w:t>
            </w:r>
          </w:p>
          <w:p w14:paraId="6B4CB076" w14:textId="77777777" w:rsidR="00B9275E" w:rsidRPr="00973028" w:rsidRDefault="00B9275E" w:rsidP="007642F6">
            <w:pPr>
              <w:spacing w:after="0" w:line="276" w:lineRule="auto"/>
              <w:jc w:val="both"/>
              <w:rPr>
                <w:rFonts w:ascii="Arial" w:eastAsia="Times New Roman" w:hAnsi="Arial" w:cs="Arial"/>
                <w:i/>
                <w:color w:val="000000"/>
                <w:sz w:val="18"/>
                <w:szCs w:val="18"/>
                <w:lang w:eastAsia="es-ES"/>
              </w:rPr>
            </w:pPr>
            <w:r w:rsidRPr="00973028">
              <w:rPr>
                <w:rFonts w:ascii="Arial" w:eastAsia="Times New Roman" w:hAnsi="Arial" w:cs="Arial"/>
                <w:color w:val="000000"/>
                <w:sz w:val="18"/>
                <w:szCs w:val="18"/>
                <w:lang w:eastAsia="es-ES"/>
              </w:rPr>
              <w:t>Virtual</w:t>
            </w:r>
          </w:p>
        </w:tc>
      </w:tr>
      <w:tr w:rsidR="00B9275E" w:rsidRPr="00973028" w14:paraId="277B3900" w14:textId="77777777" w:rsidTr="007642F6">
        <w:trPr>
          <w:jc w:val="right"/>
        </w:trPr>
        <w:tc>
          <w:tcPr>
            <w:tcW w:w="1842" w:type="dxa"/>
            <w:tcBorders>
              <w:top w:val="single" w:sz="4" w:space="0" w:color="C00000"/>
              <w:bottom w:val="single" w:sz="4" w:space="0" w:color="C00000"/>
            </w:tcBorders>
            <w:shd w:val="clear" w:color="auto" w:fill="auto"/>
            <w:vAlign w:val="center"/>
          </w:tcPr>
          <w:p w14:paraId="2DD4440D" w14:textId="77777777" w:rsidR="00B9275E" w:rsidRPr="00973028" w:rsidRDefault="00B9275E" w:rsidP="007642F6">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 de junio</w:t>
            </w:r>
          </w:p>
        </w:tc>
        <w:tc>
          <w:tcPr>
            <w:tcW w:w="6644" w:type="dxa"/>
            <w:tcBorders>
              <w:top w:val="single" w:sz="4" w:space="0" w:color="C00000"/>
              <w:bottom w:val="single" w:sz="4" w:space="0" w:color="C00000"/>
            </w:tcBorders>
            <w:shd w:val="clear" w:color="auto" w:fill="auto"/>
          </w:tcPr>
          <w:p w14:paraId="43437E77" w14:textId="77777777" w:rsidR="00B9275E" w:rsidRPr="00973028" w:rsidRDefault="00B9275E" w:rsidP="007642F6">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Grupo Parlamentario Unides Podem</w:t>
            </w:r>
          </w:p>
          <w:p w14:paraId="0F57699C" w14:textId="77777777" w:rsidR="00B9275E" w:rsidRPr="00973028" w:rsidRDefault="00B9275E" w:rsidP="007642F6">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Virtual</w:t>
            </w:r>
          </w:p>
        </w:tc>
      </w:tr>
      <w:tr w:rsidR="00B9275E" w:rsidRPr="00973028" w14:paraId="2A6A91FC" w14:textId="77777777" w:rsidTr="007642F6">
        <w:trPr>
          <w:jc w:val="right"/>
        </w:trPr>
        <w:tc>
          <w:tcPr>
            <w:tcW w:w="1842" w:type="dxa"/>
            <w:tcBorders>
              <w:top w:val="single" w:sz="4" w:space="0" w:color="C00000"/>
              <w:bottom w:val="single" w:sz="4" w:space="0" w:color="C00000"/>
            </w:tcBorders>
            <w:shd w:val="clear" w:color="auto" w:fill="auto"/>
            <w:vAlign w:val="center"/>
          </w:tcPr>
          <w:p w14:paraId="3D4678BC" w14:textId="77777777" w:rsidR="00B9275E" w:rsidRPr="00973028" w:rsidRDefault="00B9275E" w:rsidP="007642F6">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2 de junio</w:t>
            </w:r>
          </w:p>
        </w:tc>
        <w:tc>
          <w:tcPr>
            <w:tcW w:w="6644" w:type="dxa"/>
            <w:tcBorders>
              <w:top w:val="single" w:sz="4" w:space="0" w:color="C00000"/>
              <w:bottom w:val="single" w:sz="4" w:space="0" w:color="C00000"/>
            </w:tcBorders>
            <w:shd w:val="clear" w:color="auto" w:fill="auto"/>
          </w:tcPr>
          <w:p w14:paraId="5392A5ED" w14:textId="77777777" w:rsidR="00B9275E" w:rsidRPr="00973028" w:rsidRDefault="00B9275E" w:rsidP="007642F6">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Grupo Parlamentario Socialista</w:t>
            </w:r>
          </w:p>
          <w:p w14:paraId="3BF468F0" w14:textId="77777777" w:rsidR="00B9275E" w:rsidRPr="00973028" w:rsidRDefault="00B9275E" w:rsidP="007642F6">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lastRenderedPageBreak/>
              <w:t>Virtual</w:t>
            </w:r>
          </w:p>
        </w:tc>
      </w:tr>
      <w:tr w:rsidR="00B9275E" w:rsidRPr="00973028" w14:paraId="023DF9BB" w14:textId="77777777" w:rsidTr="007642F6">
        <w:trPr>
          <w:jc w:val="right"/>
        </w:trPr>
        <w:tc>
          <w:tcPr>
            <w:tcW w:w="1842" w:type="dxa"/>
            <w:tcBorders>
              <w:top w:val="single" w:sz="4" w:space="0" w:color="C00000"/>
              <w:bottom w:val="single" w:sz="4" w:space="0" w:color="C00000"/>
            </w:tcBorders>
            <w:shd w:val="clear" w:color="auto" w:fill="auto"/>
            <w:vAlign w:val="center"/>
          </w:tcPr>
          <w:p w14:paraId="556F3F5F" w14:textId="77777777" w:rsidR="00B9275E" w:rsidRPr="00973028" w:rsidRDefault="00B9275E" w:rsidP="007642F6">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lastRenderedPageBreak/>
              <w:t>3 de junio</w:t>
            </w:r>
          </w:p>
        </w:tc>
        <w:tc>
          <w:tcPr>
            <w:tcW w:w="6644" w:type="dxa"/>
            <w:tcBorders>
              <w:top w:val="single" w:sz="4" w:space="0" w:color="C00000"/>
              <w:bottom w:val="single" w:sz="4" w:space="0" w:color="C00000"/>
            </w:tcBorders>
            <w:shd w:val="clear" w:color="auto" w:fill="auto"/>
          </w:tcPr>
          <w:p w14:paraId="27DEFCA6" w14:textId="77777777" w:rsidR="00B9275E" w:rsidRPr="00973028" w:rsidRDefault="00B9275E" w:rsidP="007642F6">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Grupo Parlamentario Ciudadanos</w:t>
            </w:r>
          </w:p>
          <w:p w14:paraId="308F3DAE" w14:textId="77777777" w:rsidR="00B9275E" w:rsidRPr="00973028" w:rsidRDefault="00B9275E" w:rsidP="007642F6">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Virtual</w:t>
            </w:r>
          </w:p>
        </w:tc>
      </w:tr>
      <w:tr w:rsidR="00B9275E" w:rsidRPr="00973028" w14:paraId="29F80121" w14:textId="77777777" w:rsidTr="007642F6">
        <w:trPr>
          <w:jc w:val="right"/>
        </w:trPr>
        <w:tc>
          <w:tcPr>
            <w:tcW w:w="1842" w:type="dxa"/>
            <w:tcBorders>
              <w:top w:val="single" w:sz="4" w:space="0" w:color="C00000"/>
              <w:bottom w:val="single" w:sz="4" w:space="0" w:color="C00000"/>
            </w:tcBorders>
            <w:shd w:val="clear" w:color="auto" w:fill="auto"/>
            <w:vAlign w:val="center"/>
          </w:tcPr>
          <w:p w14:paraId="1EA23348" w14:textId="77777777" w:rsidR="00B9275E" w:rsidRPr="00973028" w:rsidRDefault="00B9275E" w:rsidP="007642F6">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10 de junio</w:t>
            </w:r>
          </w:p>
        </w:tc>
        <w:tc>
          <w:tcPr>
            <w:tcW w:w="6644" w:type="dxa"/>
            <w:tcBorders>
              <w:top w:val="single" w:sz="4" w:space="0" w:color="C00000"/>
              <w:bottom w:val="single" w:sz="4" w:space="0" w:color="C00000"/>
            </w:tcBorders>
            <w:shd w:val="clear" w:color="auto" w:fill="auto"/>
          </w:tcPr>
          <w:p w14:paraId="4F961B69" w14:textId="77777777" w:rsidR="00B9275E" w:rsidRPr="00973028" w:rsidRDefault="00B9275E" w:rsidP="007642F6">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color w:val="000000"/>
                <w:sz w:val="18"/>
                <w:szCs w:val="18"/>
                <w:lang w:eastAsia="es-ES"/>
              </w:rPr>
              <w:t xml:space="preserve">Síndicos grupos parlamentarios, PSOE, Compromís y Unides Podem </w:t>
            </w:r>
          </w:p>
          <w:p w14:paraId="4CA67C36" w14:textId="77777777" w:rsidR="00B9275E" w:rsidRPr="00973028" w:rsidRDefault="00B9275E" w:rsidP="007642F6">
            <w:pPr>
              <w:spacing w:after="0" w:line="276" w:lineRule="auto"/>
              <w:jc w:val="both"/>
              <w:rPr>
                <w:rFonts w:ascii="Arial" w:eastAsia="Times New Roman" w:hAnsi="Arial" w:cs="Arial"/>
                <w:color w:val="000000"/>
                <w:sz w:val="18"/>
                <w:szCs w:val="18"/>
                <w:lang w:eastAsia="es-ES"/>
              </w:rPr>
            </w:pPr>
            <w:r w:rsidRPr="00973028">
              <w:rPr>
                <w:rFonts w:ascii="Arial" w:eastAsia="Times New Roman" w:hAnsi="Arial" w:cs="Arial"/>
                <w:i/>
                <w:color w:val="000000"/>
                <w:sz w:val="18"/>
                <w:szCs w:val="18"/>
                <w:lang w:eastAsia="es-ES"/>
              </w:rPr>
              <w:t xml:space="preserve">València </w:t>
            </w:r>
          </w:p>
        </w:tc>
      </w:tr>
    </w:tbl>
    <w:p w14:paraId="24752099" w14:textId="2E83EB8F" w:rsidR="004C75D4" w:rsidRDefault="00B9275E" w:rsidP="004522FD">
      <w:pPr>
        <w:pStyle w:val="NormalWeb"/>
        <w:spacing w:before="280" w:after="240" w:line="276" w:lineRule="auto"/>
        <w:jc w:val="both"/>
        <w:rPr>
          <w:rFonts w:ascii="Arial" w:hAnsi="Arial" w:cs="Arial"/>
          <w:color w:val="000000"/>
          <w:sz w:val="21"/>
          <w:szCs w:val="21"/>
        </w:rPr>
      </w:pPr>
      <w:r w:rsidRPr="00973028">
        <w:rPr>
          <w:rFonts w:ascii="Arial" w:hAnsi="Arial" w:cs="Arial"/>
          <w:sz w:val="21"/>
          <w:szCs w:val="21"/>
        </w:rPr>
        <w:t xml:space="preserve">Las alegaciones presentadas pueden consultarse en el apartado </w:t>
      </w:r>
      <w:r w:rsidRPr="00973028">
        <w:rPr>
          <w:rFonts w:ascii="Arial" w:hAnsi="Arial" w:cs="Arial"/>
          <w:color w:val="000000"/>
          <w:sz w:val="21"/>
          <w:szCs w:val="21"/>
        </w:rPr>
        <w:t>4 de esta Memoria, de Asuntos Jurídicos, y en los siguientes enlaces a la página web de las Corts Valenciane</w:t>
      </w:r>
      <w:r w:rsidR="004C75D4">
        <w:rPr>
          <w:rFonts w:ascii="Arial" w:hAnsi="Arial" w:cs="Arial"/>
          <w:color w:val="000000"/>
          <w:sz w:val="21"/>
          <w:szCs w:val="21"/>
        </w:rPr>
        <w:t xml:space="preserve">s </w:t>
      </w:r>
      <w:hyperlink r:id="rId214" w:history="1">
        <w:r w:rsidR="004C75D4" w:rsidRPr="004C75D4">
          <w:rPr>
            <w:rStyle w:val="Hipervnculo"/>
            <w:rFonts w:ascii="Arial" w:hAnsi="Arial" w:cs="Arial"/>
            <w:sz w:val="21"/>
            <w:szCs w:val="21"/>
          </w:rPr>
          <w:t>aquí</w:t>
        </w:r>
      </w:hyperlink>
      <w:r w:rsidR="004C75D4">
        <w:rPr>
          <w:rFonts w:ascii="Arial" w:hAnsi="Arial" w:cs="Arial"/>
          <w:color w:val="000000"/>
          <w:sz w:val="21"/>
          <w:szCs w:val="21"/>
        </w:rPr>
        <w:t xml:space="preserve"> y </w:t>
      </w:r>
      <w:hyperlink r:id="rId215" w:history="1">
        <w:r w:rsidR="004C75D4" w:rsidRPr="004C75D4">
          <w:rPr>
            <w:rStyle w:val="Hipervnculo"/>
            <w:rFonts w:ascii="Arial" w:hAnsi="Arial" w:cs="Arial"/>
            <w:sz w:val="21"/>
            <w:szCs w:val="21"/>
          </w:rPr>
          <w:t>aquí</w:t>
        </w:r>
      </w:hyperlink>
      <w:r w:rsidR="004C75D4">
        <w:rPr>
          <w:rFonts w:ascii="Arial" w:hAnsi="Arial" w:cs="Arial"/>
          <w:color w:val="000000"/>
          <w:sz w:val="21"/>
          <w:szCs w:val="21"/>
        </w:rPr>
        <w:t>.</w:t>
      </w:r>
    </w:p>
    <w:p w14:paraId="68D8EC1D" w14:textId="421E380B" w:rsidR="004C75D4" w:rsidRDefault="00B9275E" w:rsidP="004522FD">
      <w:pPr>
        <w:pStyle w:val="NormalWeb"/>
        <w:spacing w:before="280" w:after="240" w:line="276" w:lineRule="auto"/>
        <w:jc w:val="both"/>
        <w:rPr>
          <w:rFonts w:ascii="Arial" w:hAnsi="Arial" w:cs="Arial"/>
          <w:smallCaps/>
          <w:sz w:val="21"/>
          <w:szCs w:val="21"/>
        </w:rPr>
      </w:pPr>
      <w:r w:rsidRPr="00973028">
        <w:rPr>
          <w:rFonts w:ascii="Arial" w:hAnsi="Arial" w:cs="Arial"/>
          <w:smallCaps/>
          <w:sz w:val="21"/>
          <w:szCs w:val="21"/>
        </w:rPr>
        <w:t>Enlace a la nota de prensa</w:t>
      </w:r>
      <w:r w:rsidR="004C75D4">
        <w:rPr>
          <w:rFonts w:ascii="Arial" w:hAnsi="Arial" w:cs="Arial"/>
          <w:smallCaps/>
          <w:sz w:val="21"/>
          <w:szCs w:val="21"/>
        </w:rPr>
        <w:t xml:space="preserve"> </w:t>
      </w:r>
      <w:hyperlink r:id="rId216" w:history="1">
        <w:r w:rsidR="004C75D4" w:rsidRPr="004C75D4">
          <w:rPr>
            <w:rStyle w:val="Hipervnculo"/>
            <w:rFonts w:ascii="Arial" w:hAnsi="Arial" w:cs="Arial"/>
            <w:smallCaps/>
            <w:sz w:val="21"/>
            <w:szCs w:val="21"/>
          </w:rPr>
          <w:t>aquí</w:t>
        </w:r>
      </w:hyperlink>
      <w:r w:rsidR="004C75D4">
        <w:rPr>
          <w:rFonts w:ascii="Arial" w:hAnsi="Arial" w:cs="Arial"/>
          <w:smallCaps/>
          <w:sz w:val="21"/>
          <w:szCs w:val="21"/>
        </w:rPr>
        <w:t>.</w:t>
      </w:r>
    </w:p>
    <w:p w14:paraId="50AD874C" w14:textId="5990D3B0" w:rsidR="00B9275E" w:rsidRPr="00973028" w:rsidRDefault="00B9275E" w:rsidP="00672ABA">
      <w:pPr>
        <w:pStyle w:val="Prrafodelista"/>
        <w:numPr>
          <w:ilvl w:val="1"/>
          <w:numId w:val="25"/>
        </w:numPr>
        <w:spacing w:before="360" w:after="240" w:line="276" w:lineRule="auto"/>
        <w:ind w:left="851" w:hanging="851"/>
        <w:contextualSpacing w:val="0"/>
        <w:jc w:val="both"/>
        <w:outlineLvl w:val="1"/>
        <w:rPr>
          <w:rFonts w:ascii="Arial" w:eastAsia="Times New Roman" w:hAnsi="Arial" w:cs="Arial"/>
          <w:b/>
          <w:color w:val="9D2235" w:themeColor="accent1"/>
          <w:sz w:val="32"/>
          <w:szCs w:val="32"/>
        </w:rPr>
      </w:pPr>
      <w:bookmarkStart w:id="235" w:name="_Toc67646319"/>
      <w:r w:rsidRPr="00973028">
        <w:rPr>
          <w:rFonts w:ascii="Arial" w:eastAsia="Times New Roman" w:hAnsi="Arial" w:cs="Arial"/>
          <w:b/>
          <w:color w:val="9D2235" w:themeColor="accent1"/>
          <w:sz w:val="32"/>
          <w:szCs w:val="32"/>
        </w:rPr>
        <w:t>Relaciones con otras instituciones</w:t>
      </w:r>
      <w:bookmarkEnd w:id="235"/>
    </w:p>
    <w:p w14:paraId="2C2C54BD" w14:textId="2ED37497" w:rsidR="00B9275E" w:rsidRPr="00973028" w:rsidRDefault="00B9275E" w:rsidP="00672ABA">
      <w:pPr>
        <w:pStyle w:val="Prrafodelista"/>
        <w:numPr>
          <w:ilvl w:val="2"/>
          <w:numId w:val="25"/>
        </w:numPr>
        <w:spacing w:before="360" w:after="240" w:line="276" w:lineRule="auto"/>
        <w:ind w:left="1134" w:hanging="1134"/>
        <w:contextualSpacing w:val="0"/>
        <w:jc w:val="both"/>
        <w:outlineLvl w:val="2"/>
        <w:rPr>
          <w:rFonts w:ascii="Arial" w:eastAsia="Times New Roman" w:hAnsi="Arial" w:cs="Arial"/>
          <w:b/>
          <w:color w:val="9D2235" w:themeColor="accent1"/>
          <w:sz w:val="28"/>
          <w:szCs w:val="28"/>
        </w:rPr>
      </w:pPr>
      <w:bookmarkStart w:id="236" w:name="_Toc62561794"/>
      <w:bookmarkStart w:id="237" w:name="_Toc67646320"/>
      <w:r w:rsidRPr="00973028">
        <w:rPr>
          <w:rFonts w:ascii="Arial" w:eastAsia="Times New Roman" w:hAnsi="Arial" w:cs="Arial"/>
          <w:b/>
          <w:color w:val="9D2235" w:themeColor="accent1"/>
          <w:sz w:val="28"/>
          <w:szCs w:val="28"/>
        </w:rPr>
        <w:t>Parlament de Catalunya</w:t>
      </w:r>
      <w:bookmarkEnd w:id="236"/>
      <w:bookmarkEnd w:id="237"/>
    </w:p>
    <w:p w14:paraId="0350DF1B" w14:textId="749FB580" w:rsidR="00B9275E" w:rsidRPr="00973028" w:rsidRDefault="00B9275E" w:rsidP="004522FD">
      <w:pPr>
        <w:pStyle w:val="Texto"/>
        <w:spacing w:after="240"/>
        <w:rPr>
          <w:rFonts w:ascii="Arial" w:hAnsi="Arial" w:cs="Arial"/>
        </w:rPr>
      </w:pPr>
      <w:r w:rsidRPr="00973028">
        <w:rPr>
          <w:rFonts w:ascii="Arial" w:hAnsi="Arial" w:cs="Arial"/>
        </w:rPr>
        <w:t>El Parlament de Catalunya, a través de su presidente, Sr. Roger Torrent i Ramió, y a requerimiento de la presidenta de la Comisión de Acción Exterior, Relaciones Institucionales y Transparencia, cursó una invitación al director de la Agencia para comparecer delante de la ponencia de lucha contra la corrupción y de protección a los denunciantes el lunes 2 de marzo.</w:t>
      </w:r>
    </w:p>
    <w:p w14:paraId="1A3C5821" w14:textId="4190369E" w:rsidR="00B9275E" w:rsidRPr="00973028" w:rsidRDefault="00B9275E" w:rsidP="004522FD">
      <w:pPr>
        <w:pStyle w:val="Texto"/>
        <w:spacing w:after="240"/>
        <w:rPr>
          <w:rFonts w:ascii="Arial" w:hAnsi="Arial" w:cs="Arial"/>
        </w:rPr>
      </w:pPr>
      <w:r w:rsidRPr="00973028">
        <w:rPr>
          <w:rFonts w:ascii="Arial" w:hAnsi="Arial" w:cs="Arial"/>
        </w:rPr>
        <w:t xml:space="preserve">El Parlament, tramitando la </w:t>
      </w:r>
      <w:hyperlink r:id="rId217">
        <w:r w:rsidRPr="00973028">
          <w:rPr>
            <w:rStyle w:val="EnlacedeInternet"/>
            <w:rFonts w:ascii="Arial" w:hAnsi="Arial" w:cs="Arial"/>
          </w:rPr>
          <w:t>Proposición de ley de Protección integral de los alertadores en el ámbito competencial de la Generalitat</w:t>
        </w:r>
      </w:hyperlink>
      <w:r w:rsidRPr="00973028">
        <w:rPr>
          <w:rFonts w:ascii="Arial" w:hAnsi="Arial" w:cs="Arial"/>
        </w:rPr>
        <w:t>, hizo uso de la posibilidad que ofrece el procedimiento legislativo a los grupos parlamentarios de solicitar a expertos o entidades su comparecencia para ofrecer su opinión o formular propuestas que pueden recoger e incorporar al texto final de la ley</w:t>
      </w:r>
    </w:p>
    <w:p w14:paraId="61EADB86" w14:textId="548C26CF" w:rsidR="00B9275E" w:rsidRPr="00973028" w:rsidRDefault="00B9275E" w:rsidP="004522FD">
      <w:pPr>
        <w:pStyle w:val="Texto"/>
        <w:spacing w:after="240"/>
        <w:rPr>
          <w:rFonts w:ascii="Arial" w:hAnsi="Arial" w:cs="Arial"/>
        </w:rPr>
      </w:pPr>
      <w:r w:rsidRPr="00973028">
        <w:rPr>
          <w:rFonts w:ascii="Arial" w:hAnsi="Arial" w:cs="Arial"/>
        </w:rPr>
        <w:t>El director expuso la experiencia de la AVAF en este sentido ya que la Ley 11/2016 de creación de la Agencia ya recogía la protección de los alertadores que se ha venido trabajando desde esa fecha.</w:t>
      </w:r>
    </w:p>
    <w:p w14:paraId="0646290C" w14:textId="029C3450" w:rsidR="00B9275E" w:rsidRPr="00973028" w:rsidRDefault="00B9275E" w:rsidP="00672ABA">
      <w:pPr>
        <w:pStyle w:val="Prrafodelista"/>
        <w:numPr>
          <w:ilvl w:val="2"/>
          <w:numId w:val="25"/>
        </w:numPr>
        <w:spacing w:before="360" w:after="240" w:line="276" w:lineRule="auto"/>
        <w:ind w:left="1134" w:hanging="1134"/>
        <w:jc w:val="both"/>
        <w:outlineLvl w:val="2"/>
        <w:rPr>
          <w:rFonts w:ascii="Arial" w:eastAsia="Times New Roman" w:hAnsi="Arial" w:cs="Arial"/>
          <w:b/>
          <w:color w:val="9D2235" w:themeColor="accent1"/>
          <w:sz w:val="28"/>
          <w:szCs w:val="28"/>
        </w:rPr>
      </w:pPr>
      <w:bookmarkStart w:id="238" w:name="_Toc62561795"/>
      <w:bookmarkStart w:id="239" w:name="_Toc67646321"/>
      <w:r w:rsidRPr="00973028">
        <w:rPr>
          <w:rFonts w:ascii="Arial" w:eastAsia="Times New Roman" w:hAnsi="Arial" w:cs="Arial"/>
          <w:b/>
          <w:color w:val="9D2235" w:themeColor="accent1"/>
          <w:sz w:val="28"/>
          <w:szCs w:val="28"/>
        </w:rPr>
        <w:t>Junta de Castilla y León</w:t>
      </w:r>
      <w:bookmarkEnd w:id="238"/>
      <w:bookmarkEnd w:id="239"/>
    </w:p>
    <w:p w14:paraId="6943F947" w14:textId="34A58279" w:rsidR="00B9275E" w:rsidRPr="00973028" w:rsidRDefault="00B9275E" w:rsidP="004522FD">
      <w:pPr>
        <w:pStyle w:val="Texto"/>
        <w:spacing w:after="240"/>
        <w:rPr>
          <w:rFonts w:ascii="Arial" w:hAnsi="Arial" w:cs="Arial"/>
        </w:rPr>
      </w:pPr>
      <w:r w:rsidRPr="00973028">
        <w:rPr>
          <w:rFonts w:ascii="Arial" w:hAnsi="Arial" w:cs="Arial"/>
        </w:rPr>
        <w:t xml:space="preserve">El viceconsejero de Transparencia y Calidad de los Servicios de la Junta de Castilla y León, Sr. Fernando Navarro, impulsor y responsable de la tramitación de la Ley y de la puesta en marcha de la futura Agencia Antifraude en Castilla-León, se reunió por videoconferencia con </w:t>
      </w:r>
      <w:r w:rsidRPr="00973028">
        <w:rPr>
          <w:rFonts w:ascii="Arial" w:hAnsi="Arial" w:cs="Arial"/>
        </w:rPr>
        <w:lastRenderedPageBreak/>
        <w:t>el director de la AVAF el 14 de septiembre, con el objeto de recabar información para preparar una propuesta de estructura y costes para la creación de una Agencia de Prevención contra el Fraude en la Comunidad Autónoma de Castilla y León.</w:t>
      </w:r>
    </w:p>
    <w:p w14:paraId="10F26307" w14:textId="4C8B320D" w:rsidR="00B9275E" w:rsidRPr="00973028" w:rsidRDefault="00B9275E" w:rsidP="004522FD">
      <w:pPr>
        <w:pStyle w:val="Texto"/>
        <w:spacing w:after="240"/>
        <w:rPr>
          <w:rFonts w:ascii="Arial" w:hAnsi="Arial" w:cs="Arial"/>
        </w:rPr>
      </w:pPr>
      <w:r w:rsidRPr="00973028">
        <w:rPr>
          <w:rFonts w:ascii="Arial" w:hAnsi="Arial" w:cs="Arial"/>
        </w:rPr>
        <w:t>En octubre de 2019, ya se produjo un primer contacto, con la visita del viceconsejero a Valencia, durante la fase de preparación del borrador de anteproyecto de Ley para la creación de dicha Agencia.</w:t>
      </w:r>
    </w:p>
    <w:p w14:paraId="3DCDC076" w14:textId="0DD7B3AF" w:rsidR="00B9275E" w:rsidRPr="00973028" w:rsidRDefault="00B9275E" w:rsidP="00672ABA">
      <w:pPr>
        <w:pStyle w:val="Prrafodelista"/>
        <w:numPr>
          <w:ilvl w:val="1"/>
          <w:numId w:val="25"/>
        </w:numPr>
        <w:spacing w:before="360" w:after="240" w:line="276" w:lineRule="auto"/>
        <w:ind w:left="851" w:hanging="851"/>
        <w:jc w:val="both"/>
        <w:outlineLvl w:val="1"/>
        <w:rPr>
          <w:rFonts w:ascii="Arial" w:eastAsia="Times New Roman" w:hAnsi="Arial" w:cs="Arial"/>
          <w:b/>
          <w:color w:val="9D2235" w:themeColor="accent1"/>
          <w:sz w:val="32"/>
          <w:szCs w:val="32"/>
        </w:rPr>
      </w:pPr>
      <w:bookmarkStart w:id="240" w:name="_Toc67646322"/>
      <w:r w:rsidRPr="00973028">
        <w:rPr>
          <w:rFonts w:ascii="Arial" w:eastAsia="Times New Roman" w:hAnsi="Arial" w:cs="Arial"/>
          <w:b/>
          <w:color w:val="9D2235" w:themeColor="accent1"/>
          <w:sz w:val="32"/>
          <w:szCs w:val="32"/>
        </w:rPr>
        <w:t>Publicaciones en boletines oficiales</w:t>
      </w:r>
      <w:bookmarkEnd w:id="240"/>
    </w:p>
    <w:p w14:paraId="195D3C32" w14:textId="77777777" w:rsidR="00B9275E" w:rsidRPr="00973028" w:rsidRDefault="00B9275E" w:rsidP="004522FD">
      <w:pPr>
        <w:pStyle w:val="NormalWeb"/>
        <w:spacing w:before="280" w:after="240" w:line="276" w:lineRule="auto"/>
        <w:jc w:val="both"/>
        <w:rPr>
          <w:rFonts w:ascii="Arial" w:hAnsi="Arial" w:cs="Arial"/>
          <w:sz w:val="21"/>
          <w:szCs w:val="21"/>
        </w:rPr>
      </w:pPr>
      <w:r w:rsidRPr="00973028">
        <w:rPr>
          <w:rFonts w:ascii="Arial" w:hAnsi="Arial" w:cs="Arial"/>
          <w:sz w:val="21"/>
          <w:szCs w:val="21"/>
        </w:rPr>
        <w:t>A lo largo de 2020, se efectuaron las siguientes publicaciones en boletines oficiales (Boletín Oficial de las Corts Valencianes y Diario Oficial de la Generalitat Valenciana):</w:t>
      </w:r>
    </w:p>
    <w:p w14:paraId="0693BBF3" w14:textId="37D66E42" w:rsidR="007642F6" w:rsidRPr="00973028" w:rsidRDefault="007642F6" w:rsidP="007642F6">
      <w:pPr>
        <w:pStyle w:val="Descripcin"/>
        <w:keepNext/>
        <w:rPr>
          <w:rFonts w:ascii="Arial" w:hAnsi="Arial" w:cs="Arial"/>
          <w:smallCaps w:val="0"/>
          <w:color w:val="auto"/>
          <w:sz w:val="18"/>
          <w:szCs w:val="18"/>
        </w:rPr>
      </w:pPr>
      <w:bookmarkStart w:id="241" w:name="_Toc64465906"/>
      <w:bookmarkStart w:id="242" w:name="_Toc67646359"/>
      <w:r w:rsidRPr="00973028">
        <w:rPr>
          <w:rFonts w:ascii="Arial" w:hAnsi="Arial" w:cs="Arial"/>
          <w:smallCaps w:val="0"/>
          <w:color w:val="9D2235" w:themeColor="accent1"/>
          <w:sz w:val="18"/>
          <w:szCs w:val="18"/>
        </w:rPr>
        <w:t xml:space="preserve">Tabla </w:t>
      </w:r>
      <w:r w:rsidR="002A4453" w:rsidRPr="00973028">
        <w:rPr>
          <w:rFonts w:ascii="Arial" w:hAnsi="Arial" w:cs="Arial"/>
          <w:smallCaps w:val="0"/>
          <w:color w:val="9D2235" w:themeColor="accent1"/>
          <w:sz w:val="18"/>
          <w:szCs w:val="18"/>
        </w:rPr>
        <w:fldChar w:fldCharType="begin"/>
      </w:r>
      <w:r w:rsidR="002A4453" w:rsidRPr="00973028">
        <w:rPr>
          <w:rFonts w:ascii="Arial" w:hAnsi="Arial" w:cs="Arial"/>
          <w:smallCaps w:val="0"/>
          <w:color w:val="9D2235" w:themeColor="accent1"/>
          <w:sz w:val="18"/>
          <w:szCs w:val="18"/>
        </w:rPr>
        <w:instrText xml:space="preserve"> SEQ Tabla \* ARABIC </w:instrText>
      </w:r>
      <w:r w:rsidR="002A4453" w:rsidRPr="00973028">
        <w:rPr>
          <w:rFonts w:ascii="Arial" w:hAnsi="Arial" w:cs="Arial"/>
          <w:smallCaps w:val="0"/>
          <w:color w:val="9D2235" w:themeColor="accent1"/>
          <w:sz w:val="18"/>
          <w:szCs w:val="18"/>
        </w:rPr>
        <w:fldChar w:fldCharType="separate"/>
      </w:r>
      <w:r w:rsidR="00ED7F0D">
        <w:rPr>
          <w:rFonts w:ascii="Arial" w:hAnsi="Arial" w:cs="Arial"/>
          <w:smallCaps w:val="0"/>
          <w:noProof/>
          <w:color w:val="9D2235" w:themeColor="accent1"/>
          <w:sz w:val="18"/>
          <w:szCs w:val="18"/>
        </w:rPr>
        <w:t>22</w:t>
      </w:r>
      <w:r w:rsidR="002A4453" w:rsidRPr="00973028">
        <w:rPr>
          <w:rFonts w:ascii="Arial" w:hAnsi="Arial" w:cs="Arial"/>
          <w:smallCaps w:val="0"/>
          <w:color w:val="9D2235" w:themeColor="accent1"/>
          <w:sz w:val="18"/>
          <w:szCs w:val="18"/>
        </w:rPr>
        <w:fldChar w:fldCharType="end"/>
      </w:r>
      <w:r w:rsidR="00364B3C">
        <w:rPr>
          <w:rFonts w:ascii="Arial" w:hAnsi="Arial" w:cs="Arial"/>
          <w:smallCaps w:val="0"/>
          <w:color w:val="9D2235" w:themeColor="accent1"/>
          <w:sz w:val="18"/>
          <w:szCs w:val="18"/>
        </w:rPr>
        <w:t>.</w:t>
      </w:r>
      <w:r w:rsidRPr="00973028">
        <w:rPr>
          <w:rFonts w:ascii="Arial" w:hAnsi="Arial" w:cs="Arial"/>
          <w:smallCaps w:val="0"/>
          <w:color w:val="9D2235" w:themeColor="accent1"/>
          <w:sz w:val="18"/>
          <w:szCs w:val="18"/>
        </w:rPr>
        <w:t xml:space="preserve"> </w:t>
      </w:r>
      <w:r w:rsidRPr="00973028">
        <w:rPr>
          <w:rFonts w:ascii="Arial" w:hAnsi="Arial" w:cs="Arial"/>
          <w:smallCaps w:val="0"/>
          <w:color w:val="auto"/>
          <w:sz w:val="18"/>
          <w:szCs w:val="18"/>
        </w:rPr>
        <w:t>Publicaciones en boletines oficiales año 2020</w:t>
      </w:r>
      <w:bookmarkEnd w:id="241"/>
      <w:bookmarkEnd w:id="242"/>
    </w:p>
    <w:tbl>
      <w:tblPr>
        <w:tblW w:w="8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5110"/>
        <w:gridCol w:w="1233"/>
        <w:gridCol w:w="1234"/>
        <w:gridCol w:w="1235"/>
      </w:tblGrid>
      <w:tr w:rsidR="00DE7467" w:rsidRPr="00973028" w14:paraId="16CB21F7" w14:textId="77777777" w:rsidTr="00837C34">
        <w:trPr>
          <w:tblHeader/>
        </w:trPr>
        <w:tc>
          <w:tcPr>
            <w:tcW w:w="5110" w:type="dxa"/>
            <w:shd w:val="clear" w:color="auto" w:fill="9D2235" w:themeFill="accent1"/>
          </w:tcPr>
          <w:p w14:paraId="76DC303E" w14:textId="77777777" w:rsidR="00B9275E" w:rsidRPr="00973028" w:rsidRDefault="00B9275E" w:rsidP="004522FD">
            <w:pPr>
              <w:spacing w:after="120" w:line="276" w:lineRule="auto"/>
              <w:ind w:left="113"/>
              <w:jc w:val="both"/>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Asunto</w:t>
            </w:r>
          </w:p>
        </w:tc>
        <w:tc>
          <w:tcPr>
            <w:tcW w:w="1233" w:type="dxa"/>
            <w:shd w:val="clear" w:color="auto" w:fill="9D2235" w:themeFill="accent1"/>
          </w:tcPr>
          <w:p w14:paraId="7833BD45" w14:textId="77777777" w:rsidR="00B9275E" w:rsidRPr="00973028" w:rsidRDefault="00B9275E" w:rsidP="004522FD">
            <w:pPr>
              <w:spacing w:after="120" w:line="276" w:lineRule="auto"/>
              <w:jc w:val="both"/>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BOCV</w:t>
            </w:r>
          </w:p>
        </w:tc>
        <w:tc>
          <w:tcPr>
            <w:tcW w:w="1234" w:type="dxa"/>
            <w:shd w:val="clear" w:color="auto" w:fill="9D2235" w:themeFill="accent1"/>
          </w:tcPr>
          <w:p w14:paraId="73F0FEEB" w14:textId="77777777" w:rsidR="00B9275E" w:rsidRPr="00973028" w:rsidRDefault="00B9275E" w:rsidP="004522FD">
            <w:pPr>
              <w:spacing w:after="120" w:line="276" w:lineRule="auto"/>
              <w:jc w:val="both"/>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DOGV</w:t>
            </w:r>
          </w:p>
        </w:tc>
        <w:tc>
          <w:tcPr>
            <w:tcW w:w="1235" w:type="dxa"/>
            <w:shd w:val="clear" w:color="auto" w:fill="9D2235" w:themeFill="accent1"/>
          </w:tcPr>
          <w:p w14:paraId="7F706B23" w14:textId="77777777" w:rsidR="00B9275E" w:rsidRPr="00973028" w:rsidRDefault="00B9275E" w:rsidP="004522FD">
            <w:pPr>
              <w:spacing w:after="120" w:line="276" w:lineRule="auto"/>
              <w:jc w:val="both"/>
              <w:rPr>
                <w:rFonts w:ascii="Arial" w:eastAsia="Times New Roman" w:hAnsi="Arial" w:cs="Arial"/>
                <w:b/>
                <w:bCs/>
                <w:color w:val="FFFFFF" w:themeColor="background1"/>
                <w:sz w:val="18"/>
                <w:szCs w:val="18"/>
                <w:lang w:eastAsia="es-ES"/>
              </w:rPr>
            </w:pPr>
            <w:r w:rsidRPr="00973028">
              <w:rPr>
                <w:rFonts w:ascii="Arial" w:eastAsia="Times New Roman" w:hAnsi="Arial" w:cs="Arial"/>
                <w:b/>
                <w:bCs/>
                <w:color w:val="FFFFFF" w:themeColor="background1"/>
                <w:sz w:val="18"/>
                <w:szCs w:val="18"/>
                <w:lang w:eastAsia="es-ES"/>
              </w:rPr>
              <w:t>BOE</w:t>
            </w:r>
          </w:p>
        </w:tc>
      </w:tr>
      <w:tr w:rsidR="00B9275E" w:rsidRPr="00973028" w14:paraId="6E4C2FE1" w14:textId="77777777" w:rsidTr="007642F6">
        <w:tc>
          <w:tcPr>
            <w:tcW w:w="5110" w:type="dxa"/>
            <w:shd w:val="clear" w:color="auto" w:fill="auto"/>
          </w:tcPr>
          <w:p w14:paraId="09E2CB23" w14:textId="77777777" w:rsidR="00B9275E" w:rsidRPr="00973028" w:rsidRDefault="00B9275E" w:rsidP="004522FD">
            <w:pPr>
              <w:pStyle w:val="Standard"/>
              <w:spacing w:after="120" w:line="276" w:lineRule="auto"/>
              <w:ind w:left="113"/>
              <w:jc w:val="both"/>
              <w:rPr>
                <w:rFonts w:ascii="Arial" w:hAnsi="Arial"/>
                <w:sz w:val="18"/>
                <w:szCs w:val="18"/>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9/2020, de 23 de enero de 2020, del director de la Agencia de Prevención y Lucha contra el Fraude y la Corrupción de la Comunitat Valenciana, por la que se proveen, por el sistema de libre designación, los puestos de trabajo número 11, letrado/da, número 24, jefe/fa de unidad de Asuntos Jurídicos, y número 37, letrado/da, anunciados en la convocatoria número LD 7/2019, de 18 de noviembre de 2019</w:t>
            </w:r>
          </w:p>
        </w:tc>
        <w:tc>
          <w:tcPr>
            <w:tcW w:w="1233" w:type="dxa"/>
            <w:shd w:val="clear" w:color="auto" w:fill="auto"/>
          </w:tcPr>
          <w:p w14:paraId="5C97BF5A"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59 de 05/02/2020</w:t>
            </w:r>
          </w:p>
        </w:tc>
        <w:tc>
          <w:tcPr>
            <w:tcW w:w="1234" w:type="dxa"/>
            <w:shd w:val="clear" w:color="auto" w:fill="auto"/>
          </w:tcPr>
          <w:p w14:paraId="4494BE08"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shd w:val="clear" w:color="auto" w:fill="FFFFFF"/>
              </w:rPr>
              <w:t>N.º 8729 de 30/01/2020</w:t>
            </w:r>
          </w:p>
        </w:tc>
        <w:tc>
          <w:tcPr>
            <w:tcW w:w="1235" w:type="dxa"/>
            <w:shd w:val="clear" w:color="auto" w:fill="auto"/>
          </w:tcPr>
          <w:p w14:paraId="194B06AF"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1AD79E13" w14:textId="77777777" w:rsidTr="007642F6">
        <w:tc>
          <w:tcPr>
            <w:tcW w:w="5110" w:type="dxa"/>
            <w:shd w:val="clear" w:color="auto" w:fill="auto"/>
          </w:tcPr>
          <w:p w14:paraId="7BD5AF70"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16/2020, de 28 de enero de 2020 del director de la Agencia de Prevención y Lucha contra el Fraude y la Corrupción de la Comunitat Valenciana, por la que se provee, por el sistema de libre designación, el puesto de trabajo número 34, jefe de Servicio de Documentación e Informes (convocatoria número 4/2019, de 22 de octubre de 2019)</w:t>
            </w:r>
          </w:p>
        </w:tc>
        <w:tc>
          <w:tcPr>
            <w:tcW w:w="1233" w:type="dxa"/>
            <w:shd w:val="clear" w:color="auto" w:fill="auto"/>
          </w:tcPr>
          <w:p w14:paraId="4FB860AF"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59 de 05/02/2020</w:t>
            </w:r>
          </w:p>
        </w:tc>
        <w:tc>
          <w:tcPr>
            <w:tcW w:w="1234" w:type="dxa"/>
            <w:shd w:val="clear" w:color="auto" w:fill="auto"/>
          </w:tcPr>
          <w:p w14:paraId="6F62034C"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8731 de 03/02/2020</w:t>
            </w:r>
          </w:p>
        </w:tc>
        <w:tc>
          <w:tcPr>
            <w:tcW w:w="1235" w:type="dxa"/>
            <w:shd w:val="clear" w:color="auto" w:fill="auto"/>
          </w:tcPr>
          <w:p w14:paraId="1E255FC4"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1FDE949D" w14:textId="77777777" w:rsidTr="007642F6">
        <w:tc>
          <w:tcPr>
            <w:tcW w:w="5110" w:type="dxa"/>
            <w:shd w:val="clear" w:color="auto" w:fill="auto"/>
          </w:tcPr>
          <w:p w14:paraId="5CD7F766"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25/2020, de 7 de febrero, del director de la Agencia de Prevención y Lucha contra el Fraude y la Corrupción de la Comunitat Valenciana, por la que se convoca la provisión, por el sistema de libre designación, del puesto de trabajo número 3 director o directora de Análisis e Investigación, y se aprueban las bases que rigen la convocatoria. Convocatoria número 2/2020</w:t>
            </w:r>
          </w:p>
        </w:tc>
        <w:tc>
          <w:tcPr>
            <w:tcW w:w="1233" w:type="dxa"/>
            <w:shd w:val="clear" w:color="auto" w:fill="auto"/>
          </w:tcPr>
          <w:p w14:paraId="643ADC3E"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66 de 28/02/2020</w:t>
            </w:r>
          </w:p>
        </w:tc>
        <w:tc>
          <w:tcPr>
            <w:tcW w:w="1234" w:type="dxa"/>
            <w:shd w:val="clear" w:color="auto" w:fill="auto"/>
          </w:tcPr>
          <w:p w14:paraId="41202EB5"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8743 de 19/02/2020</w:t>
            </w:r>
          </w:p>
        </w:tc>
        <w:tc>
          <w:tcPr>
            <w:tcW w:w="1235" w:type="dxa"/>
            <w:shd w:val="clear" w:color="auto" w:fill="auto"/>
          </w:tcPr>
          <w:p w14:paraId="0AACBD15"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69EACA0A" w14:textId="77777777" w:rsidTr="007642F6">
        <w:tc>
          <w:tcPr>
            <w:tcW w:w="5110" w:type="dxa"/>
            <w:shd w:val="clear" w:color="auto" w:fill="auto"/>
          </w:tcPr>
          <w:p w14:paraId="38F8178A"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26/2020, de 7 de febrero, del director de la Agencia de Prevención y Lucha contra el Fraude y la Corrupción de la Comunitat Valenciana, por la que se convoca la provisión, por el sistema de libre designación, de los puestos de trabajo de naturaleza funcionarial, número 7 jefe o jefa de Servicio de Apoyo y Pericia, número 14 jefe o jefa de Unidad de Análisis e Investigación I, número 15 jefe o jefa de Unidad de Análisis e Investigación II, número 16 jefe o jefa de Unidad de Análisis e Investigación III y</w:t>
            </w:r>
            <w:r w:rsidRPr="00973028">
              <w:rPr>
                <w:rFonts w:ascii="Arial" w:hAnsi="Arial"/>
                <w:sz w:val="18"/>
                <w:szCs w:val="18"/>
                <w:shd w:val="clear" w:color="auto" w:fill="FFFFFF"/>
              </w:rPr>
              <w:br/>
              <w:t xml:space="preserve">número 17 jefe o jefa de Unidad de Apoyo y Pericia, y se aprueban las bases que rigen la convocatoria. Convocatoria </w:t>
            </w:r>
            <w:r w:rsidRPr="00973028">
              <w:rPr>
                <w:rFonts w:ascii="Arial" w:hAnsi="Arial"/>
                <w:sz w:val="18"/>
                <w:szCs w:val="18"/>
                <w:shd w:val="clear" w:color="auto" w:fill="FFFFFF"/>
              </w:rPr>
              <w:lastRenderedPageBreak/>
              <w:t>número LD 1/2020</w:t>
            </w:r>
          </w:p>
        </w:tc>
        <w:tc>
          <w:tcPr>
            <w:tcW w:w="1233" w:type="dxa"/>
            <w:shd w:val="clear" w:color="auto" w:fill="auto"/>
          </w:tcPr>
          <w:p w14:paraId="20ABCE12"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lastRenderedPageBreak/>
              <w:t>N.º 66 de 28/02/2020</w:t>
            </w:r>
          </w:p>
        </w:tc>
        <w:tc>
          <w:tcPr>
            <w:tcW w:w="1234" w:type="dxa"/>
            <w:shd w:val="clear" w:color="auto" w:fill="auto"/>
          </w:tcPr>
          <w:p w14:paraId="7A0D4035"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8742 de 18/02/2020</w:t>
            </w:r>
          </w:p>
        </w:tc>
        <w:tc>
          <w:tcPr>
            <w:tcW w:w="1235" w:type="dxa"/>
            <w:shd w:val="clear" w:color="auto" w:fill="auto"/>
          </w:tcPr>
          <w:p w14:paraId="69652FE1"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030C1923" w14:textId="77777777" w:rsidTr="007642F6">
        <w:tc>
          <w:tcPr>
            <w:tcW w:w="5110" w:type="dxa"/>
            <w:shd w:val="clear" w:color="auto" w:fill="auto"/>
          </w:tcPr>
          <w:p w14:paraId="6F55D2C6"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49/2020, de 27 de febrero, del director de la Agencia de Prevención y Lucha contra el Fraude y la Corrupción de la Comunitat Valenciana, por la que se convoca la provisión, por el sistema de libre designación, de los puestos de trabajo de naturaleza funcionarial, número 18 jefe o jefa de Unidad de Coordinación Informática y 19 jefe o jefa de Unidad de Producción y Explotación de los Sistemas Informáticos, y se aprueban las bases que rigen la convocatoria. Convocatoria número LD 3/2020</w:t>
            </w:r>
          </w:p>
        </w:tc>
        <w:tc>
          <w:tcPr>
            <w:tcW w:w="1233" w:type="dxa"/>
            <w:shd w:val="clear" w:color="auto" w:fill="auto"/>
          </w:tcPr>
          <w:p w14:paraId="4A83DA69"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68 de 06/03/2020</w:t>
            </w:r>
          </w:p>
        </w:tc>
        <w:tc>
          <w:tcPr>
            <w:tcW w:w="1234" w:type="dxa"/>
            <w:shd w:val="clear" w:color="auto" w:fill="auto"/>
          </w:tcPr>
          <w:p w14:paraId="3F5EB7F3"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8761 de 13/03/2020</w:t>
            </w:r>
          </w:p>
        </w:tc>
        <w:tc>
          <w:tcPr>
            <w:tcW w:w="1235" w:type="dxa"/>
            <w:shd w:val="clear" w:color="auto" w:fill="auto"/>
          </w:tcPr>
          <w:p w14:paraId="2FC3BBE5"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1EDF8F58" w14:textId="77777777" w:rsidTr="007642F6">
        <w:tc>
          <w:tcPr>
            <w:tcW w:w="5110" w:type="dxa"/>
            <w:shd w:val="clear" w:color="auto" w:fill="auto"/>
          </w:tcPr>
          <w:p w14:paraId="022CF822"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85/2020, de 1 de abril, del director de la Agencia de Prevención y Lucha contra el Fraude y la Corrupción de la Comunitat Valenciana, por la cual se declara desierta la convocatoria del procedimiento de provisión, por el sistema de libre designación, del puesto de trabajo número 33 de la Relación de puestos de trabajo de la Agencia, jefe o jefa de Servicio de Formación (Exp. LD 3/2019)</w:t>
            </w:r>
          </w:p>
        </w:tc>
        <w:tc>
          <w:tcPr>
            <w:tcW w:w="1233" w:type="dxa"/>
            <w:shd w:val="clear" w:color="auto" w:fill="auto"/>
          </w:tcPr>
          <w:p w14:paraId="1237EE79"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74 de 21/04/2020</w:t>
            </w:r>
          </w:p>
        </w:tc>
        <w:tc>
          <w:tcPr>
            <w:tcW w:w="1234" w:type="dxa"/>
            <w:shd w:val="clear" w:color="auto" w:fill="auto"/>
          </w:tcPr>
          <w:p w14:paraId="06C45253"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8783 de 07/04/2020</w:t>
            </w:r>
          </w:p>
        </w:tc>
        <w:tc>
          <w:tcPr>
            <w:tcW w:w="1235" w:type="dxa"/>
            <w:shd w:val="clear" w:color="auto" w:fill="auto"/>
          </w:tcPr>
          <w:p w14:paraId="3496F91D"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1E83AB04" w14:textId="77777777" w:rsidTr="007642F6">
        <w:tc>
          <w:tcPr>
            <w:tcW w:w="5110" w:type="dxa"/>
            <w:shd w:val="clear" w:color="auto" w:fill="auto"/>
          </w:tcPr>
          <w:p w14:paraId="018AE103"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MEMORIA</w:t>
            </w:r>
            <w:r w:rsidRPr="00973028">
              <w:rPr>
                <w:rFonts w:ascii="Arial" w:hAnsi="Arial"/>
                <w:sz w:val="18"/>
                <w:szCs w:val="18"/>
                <w:shd w:val="clear" w:color="auto" w:fill="FFFFFF"/>
              </w:rPr>
              <w:t xml:space="preserve"> de la Agencia de Prevención y Lucha contra el Fraude y la Corrupción de la Comunitat Valenciana correspondiente al ejercicio 2019 (RE número 16.605)</w:t>
            </w:r>
          </w:p>
        </w:tc>
        <w:tc>
          <w:tcPr>
            <w:tcW w:w="1233" w:type="dxa"/>
            <w:shd w:val="clear" w:color="auto" w:fill="auto"/>
          </w:tcPr>
          <w:p w14:paraId="47E6F2DA"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74 de 21/04/2020</w:t>
            </w:r>
          </w:p>
        </w:tc>
        <w:tc>
          <w:tcPr>
            <w:tcW w:w="1234" w:type="dxa"/>
            <w:shd w:val="clear" w:color="auto" w:fill="auto"/>
          </w:tcPr>
          <w:p w14:paraId="01FF68F8"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c>
          <w:tcPr>
            <w:tcW w:w="1235" w:type="dxa"/>
            <w:shd w:val="clear" w:color="auto" w:fill="auto"/>
          </w:tcPr>
          <w:p w14:paraId="3E6AB3E2"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0EFB774A" w14:textId="77777777" w:rsidTr="007642F6">
        <w:tc>
          <w:tcPr>
            <w:tcW w:w="5110" w:type="dxa"/>
            <w:shd w:val="clear" w:color="auto" w:fill="auto"/>
          </w:tcPr>
          <w:p w14:paraId="3C446EA0"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93/2020, de 8 de abril, del director de la Agencia de Prevención y Lucha contra el Fraude y la Corrupción de la Comunitat Valenciana, por la cual se aprueba crear y modificar varios puestos de trabajo e incorporarlos a la vigente relación de puestos de trabajo de la Agencia de Prevención y Lucha contra el Fraude y la Corrupción de la Comunitat Valenciana</w:t>
            </w:r>
          </w:p>
        </w:tc>
        <w:tc>
          <w:tcPr>
            <w:tcW w:w="1233" w:type="dxa"/>
            <w:shd w:val="clear" w:color="auto" w:fill="auto"/>
          </w:tcPr>
          <w:p w14:paraId="2854D67B"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75 de 04/05/2020</w:t>
            </w:r>
          </w:p>
        </w:tc>
        <w:tc>
          <w:tcPr>
            <w:tcW w:w="1234" w:type="dxa"/>
            <w:shd w:val="clear" w:color="auto" w:fill="auto"/>
          </w:tcPr>
          <w:p w14:paraId="59B4E4CE"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8789 de 15/04/2020</w:t>
            </w:r>
          </w:p>
        </w:tc>
        <w:tc>
          <w:tcPr>
            <w:tcW w:w="1235" w:type="dxa"/>
            <w:shd w:val="clear" w:color="auto" w:fill="auto"/>
          </w:tcPr>
          <w:p w14:paraId="0BBA8E8D"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5A3F1900" w14:textId="77777777" w:rsidTr="007642F6">
        <w:tc>
          <w:tcPr>
            <w:tcW w:w="5110" w:type="dxa"/>
            <w:shd w:val="clear" w:color="auto" w:fill="auto"/>
          </w:tcPr>
          <w:p w14:paraId="601C10F9"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CORRECCIÓN</w:t>
            </w:r>
            <w:r w:rsidRPr="00973028">
              <w:rPr>
                <w:rFonts w:ascii="Arial" w:hAnsi="Arial"/>
                <w:sz w:val="18"/>
                <w:szCs w:val="18"/>
                <w:shd w:val="clear" w:color="auto" w:fill="FFFFFF"/>
              </w:rPr>
              <w:t xml:space="preserve"> de errores de la Resolución núm. 93/2020, de 8 de abril, del director de la Agencia de Prevención y Lucha contra el Fraude y la Corrupción, por la que se aprueba la creación y modificación de varios puestos de trabajo y su incorporación a la vigente relación de puestos de trabajo de la Agencia de Prevención y Lucha contra el Fraude y la Corrupción de la Comunitat Valenciana.</w:t>
            </w:r>
          </w:p>
        </w:tc>
        <w:tc>
          <w:tcPr>
            <w:tcW w:w="1233" w:type="dxa"/>
            <w:shd w:val="clear" w:color="auto" w:fill="auto"/>
          </w:tcPr>
          <w:p w14:paraId="2FC3F80D"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c>
          <w:tcPr>
            <w:tcW w:w="1234" w:type="dxa"/>
            <w:shd w:val="clear" w:color="auto" w:fill="auto"/>
          </w:tcPr>
          <w:p w14:paraId="0C0FCB2A"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8800 de 28/04/2020</w:t>
            </w:r>
          </w:p>
        </w:tc>
        <w:tc>
          <w:tcPr>
            <w:tcW w:w="1235" w:type="dxa"/>
            <w:shd w:val="clear" w:color="auto" w:fill="auto"/>
          </w:tcPr>
          <w:p w14:paraId="54F1C5D3"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31074029" w14:textId="77777777" w:rsidTr="007642F6">
        <w:tc>
          <w:tcPr>
            <w:tcW w:w="5110" w:type="dxa"/>
            <w:shd w:val="clear" w:color="auto" w:fill="auto"/>
          </w:tcPr>
          <w:p w14:paraId="41AEFDAD"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número 101/2020, de 23 de abril de 2020, de la Agencia de Prevención y Lucha contra el Fraude y la Corrupción de la Comunitat Valenciana, por la cual se provee, por el sistema de libre designación, el puesto de trabajo número 3, director/a de Análisis e Investigación, anunciado en la convocatoria número LD 2/2020, publicada en el </w:t>
            </w:r>
            <w:r w:rsidRPr="00973028">
              <w:rPr>
                <w:rFonts w:ascii="Arial" w:hAnsi="Arial"/>
                <w:sz w:val="18"/>
                <w:szCs w:val="18"/>
              </w:rPr>
              <w:t>Diari Oficial de la Generalitat Valenciana</w:t>
            </w:r>
            <w:r w:rsidRPr="00973028">
              <w:rPr>
                <w:rFonts w:ascii="Arial" w:hAnsi="Arial"/>
                <w:sz w:val="18"/>
                <w:szCs w:val="18"/>
                <w:shd w:val="clear" w:color="auto" w:fill="FFFFFF"/>
              </w:rPr>
              <w:t xml:space="preserve"> número 8743, de 19 de febrero de 2020</w:t>
            </w:r>
          </w:p>
        </w:tc>
        <w:tc>
          <w:tcPr>
            <w:tcW w:w="1233" w:type="dxa"/>
            <w:shd w:val="clear" w:color="auto" w:fill="auto"/>
          </w:tcPr>
          <w:p w14:paraId="7146A62B"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76 de 08/05/2020</w:t>
            </w:r>
          </w:p>
        </w:tc>
        <w:tc>
          <w:tcPr>
            <w:tcW w:w="1234" w:type="dxa"/>
            <w:shd w:val="clear" w:color="auto" w:fill="auto"/>
          </w:tcPr>
          <w:p w14:paraId="3E61B509"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8801 de 29/04/2020</w:t>
            </w:r>
          </w:p>
        </w:tc>
        <w:tc>
          <w:tcPr>
            <w:tcW w:w="1235" w:type="dxa"/>
            <w:shd w:val="clear" w:color="auto" w:fill="auto"/>
          </w:tcPr>
          <w:p w14:paraId="456AE606"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18EA81F2" w14:textId="77777777" w:rsidTr="007642F6">
        <w:tc>
          <w:tcPr>
            <w:tcW w:w="5110" w:type="dxa"/>
            <w:shd w:val="clear" w:color="auto" w:fill="auto"/>
          </w:tcPr>
          <w:p w14:paraId="7E351F69"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PROTOCOLO</w:t>
            </w:r>
            <w:r w:rsidRPr="00973028">
              <w:rPr>
                <w:rFonts w:ascii="Arial" w:hAnsi="Arial"/>
                <w:sz w:val="18"/>
                <w:szCs w:val="18"/>
                <w:shd w:val="clear" w:color="auto" w:fill="FFFFFF"/>
              </w:rPr>
              <w:t xml:space="preserve"> de Colaboración Funcional entre la Sindicatura de Comptes de la Comunitat Valenciana y la Agencia de Prevención y Lucha contra el Fraude y la Corrupción de la </w:t>
            </w:r>
            <w:r w:rsidRPr="00973028">
              <w:rPr>
                <w:rFonts w:ascii="Arial" w:hAnsi="Arial"/>
                <w:sz w:val="18"/>
                <w:szCs w:val="18"/>
                <w:shd w:val="clear" w:color="auto" w:fill="FFFFFF"/>
              </w:rPr>
              <w:lastRenderedPageBreak/>
              <w:t>Comunitat Valenciana</w:t>
            </w:r>
          </w:p>
        </w:tc>
        <w:tc>
          <w:tcPr>
            <w:tcW w:w="1233" w:type="dxa"/>
            <w:shd w:val="clear" w:color="auto" w:fill="auto"/>
          </w:tcPr>
          <w:p w14:paraId="5702FA07"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lastRenderedPageBreak/>
              <w:t>N.º 80 de 27/05/2020</w:t>
            </w:r>
          </w:p>
        </w:tc>
        <w:tc>
          <w:tcPr>
            <w:tcW w:w="1234" w:type="dxa"/>
            <w:shd w:val="clear" w:color="auto" w:fill="auto"/>
          </w:tcPr>
          <w:p w14:paraId="283EB430"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c>
          <w:tcPr>
            <w:tcW w:w="1235" w:type="dxa"/>
            <w:shd w:val="clear" w:color="auto" w:fill="auto"/>
          </w:tcPr>
          <w:p w14:paraId="08936085"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67D421A4" w14:textId="77777777" w:rsidTr="007642F6">
        <w:tc>
          <w:tcPr>
            <w:tcW w:w="5110" w:type="dxa"/>
            <w:shd w:val="clear" w:color="auto" w:fill="auto"/>
          </w:tcPr>
          <w:p w14:paraId="7787DA28"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número 172/2020, de 25 de mayo de 2020, del director de la Agencia de Prevención y Lucha contra el Fraude y la Corrupción de la Comunitat Valenciana, por la cual se provee, por el sistema de libre designación, el puesto de trabajo número 7, jefe o jefa de servicio de Apoyo y Pericia, anunciado en la convocatoria número LD 1/2020, publicada en el DOGV número 8.742, de 18 de febrero de 2020</w:t>
            </w:r>
          </w:p>
        </w:tc>
        <w:tc>
          <w:tcPr>
            <w:tcW w:w="1233" w:type="dxa"/>
            <w:shd w:val="clear" w:color="auto" w:fill="auto"/>
          </w:tcPr>
          <w:p w14:paraId="31C9280B"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83 de 05/06/2020</w:t>
            </w:r>
          </w:p>
        </w:tc>
        <w:tc>
          <w:tcPr>
            <w:tcW w:w="1234" w:type="dxa"/>
            <w:shd w:val="clear" w:color="auto" w:fill="auto"/>
          </w:tcPr>
          <w:p w14:paraId="0D11FD0D"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8821 de 27/05/2020</w:t>
            </w:r>
          </w:p>
        </w:tc>
        <w:tc>
          <w:tcPr>
            <w:tcW w:w="1235" w:type="dxa"/>
            <w:shd w:val="clear" w:color="auto" w:fill="auto"/>
          </w:tcPr>
          <w:p w14:paraId="0625810A"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75049708" w14:textId="77777777" w:rsidTr="007642F6">
        <w:tc>
          <w:tcPr>
            <w:tcW w:w="5110" w:type="dxa"/>
            <w:shd w:val="clear" w:color="auto" w:fill="auto"/>
          </w:tcPr>
          <w:p w14:paraId="501B7595"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número 191/2020, de 5 de junio, del director de la Agencia de Prevención y Lucha contra el Fraude y la Corrupción de la Comunitat Valenciana, por la que se declara desierta la convocatoria del procedimiento de provisión, por el sistema de libre designación, del puesto de trabajo número 17 de la relación de puestos de trabajo de la Agencia, jefe de Unidad de Apoyo y Pericia (Expt. LD 1/2020).</w:t>
            </w:r>
          </w:p>
        </w:tc>
        <w:tc>
          <w:tcPr>
            <w:tcW w:w="1233" w:type="dxa"/>
            <w:shd w:val="clear" w:color="auto" w:fill="auto"/>
          </w:tcPr>
          <w:p w14:paraId="487AA946"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88 de 26/06/2020</w:t>
            </w:r>
          </w:p>
        </w:tc>
        <w:tc>
          <w:tcPr>
            <w:tcW w:w="1234" w:type="dxa"/>
            <w:shd w:val="clear" w:color="auto" w:fill="auto"/>
          </w:tcPr>
          <w:p w14:paraId="24BCBB99"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8831 de 10/06/2020</w:t>
            </w:r>
          </w:p>
        </w:tc>
        <w:tc>
          <w:tcPr>
            <w:tcW w:w="1235" w:type="dxa"/>
            <w:shd w:val="clear" w:color="auto" w:fill="auto"/>
          </w:tcPr>
          <w:p w14:paraId="777595E6"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2AC9E5B4" w14:textId="77777777" w:rsidTr="007642F6">
        <w:tc>
          <w:tcPr>
            <w:tcW w:w="5110" w:type="dxa"/>
            <w:shd w:val="clear" w:color="auto" w:fill="auto"/>
          </w:tcPr>
          <w:p w14:paraId="4C22FF1F"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225/2020, de 23 de junio, del director de la Agencia de Prevención y Lucha contra el Fraude y la Corrupción de la Comunitat Valenciana, por la que se aprueba la política de firma electrónica y de certificados de esta agencia.</w:t>
            </w:r>
          </w:p>
        </w:tc>
        <w:tc>
          <w:tcPr>
            <w:tcW w:w="1233" w:type="dxa"/>
            <w:shd w:val="clear" w:color="auto" w:fill="auto"/>
          </w:tcPr>
          <w:p w14:paraId="75A233C8"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89 de 03/07/2020</w:t>
            </w:r>
          </w:p>
        </w:tc>
        <w:tc>
          <w:tcPr>
            <w:tcW w:w="1234" w:type="dxa"/>
            <w:shd w:val="clear" w:color="auto" w:fill="auto"/>
          </w:tcPr>
          <w:p w14:paraId="6AA97298"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8850 de 06/07/2020</w:t>
            </w:r>
          </w:p>
        </w:tc>
        <w:tc>
          <w:tcPr>
            <w:tcW w:w="1235" w:type="dxa"/>
            <w:shd w:val="clear" w:color="auto" w:fill="auto"/>
          </w:tcPr>
          <w:p w14:paraId="019E23A3"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0C7A9D81" w14:textId="77777777" w:rsidTr="007642F6">
        <w:tc>
          <w:tcPr>
            <w:tcW w:w="5110" w:type="dxa"/>
            <w:shd w:val="clear" w:color="auto" w:fill="auto"/>
          </w:tcPr>
          <w:p w14:paraId="1E7DFACB"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del director de la Agencia de Prevención y Lucha contra el Fraude y la Corrupción de la Comunitat Valenciana por la cual se acuerda la publicación del texto íntegro del convenio marco entre la Universidad CEU Cardenal Herrera y esta agencia para la colaboración cultural, educativa y científica.</w:t>
            </w:r>
          </w:p>
          <w:p w14:paraId="620AF8E6"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sz w:val="18"/>
                <w:szCs w:val="18"/>
                <w:shd w:val="clear" w:color="auto" w:fill="FFFFFF"/>
              </w:rPr>
              <w:t>Resolución del director de la Agencia de Prevención y Lucha contra el Fraude y la Corrupción de la Comunitat Valenciana, por la que se acuerda la publicación del texto íntegro del Convenio marco entre la Universidad CEU Cardenal Herrera y esta agencia para la colaboración cultural, educativa y científica.</w:t>
            </w:r>
          </w:p>
        </w:tc>
        <w:tc>
          <w:tcPr>
            <w:tcW w:w="1233" w:type="dxa"/>
            <w:shd w:val="clear" w:color="auto" w:fill="auto"/>
          </w:tcPr>
          <w:p w14:paraId="59FB8C1F"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93 de 22/07/2020</w:t>
            </w:r>
          </w:p>
        </w:tc>
        <w:tc>
          <w:tcPr>
            <w:tcW w:w="1234" w:type="dxa"/>
            <w:shd w:val="clear" w:color="auto" w:fill="auto"/>
          </w:tcPr>
          <w:p w14:paraId="223B6D76"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c>
          <w:tcPr>
            <w:tcW w:w="1235" w:type="dxa"/>
            <w:shd w:val="clear" w:color="auto" w:fill="auto"/>
          </w:tcPr>
          <w:p w14:paraId="5CE3066E"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06EC2ADA" w14:textId="77777777" w:rsidTr="007642F6">
        <w:tc>
          <w:tcPr>
            <w:tcW w:w="5110" w:type="dxa"/>
            <w:shd w:val="clear" w:color="auto" w:fill="auto"/>
          </w:tcPr>
          <w:p w14:paraId="56F914C9"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del director de la Agencia de Prevención y Lucha contra el Fraude y la Corrupción de la Comunitat Valenciana por la cual se acuerda la publicación del texto íntegro del convenio de colaboración subscrito entre la agencia y la Universitat de València para desarrollar el proyecto «Actividades formativas para el buen gobierno y la ciudadanía en el territorio valenciano».</w:t>
            </w:r>
          </w:p>
        </w:tc>
        <w:tc>
          <w:tcPr>
            <w:tcW w:w="1233" w:type="dxa"/>
            <w:shd w:val="clear" w:color="auto" w:fill="auto"/>
          </w:tcPr>
          <w:p w14:paraId="2C9F4254"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93 de 22/07/2020</w:t>
            </w:r>
          </w:p>
        </w:tc>
        <w:tc>
          <w:tcPr>
            <w:tcW w:w="1234" w:type="dxa"/>
            <w:shd w:val="clear" w:color="auto" w:fill="auto"/>
          </w:tcPr>
          <w:p w14:paraId="74C06C26"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c>
          <w:tcPr>
            <w:tcW w:w="1235" w:type="dxa"/>
            <w:shd w:val="clear" w:color="auto" w:fill="auto"/>
          </w:tcPr>
          <w:p w14:paraId="1501F3A1"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294FB7EA" w14:textId="77777777" w:rsidTr="007642F6">
        <w:tc>
          <w:tcPr>
            <w:tcW w:w="5110" w:type="dxa"/>
            <w:shd w:val="clear" w:color="auto" w:fill="auto"/>
          </w:tcPr>
          <w:p w14:paraId="2D34ABFD"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número 233/2020, de 25 de junio, del director de la Agencia de Prevención y Lucha contra el Fraude y la Corrupción de la Comunitat Valenciana, por la que se proveen, por el sistema de libre designación, los puestos de trabajo de naturaleza funcionarial número 14 jefe o jefa de Unidad de Análisis e Investigación I, número 15 jefe o jefa de Unidad de Análisis e Investigación II y número 16 jefe o jefa </w:t>
            </w:r>
            <w:r w:rsidRPr="00973028">
              <w:rPr>
                <w:rFonts w:ascii="Arial" w:hAnsi="Arial"/>
                <w:sz w:val="18"/>
                <w:szCs w:val="18"/>
                <w:shd w:val="clear" w:color="auto" w:fill="FFFFFF"/>
              </w:rPr>
              <w:lastRenderedPageBreak/>
              <w:t>de Unidad de Análisis e Investigación III. Convocatoria LD número 1/2020.</w:t>
            </w:r>
          </w:p>
        </w:tc>
        <w:tc>
          <w:tcPr>
            <w:tcW w:w="1233" w:type="dxa"/>
            <w:shd w:val="clear" w:color="auto" w:fill="auto"/>
          </w:tcPr>
          <w:p w14:paraId="58B6C4A0"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lastRenderedPageBreak/>
              <w:t>N.º 100 de 31/08/2020</w:t>
            </w:r>
          </w:p>
        </w:tc>
        <w:tc>
          <w:tcPr>
            <w:tcW w:w="1234" w:type="dxa"/>
            <w:shd w:val="clear" w:color="auto" w:fill="auto"/>
          </w:tcPr>
          <w:p w14:paraId="76A22568"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8855 de 13/07/2020</w:t>
            </w:r>
          </w:p>
        </w:tc>
        <w:tc>
          <w:tcPr>
            <w:tcW w:w="1235" w:type="dxa"/>
            <w:shd w:val="clear" w:color="auto" w:fill="auto"/>
          </w:tcPr>
          <w:p w14:paraId="45820D94"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11ED313F" w14:textId="77777777" w:rsidTr="007642F6">
        <w:tc>
          <w:tcPr>
            <w:tcW w:w="5110" w:type="dxa"/>
            <w:shd w:val="clear" w:color="auto" w:fill="auto"/>
          </w:tcPr>
          <w:p w14:paraId="724F5AFB"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número 275/2020, de 16 de julio, del director de la Agencia de Prevención y Lucha contra el Fraude y la Corrupción de la Comunitat Valenciana por la que se proveen, por el sistema de libre designación, los puestos de trabajo de naturaleza funcionarial número 18, jefe o jefa de Unidad de Coordinación Informática y número 19 jefe o jefa de Unidad de Producción y Explotación de los Sistemas Informáticos. Convocatoria LD número 3/2020.</w:t>
            </w:r>
          </w:p>
        </w:tc>
        <w:tc>
          <w:tcPr>
            <w:tcW w:w="1233" w:type="dxa"/>
            <w:shd w:val="clear" w:color="auto" w:fill="auto"/>
          </w:tcPr>
          <w:p w14:paraId="69623A41"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100 de 31/08/2020</w:t>
            </w:r>
          </w:p>
        </w:tc>
        <w:tc>
          <w:tcPr>
            <w:tcW w:w="1234" w:type="dxa"/>
            <w:shd w:val="clear" w:color="auto" w:fill="auto"/>
          </w:tcPr>
          <w:p w14:paraId="7861BF2E"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8863 de 22/07/2020</w:t>
            </w:r>
          </w:p>
        </w:tc>
        <w:tc>
          <w:tcPr>
            <w:tcW w:w="1235" w:type="dxa"/>
            <w:shd w:val="clear" w:color="auto" w:fill="auto"/>
          </w:tcPr>
          <w:p w14:paraId="58F0334F"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32FFC39F" w14:textId="77777777" w:rsidTr="007642F6">
        <w:tc>
          <w:tcPr>
            <w:tcW w:w="5110" w:type="dxa"/>
            <w:shd w:val="clear" w:color="auto" w:fill="auto"/>
          </w:tcPr>
          <w:p w14:paraId="538705AB"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número 259/2020, de 7 de julio, del director de la Agencia de Prevención y Lucha contra el Fraude y la Corrupción de la Comunitat Valenciana, por la que se convoca la provisión, por el sistema de libre designación, del puesto de trabajo número 9, con la denominación de jefe o jefa de Servicio de Sistemas de Información y se aprueban las bases que rigen la convocatoria (convocatoria número 4/2020).</w:t>
            </w:r>
          </w:p>
        </w:tc>
        <w:tc>
          <w:tcPr>
            <w:tcW w:w="1233" w:type="dxa"/>
            <w:shd w:val="clear" w:color="auto" w:fill="auto"/>
          </w:tcPr>
          <w:p w14:paraId="7DF14B68"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103 de 16/09/2020</w:t>
            </w:r>
          </w:p>
        </w:tc>
        <w:tc>
          <w:tcPr>
            <w:tcW w:w="1234" w:type="dxa"/>
            <w:shd w:val="clear" w:color="auto" w:fill="auto"/>
          </w:tcPr>
          <w:p w14:paraId="2CE6D044"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8905 de 15/09/2020</w:t>
            </w:r>
          </w:p>
        </w:tc>
        <w:tc>
          <w:tcPr>
            <w:tcW w:w="1235" w:type="dxa"/>
            <w:shd w:val="clear" w:color="auto" w:fill="auto"/>
          </w:tcPr>
          <w:p w14:paraId="2DD0815E"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246 de 15/09/2020</w:t>
            </w:r>
          </w:p>
        </w:tc>
      </w:tr>
      <w:tr w:rsidR="00B9275E" w:rsidRPr="00973028" w14:paraId="25BDDBED" w14:textId="77777777" w:rsidTr="007642F6">
        <w:tc>
          <w:tcPr>
            <w:tcW w:w="5110" w:type="dxa"/>
            <w:shd w:val="clear" w:color="auto" w:fill="auto"/>
          </w:tcPr>
          <w:p w14:paraId="190087C0"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número 263/2020, de 9 de julio, del director de la Agencia de Prevención y Lucha contra el Fraude y la Corrupción de la Comunitat Valenciana, por la que se convoca la provisión, por el sistema de libre designación, del puesto de trabajo número 33, con la denominación de jefe o jefa de Servicio de Formación y se aprueban las bases que rigen la convocatoria (convocatoria número 5/2020).</w:t>
            </w:r>
          </w:p>
        </w:tc>
        <w:tc>
          <w:tcPr>
            <w:tcW w:w="1233" w:type="dxa"/>
            <w:shd w:val="clear" w:color="auto" w:fill="auto"/>
          </w:tcPr>
          <w:p w14:paraId="4464942F"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103 de 16/09/2020</w:t>
            </w:r>
          </w:p>
        </w:tc>
        <w:tc>
          <w:tcPr>
            <w:tcW w:w="1234" w:type="dxa"/>
            <w:shd w:val="clear" w:color="auto" w:fill="auto"/>
          </w:tcPr>
          <w:p w14:paraId="6195BB32"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8905 de 15/09/2020</w:t>
            </w:r>
          </w:p>
        </w:tc>
        <w:tc>
          <w:tcPr>
            <w:tcW w:w="1235" w:type="dxa"/>
            <w:shd w:val="clear" w:color="auto" w:fill="auto"/>
          </w:tcPr>
          <w:p w14:paraId="483B4B20"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246 de 15/09/2020</w:t>
            </w:r>
          </w:p>
        </w:tc>
      </w:tr>
      <w:tr w:rsidR="00B9275E" w:rsidRPr="00973028" w14:paraId="728E79BA" w14:textId="77777777" w:rsidTr="007642F6">
        <w:tc>
          <w:tcPr>
            <w:tcW w:w="5110" w:type="dxa"/>
            <w:shd w:val="clear" w:color="auto" w:fill="auto"/>
          </w:tcPr>
          <w:p w14:paraId="7FAAC9A4"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número 362/2020, de 3 de septiembre, del director de la Agencia de Prevención y Lucha contra el Fraude y la Corrupción de la Comunitat Valenciana, por la que se convoca la provisión, por el sistema de libre designación, del puesto de trabajo de naturaleza funcionarial, número 45, jefe o jefa de Unidad de Relaciones Institucionales, Comunicación y Participación y se aprueban las bases que rigen la convocatoria. Convocatoria número LD 6/2020.</w:t>
            </w:r>
          </w:p>
        </w:tc>
        <w:tc>
          <w:tcPr>
            <w:tcW w:w="1233" w:type="dxa"/>
            <w:shd w:val="clear" w:color="auto" w:fill="auto"/>
          </w:tcPr>
          <w:p w14:paraId="5606A1C5"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c>
          <w:tcPr>
            <w:tcW w:w="1234" w:type="dxa"/>
            <w:shd w:val="clear" w:color="auto" w:fill="auto"/>
          </w:tcPr>
          <w:p w14:paraId="5778F2E2"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8905 de 15/09/2020</w:t>
            </w:r>
          </w:p>
        </w:tc>
        <w:tc>
          <w:tcPr>
            <w:tcW w:w="1235" w:type="dxa"/>
            <w:shd w:val="clear" w:color="auto" w:fill="auto"/>
          </w:tcPr>
          <w:p w14:paraId="560AACA8"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246 de 15/09/2020</w:t>
            </w:r>
          </w:p>
        </w:tc>
      </w:tr>
      <w:tr w:rsidR="00B9275E" w:rsidRPr="00973028" w14:paraId="2542BE9D" w14:textId="77777777" w:rsidTr="007642F6">
        <w:tc>
          <w:tcPr>
            <w:tcW w:w="5110" w:type="dxa"/>
            <w:shd w:val="clear" w:color="auto" w:fill="auto"/>
          </w:tcPr>
          <w:p w14:paraId="5EE0C676"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número 374/2020, de 14 de septiembre, del director de la Agencia de Prevención y Lucha contra el Fraude y la Corrupción de la Comunitat Valenciana, por la que se modifica la composición del Consejo de Participación de dicha Agencia.</w:t>
            </w:r>
          </w:p>
        </w:tc>
        <w:tc>
          <w:tcPr>
            <w:tcW w:w="1233" w:type="dxa"/>
            <w:shd w:val="clear" w:color="auto" w:fill="auto"/>
          </w:tcPr>
          <w:p w14:paraId="702A7A4D"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105 de 25/09/2020</w:t>
            </w:r>
          </w:p>
        </w:tc>
        <w:tc>
          <w:tcPr>
            <w:tcW w:w="1234" w:type="dxa"/>
            <w:shd w:val="clear" w:color="auto" w:fill="auto"/>
          </w:tcPr>
          <w:p w14:paraId="28A2C938"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8908 de 18/09/2020</w:t>
            </w:r>
          </w:p>
        </w:tc>
        <w:tc>
          <w:tcPr>
            <w:tcW w:w="1235" w:type="dxa"/>
            <w:shd w:val="clear" w:color="auto" w:fill="auto"/>
          </w:tcPr>
          <w:p w14:paraId="080E3CE4"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0469BADD" w14:textId="77777777" w:rsidTr="007642F6">
        <w:tc>
          <w:tcPr>
            <w:tcW w:w="5110" w:type="dxa"/>
            <w:shd w:val="clear" w:color="auto" w:fill="auto"/>
          </w:tcPr>
          <w:p w14:paraId="0C9740F7"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número 396/2020, de 21 de septiembre, del director de la Agencia de Prevención y Lucha contra el Fraude y la Corrupción de la Comunitat Valenciana, por la cual se convoca la provisión, por el sistema de libre designación, del puesto de trabajo número 17, con la denominación de jefe de Unidad de Apoyo y Pericia, y se aprueban las bases que rigen la convocatoria (convocatoria número 7/2020).</w:t>
            </w:r>
          </w:p>
        </w:tc>
        <w:tc>
          <w:tcPr>
            <w:tcW w:w="1233" w:type="dxa"/>
            <w:shd w:val="clear" w:color="auto" w:fill="auto"/>
          </w:tcPr>
          <w:p w14:paraId="21A3F27D"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106 de 30/09/2020</w:t>
            </w:r>
          </w:p>
        </w:tc>
        <w:tc>
          <w:tcPr>
            <w:tcW w:w="1234" w:type="dxa"/>
            <w:shd w:val="clear" w:color="auto" w:fill="auto"/>
          </w:tcPr>
          <w:p w14:paraId="299A6613"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8926 de 15/10/2020</w:t>
            </w:r>
          </w:p>
        </w:tc>
        <w:tc>
          <w:tcPr>
            <w:tcW w:w="1235" w:type="dxa"/>
            <w:shd w:val="clear" w:color="auto" w:fill="auto"/>
          </w:tcPr>
          <w:p w14:paraId="234AB761"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273, de 15/10/2020</w:t>
            </w:r>
          </w:p>
        </w:tc>
      </w:tr>
      <w:tr w:rsidR="00B9275E" w:rsidRPr="00973028" w14:paraId="4C4E677E" w14:textId="77777777" w:rsidTr="007642F6">
        <w:tc>
          <w:tcPr>
            <w:tcW w:w="5110" w:type="dxa"/>
            <w:shd w:val="clear" w:color="auto" w:fill="auto"/>
          </w:tcPr>
          <w:p w14:paraId="673273B8"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lastRenderedPageBreak/>
              <w:t>RESOLUCIÓN</w:t>
            </w:r>
            <w:r w:rsidRPr="00973028">
              <w:rPr>
                <w:rFonts w:ascii="Arial" w:hAnsi="Arial"/>
                <w:sz w:val="18"/>
                <w:szCs w:val="18"/>
                <w:shd w:val="clear" w:color="auto" w:fill="FFFFFF"/>
              </w:rPr>
              <w:t xml:space="preserve"> número 431/2020, de 7 de octubre, del director de la Agencia de Prevención y Lucha contra el Fraude y la Corrupción de la Comunitat Valenciana, por la que se provee, por el sistema de libre designación, el puesto de trabajo vacante de naturaleza funcionarial número 33, jefe o jefa de servicio de Formación (convocatoria LD número 5/2020).</w:t>
            </w:r>
          </w:p>
        </w:tc>
        <w:tc>
          <w:tcPr>
            <w:tcW w:w="1233" w:type="dxa"/>
            <w:shd w:val="clear" w:color="auto" w:fill="auto"/>
          </w:tcPr>
          <w:p w14:paraId="158E45F8"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110 de 21/10/2020</w:t>
            </w:r>
          </w:p>
        </w:tc>
        <w:tc>
          <w:tcPr>
            <w:tcW w:w="1234" w:type="dxa"/>
            <w:shd w:val="clear" w:color="auto" w:fill="auto"/>
          </w:tcPr>
          <w:p w14:paraId="0E1EF2B2"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8927 de 16/10/2020</w:t>
            </w:r>
          </w:p>
        </w:tc>
        <w:tc>
          <w:tcPr>
            <w:tcW w:w="1235" w:type="dxa"/>
            <w:shd w:val="clear" w:color="auto" w:fill="auto"/>
          </w:tcPr>
          <w:p w14:paraId="54514199"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3603C816" w14:textId="77777777" w:rsidTr="007642F6">
        <w:tc>
          <w:tcPr>
            <w:tcW w:w="5110" w:type="dxa"/>
            <w:shd w:val="clear" w:color="auto" w:fill="auto"/>
          </w:tcPr>
          <w:p w14:paraId="76E52F9A"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del director de la Agencia de Prevención y Lucha contra el Fraude y la Corrupción de la Comunitat Valenciana por la cual se acuerda la publicación del texto íntegro del convenio marco entre el Consejo General del Notariado y la Agencia de Prevención y Lucha contra el Fraude y la Corrupción de la Comunitat Valenciana sobre utilización de bases de datos de titularidad real y personas con responsabilidad pública a efectos de reforzar la lucha contra el fraude y la corrupción.</w:t>
            </w:r>
          </w:p>
        </w:tc>
        <w:tc>
          <w:tcPr>
            <w:tcW w:w="1233" w:type="dxa"/>
            <w:shd w:val="clear" w:color="auto" w:fill="auto"/>
          </w:tcPr>
          <w:p w14:paraId="51601730"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 xml:space="preserve">N.º 112 de </w:t>
            </w:r>
            <w:r w:rsidRPr="00973028">
              <w:rPr>
                <w:rFonts w:ascii="Arial" w:hAnsi="Arial" w:cs="Arial"/>
                <w:color w:val="9D2235" w:themeColor="accent1"/>
                <w:sz w:val="18"/>
                <w:szCs w:val="18"/>
              </w:rPr>
              <w:br/>
              <w:t>28/10/2020</w:t>
            </w:r>
          </w:p>
        </w:tc>
        <w:tc>
          <w:tcPr>
            <w:tcW w:w="1234" w:type="dxa"/>
            <w:shd w:val="clear" w:color="auto" w:fill="auto"/>
          </w:tcPr>
          <w:p w14:paraId="6E666A2C"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c>
          <w:tcPr>
            <w:tcW w:w="1235" w:type="dxa"/>
            <w:shd w:val="clear" w:color="auto" w:fill="auto"/>
          </w:tcPr>
          <w:p w14:paraId="6A03FCBD"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5462200B" w14:textId="77777777" w:rsidTr="007642F6">
        <w:tc>
          <w:tcPr>
            <w:tcW w:w="5110" w:type="dxa"/>
            <w:shd w:val="clear" w:color="auto" w:fill="auto"/>
          </w:tcPr>
          <w:p w14:paraId="4A1FBD46"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número 448, del director de la Agencia de Prevención y Lucha contra el Fraude y la Corrupción de la Comunitat Valenciana, por la cual se convoca la provisión por el sistema de libre designación de los puestos de trabajo número 38, letrado/da, y número 39, letrado/da, y se aprueban las bases que rigen la convocatoria (convocatoria número 8/2020).</w:t>
            </w:r>
          </w:p>
        </w:tc>
        <w:tc>
          <w:tcPr>
            <w:tcW w:w="1233" w:type="dxa"/>
            <w:shd w:val="clear" w:color="auto" w:fill="auto"/>
          </w:tcPr>
          <w:p w14:paraId="3EACF2A2"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 xml:space="preserve">N.º 112 de </w:t>
            </w:r>
            <w:r w:rsidRPr="00973028">
              <w:rPr>
                <w:rFonts w:ascii="Arial" w:hAnsi="Arial" w:cs="Arial"/>
                <w:color w:val="9D2235" w:themeColor="accent1"/>
                <w:sz w:val="18"/>
                <w:szCs w:val="18"/>
              </w:rPr>
              <w:br/>
              <w:t>28/10/2020</w:t>
            </w:r>
          </w:p>
        </w:tc>
        <w:tc>
          <w:tcPr>
            <w:tcW w:w="1234" w:type="dxa"/>
            <w:shd w:val="clear" w:color="auto" w:fill="auto"/>
          </w:tcPr>
          <w:p w14:paraId="0BE50047"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c>
          <w:tcPr>
            <w:tcW w:w="1235" w:type="dxa"/>
            <w:shd w:val="clear" w:color="auto" w:fill="auto"/>
          </w:tcPr>
          <w:p w14:paraId="6B486BF2"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7F457759" w14:textId="77777777" w:rsidTr="007642F6">
        <w:tc>
          <w:tcPr>
            <w:tcW w:w="5110" w:type="dxa"/>
            <w:shd w:val="clear" w:color="auto" w:fill="auto"/>
          </w:tcPr>
          <w:p w14:paraId="53742D06"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número 452/2020, de 21 de octubre, del director de la Agencia de Prevención y Lucha contra el Fraude y la Corrupción de la Comunitat Valenciana, por la cual se provee, por el sistema de libre designación, el puesto de trabajo vacante de naturaleza funcionarial número 45, jefe o jefa de unidad de relaciones institucionales, comunicación y participación (convocatoria LD número 6/2020).</w:t>
            </w:r>
          </w:p>
        </w:tc>
        <w:tc>
          <w:tcPr>
            <w:tcW w:w="1233" w:type="dxa"/>
            <w:shd w:val="clear" w:color="auto" w:fill="auto"/>
          </w:tcPr>
          <w:p w14:paraId="2AF00FA7"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113 de 29/10/2020</w:t>
            </w:r>
          </w:p>
        </w:tc>
        <w:tc>
          <w:tcPr>
            <w:tcW w:w="1234" w:type="dxa"/>
            <w:shd w:val="clear" w:color="auto" w:fill="auto"/>
          </w:tcPr>
          <w:p w14:paraId="569556A7"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8934 de 26/10/2020</w:t>
            </w:r>
          </w:p>
        </w:tc>
        <w:tc>
          <w:tcPr>
            <w:tcW w:w="1235" w:type="dxa"/>
            <w:shd w:val="clear" w:color="auto" w:fill="auto"/>
          </w:tcPr>
          <w:p w14:paraId="3A2A2E78"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7320243E" w14:textId="77777777" w:rsidTr="007642F6">
        <w:tc>
          <w:tcPr>
            <w:tcW w:w="5110" w:type="dxa"/>
            <w:shd w:val="clear" w:color="auto" w:fill="auto"/>
          </w:tcPr>
          <w:p w14:paraId="270095A8"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número 448/2020, de 19 de octubre, del director de la Agencia de Prevención y Lucha contra el Fraude y la Corrupción de la Comunitat Valenciana, por la que se convoca la provisión, por el sistema de libre designación, de los puestos de trabajo de naturaleza funcionarial número 38, letrado/a y número 39, letrado/a, y se aprueban las bases que rigen la convocatoria. Convocatoria número LD 8/2020.</w:t>
            </w:r>
          </w:p>
        </w:tc>
        <w:tc>
          <w:tcPr>
            <w:tcW w:w="1233" w:type="dxa"/>
            <w:shd w:val="clear" w:color="auto" w:fill="auto"/>
          </w:tcPr>
          <w:p w14:paraId="5C7A1F7A"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c>
          <w:tcPr>
            <w:tcW w:w="1234" w:type="dxa"/>
            <w:shd w:val="clear" w:color="auto" w:fill="auto"/>
          </w:tcPr>
          <w:p w14:paraId="5416762B"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8941 de 02/11/2020</w:t>
            </w:r>
          </w:p>
        </w:tc>
        <w:tc>
          <w:tcPr>
            <w:tcW w:w="1235" w:type="dxa"/>
            <w:shd w:val="clear" w:color="auto" w:fill="auto"/>
          </w:tcPr>
          <w:p w14:paraId="7CC02A35"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289 de 02/11/2020</w:t>
            </w:r>
          </w:p>
        </w:tc>
      </w:tr>
      <w:tr w:rsidR="00B9275E" w:rsidRPr="00973028" w14:paraId="60B0C684" w14:textId="77777777" w:rsidTr="007642F6">
        <w:tc>
          <w:tcPr>
            <w:tcW w:w="5110" w:type="dxa"/>
            <w:shd w:val="clear" w:color="auto" w:fill="auto"/>
          </w:tcPr>
          <w:p w14:paraId="331B5B6E"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número 495/2020, de 3 de noviembre, del director de la Agencia de Prevención y Lucha contra el Fraude y la Corrupción de la Comunitat Valenciana, por la cual se provee, por el sistema de libre designación, el puesto de trabajo vacante de naturaleza funcionarial número 17, jefe o jefa de unidad de Apoyo y Pericia (convocatoria LD número 7/2020).</w:t>
            </w:r>
          </w:p>
        </w:tc>
        <w:tc>
          <w:tcPr>
            <w:tcW w:w="1233" w:type="dxa"/>
            <w:shd w:val="clear" w:color="auto" w:fill="auto"/>
          </w:tcPr>
          <w:p w14:paraId="3B8F5D02"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118 de 11/11/2020</w:t>
            </w:r>
          </w:p>
        </w:tc>
        <w:tc>
          <w:tcPr>
            <w:tcW w:w="1234" w:type="dxa"/>
            <w:shd w:val="clear" w:color="auto" w:fill="auto"/>
          </w:tcPr>
          <w:p w14:paraId="05EFEB99"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8945 de 05/11/2020</w:t>
            </w:r>
          </w:p>
        </w:tc>
        <w:tc>
          <w:tcPr>
            <w:tcW w:w="1235" w:type="dxa"/>
            <w:shd w:val="clear" w:color="auto" w:fill="auto"/>
          </w:tcPr>
          <w:p w14:paraId="602E0633"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355D7A07" w14:textId="77777777" w:rsidTr="007642F6">
        <w:tc>
          <w:tcPr>
            <w:tcW w:w="5110" w:type="dxa"/>
            <w:shd w:val="clear" w:color="auto" w:fill="auto"/>
          </w:tcPr>
          <w:p w14:paraId="78BC96AF"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RESOLUCIÓN</w:t>
            </w:r>
            <w:r w:rsidRPr="00973028">
              <w:rPr>
                <w:rFonts w:ascii="Arial" w:hAnsi="Arial"/>
                <w:sz w:val="18"/>
                <w:szCs w:val="18"/>
                <w:shd w:val="clear" w:color="auto" w:fill="FFFFFF"/>
              </w:rPr>
              <w:t xml:space="preserve"> número 580/2020, de 7 de diciembre, del director de la Agencia de Prevención y Lucha contra el Fraude y la Corrupción de la Comunitat Valenciana, por la que se </w:t>
            </w:r>
            <w:r w:rsidRPr="00973028">
              <w:rPr>
                <w:rFonts w:ascii="Arial" w:hAnsi="Arial"/>
                <w:sz w:val="18"/>
                <w:szCs w:val="18"/>
                <w:shd w:val="clear" w:color="auto" w:fill="FFFFFF"/>
              </w:rPr>
              <w:lastRenderedPageBreak/>
              <w:t>provee, por el sistema de libre designación, los puestos de trabajo vacantes de naturaleza funcionarial número 38, letrado o letrada, y número 39, letrado o letrada. Convocatoria LD número 8/2020.</w:t>
            </w:r>
          </w:p>
        </w:tc>
        <w:tc>
          <w:tcPr>
            <w:tcW w:w="1233" w:type="dxa"/>
            <w:shd w:val="clear" w:color="auto" w:fill="auto"/>
          </w:tcPr>
          <w:p w14:paraId="75EDA484"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lastRenderedPageBreak/>
              <w:t>N.º 130 de 17/12/2020</w:t>
            </w:r>
          </w:p>
        </w:tc>
        <w:tc>
          <w:tcPr>
            <w:tcW w:w="1234" w:type="dxa"/>
            <w:shd w:val="clear" w:color="auto" w:fill="auto"/>
          </w:tcPr>
          <w:p w14:paraId="38CD605A"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8973 de 11/12/2020</w:t>
            </w:r>
          </w:p>
        </w:tc>
        <w:tc>
          <w:tcPr>
            <w:tcW w:w="1235" w:type="dxa"/>
            <w:shd w:val="clear" w:color="auto" w:fill="auto"/>
          </w:tcPr>
          <w:p w14:paraId="39F63509"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r w:rsidR="00B9275E" w:rsidRPr="00973028" w14:paraId="44BE887B" w14:textId="77777777" w:rsidTr="007642F6">
        <w:tc>
          <w:tcPr>
            <w:tcW w:w="5110" w:type="dxa"/>
            <w:shd w:val="clear" w:color="auto" w:fill="auto"/>
          </w:tcPr>
          <w:p w14:paraId="5E1F3DA0" w14:textId="77777777" w:rsidR="00B9275E" w:rsidRPr="00973028" w:rsidRDefault="00B9275E" w:rsidP="004522FD">
            <w:pPr>
              <w:pStyle w:val="Standard"/>
              <w:spacing w:after="120" w:line="276" w:lineRule="auto"/>
              <w:ind w:left="113"/>
              <w:jc w:val="both"/>
              <w:rPr>
                <w:rFonts w:ascii="Arial" w:hAnsi="Arial"/>
                <w:sz w:val="18"/>
                <w:szCs w:val="18"/>
                <w:highlight w:val="white"/>
              </w:rPr>
            </w:pPr>
            <w:r w:rsidRPr="00973028">
              <w:rPr>
                <w:rFonts w:ascii="Arial" w:hAnsi="Arial"/>
                <w:b/>
                <w:sz w:val="18"/>
                <w:szCs w:val="18"/>
                <w:shd w:val="clear" w:color="auto" w:fill="FFFFFF"/>
              </w:rPr>
              <w:t>ANUNCIO</w:t>
            </w:r>
            <w:r w:rsidRPr="00973028">
              <w:rPr>
                <w:rFonts w:ascii="Arial" w:hAnsi="Arial"/>
                <w:sz w:val="18"/>
                <w:szCs w:val="18"/>
                <w:shd w:val="clear" w:color="auto" w:fill="FFFFFF"/>
              </w:rPr>
              <w:t xml:space="preserve"> del director de la Agencia de Prevención y Lucha contra el Fraude y la Corrupción de la Comunitat Valenciana por el que se publica la actualización de la relación de puestos de trabajo de la Agencia.</w:t>
            </w:r>
          </w:p>
        </w:tc>
        <w:tc>
          <w:tcPr>
            <w:tcW w:w="1233" w:type="dxa"/>
            <w:shd w:val="clear" w:color="auto" w:fill="auto"/>
          </w:tcPr>
          <w:p w14:paraId="6F8C1038"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r w:rsidRPr="00973028">
              <w:rPr>
                <w:rFonts w:ascii="Arial" w:hAnsi="Arial" w:cs="Arial"/>
                <w:color w:val="9D2235" w:themeColor="accent1"/>
                <w:sz w:val="18"/>
                <w:szCs w:val="18"/>
              </w:rPr>
              <w:t>N.º 133 de 30/12/2020</w:t>
            </w:r>
          </w:p>
        </w:tc>
        <w:tc>
          <w:tcPr>
            <w:tcW w:w="1234" w:type="dxa"/>
            <w:shd w:val="clear" w:color="auto" w:fill="auto"/>
          </w:tcPr>
          <w:p w14:paraId="6B57202A"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c>
          <w:tcPr>
            <w:tcW w:w="1235" w:type="dxa"/>
            <w:shd w:val="clear" w:color="auto" w:fill="auto"/>
          </w:tcPr>
          <w:p w14:paraId="0879D3C9" w14:textId="77777777" w:rsidR="00B9275E" w:rsidRPr="00973028" w:rsidRDefault="00B9275E" w:rsidP="004522FD">
            <w:pPr>
              <w:pStyle w:val="Contenidodelatabla"/>
              <w:spacing w:after="120" w:line="276" w:lineRule="auto"/>
              <w:jc w:val="both"/>
              <w:rPr>
                <w:rFonts w:ascii="Arial" w:hAnsi="Arial" w:cs="Arial"/>
                <w:color w:val="9D2235" w:themeColor="accent1"/>
                <w:sz w:val="18"/>
                <w:szCs w:val="18"/>
              </w:rPr>
            </w:pPr>
          </w:p>
        </w:tc>
      </w:tr>
    </w:tbl>
    <w:p w14:paraId="269AD6F5" w14:textId="77777777" w:rsidR="003B28A6" w:rsidRDefault="003B28A6" w:rsidP="003B28A6">
      <w:pPr>
        <w:keepNext/>
        <w:widowControl w:val="0"/>
        <w:tabs>
          <w:tab w:val="left" w:pos="0"/>
        </w:tabs>
        <w:suppressAutoHyphens/>
        <w:autoSpaceDN w:val="0"/>
        <w:spacing w:after="0" w:line="276" w:lineRule="auto"/>
        <w:jc w:val="both"/>
        <w:textAlignment w:val="baseline"/>
        <w:outlineLvl w:val="0"/>
        <w:rPr>
          <w:rFonts w:ascii="Arial" w:eastAsia="Calibri" w:hAnsi="Arial" w:cs="Arial"/>
          <w:b/>
          <w:bCs/>
          <w:color w:val="993333"/>
          <w:spacing w:val="-14"/>
          <w:w w:val="95"/>
          <w:sz w:val="20"/>
          <w:szCs w:val="20"/>
        </w:rPr>
      </w:pPr>
    </w:p>
    <w:p w14:paraId="1D353119" w14:textId="77777777" w:rsidR="003B28A6" w:rsidRDefault="003B28A6" w:rsidP="003B28A6">
      <w:pPr>
        <w:keepNext/>
        <w:widowControl w:val="0"/>
        <w:tabs>
          <w:tab w:val="left" w:pos="0"/>
        </w:tabs>
        <w:suppressAutoHyphens/>
        <w:autoSpaceDN w:val="0"/>
        <w:spacing w:after="0" w:line="276" w:lineRule="auto"/>
        <w:jc w:val="both"/>
        <w:textAlignment w:val="baseline"/>
        <w:outlineLvl w:val="0"/>
        <w:rPr>
          <w:rFonts w:ascii="Arial" w:eastAsia="Calibri" w:hAnsi="Arial" w:cs="Arial"/>
          <w:b/>
          <w:bCs/>
          <w:color w:val="993333"/>
          <w:spacing w:val="-14"/>
          <w:w w:val="95"/>
          <w:sz w:val="20"/>
          <w:szCs w:val="20"/>
        </w:rPr>
      </w:pPr>
    </w:p>
    <w:p w14:paraId="1CA9597C" w14:textId="77777777" w:rsidR="003B28A6" w:rsidRDefault="003B28A6" w:rsidP="003B28A6">
      <w:pPr>
        <w:suppressAutoHyphens/>
        <w:autoSpaceDN w:val="0"/>
        <w:spacing w:after="0" w:line="240" w:lineRule="auto"/>
        <w:jc w:val="both"/>
        <w:textAlignment w:val="baseline"/>
        <w:rPr>
          <w:rFonts w:ascii="Arial" w:eastAsia="Calibri" w:hAnsi="Arial" w:cs="Arial"/>
          <w:b/>
          <w:bCs/>
          <w:color w:val="9D2235"/>
          <w:sz w:val="20"/>
          <w:szCs w:val="20"/>
        </w:rPr>
      </w:pPr>
    </w:p>
    <w:p w14:paraId="76268FFD" w14:textId="788A4E0E" w:rsidR="00E30A08" w:rsidRDefault="003B28A6" w:rsidP="00E30A08">
      <w:pPr>
        <w:pStyle w:val="Ttulo2"/>
        <w:spacing w:before="360" w:after="240" w:line="276" w:lineRule="auto"/>
        <w:rPr>
          <w:rFonts w:ascii="Arial" w:hAnsi="Arial" w:cs="Arial"/>
          <w:b/>
          <w:bCs/>
          <w:color w:val="9D2235" w:themeColor="accent1"/>
        </w:rPr>
      </w:pPr>
      <w:r w:rsidRPr="008917FC">
        <w:rPr>
          <w:rFonts w:ascii="Arial" w:eastAsia="Calibri" w:hAnsi="Arial" w:cs="Arial"/>
          <w:b/>
          <w:bCs/>
          <w:color w:val="9D2235"/>
          <w:sz w:val="80"/>
          <w:szCs w:val="80"/>
        </w:rPr>
        <w:br/>
      </w:r>
      <w:bookmarkStart w:id="243" w:name="_Toc66438642"/>
      <w:bookmarkStart w:id="244" w:name="_Toc67646323"/>
      <w:r w:rsidRPr="008917FC">
        <w:rPr>
          <w:rFonts w:ascii="Arial" w:eastAsia="Calibri" w:hAnsi="Arial" w:cs="Arial"/>
          <w:b/>
          <w:bCs/>
          <w:color w:val="9D2235"/>
          <w:sz w:val="80"/>
          <w:szCs w:val="80"/>
        </w:rPr>
        <w:t>Adminis</w:t>
      </w:r>
      <w:r w:rsidR="00121BDF">
        <w:rPr>
          <w:rFonts w:ascii="Arial" w:eastAsia="Calibri" w:hAnsi="Arial" w:cs="Arial"/>
          <w:b/>
          <w:bCs/>
          <w:color w:val="9D2235"/>
          <w:sz w:val="80"/>
          <w:szCs w:val="80"/>
        </w:rPr>
        <w:t>t</w:t>
      </w:r>
      <w:r w:rsidRPr="008917FC">
        <w:rPr>
          <w:rFonts w:ascii="Arial" w:eastAsia="Calibri" w:hAnsi="Arial" w:cs="Arial"/>
          <w:b/>
          <w:bCs/>
          <w:color w:val="9D2235"/>
          <w:sz w:val="80"/>
          <w:szCs w:val="80"/>
        </w:rPr>
        <w:t>ración, organización y recursos</w:t>
      </w:r>
      <w:bookmarkStart w:id="245" w:name="_Toc66438643"/>
      <w:bookmarkStart w:id="246" w:name="_Toc66438646"/>
      <w:bookmarkStart w:id="247" w:name="_Toc66438647"/>
      <w:bookmarkStart w:id="248" w:name="_Toc66438648"/>
      <w:bookmarkStart w:id="249" w:name="_Toc66451679"/>
      <w:bookmarkStart w:id="250" w:name="_Toc66451819"/>
      <w:bookmarkStart w:id="251" w:name="_Toc66451958"/>
      <w:bookmarkStart w:id="252" w:name="_Toc66452161"/>
      <w:bookmarkStart w:id="253" w:name="_Toc66689615"/>
      <w:bookmarkStart w:id="254" w:name="_Toc66873980"/>
      <w:bookmarkStart w:id="255" w:name="_Toc66874209"/>
      <w:bookmarkStart w:id="256" w:name="_Toc66874354"/>
      <w:bookmarkStart w:id="257" w:name="_Toc66451688"/>
      <w:bookmarkStart w:id="258" w:name="_Toc66451828"/>
      <w:bookmarkStart w:id="259" w:name="_Toc66451967"/>
      <w:bookmarkStart w:id="260" w:name="_Toc66452170"/>
      <w:bookmarkStart w:id="261" w:name="_Toc66689624"/>
      <w:bookmarkStart w:id="262" w:name="_Toc66873989"/>
      <w:bookmarkStart w:id="263" w:name="_Toc66874218"/>
      <w:bookmarkStart w:id="264" w:name="_Toc66874363"/>
      <w:bookmarkStart w:id="265" w:name="_Toc66451689"/>
      <w:bookmarkStart w:id="266" w:name="_Toc66451829"/>
      <w:bookmarkStart w:id="267" w:name="_Toc66451968"/>
      <w:bookmarkStart w:id="268" w:name="_Toc66452171"/>
      <w:bookmarkStart w:id="269" w:name="_Toc66689625"/>
      <w:bookmarkStart w:id="270" w:name="_Toc66873990"/>
      <w:bookmarkStart w:id="271" w:name="_Toc66874219"/>
      <w:bookmarkStart w:id="272" w:name="_Toc66874364"/>
      <w:bookmarkStart w:id="273" w:name="_Toc66452180"/>
      <w:bookmarkStart w:id="274" w:name="_Toc66689634"/>
      <w:bookmarkStart w:id="275" w:name="_Toc66873999"/>
      <w:bookmarkStart w:id="276" w:name="_Toc66874228"/>
      <w:bookmarkStart w:id="277" w:name="_Toc66874373"/>
      <w:bookmarkStart w:id="278" w:name="_Toc66452181"/>
      <w:bookmarkStart w:id="279" w:name="_Toc66689635"/>
      <w:bookmarkStart w:id="280" w:name="_Toc66874000"/>
      <w:bookmarkStart w:id="281" w:name="_Toc66874229"/>
      <w:bookmarkStart w:id="282" w:name="_Toc66874374"/>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12CBA9C5" w14:textId="406EDF70" w:rsidR="00053B23" w:rsidRDefault="00053B23" w:rsidP="00E30A08">
      <w:pPr>
        <w:pStyle w:val="Ttulo2"/>
        <w:numPr>
          <w:ilvl w:val="1"/>
          <w:numId w:val="57"/>
        </w:numPr>
        <w:spacing w:before="360" w:after="240" w:line="276" w:lineRule="auto"/>
        <w:ind w:left="851" w:hanging="851"/>
        <w:rPr>
          <w:rFonts w:ascii="Arial" w:hAnsi="Arial" w:cs="Arial"/>
          <w:b/>
          <w:bCs/>
          <w:color w:val="9D2235" w:themeColor="accent1"/>
        </w:rPr>
      </w:pPr>
      <w:bookmarkStart w:id="283" w:name="_Toc67646324"/>
      <w:r w:rsidRPr="00837C34">
        <w:rPr>
          <w:rFonts w:ascii="Arial" w:hAnsi="Arial" w:cs="Arial"/>
          <w:b/>
          <w:bCs/>
          <w:color w:val="9D2235" w:themeColor="accent1"/>
        </w:rPr>
        <w:t>Estructura organizativa</w:t>
      </w:r>
      <w:bookmarkEnd w:id="283"/>
    </w:p>
    <w:p w14:paraId="787E8F58" w14:textId="77777777" w:rsidR="00E30A08" w:rsidRPr="00E30A08" w:rsidRDefault="00E30A08" w:rsidP="00E30A08"/>
    <w:p w14:paraId="5EF6A1FE" w14:textId="583C0D00" w:rsidR="003B28A6" w:rsidRDefault="003B28A6" w:rsidP="00B22DC2">
      <w:pPr>
        <w:pStyle w:val="Prrafodelista"/>
        <w:spacing w:after="240" w:line="276" w:lineRule="auto"/>
        <w:ind w:left="0"/>
        <w:contextualSpacing w:val="0"/>
        <w:jc w:val="both"/>
        <w:rPr>
          <w:rFonts w:ascii="Arial" w:hAnsi="Arial" w:cs="Arial"/>
          <w:sz w:val="21"/>
          <w:szCs w:val="21"/>
        </w:rPr>
      </w:pPr>
      <w:r>
        <w:rPr>
          <w:rFonts w:ascii="Arial" w:hAnsi="Arial" w:cs="Arial"/>
          <w:sz w:val="21"/>
          <w:szCs w:val="21"/>
        </w:rPr>
        <w:t xml:space="preserve">La Ley 11/2016, de 28 de noviembre, de la Generalitat, de la Agencia de Prevención y Lucha contra el Fraude y la Corrupción de la Comunitat Valenciana, dedica las Secciones 1 y 2 del Capítulo V a la determinación del régimen jurídico aplicable al personal al servicio de la Agencia. Estas previsiones han sido objeto de desarrollo a través del Reglamento de funcionamiento y régimen interior de la Agencia, en su Título IX (DOGV núm. 8582/02.07.2019).  </w:t>
      </w:r>
    </w:p>
    <w:p w14:paraId="36B1659D" w14:textId="77777777" w:rsidR="003B28A6" w:rsidRDefault="003B28A6" w:rsidP="00B22DC2">
      <w:pPr>
        <w:pStyle w:val="Prrafodelista"/>
        <w:spacing w:after="240" w:line="276" w:lineRule="auto"/>
        <w:ind w:left="0"/>
        <w:contextualSpacing w:val="0"/>
        <w:jc w:val="both"/>
        <w:rPr>
          <w:rFonts w:ascii="Arial" w:hAnsi="Arial" w:cs="Arial"/>
          <w:sz w:val="21"/>
          <w:szCs w:val="21"/>
        </w:rPr>
      </w:pPr>
      <w:r>
        <w:rPr>
          <w:rFonts w:ascii="Arial" w:hAnsi="Arial" w:cs="Arial"/>
          <w:sz w:val="21"/>
          <w:szCs w:val="21"/>
        </w:rPr>
        <w:t>Desde su creación, la Agencia ha desarrollado su estructura organizativa y económica en aplicación del marco normativo señalado, adaptando sus recursos humanos y económicos, con objeto de posibilitar el cumplimiento de sus fines y la actividad por sus unidades administrativas.</w:t>
      </w:r>
    </w:p>
    <w:p w14:paraId="4E9417CB" w14:textId="77777777" w:rsidR="003B28A6" w:rsidRDefault="003B28A6" w:rsidP="00B22DC2">
      <w:pPr>
        <w:pStyle w:val="Prrafodelista"/>
        <w:spacing w:after="240" w:line="276" w:lineRule="auto"/>
        <w:ind w:left="0"/>
        <w:contextualSpacing w:val="0"/>
        <w:jc w:val="both"/>
        <w:rPr>
          <w:rFonts w:ascii="Arial" w:hAnsi="Arial" w:cs="Arial"/>
          <w:sz w:val="21"/>
          <w:szCs w:val="21"/>
        </w:rPr>
      </w:pPr>
      <w:r>
        <w:rPr>
          <w:rFonts w:ascii="Arial" w:hAnsi="Arial" w:cs="Arial"/>
          <w:sz w:val="21"/>
          <w:szCs w:val="21"/>
        </w:rPr>
        <w:lastRenderedPageBreak/>
        <w:t>En relación con el análisis de la actividad de la Agencia incidente en su estructura organizativa durante el ejercicio 2020, se desarrollan los ítems siguientes:</w:t>
      </w:r>
    </w:p>
    <w:p w14:paraId="2261A5D5" w14:textId="77777777" w:rsidR="003B28A6" w:rsidRDefault="003B28A6" w:rsidP="00D62D25">
      <w:pPr>
        <w:pStyle w:val="Prrafodelista"/>
        <w:numPr>
          <w:ilvl w:val="0"/>
          <w:numId w:val="58"/>
        </w:numPr>
        <w:spacing w:after="120" w:line="276" w:lineRule="auto"/>
        <w:ind w:left="714" w:hanging="357"/>
        <w:contextualSpacing w:val="0"/>
        <w:jc w:val="both"/>
        <w:rPr>
          <w:rFonts w:ascii="Arial" w:hAnsi="Arial" w:cs="Arial"/>
          <w:sz w:val="21"/>
          <w:szCs w:val="21"/>
        </w:rPr>
      </w:pPr>
      <w:r>
        <w:rPr>
          <w:rFonts w:ascii="Arial" w:hAnsi="Arial" w:cs="Arial"/>
          <w:sz w:val="21"/>
          <w:szCs w:val="21"/>
        </w:rPr>
        <w:t>Organigrama de la Agencia</w:t>
      </w:r>
    </w:p>
    <w:p w14:paraId="1723A31D" w14:textId="77777777" w:rsidR="003B28A6" w:rsidRDefault="003B28A6" w:rsidP="00D62D25">
      <w:pPr>
        <w:pStyle w:val="Prrafodelista"/>
        <w:numPr>
          <w:ilvl w:val="0"/>
          <w:numId w:val="58"/>
        </w:numPr>
        <w:spacing w:after="120" w:line="276" w:lineRule="auto"/>
        <w:ind w:left="714" w:hanging="357"/>
        <w:contextualSpacing w:val="0"/>
        <w:jc w:val="both"/>
        <w:rPr>
          <w:rFonts w:ascii="Arial" w:hAnsi="Arial" w:cs="Arial"/>
          <w:sz w:val="21"/>
          <w:szCs w:val="21"/>
        </w:rPr>
      </w:pPr>
      <w:r>
        <w:rPr>
          <w:rFonts w:ascii="Arial" w:hAnsi="Arial" w:cs="Arial"/>
          <w:sz w:val="21"/>
          <w:szCs w:val="21"/>
        </w:rPr>
        <w:t>Relación de Puestos de Trabajo</w:t>
      </w:r>
    </w:p>
    <w:p w14:paraId="4D3554FE" w14:textId="77777777" w:rsidR="003B28A6" w:rsidRDefault="003B28A6" w:rsidP="00D62D25">
      <w:pPr>
        <w:pStyle w:val="Prrafodelista"/>
        <w:numPr>
          <w:ilvl w:val="0"/>
          <w:numId w:val="58"/>
        </w:numPr>
        <w:spacing w:after="120" w:line="276" w:lineRule="auto"/>
        <w:ind w:left="714" w:hanging="357"/>
        <w:contextualSpacing w:val="0"/>
        <w:jc w:val="both"/>
        <w:rPr>
          <w:rFonts w:ascii="Arial" w:hAnsi="Arial" w:cs="Arial"/>
          <w:sz w:val="21"/>
          <w:szCs w:val="21"/>
        </w:rPr>
      </w:pPr>
      <w:r>
        <w:rPr>
          <w:rFonts w:ascii="Arial" w:hAnsi="Arial" w:cs="Arial"/>
          <w:sz w:val="21"/>
          <w:szCs w:val="21"/>
        </w:rPr>
        <w:t xml:space="preserve">Los procedimientos de provisión de personal </w:t>
      </w:r>
    </w:p>
    <w:p w14:paraId="120A7CBA" w14:textId="77777777" w:rsidR="003B28A6" w:rsidRPr="00837C34" w:rsidRDefault="003B28A6" w:rsidP="00837C34">
      <w:pPr>
        <w:pStyle w:val="Ttulo3"/>
        <w:numPr>
          <w:ilvl w:val="2"/>
          <w:numId w:val="57"/>
        </w:numPr>
        <w:spacing w:before="360" w:after="240" w:line="276" w:lineRule="auto"/>
        <w:ind w:left="1134" w:hanging="1134"/>
        <w:rPr>
          <w:rFonts w:ascii="Arial" w:hAnsi="Arial" w:cs="Arial"/>
          <w:b/>
          <w:bCs/>
          <w:color w:val="9D2235" w:themeColor="accent1"/>
        </w:rPr>
      </w:pPr>
      <w:bookmarkStart w:id="284" w:name="_Toc65746438"/>
      <w:bookmarkStart w:id="285" w:name="_Toc65746560"/>
      <w:bookmarkStart w:id="286" w:name="_Toc65746723"/>
      <w:bookmarkStart w:id="287" w:name="_Toc65749207"/>
      <w:bookmarkStart w:id="288" w:name="_Toc65750449"/>
      <w:bookmarkStart w:id="289" w:name="_Toc65750450"/>
      <w:bookmarkStart w:id="290" w:name="_Toc65750451"/>
      <w:bookmarkStart w:id="291" w:name="_Toc65750452"/>
      <w:bookmarkStart w:id="292" w:name="_Toc65750453"/>
      <w:bookmarkStart w:id="293" w:name="_Toc66438650"/>
      <w:bookmarkStart w:id="294" w:name="_Toc67646325"/>
      <w:bookmarkEnd w:id="284"/>
      <w:bookmarkEnd w:id="285"/>
      <w:bookmarkEnd w:id="286"/>
      <w:bookmarkEnd w:id="287"/>
      <w:bookmarkEnd w:id="288"/>
      <w:bookmarkEnd w:id="289"/>
      <w:bookmarkEnd w:id="290"/>
      <w:bookmarkEnd w:id="291"/>
      <w:bookmarkEnd w:id="292"/>
      <w:r w:rsidRPr="00837C34">
        <w:rPr>
          <w:rFonts w:ascii="Arial" w:hAnsi="Arial" w:cs="Arial"/>
          <w:b/>
          <w:bCs/>
          <w:color w:val="9D2235" w:themeColor="accent1"/>
        </w:rPr>
        <w:t>Organigrama</w:t>
      </w:r>
      <w:bookmarkEnd w:id="293"/>
      <w:bookmarkEnd w:id="294"/>
    </w:p>
    <w:p w14:paraId="375FA6FD" w14:textId="343178C9" w:rsidR="003B28A6" w:rsidRDefault="003B28A6" w:rsidP="003B28A6">
      <w:pPr>
        <w:keepNext/>
      </w:pPr>
      <w:r>
        <w:rPr>
          <w:rFonts w:ascii="Arial" w:eastAsia="Times New Roman" w:hAnsi="Arial" w:cs="Arial"/>
          <w:b/>
          <w:noProof/>
          <w:color w:val="9D2235"/>
          <w:sz w:val="28"/>
          <w:szCs w:val="28"/>
        </w:rPr>
        <w:drawing>
          <wp:inline distT="0" distB="0" distL="0" distR="0" wp14:anchorId="27A5E77C" wp14:editId="537518FA">
            <wp:extent cx="5400040" cy="3523615"/>
            <wp:effectExtent l="0" t="0" r="0" b="635"/>
            <wp:docPr id="44" name="Imagen 4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agrama&#10;&#10;Descripción generada automáticamente"/>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400040" cy="3523615"/>
                    </a:xfrm>
                    <a:prstGeom prst="rect">
                      <a:avLst/>
                    </a:prstGeom>
                    <a:noFill/>
                    <a:ln>
                      <a:noFill/>
                    </a:ln>
                  </pic:spPr>
                </pic:pic>
              </a:graphicData>
            </a:graphic>
          </wp:inline>
        </w:drawing>
      </w:r>
    </w:p>
    <w:p w14:paraId="6B961352" w14:textId="30F99AD4" w:rsidR="003B28A6" w:rsidRPr="00B22DC2" w:rsidRDefault="003B28A6" w:rsidP="003B28A6">
      <w:pPr>
        <w:pStyle w:val="Descripcin"/>
        <w:jc w:val="center"/>
        <w:rPr>
          <w:rFonts w:ascii="Arial" w:hAnsi="Arial" w:cs="Arial"/>
          <w:smallCaps w:val="0"/>
          <w:sz w:val="16"/>
        </w:rPr>
      </w:pPr>
      <w:bookmarkStart w:id="295" w:name="_Toc66443994"/>
      <w:bookmarkStart w:id="296" w:name="_Toc67646437"/>
      <w:r w:rsidRPr="00B22DC2">
        <w:rPr>
          <w:rFonts w:ascii="Arial" w:hAnsi="Arial" w:cs="Arial"/>
          <w:smallCaps w:val="0"/>
          <w:color w:val="9D2235" w:themeColor="accent1"/>
          <w:sz w:val="16"/>
        </w:rPr>
        <w:t xml:space="preserve">Ilustración </w:t>
      </w:r>
      <w:r w:rsidRPr="00B22DC2">
        <w:rPr>
          <w:rFonts w:ascii="Arial" w:hAnsi="Arial" w:cs="Arial"/>
          <w:smallCaps w:val="0"/>
          <w:sz w:val="16"/>
        </w:rPr>
        <w:fldChar w:fldCharType="begin"/>
      </w:r>
      <w:r w:rsidRPr="00B22DC2">
        <w:rPr>
          <w:rFonts w:ascii="Arial" w:hAnsi="Arial" w:cs="Arial"/>
          <w:smallCaps w:val="0"/>
          <w:color w:val="9D2235" w:themeColor="accent1"/>
          <w:sz w:val="16"/>
        </w:rPr>
        <w:instrText xml:space="preserve"> SEQ Ilustración \* ARABIC </w:instrText>
      </w:r>
      <w:r w:rsidRPr="00B22DC2">
        <w:rPr>
          <w:rFonts w:ascii="Arial" w:hAnsi="Arial" w:cs="Arial"/>
          <w:smallCaps w:val="0"/>
          <w:sz w:val="16"/>
        </w:rPr>
        <w:fldChar w:fldCharType="separate"/>
      </w:r>
      <w:r w:rsidR="00B22DC2">
        <w:rPr>
          <w:rFonts w:ascii="Arial" w:hAnsi="Arial" w:cs="Arial"/>
          <w:smallCaps w:val="0"/>
          <w:noProof/>
          <w:color w:val="9D2235" w:themeColor="accent1"/>
          <w:sz w:val="16"/>
        </w:rPr>
        <w:t>3</w:t>
      </w:r>
      <w:r w:rsidRPr="00B22DC2">
        <w:rPr>
          <w:rFonts w:ascii="Arial" w:hAnsi="Arial" w:cs="Arial"/>
          <w:smallCaps w:val="0"/>
          <w:sz w:val="16"/>
        </w:rPr>
        <w:fldChar w:fldCharType="end"/>
      </w:r>
      <w:r w:rsidRPr="00B22DC2">
        <w:rPr>
          <w:rFonts w:ascii="Arial" w:hAnsi="Arial" w:cs="Arial"/>
          <w:smallCaps w:val="0"/>
          <w:color w:val="9D2235" w:themeColor="accent1"/>
          <w:sz w:val="16"/>
        </w:rPr>
        <w:t xml:space="preserve">. </w:t>
      </w:r>
      <w:r w:rsidRPr="00B22DC2">
        <w:rPr>
          <w:rFonts w:ascii="Arial" w:hAnsi="Arial" w:cs="Arial"/>
          <w:smallCaps w:val="0"/>
          <w:sz w:val="16"/>
        </w:rPr>
        <w:t>Organigrama de la AVAF (</w:t>
      </w:r>
      <w:hyperlink r:id="rId219" w:history="1">
        <w:r w:rsidRPr="00B22DC2">
          <w:rPr>
            <w:rStyle w:val="Hipervnculo"/>
            <w:rFonts w:ascii="Arial" w:hAnsi="Arial" w:cs="Arial"/>
            <w:smallCaps w:val="0"/>
            <w:sz w:val="16"/>
          </w:rPr>
          <w:t>https://www.antifraucv.es/es/la-agencia/organigrama</w:t>
        </w:r>
      </w:hyperlink>
      <w:r w:rsidRPr="00B22DC2">
        <w:rPr>
          <w:rFonts w:ascii="Arial" w:hAnsi="Arial" w:cs="Arial"/>
          <w:smallCaps w:val="0"/>
          <w:sz w:val="16"/>
        </w:rPr>
        <w:t>)</w:t>
      </w:r>
      <w:bookmarkEnd w:id="295"/>
      <w:bookmarkEnd w:id="296"/>
    </w:p>
    <w:p w14:paraId="777021B4" w14:textId="77777777" w:rsidR="003B28A6" w:rsidRPr="00837C34" w:rsidRDefault="003B28A6" w:rsidP="00837C34">
      <w:pPr>
        <w:pStyle w:val="Ttulo3"/>
        <w:numPr>
          <w:ilvl w:val="2"/>
          <w:numId w:val="57"/>
        </w:numPr>
        <w:spacing w:before="360" w:after="240" w:line="276" w:lineRule="auto"/>
        <w:ind w:left="1134" w:hanging="1134"/>
        <w:rPr>
          <w:rFonts w:ascii="Arial" w:hAnsi="Arial" w:cs="Arial"/>
          <w:b/>
          <w:bCs/>
          <w:color w:val="9D2235" w:themeColor="accent1"/>
        </w:rPr>
      </w:pPr>
      <w:bookmarkStart w:id="297" w:name="_Toc66438651"/>
      <w:bookmarkStart w:id="298" w:name="_Toc67646326"/>
      <w:r w:rsidRPr="00837C34">
        <w:rPr>
          <w:rFonts w:ascii="Arial" w:hAnsi="Arial" w:cs="Arial"/>
          <w:b/>
          <w:bCs/>
          <w:color w:val="9D2235" w:themeColor="accent1"/>
        </w:rPr>
        <w:t>Relación de puestos de trabajo</w:t>
      </w:r>
      <w:bookmarkEnd w:id="297"/>
      <w:bookmarkEnd w:id="298"/>
    </w:p>
    <w:p w14:paraId="23C9EC68" w14:textId="77777777" w:rsidR="003B28A6" w:rsidRDefault="003B28A6" w:rsidP="00B22DC2">
      <w:pPr>
        <w:spacing w:after="240" w:line="276" w:lineRule="auto"/>
        <w:jc w:val="both"/>
        <w:rPr>
          <w:rFonts w:ascii="Arial" w:eastAsia="Droid Sans Fallback" w:hAnsi="Arial" w:cs="Arial"/>
          <w:kern w:val="3"/>
          <w:sz w:val="21"/>
          <w:szCs w:val="21"/>
          <w:lang w:eastAsia="zh-CN" w:bidi="hi-IN"/>
        </w:rPr>
      </w:pPr>
      <w:r>
        <w:rPr>
          <w:rFonts w:ascii="Arial" w:eastAsia="Droid Sans Fallback" w:hAnsi="Arial" w:cs="Arial"/>
          <w:kern w:val="3"/>
          <w:sz w:val="21"/>
          <w:szCs w:val="21"/>
          <w:lang w:eastAsia="zh-CN" w:bidi="hi-IN"/>
        </w:rPr>
        <w:t>La relación de puestos de trabajo de la Agencia, aprobada por resolución de 19 de agosto de 2019, del director de la Agencia (DOGV núm. 8624, de 30.8.2019), modificada en el transcurso de 2020, por las resoluciones núm. 93/2020, de 8 de abril (DOGV núm. 8789, de 15.4.2020), núm. 610/2020, de 11 de diciembre y núm. 630/2020, de 16 de diciembre (DOGV núm. 8985, de 29.12.2020); y, el presupuesto de la Agencia aprobado por la Ley 10/2019, de 27 de diciembre, de presupuestos de la Generalitat para el ejercicio 2020, constituyen el punto de partida y ámbito material sobre el que recae, desde el inicio del ejercicio 2020, la acción de la Agencia con la finalidad de dotarse de un instrumento técnico ha permitido, tras el transcurso de poco más de tres años desde el inicio de sus actividades y funcionamiento, la organización, racionalización y ordenación de su personal funcionario.</w:t>
      </w:r>
    </w:p>
    <w:p w14:paraId="147F088F" w14:textId="37D45DF3" w:rsidR="003B28A6" w:rsidRDefault="003B28A6" w:rsidP="00B22DC2">
      <w:pPr>
        <w:spacing w:after="240" w:line="276" w:lineRule="auto"/>
        <w:jc w:val="both"/>
        <w:rPr>
          <w:rFonts w:ascii="Arial" w:eastAsia="Droid Sans Fallback" w:hAnsi="Arial" w:cs="Arial"/>
          <w:kern w:val="3"/>
          <w:sz w:val="21"/>
          <w:szCs w:val="21"/>
          <w:lang w:eastAsia="zh-CN" w:bidi="hi-IN"/>
        </w:rPr>
      </w:pPr>
      <w:r>
        <w:rPr>
          <w:rFonts w:ascii="Arial" w:eastAsia="Droid Sans Fallback" w:hAnsi="Arial" w:cs="Arial"/>
          <w:kern w:val="3"/>
          <w:sz w:val="21"/>
          <w:szCs w:val="21"/>
          <w:lang w:eastAsia="zh-CN" w:bidi="hi-IN"/>
        </w:rPr>
        <w:lastRenderedPageBreak/>
        <w:t xml:space="preserve">La relación de puestos de trabajo actualizada de conformidad con las resoluciones citadas ha sido publicada en el </w:t>
      </w:r>
      <w:hyperlink r:id="rId220" w:history="1">
        <w:r w:rsidRPr="000E39C0">
          <w:rPr>
            <w:rStyle w:val="Hipervnculo"/>
            <w:rFonts w:ascii="Arial" w:eastAsia="Droid Sans Fallback" w:hAnsi="Arial" w:cs="Arial"/>
            <w:kern w:val="3"/>
            <w:sz w:val="21"/>
            <w:szCs w:val="21"/>
            <w:lang w:eastAsia="zh-CN" w:bidi="hi-IN"/>
          </w:rPr>
          <w:t>DOGV número 8985/29.12.2020</w:t>
        </w:r>
      </w:hyperlink>
      <w:r>
        <w:rPr>
          <w:rFonts w:ascii="Arial" w:eastAsia="Droid Sans Fallback" w:hAnsi="Arial" w:cs="Arial"/>
          <w:kern w:val="3"/>
          <w:sz w:val="21"/>
          <w:szCs w:val="21"/>
          <w:lang w:eastAsia="zh-CN" w:bidi="hi-IN"/>
        </w:rPr>
        <w:t xml:space="preserve"> así como en el </w:t>
      </w:r>
      <w:hyperlink r:id="rId221" w:history="1">
        <w:r w:rsidRPr="000E39C0">
          <w:rPr>
            <w:rStyle w:val="Hipervnculo"/>
            <w:rFonts w:ascii="Arial" w:eastAsia="Droid Sans Fallback" w:hAnsi="Arial" w:cs="Arial"/>
            <w:kern w:val="3"/>
            <w:sz w:val="21"/>
            <w:szCs w:val="21"/>
            <w:lang w:eastAsia="zh-CN" w:bidi="hi-IN"/>
          </w:rPr>
          <w:t>BOCV número 133/30.12.2020</w:t>
        </w:r>
      </w:hyperlink>
      <w:r>
        <w:rPr>
          <w:rFonts w:ascii="Arial" w:eastAsia="Droid Sans Fallback" w:hAnsi="Arial" w:cs="Arial"/>
          <w:kern w:val="3"/>
          <w:sz w:val="21"/>
          <w:szCs w:val="21"/>
          <w:lang w:eastAsia="zh-CN" w:bidi="hi-IN"/>
        </w:rPr>
        <w:t xml:space="preserve"> y puede ser objeto de consulta</w:t>
      </w:r>
      <w:r w:rsidR="000E39C0">
        <w:rPr>
          <w:rFonts w:ascii="Arial" w:eastAsia="Droid Sans Fallback" w:hAnsi="Arial" w:cs="Arial"/>
          <w:kern w:val="3"/>
          <w:sz w:val="21"/>
          <w:szCs w:val="21"/>
          <w:lang w:eastAsia="zh-CN" w:bidi="hi-IN"/>
        </w:rPr>
        <w:t>.</w:t>
      </w:r>
    </w:p>
    <w:p w14:paraId="7747AECF" w14:textId="77777777" w:rsidR="003B28A6" w:rsidRDefault="003B28A6" w:rsidP="00B22DC2">
      <w:pPr>
        <w:spacing w:after="240" w:line="276" w:lineRule="auto"/>
        <w:jc w:val="both"/>
      </w:pPr>
      <w:r>
        <w:rPr>
          <w:rFonts w:ascii="Arial" w:eastAsia="Droid Sans Fallback" w:hAnsi="Arial" w:cs="Arial"/>
          <w:kern w:val="3"/>
          <w:sz w:val="21"/>
          <w:szCs w:val="21"/>
          <w:lang w:eastAsia="zh-CN" w:bidi="hi-IN"/>
        </w:rPr>
        <w:t>A 31 de diciembre de 2020, la estructura orgánica de cada una de las unidades administrativas es la que seguidamente se indica:</w:t>
      </w:r>
    </w:p>
    <w:p w14:paraId="140A2BD2" w14:textId="1EDEC06D" w:rsidR="003B28A6" w:rsidRPr="00B22DC2" w:rsidRDefault="003B28A6" w:rsidP="003B28A6">
      <w:pPr>
        <w:pStyle w:val="Descripcin"/>
        <w:keepNext/>
        <w:jc w:val="both"/>
        <w:rPr>
          <w:rFonts w:ascii="Arial" w:hAnsi="Arial" w:cs="Arial"/>
          <w:smallCaps w:val="0"/>
          <w:sz w:val="18"/>
        </w:rPr>
      </w:pPr>
      <w:bookmarkStart w:id="299" w:name="_Toc66443891"/>
      <w:bookmarkStart w:id="300" w:name="_Toc67646360"/>
      <w:r w:rsidRPr="00B22DC2">
        <w:rPr>
          <w:rFonts w:ascii="Arial" w:hAnsi="Arial" w:cs="Arial"/>
          <w:smallCaps w:val="0"/>
          <w:color w:val="9D2235" w:themeColor="accent1"/>
          <w:sz w:val="18"/>
        </w:rPr>
        <w:t xml:space="preserve">Tabla </w:t>
      </w:r>
      <w:r w:rsidRPr="00B22DC2">
        <w:rPr>
          <w:rFonts w:ascii="Arial" w:hAnsi="Arial" w:cs="Arial"/>
          <w:smallCaps w:val="0"/>
          <w:sz w:val="18"/>
        </w:rPr>
        <w:fldChar w:fldCharType="begin"/>
      </w:r>
      <w:r w:rsidRPr="00B22DC2">
        <w:rPr>
          <w:rFonts w:ascii="Arial" w:hAnsi="Arial" w:cs="Arial"/>
          <w:smallCaps w:val="0"/>
          <w:color w:val="9D2235" w:themeColor="accent1"/>
          <w:sz w:val="18"/>
        </w:rPr>
        <w:instrText xml:space="preserve"> SEQ Tabla \* ARABIC </w:instrText>
      </w:r>
      <w:r w:rsidRPr="00B22DC2">
        <w:rPr>
          <w:rFonts w:ascii="Arial" w:hAnsi="Arial" w:cs="Arial"/>
          <w:smallCaps w:val="0"/>
          <w:sz w:val="18"/>
        </w:rPr>
        <w:fldChar w:fldCharType="separate"/>
      </w:r>
      <w:r w:rsidR="00ED7F0D">
        <w:rPr>
          <w:rFonts w:ascii="Arial" w:hAnsi="Arial" w:cs="Arial"/>
          <w:smallCaps w:val="0"/>
          <w:noProof/>
          <w:color w:val="9D2235" w:themeColor="accent1"/>
          <w:sz w:val="18"/>
        </w:rPr>
        <w:t>23</w:t>
      </w:r>
      <w:r w:rsidRPr="00B22DC2">
        <w:rPr>
          <w:rFonts w:ascii="Arial" w:hAnsi="Arial" w:cs="Arial"/>
          <w:smallCaps w:val="0"/>
          <w:sz w:val="18"/>
        </w:rPr>
        <w:fldChar w:fldCharType="end"/>
      </w:r>
      <w:r w:rsidRPr="00B22DC2">
        <w:rPr>
          <w:rFonts w:ascii="Arial" w:hAnsi="Arial" w:cs="Arial"/>
          <w:smallCaps w:val="0"/>
          <w:color w:val="9D2235" w:themeColor="accent1"/>
          <w:sz w:val="18"/>
        </w:rPr>
        <w:t xml:space="preserve">: </w:t>
      </w:r>
      <w:r w:rsidRPr="00B22DC2">
        <w:rPr>
          <w:rFonts w:ascii="Arial" w:hAnsi="Arial" w:cs="Arial"/>
          <w:smallCaps w:val="0"/>
          <w:sz w:val="18"/>
        </w:rPr>
        <w:t>Puestos de trabajo adscritos a las unidades administrativas en las que se organiza la Agencia.</w:t>
      </w:r>
      <w:bookmarkEnd w:id="299"/>
      <w:bookmarkEnd w:id="300"/>
    </w:p>
    <w:tbl>
      <w:tblPr>
        <w:tblW w:w="0" w:type="auto"/>
        <w:tblCellMar>
          <w:left w:w="70" w:type="dxa"/>
          <w:right w:w="70" w:type="dxa"/>
        </w:tblCellMar>
        <w:tblLook w:val="04A0" w:firstRow="1" w:lastRow="0" w:firstColumn="1" w:lastColumn="0" w:noHBand="0" w:noVBand="1"/>
      </w:tblPr>
      <w:tblGrid>
        <w:gridCol w:w="861"/>
        <w:gridCol w:w="3650"/>
        <w:gridCol w:w="713"/>
        <w:gridCol w:w="651"/>
        <w:gridCol w:w="708"/>
        <w:gridCol w:w="704"/>
        <w:gridCol w:w="1217"/>
      </w:tblGrid>
      <w:tr w:rsidR="003B28A6" w14:paraId="5B5E125B" w14:textId="77777777" w:rsidTr="003B28A6">
        <w:trPr>
          <w:trHeight w:val="552"/>
        </w:trPr>
        <w:tc>
          <w:tcPr>
            <w:tcW w:w="0" w:type="auto"/>
            <w:gridSpan w:val="7"/>
            <w:tcBorders>
              <w:top w:val="nil"/>
              <w:left w:val="nil"/>
              <w:bottom w:val="single" w:sz="8" w:space="0" w:color="000000"/>
              <w:right w:val="nil"/>
            </w:tcBorders>
            <w:shd w:val="clear" w:color="auto" w:fill="9D2235"/>
            <w:vAlign w:val="center"/>
            <w:hideMark/>
          </w:tcPr>
          <w:p w14:paraId="653FCB10" w14:textId="77777777" w:rsidR="003B28A6" w:rsidRDefault="003B28A6">
            <w:pPr>
              <w:spacing w:after="0" w:line="240" w:lineRule="auto"/>
              <w:jc w:val="both"/>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ÁREA DE GABINETE DE RELACIONES INSTITUCIONALES, COMUNICACIÓN Y PARTICIPACIÓN</w:t>
            </w:r>
          </w:p>
        </w:tc>
      </w:tr>
      <w:tr w:rsidR="003B28A6" w14:paraId="7B83E847" w14:textId="77777777" w:rsidTr="003B28A6">
        <w:trPr>
          <w:trHeight w:val="564"/>
        </w:trPr>
        <w:tc>
          <w:tcPr>
            <w:tcW w:w="0" w:type="auto"/>
            <w:tcBorders>
              <w:top w:val="nil"/>
              <w:left w:val="single" w:sz="8" w:space="0" w:color="000000"/>
              <w:bottom w:val="single" w:sz="8" w:space="0" w:color="000000"/>
              <w:right w:val="nil"/>
            </w:tcBorders>
            <w:vAlign w:val="center"/>
            <w:hideMark/>
          </w:tcPr>
          <w:p w14:paraId="42F31C54"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N.º puesto</w:t>
            </w:r>
          </w:p>
        </w:tc>
        <w:tc>
          <w:tcPr>
            <w:tcW w:w="0" w:type="auto"/>
            <w:tcBorders>
              <w:top w:val="nil"/>
              <w:left w:val="single" w:sz="8" w:space="0" w:color="000000"/>
              <w:bottom w:val="single" w:sz="8" w:space="0" w:color="000000"/>
              <w:right w:val="nil"/>
            </w:tcBorders>
            <w:vAlign w:val="center"/>
            <w:hideMark/>
          </w:tcPr>
          <w:p w14:paraId="0392923E"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Denominación</w:t>
            </w:r>
          </w:p>
        </w:tc>
        <w:tc>
          <w:tcPr>
            <w:tcW w:w="0" w:type="auto"/>
            <w:tcBorders>
              <w:top w:val="nil"/>
              <w:left w:val="single" w:sz="8" w:space="0" w:color="000000"/>
              <w:bottom w:val="single" w:sz="8" w:space="0" w:color="000000"/>
              <w:right w:val="nil"/>
            </w:tcBorders>
            <w:vAlign w:val="center"/>
            <w:hideMark/>
          </w:tcPr>
          <w:p w14:paraId="29011231"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Rég. Jco.</w:t>
            </w:r>
          </w:p>
        </w:tc>
        <w:tc>
          <w:tcPr>
            <w:tcW w:w="0" w:type="auto"/>
            <w:tcBorders>
              <w:top w:val="nil"/>
              <w:left w:val="single" w:sz="8" w:space="0" w:color="000000"/>
              <w:bottom w:val="single" w:sz="8" w:space="0" w:color="000000"/>
              <w:right w:val="nil"/>
            </w:tcBorders>
            <w:vAlign w:val="center"/>
            <w:hideMark/>
          </w:tcPr>
          <w:p w14:paraId="2923A816"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Gr.</w:t>
            </w:r>
          </w:p>
        </w:tc>
        <w:tc>
          <w:tcPr>
            <w:tcW w:w="0" w:type="auto"/>
            <w:tcBorders>
              <w:top w:val="nil"/>
              <w:left w:val="single" w:sz="8" w:space="0" w:color="000000"/>
              <w:bottom w:val="single" w:sz="8" w:space="0" w:color="000000"/>
              <w:right w:val="nil"/>
            </w:tcBorders>
            <w:vAlign w:val="center"/>
            <w:hideMark/>
          </w:tcPr>
          <w:p w14:paraId="57F41601"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Nivel CD</w:t>
            </w:r>
          </w:p>
        </w:tc>
        <w:tc>
          <w:tcPr>
            <w:tcW w:w="0" w:type="auto"/>
            <w:tcBorders>
              <w:top w:val="nil"/>
              <w:left w:val="single" w:sz="8" w:space="0" w:color="000000"/>
              <w:bottom w:val="single" w:sz="8" w:space="0" w:color="000000"/>
              <w:right w:val="nil"/>
            </w:tcBorders>
            <w:vAlign w:val="center"/>
            <w:hideMark/>
          </w:tcPr>
          <w:p w14:paraId="49FCFF2D"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Nivel CE</w:t>
            </w:r>
          </w:p>
        </w:tc>
        <w:tc>
          <w:tcPr>
            <w:tcW w:w="0" w:type="auto"/>
            <w:tcBorders>
              <w:top w:val="nil"/>
              <w:left w:val="single" w:sz="8" w:space="0" w:color="000000"/>
              <w:bottom w:val="single" w:sz="8" w:space="0" w:color="000000"/>
              <w:right w:val="single" w:sz="8" w:space="0" w:color="000000"/>
            </w:tcBorders>
            <w:vAlign w:val="center"/>
            <w:hideMark/>
          </w:tcPr>
          <w:p w14:paraId="09D640E3"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Forma provisión</w:t>
            </w:r>
          </w:p>
        </w:tc>
      </w:tr>
      <w:tr w:rsidR="003B28A6" w14:paraId="6E432F65" w14:textId="77777777" w:rsidTr="003B28A6">
        <w:trPr>
          <w:trHeight w:val="573"/>
        </w:trPr>
        <w:tc>
          <w:tcPr>
            <w:tcW w:w="0" w:type="auto"/>
            <w:tcBorders>
              <w:top w:val="nil"/>
              <w:left w:val="single" w:sz="8" w:space="0" w:color="000000"/>
              <w:bottom w:val="single" w:sz="8" w:space="0" w:color="000000"/>
              <w:right w:val="nil"/>
            </w:tcBorders>
            <w:vAlign w:val="center"/>
            <w:hideMark/>
          </w:tcPr>
          <w:p w14:paraId="0E72E54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0" w:type="auto"/>
            <w:tcBorders>
              <w:top w:val="nil"/>
              <w:left w:val="single" w:sz="8" w:space="0" w:color="000000"/>
              <w:bottom w:val="single" w:sz="8" w:space="0" w:color="000000"/>
              <w:right w:val="nil"/>
            </w:tcBorders>
            <w:vAlign w:val="center"/>
            <w:hideMark/>
          </w:tcPr>
          <w:p w14:paraId="68D1B305"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Gabinete de Relaciones Institucionales, Comunicación y Participación</w:t>
            </w:r>
          </w:p>
        </w:tc>
        <w:tc>
          <w:tcPr>
            <w:tcW w:w="0" w:type="auto"/>
            <w:tcBorders>
              <w:top w:val="nil"/>
              <w:left w:val="single" w:sz="8" w:space="0" w:color="000000"/>
              <w:bottom w:val="single" w:sz="8" w:space="0" w:color="000000"/>
              <w:right w:val="nil"/>
            </w:tcBorders>
            <w:vAlign w:val="center"/>
            <w:hideMark/>
          </w:tcPr>
          <w:p w14:paraId="4FCDC0C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236A4739"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0" w:type="auto"/>
            <w:tcBorders>
              <w:top w:val="nil"/>
              <w:left w:val="single" w:sz="8" w:space="0" w:color="000000"/>
              <w:bottom w:val="single" w:sz="8" w:space="0" w:color="000000"/>
              <w:right w:val="nil"/>
            </w:tcBorders>
            <w:vAlign w:val="center"/>
            <w:hideMark/>
          </w:tcPr>
          <w:p w14:paraId="3F3B2BE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30</w:t>
            </w:r>
          </w:p>
        </w:tc>
        <w:tc>
          <w:tcPr>
            <w:tcW w:w="0" w:type="auto"/>
            <w:tcBorders>
              <w:top w:val="nil"/>
              <w:left w:val="single" w:sz="8" w:space="0" w:color="000000"/>
              <w:bottom w:val="single" w:sz="8" w:space="0" w:color="000000"/>
              <w:right w:val="nil"/>
            </w:tcBorders>
            <w:vAlign w:val="center"/>
            <w:hideMark/>
          </w:tcPr>
          <w:p w14:paraId="5C0F05D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w:t>
            </w:r>
          </w:p>
        </w:tc>
        <w:tc>
          <w:tcPr>
            <w:tcW w:w="0" w:type="auto"/>
            <w:tcBorders>
              <w:top w:val="nil"/>
              <w:left w:val="single" w:sz="8" w:space="0" w:color="000000"/>
              <w:bottom w:val="single" w:sz="8" w:space="0" w:color="000000"/>
              <w:right w:val="single" w:sz="8" w:space="0" w:color="000000"/>
            </w:tcBorders>
            <w:vAlign w:val="center"/>
            <w:hideMark/>
          </w:tcPr>
          <w:p w14:paraId="4760F92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5BB2E638" w14:textId="77777777" w:rsidTr="003B28A6">
        <w:trPr>
          <w:trHeight w:val="300"/>
        </w:trPr>
        <w:tc>
          <w:tcPr>
            <w:tcW w:w="0" w:type="auto"/>
            <w:tcBorders>
              <w:top w:val="nil"/>
              <w:left w:val="single" w:sz="8" w:space="0" w:color="000000"/>
              <w:bottom w:val="single" w:sz="8" w:space="0" w:color="000000"/>
              <w:right w:val="nil"/>
            </w:tcBorders>
            <w:vAlign w:val="center"/>
            <w:hideMark/>
          </w:tcPr>
          <w:p w14:paraId="227E3AE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25</w:t>
            </w:r>
          </w:p>
        </w:tc>
        <w:tc>
          <w:tcPr>
            <w:tcW w:w="0" w:type="auto"/>
            <w:tcBorders>
              <w:top w:val="nil"/>
              <w:left w:val="single" w:sz="8" w:space="0" w:color="000000"/>
              <w:bottom w:val="single" w:sz="8" w:space="0" w:color="000000"/>
              <w:right w:val="nil"/>
            </w:tcBorders>
            <w:vAlign w:val="center"/>
            <w:hideMark/>
          </w:tcPr>
          <w:p w14:paraId="5FA6FB59"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Secretario/a de Dirección</w:t>
            </w:r>
          </w:p>
        </w:tc>
        <w:tc>
          <w:tcPr>
            <w:tcW w:w="0" w:type="auto"/>
            <w:tcBorders>
              <w:top w:val="nil"/>
              <w:left w:val="single" w:sz="8" w:space="0" w:color="000000"/>
              <w:bottom w:val="single" w:sz="8" w:space="0" w:color="000000"/>
              <w:right w:val="nil"/>
            </w:tcBorders>
            <w:vAlign w:val="center"/>
            <w:hideMark/>
          </w:tcPr>
          <w:p w14:paraId="2405651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7E04027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C1</w:t>
            </w:r>
          </w:p>
        </w:tc>
        <w:tc>
          <w:tcPr>
            <w:tcW w:w="0" w:type="auto"/>
            <w:tcBorders>
              <w:top w:val="nil"/>
              <w:left w:val="single" w:sz="8" w:space="0" w:color="000000"/>
              <w:bottom w:val="single" w:sz="8" w:space="0" w:color="000000"/>
              <w:right w:val="nil"/>
            </w:tcBorders>
            <w:vAlign w:val="center"/>
            <w:hideMark/>
          </w:tcPr>
          <w:p w14:paraId="7ADE6FC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20</w:t>
            </w:r>
          </w:p>
        </w:tc>
        <w:tc>
          <w:tcPr>
            <w:tcW w:w="0" w:type="auto"/>
            <w:tcBorders>
              <w:top w:val="nil"/>
              <w:left w:val="single" w:sz="8" w:space="0" w:color="000000"/>
              <w:bottom w:val="single" w:sz="8" w:space="0" w:color="000000"/>
              <w:right w:val="nil"/>
            </w:tcBorders>
            <w:vAlign w:val="center"/>
            <w:hideMark/>
          </w:tcPr>
          <w:p w14:paraId="4273377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35</w:t>
            </w:r>
          </w:p>
        </w:tc>
        <w:tc>
          <w:tcPr>
            <w:tcW w:w="0" w:type="auto"/>
            <w:tcBorders>
              <w:top w:val="nil"/>
              <w:left w:val="single" w:sz="8" w:space="0" w:color="000000"/>
              <w:bottom w:val="single" w:sz="8" w:space="0" w:color="000000"/>
              <w:right w:val="single" w:sz="8" w:space="0" w:color="000000"/>
            </w:tcBorders>
            <w:vAlign w:val="center"/>
            <w:hideMark/>
          </w:tcPr>
          <w:p w14:paraId="59242BD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5ADC76F3" w14:textId="77777777" w:rsidTr="003B28A6">
        <w:trPr>
          <w:trHeight w:val="541"/>
        </w:trPr>
        <w:tc>
          <w:tcPr>
            <w:tcW w:w="0" w:type="auto"/>
            <w:tcBorders>
              <w:top w:val="nil"/>
              <w:left w:val="single" w:sz="8" w:space="0" w:color="000000"/>
              <w:bottom w:val="single" w:sz="8" w:space="0" w:color="000000"/>
              <w:right w:val="nil"/>
            </w:tcBorders>
            <w:vAlign w:val="center"/>
            <w:hideMark/>
          </w:tcPr>
          <w:p w14:paraId="7936C9A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w:t>
            </w:r>
          </w:p>
        </w:tc>
        <w:tc>
          <w:tcPr>
            <w:tcW w:w="0" w:type="auto"/>
            <w:tcBorders>
              <w:top w:val="nil"/>
              <w:left w:val="single" w:sz="8" w:space="0" w:color="000000"/>
              <w:bottom w:val="single" w:sz="8" w:space="0" w:color="000000"/>
              <w:right w:val="nil"/>
            </w:tcBorders>
            <w:vAlign w:val="center"/>
            <w:hideMark/>
          </w:tcPr>
          <w:p w14:paraId="45E23D25"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negociado de soporte comunicación institucional</w:t>
            </w:r>
          </w:p>
        </w:tc>
        <w:tc>
          <w:tcPr>
            <w:tcW w:w="0" w:type="auto"/>
            <w:tcBorders>
              <w:top w:val="nil"/>
              <w:left w:val="single" w:sz="8" w:space="0" w:color="000000"/>
              <w:bottom w:val="single" w:sz="8" w:space="0" w:color="000000"/>
              <w:right w:val="nil"/>
            </w:tcBorders>
            <w:vAlign w:val="center"/>
            <w:hideMark/>
          </w:tcPr>
          <w:p w14:paraId="1350807F"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125E49A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C1/C2</w:t>
            </w:r>
          </w:p>
        </w:tc>
        <w:tc>
          <w:tcPr>
            <w:tcW w:w="0" w:type="auto"/>
            <w:tcBorders>
              <w:top w:val="nil"/>
              <w:left w:val="single" w:sz="8" w:space="0" w:color="000000"/>
              <w:bottom w:val="single" w:sz="8" w:space="0" w:color="000000"/>
              <w:right w:val="nil"/>
            </w:tcBorders>
            <w:vAlign w:val="center"/>
            <w:hideMark/>
          </w:tcPr>
          <w:p w14:paraId="463B4F8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18</w:t>
            </w:r>
          </w:p>
        </w:tc>
        <w:tc>
          <w:tcPr>
            <w:tcW w:w="0" w:type="auto"/>
            <w:tcBorders>
              <w:top w:val="nil"/>
              <w:left w:val="single" w:sz="8" w:space="0" w:color="000000"/>
              <w:bottom w:val="single" w:sz="8" w:space="0" w:color="000000"/>
              <w:right w:val="nil"/>
            </w:tcBorders>
            <w:vAlign w:val="center"/>
            <w:hideMark/>
          </w:tcPr>
          <w:p w14:paraId="6C669DB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35</w:t>
            </w:r>
          </w:p>
        </w:tc>
        <w:tc>
          <w:tcPr>
            <w:tcW w:w="0" w:type="auto"/>
            <w:tcBorders>
              <w:top w:val="nil"/>
              <w:left w:val="single" w:sz="8" w:space="0" w:color="000000"/>
              <w:bottom w:val="single" w:sz="8" w:space="0" w:color="000000"/>
              <w:right w:val="single" w:sz="8" w:space="0" w:color="000000"/>
            </w:tcBorders>
            <w:vAlign w:val="center"/>
            <w:hideMark/>
          </w:tcPr>
          <w:p w14:paraId="37BCA39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r w:rsidR="003B28A6" w14:paraId="0126F3E0" w14:textId="77777777" w:rsidTr="003B28A6">
        <w:trPr>
          <w:trHeight w:val="557"/>
        </w:trPr>
        <w:tc>
          <w:tcPr>
            <w:tcW w:w="0" w:type="auto"/>
            <w:tcBorders>
              <w:top w:val="nil"/>
              <w:left w:val="single" w:sz="8" w:space="0" w:color="000000"/>
              <w:bottom w:val="single" w:sz="8" w:space="0" w:color="000000"/>
              <w:right w:val="nil"/>
            </w:tcBorders>
            <w:vAlign w:val="center"/>
            <w:hideMark/>
          </w:tcPr>
          <w:p w14:paraId="56CC30B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45</w:t>
            </w:r>
          </w:p>
        </w:tc>
        <w:tc>
          <w:tcPr>
            <w:tcW w:w="0" w:type="auto"/>
            <w:tcBorders>
              <w:top w:val="nil"/>
              <w:left w:val="single" w:sz="8" w:space="0" w:color="000000"/>
              <w:bottom w:val="single" w:sz="8" w:space="0" w:color="000000"/>
              <w:right w:val="nil"/>
            </w:tcBorders>
            <w:vAlign w:val="center"/>
            <w:hideMark/>
          </w:tcPr>
          <w:p w14:paraId="72763159"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Unidad de Relaciones Institucionales, Comunicación y Participación</w:t>
            </w:r>
          </w:p>
        </w:tc>
        <w:tc>
          <w:tcPr>
            <w:tcW w:w="0" w:type="auto"/>
            <w:tcBorders>
              <w:top w:val="nil"/>
              <w:left w:val="single" w:sz="8" w:space="0" w:color="000000"/>
              <w:bottom w:val="single" w:sz="8" w:space="0" w:color="000000"/>
              <w:right w:val="nil"/>
            </w:tcBorders>
            <w:vAlign w:val="center"/>
            <w:hideMark/>
          </w:tcPr>
          <w:p w14:paraId="3B50251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0CAC6DB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0" w:type="auto"/>
            <w:tcBorders>
              <w:top w:val="nil"/>
              <w:left w:val="single" w:sz="8" w:space="0" w:color="000000"/>
              <w:bottom w:val="single" w:sz="8" w:space="0" w:color="000000"/>
              <w:right w:val="nil"/>
            </w:tcBorders>
            <w:vAlign w:val="center"/>
            <w:hideMark/>
          </w:tcPr>
          <w:p w14:paraId="4DFA4825"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26</w:t>
            </w:r>
          </w:p>
        </w:tc>
        <w:tc>
          <w:tcPr>
            <w:tcW w:w="0" w:type="auto"/>
            <w:tcBorders>
              <w:top w:val="nil"/>
              <w:left w:val="single" w:sz="8" w:space="0" w:color="000000"/>
              <w:bottom w:val="single" w:sz="8" w:space="0" w:color="000000"/>
              <w:right w:val="nil"/>
            </w:tcBorders>
            <w:vAlign w:val="center"/>
            <w:hideMark/>
          </w:tcPr>
          <w:p w14:paraId="15AE8989"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49</w:t>
            </w:r>
          </w:p>
        </w:tc>
        <w:tc>
          <w:tcPr>
            <w:tcW w:w="0" w:type="auto"/>
            <w:tcBorders>
              <w:top w:val="nil"/>
              <w:left w:val="single" w:sz="8" w:space="0" w:color="000000"/>
              <w:bottom w:val="single" w:sz="8" w:space="0" w:color="000000"/>
              <w:right w:val="single" w:sz="8" w:space="0" w:color="000000"/>
            </w:tcBorders>
            <w:vAlign w:val="center"/>
            <w:hideMark/>
          </w:tcPr>
          <w:p w14:paraId="63DF1B4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bl>
    <w:p w14:paraId="4E6693DE" w14:textId="77777777" w:rsidR="003B28A6" w:rsidRDefault="003B28A6" w:rsidP="003B28A6">
      <w:pPr>
        <w:spacing w:after="240" w:line="276" w:lineRule="auto"/>
        <w:jc w:val="both"/>
        <w:rPr>
          <w:rFonts w:ascii="Arial" w:eastAsia="Droid Sans Fallback" w:hAnsi="Arial" w:cs="Arial"/>
          <w:kern w:val="3"/>
          <w:sz w:val="21"/>
          <w:szCs w:val="21"/>
          <w:lang w:eastAsia="zh-CN" w:bidi="hi-IN"/>
        </w:rPr>
      </w:pPr>
    </w:p>
    <w:tbl>
      <w:tblPr>
        <w:tblW w:w="5000" w:type="pct"/>
        <w:tblCellMar>
          <w:left w:w="70" w:type="dxa"/>
          <w:right w:w="70" w:type="dxa"/>
        </w:tblCellMar>
        <w:tblLook w:val="04A0" w:firstRow="1" w:lastRow="0" w:firstColumn="1" w:lastColumn="0" w:noHBand="0" w:noVBand="1"/>
      </w:tblPr>
      <w:tblGrid>
        <w:gridCol w:w="932"/>
        <w:gridCol w:w="3296"/>
        <w:gridCol w:w="742"/>
        <w:gridCol w:w="736"/>
        <w:gridCol w:w="752"/>
        <w:gridCol w:w="748"/>
        <w:gridCol w:w="1298"/>
      </w:tblGrid>
      <w:tr w:rsidR="003B28A6" w14:paraId="4AAC9ACD" w14:textId="77777777" w:rsidTr="003B28A6">
        <w:trPr>
          <w:trHeight w:val="300"/>
        </w:trPr>
        <w:tc>
          <w:tcPr>
            <w:tcW w:w="5000" w:type="pct"/>
            <w:gridSpan w:val="7"/>
            <w:tcBorders>
              <w:top w:val="nil"/>
              <w:left w:val="nil"/>
              <w:bottom w:val="single" w:sz="8" w:space="0" w:color="000000"/>
              <w:right w:val="nil"/>
            </w:tcBorders>
            <w:shd w:val="clear" w:color="auto" w:fill="9D2235"/>
            <w:vAlign w:val="center"/>
            <w:hideMark/>
          </w:tcPr>
          <w:p w14:paraId="50438E08" w14:textId="77777777" w:rsidR="003B28A6" w:rsidRDefault="003B28A6">
            <w:pPr>
              <w:spacing w:after="0" w:line="240" w:lineRule="auto"/>
              <w:jc w:val="both"/>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ÁREA DE ADMINISTRACIÓN, RECURSOS HUMANOS Y GESTIÓN ECONÓMICA</w:t>
            </w:r>
          </w:p>
        </w:tc>
      </w:tr>
      <w:tr w:rsidR="003B28A6" w14:paraId="2CDE1FFA" w14:textId="77777777" w:rsidTr="003B28A6">
        <w:trPr>
          <w:trHeight w:val="564"/>
        </w:trPr>
        <w:tc>
          <w:tcPr>
            <w:tcW w:w="548" w:type="pct"/>
            <w:tcBorders>
              <w:top w:val="nil"/>
              <w:left w:val="single" w:sz="8" w:space="0" w:color="000000"/>
              <w:bottom w:val="single" w:sz="8" w:space="0" w:color="000000"/>
              <w:right w:val="nil"/>
            </w:tcBorders>
            <w:vAlign w:val="center"/>
            <w:hideMark/>
          </w:tcPr>
          <w:p w14:paraId="5ABB98C4"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N.º puesto</w:t>
            </w:r>
          </w:p>
        </w:tc>
        <w:tc>
          <w:tcPr>
            <w:tcW w:w="1938" w:type="pct"/>
            <w:tcBorders>
              <w:top w:val="nil"/>
              <w:left w:val="single" w:sz="8" w:space="0" w:color="000000"/>
              <w:bottom w:val="single" w:sz="8" w:space="0" w:color="000000"/>
              <w:right w:val="nil"/>
            </w:tcBorders>
            <w:vAlign w:val="center"/>
            <w:hideMark/>
          </w:tcPr>
          <w:p w14:paraId="69E07F6D"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Denominación</w:t>
            </w:r>
          </w:p>
        </w:tc>
        <w:tc>
          <w:tcPr>
            <w:tcW w:w="436" w:type="pct"/>
            <w:tcBorders>
              <w:top w:val="nil"/>
              <w:left w:val="single" w:sz="8" w:space="0" w:color="000000"/>
              <w:bottom w:val="single" w:sz="8" w:space="0" w:color="000000"/>
              <w:right w:val="nil"/>
            </w:tcBorders>
            <w:vAlign w:val="center"/>
            <w:hideMark/>
          </w:tcPr>
          <w:p w14:paraId="64856BD6"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Rég. Jco.</w:t>
            </w:r>
          </w:p>
        </w:tc>
        <w:tc>
          <w:tcPr>
            <w:tcW w:w="433" w:type="pct"/>
            <w:tcBorders>
              <w:top w:val="nil"/>
              <w:left w:val="single" w:sz="8" w:space="0" w:color="000000"/>
              <w:bottom w:val="single" w:sz="8" w:space="0" w:color="000000"/>
              <w:right w:val="nil"/>
            </w:tcBorders>
            <w:vAlign w:val="center"/>
            <w:hideMark/>
          </w:tcPr>
          <w:p w14:paraId="6D86D884"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Gr.</w:t>
            </w:r>
          </w:p>
        </w:tc>
        <w:tc>
          <w:tcPr>
            <w:tcW w:w="442" w:type="pct"/>
            <w:tcBorders>
              <w:top w:val="nil"/>
              <w:left w:val="single" w:sz="8" w:space="0" w:color="000000"/>
              <w:bottom w:val="single" w:sz="8" w:space="0" w:color="000000"/>
              <w:right w:val="nil"/>
            </w:tcBorders>
            <w:vAlign w:val="center"/>
            <w:hideMark/>
          </w:tcPr>
          <w:p w14:paraId="692D2FBE"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Nivel CD</w:t>
            </w:r>
          </w:p>
        </w:tc>
        <w:tc>
          <w:tcPr>
            <w:tcW w:w="440" w:type="pct"/>
            <w:tcBorders>
              <w:top w:val="nil"/>
              <w:left w:val="single" w:sz="8" w:space="0" w:color="000000"/>
              <w:bottom w:val="single" w:sz="8" w:space="0" w:color="000000"/>
              <w:right w:val="nil"/>
            </w:tcBorders>
            <w:vAlign w:val="center"/>
            <w:hideMark/>
          </w:tcPr>
          <w:p w14:paraId="058D8C88"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Nivel CE</w:t>
            </w:r>
          </w:p>
        </w:tc>
        <w:tc>
          <w:tcPr>
            <w:tcW w:w="763" w:type="pct"/>
            <w:tcBorders>
              <w:top w:val="nil"/>
              <w:left w:val="single" w:sz="8" w:space="0" w:color="000000"/>
              <w:bottom w:val="single" w:sz="8" w:space="0" w:color="000000"/>
              <w:right w:val="single" w:sz="8" w:space="0" w:color="000000"/>
            </w:tcBorders>
            <w:vAlign w:val="center"/>
            <w:hideMark/>
          </w:tcPr>
          <w:p w14:paraId="2254DE3A"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Forma provisión</w:t>
            </w:r>
          </w:p>
        </w:tc>
      </w:tr>
      <w:tr w:rsidR="003B28A6" w14:paraId="550A40A7" w14:textId="77777777" w:rsidTr="003B28A6">
        <w:trPr>
          <w:trHeight w:val="757"/>
        </w:trPr>
        <w:tc>
          <w:tcPr>
            <w:tcW w:w="548" w:type="pct"/>
            <w:tcBorders>
              <w:top w:val="nil"/>
              <w:left w:val="single" w:sz="8" w:space="0" w:color="000000"/>
              <w:bottom w:val="single" w:sz="8" w:space="0" w:color="000000"/>
              <w:right w:val="nil"/>
            </w:tcBorders>
            <w:vAlign w:val="center"/>
            <w:hideMark/>
          </w:tcPr>
          <w:p w14:paraId="607D898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w:t>
            </w:r>
          </w:p>
        </w:tc>
        <w:tc>
          <w:tcPr>
            <w:tcW w:w="1938" w:type="pct"/>
            <w:tcBorders>
              <w:top w:val="nil"/>
              <w:left w:val="single" w:sz="8" w:space="0" w:color="000000"/>
              <w:bottom w:val="single" w:sz="8" w:space="0" w:color="000000"/>
              <w:right w:val="nil"/>
            </w:tcBorders>
            <w:vAlign w:val="center"/>
            <w:hideMark/>
          </w:tcPr>
          <w:p w14:paraId="4B127D86"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Área de Administración, Recursos Humanos y Gestión Económica</w:t>
            </w:r>
          </w:p>
        </w:tc>
        <w:tc>
          <w:tcPr>
            <w:tcW w:w="436" w:type="pct"/>
            <w:tcBorders>
              <w:top w:val="nil"/>
              <w:left w:val="single" w:sz="8" w:space="0" w:color="000000"/>
              <w:bottom w:val="single" w:sz="8" w:space="0" w:color="000000"/>
              <w:right w:val="nil"/>
            </w:tcBorders>
            <w:vAlign w:val="center"/>
            <w:hideMark/>
          </w:tcPr>
          <w:p w14:paraId="1F666A5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33" w:type="pct"/>
            <w:tcBorders>
              <w:top w:val="nil"/>
              <w:left w:val="single" w:sz="8" w:space="0" w:color="000000"/>
              <w:bottom w:val="single" w:sz="8" w:space="0" w:color="000000"/>
              <w:right w:val="nil"/>
            </w:tcBorders>
            <w:vAlign w:val="center"/>
            <w:hideMark/>
          </w:tcPr>
          <w:p w14:paraId="3709DA8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442" w:type="pct"/>
            <w:tcBorders>
              <w:top w:val="nil"/>
              <w:left w:val="single" w:sz="8" w:space="0" w:color="000000"/>
              <w:bottom w:val="single" w:sz="8" w:space="0" w:color="000000"/>
              <w:right w:val="nil"/>
            </w:tcBorders>
            <w:vAlign w:val="center"/>
            <w:hideMark/>
          </w:tcPr>
          <w:p w14:paraId="101147D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30</w:t>
            </w:r>
          </w:p>
        </w:tc>
        <w:tc>
          <w:tcPr>
            <w:tcW w:w="440" w:type="pct"/>
            <w:tcBorders>
              <w:top w:val="nil"/>
              <w:left w:val="single" w:sz="8" w:space="0" w:color="000000"/>
              <w:bottom w:val="single" w:sz="8" w:space="0" w:color="000000"/>
              <w:right w:val="nil"/>
            </w:tcBorders>
            <w:vAlign w:val="center"/>
            <w:hideMark/>
          </w:tcPr>
          <w:p w14:paraId="01FE7C19"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w:t>
            </w:r>
          </w:p>
        </w:tc>
        <w:tc>
          <w:tcPr>
            <w:tcW w:w="763" w:type="pct"/>
            <w:tcBorders>
              <w:top w:val="nil"/>
              <w:left w:val="single" w:sz="8" w:space="0" w:color="000000"/>
              <w:bottom w:val="single" w:sz="8" w:space="0" w:color="000000"/>
              <w:right w:val="single" w:sz="8" w:space="0" w:color="000000"/>
            </w:tcBorders>
            <w:vAlign w:val="center"/>
            <w:hideMark/>
          </w:tcPr>
          <w:p w14:paraId="1AEB6EE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15FF789C" w14:textId="77777777" w:rsidTr="003B28A6">
        <w:trPr>
          <w:trHeight w:val="399"/>
        </w:trPr>
        <w:tc>
          <w:tcPr>
            <w:tcW w:w="548" w:type="pct"/>
            <w:tcBorders>
              <w:top w:val="nil"/>
              <w:left w:val="single" w:sz="8" w:space="0" w:color="000000"/>
              <w:bottom w:val="single" w:sz="8" w:space="0" w:color="000000"/>
              <w:right w:val="nil"/>
            </w:tcBorders>
            <w:vAlign w:val="center"/>
            <w:hideMark/>
          </w:tcPr>
          <w:p w14:paraId="055F220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12</w:t>
            </w:r>
          </w:p>
        </w:tc>
        <w:tc>
          <w:tcPr>
            <w:tcW w:w="1938" w:type="pct"/>
            <w:tcBorders>
              <w:top w:val="nil"/>
              <w:left w:val="single" w:sz="8" w:space="0" w:color="000000"/>
              <w:bottom w:val="single" w:sz="8" w:space="0" w:color="000000"/>
              <w:right w:val="nil"/>
            </w:tcBorders>
            <w:vAlign w:val="center"/>
            <w:hideMark/>
          </w:tcPr>
          <w:p w14:paraId="2DA86A50"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Unidad de Gestión Administrativa</w:t>
            </w:r>
          </w:p>
        </w:tc>
        <w:tc>
          <w:tcPr>
            <w:tcW w:w="436" w:type="pct"/>
            <w:tcBorders>
              <w:top w:val="nil"/>
              <w:left w:val="single" w:sz="8" w:space="0" w:color="000000"/>
              <w:bottom w:val="single" w:sz="8" w:space="0" w:color="000000"/>
              <w:right w:val="nil"/>
            </w:tcBorders>
            <w:vAlign w:val="center"/>
            <w:hideMark/>
          </w:tcPr>
          <w:p w14:paraId="310352C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33" w:type="pct"/>
            <w:tcBorders>
              <w:top w:val="nil"/>
              <w:left w:val="single" w:sz="8" w:space="0" w:color="000000"/>
              <w:bottom w:val="single" w:sz="8" w:space="0" w:color="000000"/>
              <w:right w:val="nil"/>
            </w:tcBorders>
            <w:vAlign w:val="center"/>
            <w:hideMark/>
          </w:tcPr>
          <w:p w14:paraId="678AB23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A1/A2</w:t>
            </w:r>
          </w:p>
        </w:tc>
        <w:tc>
          <w:tcPr>
            <w:tcW w:w="442" w:type="pct"/>
            <w:tcBorders>
              <w:top w:val="nil"/>
              <w:left w:val="single" w:sz="8" w:space="0" w:color="000000"/>
              <w:bottom w:val="single" w:sz="8" w:space="0" w:color="000000"/>
              <w:right w:val="nil"/>
            </w:tcBorders>
            <w:vAlign w:val="center"/>
            <w:hideMark/>
          </w:tcPr>
          <w:p w14:paraId="4EE2FA3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26</w:t>
            </w:r>
          </w:p>
        </w:tc>
        <w:tc>
          <w:tcPr>
            <w:tcW w:w="440" w:type="pct"/>
            <w:tcBorders>
              <w:top w:val="nil"/>
              <w:left w:val="single" w:sz="8" w:space="0" w:color="000000"/>
              <w:bottom w:val="single" w:sz="8" w:space="0" w:color="000000"/>
              <w:right w:val="nil"/>
            </w:tcBorders>
            <w:vAlign w:val="center"/>
            <w:hideMark/>
          </w:tcPr>
          <w:p w14:paraId="74A5BF7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49</w:t>
            </w:r>
          </w:p>
        </w:tc>
        <w:tc>
          <w:tcPr>
            <w:tcW w:w="763" w:type="pct"/>
            <w:tcBorders>
              <w:top w:val="nil"/>
              <w:left w:val="single" w:sz="8" w:space="0" w:color="000000"/>
              <w:bottom w:val="single" w:sz="8" w:space="0" w:color="000000"/>
              <w:right w:val="single" w:sz="8" w:space="0" w:color="000000"/>
            </w:tcBorders>
            <w:vAlign w:val="center"/>
            <w:hideMark/>
          </w:tcPr>
          <w:p w14:paraId="15AFD80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385BFD4C" w14:textId="77777777" w:rsidTr="003B28A6">
        <w:trPr>
          <w:trHeight w:val="335"/>
        </w:trPr>
        <w:tc>
          <w:tcPr>
            <w:tcW w:w="548" w:type="pct"/>
            <w:tcBorders>
              <w:top w:val="nil"/>
              <w:left w:val="single" w:sz="8" w:space="0" w:color="000000"/>
              <w:bottom w:val="single" w:sz="8" w:space="0" w:color="000000"/>
              <w:right w:val="nil"/>
            </w:tcBorders>
            <w:vAlign w:val="center"/>
            <w:hideMark/>
          </w:tcPr>
          <w:p w14:paraId="04C2BA0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13</w:t>
            </w:r>
          </w:p>
        </w:tc>
        <w:tc>
          <w:tcPr>
            <w:tcW w:w="1938" w:type="pct"/>
            <w:tcBorders>
              <w:top w:val="nil"/>
              <w:left w:val="single" w:sz="8" w:space="0" w:color="000000"/>
              <w:bottom w:val="single" w:sz="8" w:space="0" w:color="000000"/>
              <w:right w:val="nil"/>
            </w:tcBorders>
            <w:vAlign w:val="center"/>
            <w:hideMark/>
          </w:tcPr>
          <w:p w14:paraId="3D66C78D"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Unidad de Gestión Económica</w:t>
            </w:r>
          </w:p>
        </w:tc>
        <w:tc>
          <w:tcPr>
            <w:tcW w:w="436" w:type="pct"/>
            <w:tcBorders>
              <w:top w:val="nil"/>
              <w:left w:val="single" w:sz="8" w:space="0" w:color="000000"/>
              <w:bottom w:val="single" w:sz="8" w:space="0" w:color="000000"/>
              <w:right w:val="nil"/>
            </w:tcBorders>
            <w:vAlign w:val="center"/>
            <w:hideMark/>
          </w:tcPr>
          <w:p w14:paraId="2B024A7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33" w:type="pct"/>
            <w:tcBorders>
              <w:top w:val="nil"/>
              <w:left w:val="single" w:sz="8" w:space="0" w:color="000000"/>
              <w:bottom w:val="single" w:sz="8" w:space="0" w:color="000000"/>
              <w:right w:val="nil"/>
            </w:tcBorders>
            <w:vAlign w:val="center"/>
            <w:hideMark/>
          </w:tcPr>
          <w:p w14:paraId="11F03DD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A1/A2</w:t>
            </w:r>
          </w:p>
        </w:tc>
        <w:tc>
          <w:tcPr>
            <w:tcW w:w="442" w:type="pct"/>
            <w:tcBorders>
              <w:top w:val="nil"/>
              <w:left w:val="single" w:sz="8" w:space="0" w:color="000000"/>
              <w:bottom w:val="single" w:sz="8" w:space="0" w:color="000000"/>
              <w:right w:val="nil"/>
            </w:tcBorders>
            <w:vAlign w:val="center"/>
            <w:hideMark/>
          </w:tcPr>
          <w:p w14:paraId="4881C6F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26</w:t>
            </w:r>
          </w:p>
        </w:tc>
        <w:tc>
          <w:tcPr>
            <w:tcW w:w="440" w:type="pct"/>
            <w:tcBorders>
              <w:top w:val="nil"/>
              <w:left w:val="single" w:sz="8" w:space="0" w:color="000000"/>
              <w:bottom w:val="single" w:sz="8" w:space="0" w:color="000000"/>
              <w:right w:val="nil"/>
            </w:tcBorders>
            <w:vAlign w:val="center"/>
            <w:hideMark/>
          </w:tcPr>
          <w:p w14:paraId="35BB95E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49</w:t>
            </w:r>
          </w:p>
        </w:tc>
        <w:tc>
          <w:tcPr>
            <w:tcW w:w="763" w:type="pct"/>
            <w:tcBorders>
              <w:top w:val="nil"/>
              <w:left w:val="single" w:sz="8" w:space="0" w:color="000000"/>
              <w:bottom w:val="single" w:sz="8" w:space="0" w:color="000000"/>
              <w:right w:val="single" w:sz="8" w:space="0" w:color="000000"/>
            </w:tcBorders>
            <w:vAlign w:val="center"/>
            <w:hideMark/>
          </w:tcPr>
          <w:p w14:paraId="7871948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11F87487" w14:textId="77777777" w:rsidTr="003B28A6">
        <w:trPr>
          <w:trHeight w:val="386"/>
        </w:trPr>
        <w:tc>
          <w:tcPr>
            <w:tcW w:w="548" w:type="pct"/>
            <w:tcBorders>
              <w:top w:val="nil"/>
              <w:left w:val="single" w:sz="8" w:space="0" w:color="000000"/>
              <w:bottom w:val="single" w:sz="8" w:space="0" w:color="000000"/>
              <w:right w:val="nil"/>
            </w:tcBorders>
            <w:vAlign w:val="center"/>
            <w:hideMark/>
          </w:tcPr>
          <w:p w14:paraId="3C1128FF"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23</w:t>
            </w:r>
          </w:p>
        </w:tc>
        <w:tc>
          <w:tcPr>
            <w:tcW w:w="1938" w:type="pct"/>
            <w:tcBorders>
              <w:top w:val="nil"/>
              <w:left w:val="single" w:sz="8" w:space="0" w:color="000000"/>
              <w:bottom w:val="single" w:sz="8" w:space="0" w:color="000000"/>
              <w:right w:val="nil"/>
            </w:tcBorders>
            <w:vAlign w:val="center"/>
            <w:hideMark/>
          </w:tcPr>
          <w:p w14:paraId="795E970D"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Técnico/a Superior de Gestión Administrativa</w:t>
            </w:r>
          </w:p>
        </w:tc>
        <w:tc>
          <w:tcPr>
            <w:tcW w:w="436" w:type="pct"/>
            <w:tcBorders>
              <w:top w:val="nil"/>
              <w:left w:val="single" w:sz="8" w:space="0" w:color="000000"/>
              <w:bottom w:val="single" w:sz="8" w:space="0" w:color="000000"/>
              <w:right w:val="nil"/>
            </w:tcBorders>
            <w:vAlign w:val="center"/>
            <w:hideMark/>
          </w:tcPr>
          <w:p w14:paraId="3CD5B47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33" w:type="pct"/>
            <w:tcBorders>
              <w:top w:val="nil"/>
              <w:left w:val="single" w:sz="8" w:space="0" w:color="000000"/>
              <w:bottom w:val="single" w:sz="8" w:space="0" w:color="000000"/>
              <w:right w:val="nil"/>
            </w:tcBorders>
            <w:vAlign w:val="center"/>
            <w:hideMark/>
          </w:tcPr>
          <w:p w14:paraId="6D787AD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442" w:type="pct"/>
            <w:tcBorders>
              <w:top w:val="nil"/>
              <w:left w:val="single" w:sz="8" w:space="0" w:color="000000"/>
              <w:bottom w:val="single" w:sz="8" w:space="0" w:color="000000"/>
              <w:right w:val="nil"/>
            </w:tcBorders>
            <w:vAlign w:val="center"/>
            <w:hideMark/>
          </w:tcPr>
          <w:p w14:paraId="420C720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p>
        </w:tc>
        <w:tc>
          <w:tcPr>
            <w:tcW w:w="440" w:type="pct"/>
            <w:tcBorders>
              <w:top w:val="nil"/>
              <w:left w:val="single" w:sz="8" w:space="0" w:color="000000"/>
              <w:bottom w:val="single" w:sz="8" w:space="0" w:color="000000"/>
              <w:right w:val="nil"/>
            </w:tcBorders>
            <w:vAlign w:val="center"/>
            <w:hideMark/>
          </w:tcPr>
          <w:p w14:paraId="727E4E5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48</w:t>
            </w:r>
          </w:p>
        </w:tc>
        <w:tc>
          <w:tcPr>
            <w:tcW w:w="763" w:type="pct"/>
            <w:tcBorders>
              <w:top w:val="nil"/>
              <w:left w:val="single" w:sz="8" w:space="0" w:color="000000"/>
              <w:bottom w:val="single" w:sz="8" w:space="0" w:color="000000"/>
              <w:right w:val="single" w:sz="8" w:space="0" w:color="000000"/>
            </w:tcBorders>
            <w:vAlign w:val="center"/>
            <w:hideMark/>
          </w:tcPr>
          <w:p w14:paraId="728FCEA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r w:rsidR="003B28A6" w14:paraId="17F92FC5" w14:textId="77777777" w:rsidTr="003B28A6">
        <w:trPr>
          <w:trHeight w:val="464"/>
        </w:trPr>
        <w:tc>
          <w:tcPr>
            <w:tcW w:w="548" w:type="pct"/>
            <w:tcBorders>
              <w:top w:val="nil"/>
              <w:left w:val="single" w:sz="8" w:space="0" w:color="000000"/>
              <w:bottom w:val="single" w:sz="8" w:space="0" w:color="000000"/>
              <w:right w:val="nil"/>
            </w:tcBorders>
            <w:vAlign w:val="center"/>
            <w:hideMark/>
          </w:tcPr>
          <w:p w14:paraId="039B230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26</w:t>
            </w:r>
          </w:p>
        </w:tc>
        <w:tc>
          <w:tcPr>
            <w:tcW w:w="1938" w:type="pct"/>
            <w:tcBorders>
              <w:top w:val="nil"/>
              <w:left w:val="single" w:sz="8" w:space="0" w:color="000000"/>
              <w:bottom w:val="single" w:sz="8" w:space="0" w:color="000000"/>
              <w:right w:val="nil"/>
            </w:tcBorders>
            <w:vAlign w:val="center"/>
            <w:hideMark/>
          </w:tcPr>
          <w:p w14:paraId="719AAD89"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Equipo de Gestión Económica y Contratación</w:t>
            </w:r>
          </w:p>
        </w:tc>
        <w:tc>
          <w:tcPr>
            <w:tcW w:w="436" w:type="pct"/>
            <w:tcBorders>
              <w:top w:val="nil"/>
              <w:left w:val="single" w:sz="8" w:space="0" w:color="000000"/>
              <w:bottom w:val="single" w:sz="8" w:space="0" w:color="000000"/>
              <w:right w:val="nil"/>
            </w:tcBorders>
            <w:vAlign w:val="center"/>
            <w:hideMark/>
          </w:tcPr>
          <w:p w14:paraId="5600483F"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33" w:type="pct"/>
            <w:tcBorders>
              <w:top w:val="nil"/>
              <w:left w:val="single" w:sz="8" w:space="0" w:color="000000"/>
              <w:bottom w:val="single" w:sz="8" w:space="0" w:color="000000"/>
              <w:right w:val="nil"/>
            </w:tcBorders>
            <w:vAlign w:val="center"/>
            <w:hideMark/>
          </w:tcPr>
          <w:p w14:paraId="63E06CE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C1</w:t>
            </w:r>
          </w:p>
        </w:tc>
        <w:tc>
          <w:tcPr>
            <w:tcW w:w="442" w:type="pct"/>
            <w:tcBorders>
              <w:top w:val="nil"/>
              <w:left w:val="single" w:sz="8" w:space="0" w:color="000000"/>
              <w:bottom w:val="single" w:sz="8" w:space="0" w:color="000000"/>
              <w:right w:val="nil"/>
            </w:tcBorders>
            <w:vAlign w:val="center"/>
            <w:hideMark/>
          </w:tcPr>
          <w:p w14:paraId="33BDE555"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20</w:t>
            </w:r>
          </w:p>
        </w:tc>
        <w:tc>
          <w:tcPr>
            <w:tcW w:w="440" w:type="pct"/>
            <w:tcBorders>
              <w:top w:val="nil"/>
              <w:left w:val="single" w:sz="8" w:space="0" w:color="000000"/>
              <w:bottom w:val="single" w:sz="8" w:space="0" w:color="000000"/>
              <w:right w:val="nil"/>
            </w:tcBorders>
            <w:vAlign w:val="center"/>
            <w:hideMark/>
          </w:tcPr>
          <w:p w14:paraId="1713AF7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35</w:t>
            </w:r>
          </w:p>
        </w:tc>
        <w:tc>
          <w:tcPr>
            <w:tcW w:w="763" w:type="pct"/>
            <w:tcBorders>
              <w:top w:val="nil"/>
              <w:left w:val="single" w:sz="8" w:space="0" w:color="000000"/>
              <w:bottom w:val="single" w:sz="8" w:space="0" w:color="000000"/>
              <w:right w:val="single" w:sz="8" w:space="0" w:color="000000"/>
            </w:tcBorders>
            <w:vAlign w:val="center"/>
            <w:hideMark/>
          </w:tcPr>
          <w:p w14:paraId="693E596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r w:rsidR="003B28A6" w14:paraId="1A973751" w14:textId="77777777" w:rsidTr="003B28A6">
        <w:trPr>
          <w:trHeight w:val="372"/>
        </w:trPr>
        <w:tc>
          <w:tcPr>
            <w:tcW w:w="548" w:type="pct"/>
            <w:tcBorders>
              <w:top w:val="nil"/>
              <w:left w:val="single" w:sz="8" w:space="0" w:color="000000"/>
              <w:bottom w:val="single" w:sz="8" w:space="0" w:color="000000"/>
              <w:right w:val="nil"/>
            </w:tcBorders>
            <w:vAlign w:val="center"/>
            <w:hideMark/>
          </w:tcPr>
          <w:p w14:paraId="4DAA607F"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28</w:t>
            </w:r>
          </w:p>
        </w:tc>
        <w:tc>
          <w:tcPr>
            <w:tcW w:w="1938" w:type="pct"/>
            <w:tcBorders>
              <w:top w:val="nil"/>
              <w:left w:val="single" w:sz="8" w:space="0" w:color="000000"/>
              <w:bottom w:val="single" w:sz="8" w:space="0" w:color="000000"/>
              <w:right w:val="nil"/>
            </w:tcBorders>
            <w:vAlign w:val="center"/>
            <w:hideMark/>
          </w:tcPr>
          <w:p w14:paraId="1C44D05D"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negociado de soporte administrativo y dirección</w:t>
            </w:r>
          </w:p>
        </w:tc>
        <w:tc>
          <w:tcPr>
            <w:tcW w:w="436" w:type="pct"/>
            <w:tcBorders>
              <w:top w:val="nil"/>
              <w:left w:val="single" w:sz="8" w:space="0" w:color="000000"/>
              <w:bottom w:val="single" w:sz="8" w:space="0" w:color="000000"/>
              <w:right w:val="nil"/>
            </w:tcBorders>
            <w:vAlign w:val="center"/>
            <w:hideMark/>
          </w:tcPr>
          <w:p w14:paraId="16FA4CA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33" w:type="pct"/>
            <w:tcBorders>
              <w:top w:val="nil"/>
              <w:left w:val="single" w:sz="8" w:space="0" w:color="000000"/>
              <w:bottom w:val="single" w:sz="8" w:space="0" w:color="000000"/>
              <w:right w:val="nil"/>
            </w:tcBorders>
            <w:vAlign w:val="center"/>
            <w:hideMark/>
          </w:tcPr>
          <w:p w14:paraId="1B5BD72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C1/C2</w:t>
            </w:r>
          </w:p>
        </w:tc>
        <w:tc>
          <w:tcPr>
            <w:tcW w:w="442" w:type="pct"/>
            <w:tcBorders>
              <w:top w:val="nil"/>
              <w:left w:val="single" w:sz="8" w:space="0" w:color="000000"/>
              <w:bottom w:val="single" w:sz="8" w:space="0" w:color="000000"/>
              <w:right w:val="nil"/>
            </w:tcBorders>
            <w:vAlign w:val="center"/>
            <w:hideMark/>
          </w:tcPr>
          <w:p w14:paraId="2D5A7C6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18</w:t>
            </w:r>
          </w:p>
        </w:tc>
        <w:tc>
          <w:tcPr>
            <w:tcW w:w="440" w:type="pct"/>
            <w:tcBorders>
              <w:top w:val="nil"/>
              <w:left w:val="single" w:sz="8" w:space="0" w:color="000000"/>
              <w:bottom w:val="single" w:sz="8" w:space="0" w:color="000000"/>
              <w:right w:val="nil"/>
            </w:tcBorders>
            <w:vAlign w:val="center"/>
            <w:hideMark/>
          </w:tcPr>
          <w:p w14:paraId="0363C8A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35</w:t>
            </w:r>
          </w:p>
        </w:tc>
        <w:tc>
          <w:tcPr>
            <w:tcW w:w="763" w:type="pct"/>
            <w:tcBorders>
              <w:top w:val="nil"/>
              <w:left w:val="single" w:sz="8" w:space="0" w:color="000000"/>
              <w:bottom w:val="single" w:sz="8" w:space="0" w:color="000000"/>
              <w:right w:val="single" w:sz="8" w:space="0" w:color="000000"/>
            </w:tcBorders>
            <w:vAlign w:val="center"/>
            <w:hideMark/>
          </w:tcPr>
          <w:p w14:paraId="26154F7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r w:rsidR="003B28A6" w14:paraId="2BD472B0" w14:textId="77777777" w:rsidTr="003B28A6">
        <w:trPr>
          <w:trHeight w:val="307"/>
        </w:trPr>
        <w:tc>
          <w:tcPr>
            <w:tcW w:w="548" w:type="pct"/>
            <w:tcBorders>
              <w:top w:val="nil"/>
              <w:left w:val="single" w:sz="8" w:space="0" w:color="000000"/>
              <w:bottom w:val="single" w:sz="8" w:space="0" w:color="000000"/>
              <w:right w:val="nil"/>
            </w:tcBorders>
            <w:vAlign w:val="center"/>
            <w:hideMark/>
          </w:tcPr>
          <w:p w14:paraId="3631EE2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32</w:t>
            </w:r>
          </w:p>
        </w:tc>
        <w:tc>
          <w:tcPr>
            <w:tcW w:w="1938" w:type="pct"/>
            <w:tcBorders>
              <w:top w:val="nil"/>
              <w:left w:val="single" w:sz="8" w:space="0" w:color="000000"/>
              <w:bottom w:val="single" w:sz="8" w:space="0" w:color="000000"/>
              <w:right w:val="nil"/>
            </w:tcBorders>
            <w:vAlign w:val="center"/>
            <w:hideMark/>
          </w:tcPr>
          <w:p w14:paraId="348A0BD6"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Negociado de Administración</w:t>
            </w:r>
          </w:p>
        </w:tc>
        <w:tc>
          <w:tcPr>
            <w:tcW w:w="436" w:type="pct"/>
            <w:tcBorders>
              <w:top w:val="nil"/>
              <w:left w:val="single" w:sz="8" w:space="0" w:color="000000"/>
              <w:bottom w:val="single" w:sz="8" w:space="0" w:color="000000"/>
              <w:right w:val="nil"/>
            </w:tcBorders>
            <w:vAlign w:val="center"/>
            <w:hideMark/>
          </w:tcPr>
          <w:p w14:paraId="2EF4D70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33" w:type="pct"/>
            <w:tcBorders>
              <w:top w:val="nil"/>
              <w:left w:val="single" w:sz="8" w:space="0" w:color="000000"/>
              <w:bottom w:val="single" w:sz="8" w:space="0" w:color="000000"/>
              <w:right w:val="nil"/>
            </w:tcBorders>
            <w:vAlign w:val="center"/>
            <w:hideMark/>
          </w:tcPr>
          <w:p w14:paraId="01E9E98F"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C1/C2</w:t>
            </w:r>
          </w:p>
        </w:tc>
        <w:tc>
          <w:tcPr>
            <w:tcW w:w="442" w:type="pct"/>
            <w:tcBorders>
              <w:top w:val="nil"/>
              <w:left w:val="single" w:sz="8" w:space="0" w:color="000000"/>
              <w:bottom w:val="single" w:sz="8" w:space="0" w:color="000000"/>
              <w:right w:val="nil"/>
            </w:tcBorders>
            <w:vAlign w:val="center"/>
            <w:hideMark/>
          </w:tcPr>
          <w:p w14:paraId="05B1C76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18</w:t>
            </w:r>
          </w:p>
        </w:tc>
        <w:tc>
          <w:tcPr>
            <w:tcW w:w="440" w:type="pct"/>
            <w:tcBorders>
              <w:top w:val="nil"/>
              <w:left w:val="single" w:sz="8" w:space="0" w:color="000000"/>
              <w:bottom w:val="single" w:sz="8" w:space="0" w:color="000000"/>
              <w:right w:val="nil"/>
            </w:tcBorders>
            <w:vAlign w:val="center"/>
            <w:hideMark/>
          </w:tcPr>
          <w:p w14:paraId="103B739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35</w:t>
            </w:r>
          </w:p>
        </w:tc>
        <w:tc>
          <w:tcPr>
            <w:tcW w:w="763" w:type="pct"/>
            <w:tcBorders>
              <w:top w:val="nil"/>
              <w:left w:val="single" w:sz="8" w:space="0" w:color="000000"/>
              <w:bottom w:val="single" w:sz="8" w:space="0" w:color="000000"/>
              <w:right w:val="single" w:sz="8" w:space="0" w:color="000000"/>
            </w:tcBorders>
            <w:vAlign w:val="center"/>
            <w:hideMark/>
          </w:tcPr>
          <w:p w14:paraId="53CE490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r w:rsidR="003B28A6" w14:paraId="0ACB130E" w14:textId="77777777" w:rsidTr="003B28A6">
        <w:trPr>
          <w:trHeight w:val="371"/>
        </w:trPr>
        <w:tc>
          <w:tcPr>
            <w:tcW w:w="548" w:type="pct"/>
            <w:tcBorders>
              <w:top w:val="nil"/>
              <w:left w:val="single" w:sz="8" w:space="0" w:color="000000"/>
              <w:bottom w:val="single" w:sz="8" w:space="0" w:color="000000"/>
              <w:right w:val="nil"/>
            </w:tcBorders>
            <w:vAlign w:val="center"/>
            <w:hideMark/>
          </w:tcPr>
          <w:p w14:paraId="1040A3B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47</w:t>
            </w:r>
          </w:p>
        </w:tc>
        <w:tc>
          <w:tcPr>
            <w:tcW w:w="1938" w:type="pct"/>
            <w:tcBorders>
              <w:top w:val="nil"/>
              <w:left w:val="single" w:sz="8" w:space="0" w:color="000000"/>
              <w:bottom w:val="single" w:sz="8" w:space="0" w:color="000000"/>
              <w:right w:val="nil"/>
            </w:tcBorders>
            <w:vAlign w:val="center"/>
            <w:hideMark/>
          </w:tcPr>
          <w:p w14:paraId="1AD4FB19"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Técnico/a Superior de Gestión Económica</w:t>
            </w:r>
          </w:p>
        </w:tc>
        <w:tc>
          <w:tcPr>
            <w:tcW w:w="436" w:type="pct"/>
            <w:tcBorders>
              <w:top w:val="nil"/>
              <w:left w:val="single" w:sz="8" w:space="0" w:color="000000"/>
              <w:bottom w:val="single" w:sz="8" w:space="0" w:color="000000"/>
              <w:right w:val="nil"/>
            </w:tcBorders>
            <w:vAlign w:val="center"/>
            <w:hideMark/>
          </w:tcPr>
          <w:p w14:paraId="77B1A53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33" w:type="pct"/>
            <w:tcBorders>
              <w:top w:val="nil"/>
              <w:left w:val="single" w:sz="8" w:space="0" w:color="000000"/>
              <w:bottom w:val="single" w:sz="8" w:space="0" w:color="000000"/>
              <w:right w:val="nil"/>
            </w:tcBorders>
            <w:vAlign w:val="center"/>
            <w:hideMark/>
          </w:tcPr>
          <w:p w14:paraId="751C964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442" w:type="pct"/>
            <w:tcBorders>
              <w:top w:val="nil"/>
              <w:left w:val="single" w:sz="8" w:space="0" w:color="000000"/>
              <w:bottom w:val="single" w:sz="8" w:space="0" w:color="000000"/>
              <w:right w:val="nil"/>
            </w:tcBorders>
            <w:vAlign w:val="center"/>
            <w:hideMark/>
          </w:tcPr>
          <w:p w14:paraId="64BE3DD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p>
        </w:tc>
        <w:tc>
          <w:tcPr>
            <w:tcW w:w="440" w:type="pct"/>
            <w:tcBorders>
              <w:top w:val="nil"/>
              <w:left w:val="single" w:sz="8" w:space="0" w:color="000000"/>
              <w:bottom w:val="single" w:sz="8" w:space="0" w:color="000000"/>
              <w:right w:val="nil"/>
            </w:tcBorders>
            <w:vAlign w:val="center"/>
            <w:hideMark/>
          </w:tcPr>
          <w:p w14:paraId="7158554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48</w:t>
            </w:r>
          </w:p>
        </w:tc>
        <w:tc>
          <w:tcPr>
            <w:tcW w:w="763" w:type="pct"/>
            <w:tcBorders>
              <w:top w:val="nil"/>
              <w:left w:val="single" w:sz="8" w:space="0" w:color="000000"/>
              <w:bottom w:val="single" w:sz="8" w:space="0" w:color="000000"/>
              <w:right w:val="single" w:sz="8" w:space="0" w:color="000000"/>
            </w:tcBorders>
            <w:vAlign w:val="center"/>
            <w:hideMark/>
          </w:tcPr>
          <w:p w14:paraId="64CC4049"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bl>
    <w:p w14:paraId="2BA6AE18" w14:textId="77777777" w:rsidR="003B28A6" w:rsidRDefault="003B28A6" w:rsidP="003B28A6">
      <w:pPr>
        <w:spacing w:after="240" w:line="276" w:lineRule="auto"/>
        <w:jc w:val="both"/>
        <w:rPr>
          <w:rFonts w:ascii="Arial" w:eastAsia="Droid Sans Fallback" w:hAnsi="Arial" w:cs="Arial"/>
          <w:kern w:val="3"/>
          <w:sz w:val="21"/>
          <w:szCs w:val="21"/>
          <w:lang w:eastAsia="zh-CN" w:bidi="hi-IN"/>
        </w:rPr>
      </w:pPr>
    </w:p>
    <w:tbl>
      <w:tblPr>
        <w:tblW w:w="0" w:type="auto"/>
        <w:tblCellMar>
          <w:left w:w="70" w:type="dxa"/>
          <w:right w:w="70" w:type="dxa"/>
        </w:tblCellMar>
        <w:tblLook w:val="04A0" w:firstRow="1" w:lastRow="0" w:firstColumn="1" w:lastColumn="0" w:noHBand="0" w:noVBand="1"/>
      </w:tblPr>
      <w:tblGrid>
        <w:gridCol w:w="868"/>
        <w:gridCol w:w="3608"/>
        <w:gridCol w:w="722"/>
        <w:gridCol w:w="651"/>
        <w:gridCol w:w="715"/>
        <w:gridCol w:w="710"/>
        <w:gridCol w:w="1230"/>
      </w:tblGrid>
      <w:tr w:rsidR="003B28A6" w14:paraId="04A4A6EC" w14:textId="77777777" w:rsidTr="003B28A6">
        <w:trPr>
          <w:trHeight w:val="300"/>
          <w:tblHeader/>
        </w:trPr>
        <w:tc>
          <w:tcPr>
            <w:tcW w:w="0" w:type="auto"/>
            <w:gridSpan w:val="7"/>
            <w:tcBorders>
              <w:top w:val="nil"/>
              <w:left w:val="nil"/>
              <w:bottom w:val="single" w:sz="8" w:space="0" w:color="000000"/>
              <w:right w:val="nil"/>
            </w:tcBorders>
            <w:shd w:val="clear" w:color="auto" w:fill="9D2235"/>
            <w:vAlign w:val="center"/>
            <w:hideMark/>
          </w:tcPr>
          <w:p w14:paraId="3471966D" w14:textId="77777777" w:rsidR="003B28A6" w:rsidRDefault="003B28A6">
            <w:pPr>
              <w:spacing w:after="0" w:line="240" w:lineRule="auto"/>
              <w:jc w:val="both"/>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DIRECCIÓN DE ANÁLISIS E INVESTIGACIÓN</w:t>
            </w:r>
          </w:p>
        </w:tc>
      </w:tr>
      <w:tr w:rsidR="003B28A6" w14:paraId="60503F86" w14:textId="77777777" w:rsidTr="003B28A6">
        <w:trPr>
          <w:trHeight w:val="564"/>
        </w:trPr>
        <w:tc>
          <w:tcPr>
            <w:tcW w:w="0" w:type="auto"/>
            <w:tcBorders>
              <w:top w:val="nil"/>
              <w:left w:val="single" w:sz="8" w:space="0" w:color="000000"/>
              <w:bottom w:val="single" w:sz="8" w:space="0" w:color="000000"/>
              <w:right w:val="nil"/>
            </w:tcBorders>
            <w:vAlign w:val="center"/>
            <w:hideMark/>
          </w:tcPr>
          <w:p w14:paraId="3BA45E9C"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N.º puesto</w:t>
            </w:r>
          </w:p>
        </w:tc>
        <w:tc>
          <w:tcPr>
            <w:tcW w:w="0" w:type="auto"/>
            <w:tcBorders>
              <w:top w:val="nil"/>
              <w:left w:val="single" w:sz="8" w:space="0" w:color="000000"/>
              <w:bottom w:val="single" w:sz="8" w:space="0" w:color="000000"/>
              <w:right w:val="nil"/>
            </w:tcBorders>
            <w:vAlign w:val="center"/>
            <w:hideMark/>
          </w:tcPr>
          <w:p w14:paraId="2BCE6D53"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Denominación</w:t>
            </w:r>
          </w:p>
        </w:tc>
        <w:tc>
          <w:tcPr>
            <w:tcW w:w="0" w:type="auto"/>
            <w:tcBorders>
              <w:top w:val="nil"/>
              <w:left w:val="single" w:sz="8" w:space="0" w:color="000000"/>
              <w:bottom w:val="single" w:sz="8" w:space="0" w:color="000000"/>
              <w:right w:val="nil"/>
            </w:tcBorders>
            <w:vAlign w:val="center"/>
            <w:hideMark/>
          </w:tcPr>
          <w:p w14:paraId="2944DD26"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Rég. Jco.</w:t>
            </w:r>
          </w:p>
        </w:tc>
        <w:tc>
          <w:tcPr>
            <w:tcW w:w="0" w:type="auto"/>
            <w:tcBorders>
              <w:top w:val="nil"/>
              <w:left w:val="single" w:sz="8" w:space="0" w:color="000000"/>
              <w:bottom w:val="single" w:sz="8" w:space="0" w:color="000000"/>
              <w:right w:val="nil"/>
            </w:tcBorders>
            <w:vAlign w:val="center"/>
            <w:hideMark/>
          </w:tcPr>
          <w:p w14:paraId="51E4C608"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Gr.</w:t>
            </w:r>
          </w:p>
        </w:tc>
        <w:tc>
          <w:tcPr>
            <w:tcW w:w="0" w:type="auto"/>
            <w:tcBorders>
              <w:top w:val="nil"/>
              <w:left w:val="single" w:sz="8" w:space="0" w:color="000000"/>
              <w:bottom w:val="single" w:sz="8" w:space="0" w:color="000000"/>
              <w:right w:val="nil"/>
            </w:tcBorders>
            <w:vAlign w:val="center"/>
            <w:hideMark/>
          </w:tcPr>
          <w:p w14:paraId="508E08D5"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Nivel CD</w:t>
            </w:r>
          </w:p>
        </w:tc>
        <w:tc>
          <w:tcPr>
            <w:tcW w:w="0" w:type="auto"/>
            <w:tcBorders>
              <w:top w:val="nil"/>
              <w:left w:val="single" w:sz="8" w:space="0" w:color="000000"/>
              <w:bottom w:val="single" w:sz="8" w:space="0" w:color="000000"/>
              <w:right w:val="nil"/>
            </w:tcBorders>
            <w:vAlign w:val="center"/>
            <w:hideMark/>
          </w:tcPr>
          <w:p w14:paraId="73F5AABE"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Nivel CE</w:t>
            </w:r>
          </w:p>
        </w:tc>
        <w:tc>
          <w:tcPr>
            <w:tcW w:w="0" w:type="auto"/>
            <w:tcBorders>
              <w:top w:val="nil"/>
              <w:left w:val="single" w:sz="8" w:space="0" w:color="000000"/>
              <w:bottom w:val="single" w:sz="8" w:space="0" w:color="000000"/>
              <w:right w:val="single" w:sz="8" w:space="0" w:color="000000"/>
            </w:tcBorders>
            <w:vAlign w:val="center"/>
            <w:hideMark/>
          </w:tcPr>
          <w:p w14:paraId="32A43349"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Forma provisión</w:t>
            </w:r>
          </w:p>
        </w:tc>
      </w:tr>
      <w:tr w:rsidR="003B28A6" w14:paraId="01F2A2DC" w14:textId="77777777" w:rsidTr="003B28A6">
        <w:trPr>
          <w:trHeight w:val="60"/>
        </w:trPr>
        <w:tc>
          <w:tcPr>
            <w:tcW w:w="0" w:type="auto"/>
            <w:tcBorders>
              <w:top w:val="nil"/>
              <w:left w:val="single" w:sz="8" w:space="0" w:color="000000"/>
              <w:bottom w:val="single" w:sz="8" w:space="0" w:color="000000"/>
              <w:right w:val="nil"/>
            </w:tcBorders>
            <w:vAlign w:val="center"/>
            <w:hideMark/>
          </w:tcPr>
          <w:p w14:paraId="01A1E6E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w:t>
            </w:r>
          </w:p>
        </w:tc>
        <w:tc>
          <w:tcPr>
            <w:tcW w:w="0" w:type="auto"/>
            <w:tcBorders>
              <w:top w:val="nil"/>
              <w:left w:val="single" w:sz="8" w:space="0" w:color="000000"/>
              <w:bottom w:val="single" w:sz="8" w:space="0" w:color="000000"/>
              <w:right w:val="nil"/>
            </w:tcBorders>
            <w:vAlign w:val="center"/>
            <w:hideMark/>
          </w:tcPr>
          <w:p w14:paraId="3B22E822"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Director/a de Análisis e Investigación</w:t>
            </w:r>
          </w:p>
        </w:tc>
        <w:tc>
          <w:tcPr>
            <w:tcW w:w="0" w:type="auto"/>
            <w:tcBorders>
              <w:top w:val="nil"/>
              <w:left w:val="single" w:sz="8" w:space="0" w:color="000000"/>
              <w:bottom w:val="single" w:sz="8" w:space="0" w:color="000000"/>
              <w:right w:val="nil"/>
            </w:tcBorders>
            <w:vAlign w:val="center"/>
            <w:hideMark/>
          </w:tcPr>
          <w:p w14:paraId="4530222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629A907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0" w:type="auto"/>
            <w:tcBorders>
              <w:top w:val="nil"/>
              <w:left w:val="single" w:sz="8" w:space="0" w:color="000000"/>
              <w:bottom w:val="single" w:sz="8" w:space="0" w:color="000000"/>
              <w:right w:val="nil"/>
            </w:tcBorders>
            <w:vAlign w:val="center"/>
            <w:hideMark/>
          </w:tcPr>
          <w:p w14:paraId="5EA46FA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30</w:t>
            </w:r>
          </w:p>
        </w:tc>
        <w:tc>
          <w:tcPr>
            <w:tcW w:w="0" w:type="auto"/>
            <w:tcBorders>
              <w:top w:val="nil"/>
              <w:left w:val="single" w:sz="8" w:space="0" w:color="000000"/>
              <w:bottom w:val="single" w:sz="8" w:space="0" w:color="000000"/>
              <w:right w:val="nil"/>
            </w:tcBorders>
            <w:vAlign w:val="center"/>
            <w:hideMark/>
          </w:tcPr>
          <w:p w14:paraId="655C5EB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w:t>
            </w:r>
          </w:p>
        </w:tc>
        <w:tc>
          <w:tcPr>
            <w:tcW w:w="0" w:type="auto"/>
            <w:tcBorders>
              <w:top w:val="nil"/>
              <w:left w:val="single" w:sz="8" w:space="0" w:color="000000"/>
              <w:bottom w:val="single" w:sz="8" w:space="0" w:color="000000"/>
              <w:right w:val="single" w:sz="8" w:space="0" w:color="000000"/>
            </w:tcBorders>
            <w:vAlign w:val="center"/>
            <w:hideMark/>
          </w:tcPr>
          <w:p w14:paraId="23AB6948" w14:textId="77777777" w:rsidR="003B28A6" w:rsidRDefault="003B28A6">
            <w:pPr>
              <w:spacing w:after="0" w:line="240" w:lineRule="auto"/>
              <w:jc w:val="center"/>
              <w:rPr>
                <w:rFonts w:ascii="Arial" w:eastAsia="Times New Roman" w:hAnsi="Arial" w:cs="Arial"/>
                <w:color w:val="000000"/>
                <w:sz w:val="18"/>
                <w:szCs w:val="18"/>
                <w:lang w:eastAsia="es-ES"/>
              </w:rPr>
            </w:pPr>
            <w:bookmarkStart w:id="301" w:name="RANGE!G21"/>
            <w:r>
              <w:rPr>
                <w:rFonts w:ascii="Arial" w:eastAsia="Times New Roman" w:hAnsi="Arial" w:cs="Arial"/>
                <w:color w:val="000000"/>
                <w:sz w:val="18"/>
                <w:szCs w:val="18"/>
                <w:lang w:eastAsia="es-ES"/>
              </w:rPr>
              <w:t>LD-AP</w:t>
            </w:r>
            <w:bookmarkEnd w:id="301"/>
          </w:p>
        </w:tc>
      </w:tr>
      <w:tr w:rsidR="003B28A6" w14:paraId="24E6AA21" w14:textId="77777777" w:rsidTr="003B28A6">
        <w:trPr>
          <w:trHeight w:val="60"/>
        </w:trPr>
        <w:tc>
          <w:tcPr>
            <w:tcW w:w="0" w:type="auto"/>
            <w:tcBorders>
              <w:top w:val="nil"/>
              <w:left w:val="single" w:sz="8" w:space="0" w:color="000000"/>
              <w:bottom w:val="single" w:sz="8" w:space="0" w:color="000000"/>
              <w:right w:val="nil"/>
            </w:tcBorders>
            <w:vAlign w:val="center"/>
            <w:hideMark/>
          </w:tcPr>
          <w:p w14:paraId="545E922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w:t>
            </w:r>
          </w:p>
        </w:tc>
        <w:tc>
          <w:tcPr>
            <w:tcW w:w="0" w:type="auto"/>
            <w:tcBorders>
              <w:top w:val="nil"/>
              <w:left w:val="single" w:sz="8" w:space="0" w:color="000000"/>
              <w:bottom w:val="single" w:sz="8" w:space="0" w:color="000000"/>
              <w:right w:val="nil"/>
            </w:tcBorders>
            <w:vAlign w:val="center"/>
            <w:hideMark/>
          </w:tcPr>
          <w:p w14:paraId="4B1915BE"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Servicio de Análisis e Investigación I</w:t>
            </w:r>
          </w:p>
        </w:tc>
        <w:tc>
          <w:tcPr>
            <w:tcW w:w="0" w:type="auto"/>
            <w:tcBorders>
              <w:top w:val="nil"/>
              <w:left w:val="single" w:sz="8" w:space="0" w:color="000000"/>
              <w:bottom w:val="single" w:sz="8" w:space="0" w:color="000000"/>
              <w:right w:val="nil"/>
            </w:tcBorders>
            <w:vAlign w:val="center"/>
            <w:hideMark/>
          </w:tcPr>
          <w:p w14:paraId="1C64006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436F415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0" w:type="auto"/>
            <w:tcBorders>
              <w:top w:val="nil"/>
              <w:left w:val="single" w:sz="8" w:space="0" w:color="000000"/>
              <w:bottom w:val="single" w:sz="8" w:space="0" w:color="000000"/>
              <w:right w:val="nil"/>
            </w:tcBorders>
            <w:vAlign w:val="center"/>
            <w:hideMark/>
          </w:tcPr>
          <w:p w14:paraId="1E2B422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28</w:t>
            </w:r>
          </w:p>
        </w:tc>
        <w:tc>
          <w:tcPr>
            <w:tcW w:w="0" w:type="auto"/>
            <w:tcBorders>
              <w:top w:val="nil"/>
              <w:left w:val="single" w:sz="8" w:space="0" w:color="000000"/>
              <w:bottom w:val="single" w:sz="8" w:space="0" w:color="000000"/>
              <w:right w:val="nil"/>
            </w:tcBorders>
            <w:vAlign w:val="center"/>
            <w:hideMark/>
          </w:tcPr>
          <w:p w14:paraId="7C94F8C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w:t>
            </w:r>
          </w:p>
        </w:tc>
        <w:tc>
          <w:tcPr>
            <w:tcW w:w="0" w:type="auto"/>
            <w:tcBorders>
              <w:top w:val="nil"/>
              <w:left w:val="single" w:sz="8" w:space="0" w:color="000000"/>
              <w:bottom w:val="single" w:sz="8" w:space="0" w:color="000000"/>
              <w:right w:val="single" w:sz="8" w:space="0" w:color="000000"/>
            </w:tcBorders>
            <w:vAlign w:val="center"/>
            <w:hideMark/>
          </w:tcPr>
          <w:p w14:paraId="7A18CFB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09EF8BEC" w14:textId="77777777" w:rsidTr="003B28A6">
        <w:trPr>
          <w:trHeight w:val="196"/>
        </w:trPr>
        <w:tc>
          <w:tcPr>
            <w:tcW w:w="0" w:type="auto"/>
            <w:tcBorders>
              <w:top w:val="nil"/>
              <w:left w:val="single" w:sz="8" w:space="0" w:color="000000"/>
              <w:bottom w:val="single" w:sz="8" w:space="0" w:color="000000"/>
              <w:right w:val="nil"/>
            </w:tcBorders>
            <w:vAlign w:val="center"/>
            <w:hideMark/>
          </w:tcPr>
          <w:p w14:paraId="4019827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7</w:t>
            </w:r>
          </w:p>
        </w:tc>
        <w:tc>
          <w:tcPr>
            <w:tcW w:w="0" w:type="auto"/>
            <w:tcBorders>
              <w:top w:val="nil"/>
              <w:left w:val="single" w:sz="8" w:space="0" w:color="000000"/>
              <w:bottom w:val="single" w:sz="8" w:space="0" w:color="000000"/>
              <w:right w:val="nil"/>
            </w:tcBorders>
            <w:vAlign w:val="center"/>
            <w:hideMark/>
          </w:tcPr>
          <w:p w14:paraId="2DADE359"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 de Servicio de Apoyo y Pericia</w:t>
            </w:r>
          </w:p>
        </w:tc>
        <w:tc>
          <w:tcPr>
            <w:tcW w:w="0" w:type="auto"/>
            <w:tcBorders>
              <w:top w:val="nil"/>
              <w:left w:val="single" w:sz="8" w:space="0" w:color="000000"/>
              <w:bottom w:val="single" w:sz="8" w:space="0" w:color="000000"/>
              <w:right w:val="nil"/>
            </w:tcBorders>
            <w:vAlign w:val="center"/>
            <w:hideMark/>
          </w:tcPr>
          <w:p w14:paraId="02F78CF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6DE701E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0" w:type="auto"/>
            <w:tcBorders>
              <w:top w:val="nil"/>
              <w:left w:val="single" w:sz="8" w:space="0" w:color="000000"/>
              <w:bottom w:val="single" w:sz="8" w:space="0" w:color="000000"/>
              <w:right w:val="nil"/>
            </w:tcBorders>
            <w:vAlign w:val="center"/>
            <w:hideMark/>
          </w:tcPr>
          <w:p w14:paraId="524184B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28</w:t>
            </w:r>
          </w:p>
        </w:tc>
        <w:tc>
          <w:tcPr>
            <w:tcW w:w="0" w:type="auto"/>
            <w:tcBorders>
              <w:top w:val="nil"/>
              <w:left w:val="single" w:sz="8" w:space="0" w:color="000000"/>
              <w:bottom w:val="single" w:sz="8" w:space="0" w:color="000000"/>
              <w:right w:val="nil"/>
            </w:tcBorders>
            <w:vAlign w:val="center"/>
            <w:hideMark/>
          </w:tcPr>
          <w:p w14:paraId="368C4F7F"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w:t>
            </w:r>
          </w:p>
        </w:tc>
        <w:tc>
          <w:tcPr>
            <w:tcW w:w="0" w:type="auto"/>
            <w:tcBorders>
              <w:top w:val="nil"/>
              <w:left w:val="single" w:sz="8" w:space="0" w:color="000000"/>
              <w:bottom w:val="single" w:sz="8" w:space="0" w:color="000000"/>
              <w:right w:val="single" w:sz="8" w:space="0" w:color="000000"/>
            </w:tcBorders>
            <w:vAlign w:val="center"/>
            <w:hideMark/>
          </w:tcPr>
          <w:p w14:paraId="3FD282C5"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23006B39" w14:textId="77777777" w:rsidTr="003B28A6">
        <w:trPr>
          <w:trHeight w:val="621"/>
        </w:trPr>
        <w:tc>
          <w:tcPr>
            <w:tcW w:w="0" w:type="auto"/>
            <w:tcBorders>
              <w:top w:val="nil"/>
              <w:left w:val="single" w:sz="8" w:space="0" w:color="000000"/>
              <w:bottom w:val="single" w:sz="8" w:space="0" w:color="000000"/>
              <w:right w:val="nil"/>
            </w:tcBorders>
            <w:vAlign w:val="center"/>
            <w:hideMark/>
          </w:tcPr>
          <w:p w14:paraId="45D793B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w:t>
            </w:r>
          </w:p>
        </w:tc>
        <w:tc>
          <w:tcPr>
            <w:tcW w:w="0" w:type="auto"/>
            <w:tcBorders>
              <w:top w:val="nil"/>
              <w:left w:val="single" w:sz="8" w:space="0" w:color="000000"/>
              <w:bottom w:val="single" w:sz="8" w:space="0" w:color="000000"/>
              <w:right w:val="nil"/>
            </w:tcBorders>
            <w:vAlign w:val="center"/>
            <w:hideMark/>
          </w:tcPr>
          <w:p w14:paraId="7A4B5335"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Servicio de Análisis e Investigación II</w:t>
            </w:r>
          </w:p>
        </w:tc>
        <w:tc>
          <w:tcPr>
            <w:tcW w:w="0" w:type="auto"/>
            <w:tcBorders>
              <w:top w:val="nil"/>
              <w:left w:val="single" w:sz="8" w:space="0" w:color="000000"/>
              <w:bottom w:val="single" w:sz="8" w:space="0" w:color="000000"/>
              <w:right w:val="nil"/>
            </w:tcBorders>
            <w:vAlign w:val="center"/>
            <w:hideMark/>
          </w:tcPr>
          <w:p w14:paraId="36C4162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1B91F63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0" w:type="auto"/>
            <w:tcBorders>
              <w:top w:val="nil"/>
              <w:left w:val="single" w:sz="8" w:space="0" w:color="000000"/>
              <w:bottom w:val="single" w:sz="8" w:space="0" w:color="000000"/>
              <w:right w:val="nil"/>
            </w:tcBorders>
            <w:vAlign w:val="center"/>
            <w:hideMark/>
          </w:tcPr>
          <w:p w14:paraId="499E4F2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28</w:t>
            </w:r>
          </w:p>
        </w:tc>
        <w:tc>
          <w:tcPr>
            <w:tcW w:w="0" w:type="auto"/>
            <w:tcBorders>
              <w:top w:val="nil"/>
              <w:left w:val="single" w:sz="8" w:space="0" w:color="000000"/>
              <w:bottom w:val="single" w:sz="8" w:space="0" w:color="000000"/>
              <w:right w:val="nil"/>
            </w:tcBorders>
            <w:vAlign w:val="center"/>
            <w:hideMark/>
          </w:tcPr>
          <w:p w14:paraId="594E6799"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w:t>
            </w:r>
          </w:p>
        </w:tc>
        <w:tc>
          <w:tcPr>
            <w:tcW w:w="0" w:type="auto"/>
            <w:tcBorders>
              <w:top w:val="nil"/>
              <w:left w:val="single" w:sz="8" w:space="0" w:color="000000"/>
              <w:bottom w:val="single" w:sz="8" w:space="0" w:color="000000"/>
              <w:right w:val="single" w:sz="8" w:space="0" w:color="000000"/>
            </w:tcBorders>
            <w:vAlign w:val="center"/>
            <w:hideMark/>
          </w:tcPr>
          <w:p w14:paraId="2FE944C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3E7797AB" w14:textId="77777777" w:rsidTr="003B28A6">
        <w:trPr>
          <w:trHeight w:val="493"/>
        </w:trPr>
        <w:tc>
          <w:tcPr>
            <w:tcW w:w="0" w:type="auto"/>
            <w:tcBorders>
              <w:top w:val="nil"/>
              <w:left w:val="single" w:sz="8" w:space="0" w:color="000000"/>
              <w:bottom w:val="single" w:sz="8" w:space="0" w:color="000000"/>
              <w:right w:val="nil"/>
            </w:tcBorders>
            <w:vAlign w:val="center"/>
            <w:hideMark/>
          </w:tcPr>
          <w:p w14:paraId="621E36E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9</w:t>
            </w:r>
          </w:p>
        </w:tc>
        <w:tc>
          <w:tcPr>
            <w:tcW w:w="0" w:type="auto"/>
            <w:tcBorders>
              <w:top w:val="nil"/>
              <w:left w:val="single" w:sz="8" w:space="0" w:color="000000"/>
              <w:bottom w:val="single" w:sz="8" w:space="0" w:color="000000"/>
              <w:right w:val="nil"/>
            </w:tcBorders>
            <w:vAlign w:val="center"/>
            <w:hideMark/>
          </w:tcPr>
          <w:p w14:paraId="3C2C5963"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Servicio de Sistemas de Información</w:t>
            </w:r>
          </w:p>
        </w:tc>
        <w:tc>
          <w:tcPr>
            <w:tcW w:w="0" w:type="auto"/>
            <w:tcBorders>
              <w:top w:val="nil"/>
              <w:left w:val="single" w:sz="8" w:space="0" w:color="000000"/>
              <w:bottom w:val="single" w:sz="8" w:space="0" w:color="000000"/>
              <w:right w:val="nil"/>
            </w:tcBorders>
            <w:vAlign w:val="center"/>
            <w:hideMark/>
          </w:tcPr>
          <w:p w14:paraId="0C6E0A4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748CFB1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0" w:type="auto"/>
            <w:tcBorders>
              <w:top w:val="nil"/>
              <w:left w:val="single" w:sz="8" w:space="0" w:color="000000"/>
              <w:bottom w:val="single" w:sz="8" w:space="0" w:color="000000"/>
              <w:right w:val="nil"/>
            </w:tcBorders>
            <w:vAlign w:val="center"/>
            <w:hideMark/>
          </w:tcPr>
          <w:p w14:paraId="5F889AA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28</w:t>
            </w:r>
          </w:p>
        </w:tc>
        <w:tc>
          <w:tcPr>
            <w:tcW w:w="0" w:type="auto"/>
            <w:tcBorders>
              <w:top w:val="nil"/>
              <w:left w:val="single" w:sz="8" w:space="0" w:color="000000"/>
              <w:bottom w:val="single" w:sz="8" w:space="0" w:color="000000"/>
              <w:right w:val="nil"/>
            </w:tcBorders>
            <w:vAlign w:val="center"/>
            <w:hideMark/>
          </w:tcPr>
          <w:p w14:paraId="16A1229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w:t>
            </w:r>
          </w:p>
        </w:tc>
        <w:tc>
          <w:tcPr>
            <w:tcW w:w="0" w:type="auto"/>
            <w:tcBorders>
              <w:top w:val="nil"/>
              <w:left w:val="single" w:sz="8" w:space="0" w:color="000000"/>
              <w:bottom w:val="single" w:sz="8" w:space="0" w:color="000000"/>
              <w:right w:val="single" w:sz="8" w:space="0" w:color="000000"/>
            </w:tcBorders>
            <w:vAlign w:val="center"/>
            <w:hideMark/>
          </w:tcPr>
          <w:p w14:paraId="3EB8468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200FADBD" w14:textId="77777777" w:rsidTr="003B28A6">
        <w:trPr>
          <w:trHeight w:val="635"/>
        </w:trPr>
        <w:tc>
          <w:tcPr>
            <w:tcW w:w="0" w:type="auto"/>
            <w:tcBorders>
              <w:top w:val="nil"/>
              <w:left w:val="single" w:sz="8" w:space="0" w:color="000000"/>
              <w:bottom w:val="single" w:sz="8" w:space="0" w:color="000000"/>
              <w:right w:val="nil"/>
            </w:tcBorders>
            <w:vAlign w:val="center"/>
            <w:hideMark/>
          </w:tcPr>
          <w:p w14:paraId="0D024C0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14</w:t>
            </w:r>
          </w:p>
        </w:tc>
        <w:tc>
          <w:tcPr>
            <w:tcW w:w="0" w:type="auto"/>
            <w:tcBorders>
              <w:top w:val="nil"/>
              <w:left w:val="single" w:sz="8" w:space="0" w:color="000000"/>
              <w:bottom w:val="single" w:sz="8" w:space="0" w:color="000000"/>
              <w:right w:val="nil"/>
            </w:tcBorders>
            <w:vAlign w:val="center"/>
            <w:hideMark/>
          </w:tcPr>
          <w:p w14:paraId="2C2C226E"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Unidad de Análisis e Investigación I</w:t>
            </w:r>
          </w:p>
        </w:tc>
        <w:tc>
          <w:tcPr>
            <w:tcW w:w="0" w:type="auto"/>
            <w:tcBorders>
              <w:top w:val="nil"/>
              <w:left w:val="single" w:sz="8" w:space="0" w:color="000000"/>
              <w:bottom w:val="single" w:sz="8" w:space="0" w:color="000000"/>
              <w:right w:val="nil"/>
            </w:tcBorders>
            <w:vAlign w:val="center"/>
            <w:hideMark/>
          </w:tcPr>
          <w:p w14:paraId="3431A709"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6FE1CC4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A1/A2</w:t>
            </w:r>
          </w:p>
        </w:tc>
        <w:tc>
          <w:tcPr>
            <w:tcW w:w="0" w:type="auto"/>
            <w:tcBorders>
              <w:top w:val="nil"/>
              <w:left w:val="single" w:sz="8" w:space="0" w:color="000000"/>
              <w:bottom w:val="single" w:sz="8" w:space="0" w:color="000000"/>
              <w:right w:val="nil"/>
            </w:tcBorders>
            <w:vAlign w:val="center"/>
            <w:hideMark/>
          </w:tcPr>
          <w:p w14:paraId="446688A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26</w:t>
            </w:r>
          </w:p>
        </w:tc>
        <w:tc>
          <w:tcPr>
            <w:tcW w:w="0" w:type="auto"/>
            <w:tcBorders>
              <w:top w:val="nil"/>
              <w:left w:val="single" w:sz="8" w:space="0" w:color="000000"/>
              <w:bottom w:val="single" w:sz="8" w:space="0" w:color="000000"/>
              <w:right w:val="nil"/>
            </w:tcBorders>
            <w:vAlign w:val="center"/>
            <w:hideMark/>
          </w:tcPr>
          <w:p w14:paraId="2C942AE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49</w:t>
            </w:r>
          </w:p>
        </w:tc>
        <w:tc>
          <w:tcPr>
            <w:tcW w:w="0" w:type="auto"/>
            <w:tcBorders>
              <w:top w:val="nil"/>
              <w:left w:val="single" w:sz="8" w:space="0" w:color="000000"/>
              <w:bottom w:val="single" w:sz="8" w:space="0" w:color="000000"/>
              <w:right w:val="single" w:sz="8" w:space="0" w:color="000000"/>
            </w:tcBorders>
            <w:vAlign w:val="center"/>
            <w:hideMark/>
          </w:tcPr>
          <w:p w14:paraId="4B3DE1E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1F9462F3" w14:textId="77777777" w:rsidTr="003B28A6">
        <w:trPr>
          <w:trHeight w:val="619"/>
        </w:trPr>
        <w:tc>
          <w:tcPr>
            <w:tcW w:w="0" w:type="auto"/>
            <w:tcBorders>
              <w:top w:val="nil"/>
              <w:left w:val="single" w:sz="8" w:space="0" w:color="000000"/>
              <w:bottom w:val="single" w:sz="8" w:space="0" w:color="000000"/>
              <w:right w:val="nil"/>
            </w:tcBorders>
            <w:vAlign w:val="center"/>
            <w:hideMark/>
          </w:tcPr>
          <w:p w14:paraId="1488F13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15</w:t>
            </w:r>
          </w:p>
        </w:tc>
        <w:tc>
          <w:tcPr>
            <w:tcW w:w="0" w:type="auto"/>
            <w:tcBorders>
              <w:top w:val="nil"/>
              <w:left w:val="single" w:sz="8" w:space="0" w:color="000000"/>
              <w:bottom w:val="single" w:sz="8" w:space="0" w:color="000000"/>
              <w:right w:val="nil"/>
            </w:tcBorders>
            <w:vAlign w:val="center"/>
            <w:hideMark/>
          </w:tcPr>
          <w:p w14:paraId="6499D438"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Unidad de Análisis e Investigación II</w:t>
            </w:r>
          </w:p>
        </w:tc>
        <w:tc>
          <w:tcPr>
            <w:tcW w:w="0" w:type="auto"/>
            <w:tcBorders>
              <w:top w:val="nil"/>
              <w:left w:val="single" w:sz="8" w:space="0" w:color="000000"/>
              <w:bottom w:val="single" w:sz="8" w:space="0" w:color="000000"/>
              <w:right w:val="nil"/>
            </w:tcBorders>
            <w:vAlign w:val="center"/>
            <w:hideMark/>
          </w:tcPr>
          <w:p w14:paraId="7C6F460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53DD702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A1/A2</w:t>
            </w:r>
          </w:p>
        </w:tc>
        <w:tc>
          <w:tcPr>
            <w:tcW w:w="0" w:type="auto"/>
            <w:tcBorders>
              <w:top w:val="nil"/>
              <w:left w:val="single" w:sz="8" w:space="0" w:color="000000"/>
              <w:bottom w:val="single" w:sz="8" w:space="0" w:color="000000"/>
              <w:right w:val="nil"/>
            </w:tcBorders>
            <w:vAlign w:val="center"/>
            <w:hideMark/>
          </w:tcPr>
          <w:p w14:paraId="71244F4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26</w:t>
            </w:r>
          </w:p>
        </w:tc>
        <w:tc>
          <w:tcPr>
            <w:tcW w:w="0" w:type="auto"/>
            <w:tcBorders>
              <w:top w:val="nil"/>
              <w:left w:val="single" w:sz="8" w:space="0" w:color="000000"/>
              <w:bottom w:val="single" w:sz="8" w:space="0" w:color="000000"/>
              <w:right w:val="nil"/>
            </w:tcBorders>
            <w:vAlign w:val="center"/>
            <w:hideMark/>
          </w:tcPr>
          <w:p w14:paraId="190218B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49</w:t>
            </w:r>
          </w:p>
        </w:tc>
        <w:tc>
          <w:tcPr>
            <w:tcW w:w="0" w:type="auto"/>
            <w:tcBorders>
              <w:top w:val="nil"/>
              <w:left w:val="single" w:sz="8" w:space="0" w:color="000000"/>
              <w:bottom w:val="single" w:sz="8" w:space="0" w:color="000000"/>
              <w:right w:val="single" w:sz="8" w:space="0" w:color="000000"/>
            </w:tcBorders>
            <w:vAlign w:val="center"/>
            <w:hideMark/>
          </w:tcPr>
          <w:p w14:paraId="007B91C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59E1F9E7" w14:textId="77777777" w:rsidTr="003B28A6">
        <w:trPr>
          <w:trHeight w:val="543"/>
        </w:trPr>
        <w:tc>
          <w:tcPr>
            <w:tcW w:w="0" w:type="auto"/>
            <w:tcBorders>
              <w:top w:val="nil"/>
              <w:left w:val="single" w:sz="8" w:space="0" w:color="000000"/>
              <w:bottom w:val="single" w:sz="8" w:space="0" w:color="000000"/>
              <w:right w:val="nil"/>
            </w:tcBorders>
            <w:vAlign w:val="center"/>
            <w:hideMark/>
          </w:tcPr>
          <w:p w14:paraId="1AA4CE1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16</w:t>
            </w:r>
          </w:p>
        </w:tc>
        <w:tc>
          <w:tcPr>
            <w:tcW w:w="0" w:type="auto"/>
            <w:tcBorders>
              <w:top w:val="nil"/>
              <w:left w:val="single" w:sz="8" w:space="0" w:color="000000"/>
              <w:bottom w:val="single" w:sz="8" w:space="0" w:color="000000"/>
              <w:right w:val="nil"/>
            </w:tcBorders>
            <w:vAlign w:val="center"/>
            <w:hideMark/>
          </w:tcPr>
          <w:p w14:paraId="3F82DDBF"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Unidad de Análisis e Investigación III</w:t>
            </w:r>
          </w:p>
        </w:tc>
        <w:tc>
          <w:tcPr>
            <w:tcW w:w="0" w:type="auto"/>
            <w:tcBorders>
              <w:top w:val="nil"/>
              <w:left w:val="single" w:sz="8" w:space="0" w:color="000000"/>
              <w:bottom w:val="single" w:sz="8" w:space="0" w:color="000000"/>
              <w:right w:val="nil"/>
            </w:tcBorders>
            <w:vAlign w:val="center"/>
            <w:hideMark/>
          </w:tcPr>
          <w:p w14:paraId="1A81CFF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0114750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A1/A2</w:t>
            </w:r>
          </w:p>
        </w:tc>
        <w:tc>
          <w:tcPr>
            <w:tcW w:w="0" w:type="auto"/>
            <w:tcBorders>
              <w:top w:val="nil"/>
              <w:left w:val="single" w:sz="8" w:space="0" w:color="000000"/>
              <w:bottom w:val="single" w:sz="8" w:space="0" w:color="000000"/>
              <w:right w:val="nil"/>
            </w:tcBorders>
            <w:vAlign w:val="center"/>
            <w:hideMark/>
          </w:tcPr>
          <w:p w14:paraId="08DB354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26</w:t>
            </w:r>
          </w:p>
        </w:tc>
        <w:tc>
          <w:tcPr>
            <w:tcW w:w="0" w:type="auto"/>
            <w:tcBorders>
              <w:top w:val="nil"/>
              <w:left w:val="single" w:sz="8" w:space="0" w:color="000000"/>
              <w:bottom w:val="single" w:sz="8" w:space="0" w:color="000000"/>
              <w:right w:val="nil"/>
            </w:tcBorders>
            <w:vAlign w:val="center"/>
            <w:hideMark/>
          </w:tcPr>
          <w:p w14:paraId="5C9808E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49</w:t>
            </w:r>
          </w:p>
        </w:tc>
        <w:tc>
          <w:tcPr>
            <w:tcW w:w="0" w:type="auto"/>
            <w:tcBorders>
              <w:top w:val="nil"/>
              <w:left w:val="single" w:sz="8" w:space="0" w:color="000000"/>
              <w:bottom w:val="single" w:sz="8" w:space="0" w:color="000000"/>
              <w:right w:val="single" w:sz="8" w:space="0" w:color="000000"/>
            </w:tcBorders>
            <w:vAlign w:val="center"/>
            <w:hideMark/>
          </w:tcPr>
          <w:p w14:paraId="4F99C9D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6B435C3E" w14:textId="77777777" w:rsidTr="003B28A6">
        <w:trPr>
          <w:trHeight w:val="409"/>
        </w:trPr>
        <w:tc>
          <w:tcPr>
            <w:tcW w:w="0" w:type="auto"/>
            <w:tcBorders>
              <w:top w:val="nil"/>
              <w:left w:val="single" w:sz="8" w:space="0" w:color="000000"/>
              <w:bottom w:val="single" w:sz="8" w:space="0" w:color="000000"/>
              <w:right w:val="nil"/>
            </w:tcBorders>
            <w:vAlign w:val="center"/>
            <w:hideMark/>
          </w:tcPr>
          <w:p w14:paraId="4D3CEBD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17</w:t>
            </w:r>
          </w:p>
        </w:tc>
        <w:tc>
          <w:tcPr>
            <w:tcW w:w="0" w:type="auto"/>
            <w:tcBorders>
              <w:top w:val="nil"/>
              <w:left w:val="single" w:sz="8" w:space="0" w:color="000000"/>
              <w:bottom w:val="single" w:sz="8" w:space="0" w:color="000000"/>
              <w:right w:val="nil"/>
            </w:tcBorders>
            <w:vAlign w:val="center"/>
            <w:hideMark/>
          </w:tcPr>
          <w:p w14:paraId="353121B4"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Unidad de Apoyo y Pericia</w:t>
            </w:r>
          </w:p>
        </w:tc>
        <w:tc>
          <w:tcPr>
            <w:tcW w:w="0" w:type="auto"/>
            <w:tcBorders>
              <w:top w:val="nil"/>
              <w:left w:val="single" w:sz="8" w:space="0" w:color="000000"/>
              <w:bottom w:val="single" w:sz="8" w:space="0" w:color="000000"/>
              <w:right w:val="nil"/>
            </w:tcBorders>
            <w:vAlign w:val="center"/>
            <w:hideMark/>
          </w:tcPr>
          <w:p w14:paraId="38E6B48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05A7A8F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A1/A2</w:t>
            </w:r>
          </w:p>
        </w:tc>
        <w:tc>
          <w:tcPr>
            <w:tcW w:w="0" w:type="auto"/>
            <w:tcBorders>
              <w:top w:val="nil"/>
              <w:left w:val="single" w:sz="8" w:space="0" w:color="000000"/>
              <w:bottom w:val="single" w:sz="8" w:space="0" w:color="000000"/>
              <w:right w:val="nil"/>
            </w:tcBorders>
            <w:vAlign w:val="center"/>
            <w:hideMark/>
          </w:tcPr>
          <w:p w14:paraId="0C098EA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26</w:t>
            </w:r>
          </w:p>
        </w:tc>
        <w:tc>
          <w:tcPr>
            <w:tcW w:w="0" w:type="auto"/>
            <w:tcBorders>
              <w:top w:val="nil"/>
              <w:left w:val="single" w:sz="8" w:space="0" w:color="000000"/>
              <w:bottom w:val="single" w:sz="8" w:space="0" w:color="000000"/>
              <w:right w:val="nil"/>
            </w:tcBorders>
            <w:vAlign w:val="center"/>
            <w:hideMark/>
          </w:tcPr>
          <w:p w14:paraId="65B279B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49</w:t>
            </w:r>
          </w:p>
        </w:tc>
        <w:tc>
          <w:tcPr>
            <w:tcW w:w="0" w:type="auto"/>
            <w:tcBorders>
              <w:top w:val="nil"/>
              <w:left w:val="single" w:sz="8" w:space="0" w:color="000000"/>
              <w:bottom w:val="single" w:sz="8" w:space="0" w:color="000000"/>
              <w:right w:val="single" w:sz="8" w:space="0" w:color="000000"/>
            </w:tcBorders>
            <w:vAlign w:val="center"/>
            <w:hideMark/>
          </w:tcPr>
          <w:p w14:paraId="0AF4C55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553ADF72" w14:textId="77777777" w:rsidTr="003B28A6">
        <w:trPr>
          <w:trHeight w:val="543"/>
        </w:trPr>
        <w:tc>
          <w:tcPr>
            <w:tcW w:w="0" w:type="auto"/>
            <w:tcBorders>
              <w:top w:val="nil"/>
              <w:left w:val="single" w:sz="8" w:space="0" w:color="000000"/>
              <w:bottom w:val="single" w:sz="8" w:space="0" w:color="000000"/>
              <w:right w:val="nil"/>
            </w:tcBorders>
            <w:vAlign w:val="center"/>
            <w:hideMark/>
          </w:tcPr>
          <w:p w14:paraId="123694D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18</w:t>
            </w:r>
          </w:p>
        </w:tc>
        <w:tc>
          <w:tcPr>
            <w:tcW w:w="0" w:type="auto"/>
            <w:tcBorders>
              <w:top w:val="nil"/>
              <w:left w:val="single" w:sz="8" w:space="0" w:color="000000"/>
              <w:bottom w:val="single" w:sz="8" w:space="0" w:color="000000"/>
              <w:right w:val="nil"/>
            </w:tcBorders>
            <w:vAlign w:val="center"/>
            <w:hideMark/>
          </w:tcPr>
          <w:p w14:paraId="52F989C6"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Unidad de Coordinación Informática</w:t>
            </w:r>
          </w:p>
        </w:tc>
        <w:tc>
          <w:tcPr>
            <w:tcW w:w="0" w:type="auto"/>
            <w:tcBorders>
              <w:top w:val="nil"/>
              <w:left w:val="single" w:sz="8" w:space="0" w:color="000000"/>
              <w:bottom w:val="single" w:sz="8" w:space="0" w:color="000000"/>
              <w:right w:val="nil"/>
            </w:tcBorders>
            <w:vAlign w:val="center"/>
            <w:hideMark/>
          </w:tcPr>
          <w:p w14:paraId="4A27403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5ED6EB79"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A1/A2</w:t>
            </w:r>
          </w:p>
        </w:tc>
        <w:tc>
          <w:tcPr>
            <w:tcW w:w="0" w:type="auto"/>
            <w:tcBorders>
              <w:top w:val="nil"/>
              <w:left w:val="single" w:sz="8" w:space="0" w:color="000000"/>
              <w:bottom w:val="single" w:sz="8" w:space="0" w:color="000000"/>
              <w:right w:val="nil"/>
            </w:tcBorders>
            <w:vAlign w:val="center"/>
            <w:hideMark/>
          </w:tcPr>
          <w:p w14:paraId="76145FF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26</w:t>
            </w:r>
          </w:p>
        </w:tc>
        <w:tc>
          <w:tcPr>
            <w:tcW w:w="0" w:type="auto"/>
            <w:tcBorders>
              <w:top w:val="nil"/>
              <w:left w:val="single" w:sz="8" w:space="0" w:color="000000"/>
              <w:bottom w:val="single" w:sz="8" w:space="0" w:color="000000"/>
              <w:right w:val="nil"/>
            </w:tcBorders>
            <w:vAlign w:val="center"/>
            <w:hideMark/>
          </w:tcPr>
          <w:p w14:paraId="06B26CD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49</w:t>
            </w:r>
          </w:p>
        </w:tc>
        <w:tc>
          <w:tcPr>
            <w:tcW w:w="0" w:type="auto"/>
            <w:tcBorders>
              <w:top w:val="nil"/>
              <w:left w:val="single" w:sz="8" w:space="0" w:color="000000"/>
              <w:bottom w:val="single" w:sz="8" w:space="0" w:color="000000"/>
              <w:right w:val="single" w:sz="8" w:space="0" w:color="000000"/>
            </w:tcBorders>
            <w:vAlign w:val="center"/>
            <w:hideMark/>
          </w:tcPr>
          <w:p w14:paraId="0606FD95"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62E84E33" w14:textId="77777777" w:rsidTr="003B28A6">
        <w:trPr>
          <w:trHeight w:val="692"/>
        </w:trPr>
        <w:tc>
          <w:tcPr>
            <w:tcW w:w="0" w:type="auto"/>
            <w:tcBorders>
              <w:top w:val="nil"/>
              <w:left w:val="single" w:sz="8" w:space="0" w:color="000000"/>
              <w:bottom w:val="single" w:sz="8" w:space="0" w:color="000000"/>
              <w:right w:val="nil"/>
            </w:tcBorders>
            <w:vAlign w:val="center"/>
            <w:hideMark/>
          </w:tcPr>
          <w:p w14:paraId="4E9AF99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19</w:t>
            </w:r>
          </w:p>
        </w:tc>
        <w:tc>
          <w:tcPr>
            <w:tcW w:w="0" w:type="auto"/>
            <w:tcBorders>
              <w:top w:val="nil"/>
              <w:left w:val="single" w:sz="8" w:space="0" w:color="000000"/>
              <w:bottom w:val="single" w:sz="8" w:space="0" w:color="000000"/>
              <w:right w:val="nil"/>
            </w:tcBorders>
            <w:vAlign w:val="center"/>
            <w:hideMark/>
          </w:tcPr>
          <w:p w14:paraId="2A662C9D"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Unidad de Producción y Explotación de los Sistemas Informáticos</w:t>
            </w:r>
          </w:p>
        </w:tc>
        <w:tc>
          <w:tcPr>
            <w:tcW w:w="0" w:type="auto"/>
            <w:tcBorders>
              <w:top w:val="nil"/>
              <w:left w:val="single" w:sz="8" w:space="0" w:color="000000"/>
              <w:bottom w:val="single" w:sz="8" w:space="0" w:color="000000"/>
              <w:right w:val="nil"/>
            </w:tcBorders>
            <w:vAlign w:val="center"/>
            <w:hideMark/>
          </w:tcPr>
          <w:p w14:paraId="2CCA483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674072B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A1/A2</w:t>
            </w:r>
          </w:p>
        </w:tc>
        <w:tc>
          <w:tcPr>
            <w:tcW w:w="0" w:type="auto"/>
            <w:tcBorders>
              <w:top w:val="nil"/>
              <w:left w:val="single" w:sz="8" w:space="0" w:color="000000"/>
              <w:bottom w:val="single" w:sz="8" w:space="0" w:color="000000"/>
              <w:right w:val="nil"/>
            </w:tcBorders>
            <w:vAlign w:val="center"/>
            <w:hideMark/>
          </w:tcPr>
          <w:p w14:paraId="2E7EAEE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26</w:t>
            </w:r>
          </w:p>
        </w:tc>
        <w:tc>
          <w:tcPr>
            <w:tcW w:w="0" w:type="auto"/>
            <w:tcBorders>
              <w:top w:val="nil"/>
              <w:left w:val="single" w:sz="8" w:space="0" w:color="000000"/>
              <w:bottom w:val="single" w:sz="8" w:space="0" w:color="000000"/>
              <w:right w:val="nil"/>
            </w:tcBorders>
            <w:vAlign w:val="center"/>
            <w:hideMark/>
          </w:tcPr>
          <w:p w14:paraId="4D09940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49</w:t>
            </w:r>
          </w:p>
        </w:tc>
        <w:tc>
          <w:tcPr>
            <w:tcW w:w="0" w:type="auto"/>
            <w:tcBorders>
              <w:top w:val="nil"/>
              <w:left w:val="single" w:sz="8" w:space="0" w:color="000000"/>
              <w:bottom w:val="single" w:sz="8" w:space="0" w:color="000000"/>
              <w:right w:val="single" w:sz="8" w:space="0" w:color="000000"/>
            </w:tcBorders>
            <w:vAlign w:val="center"/>
            <w:hideMark/>
          </w:tcPr>
          <w:p w14:paraId="03800FB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2149C1B0" w14:textId="77777777" w:rsidTr="003B28A6">
        <w:trPr>
          <w:trHeight w:val="263"/>
        </w:trPr>
        <w:tc>
          <w:tcPr>
            <w:tcW w:w="0" w:type="auto"/>
            <w:tcBorders>
              <w:top w:val="nil"/>
              <w:left w:val="single" w:sz="8" w:space="0" w:color="000000"/>
              <w:bottom w:val="single" w:sz="8" w:space="0" w:color="000000"/>
              <w:right w:val="nil"/>
            </w:tcBorders>
            <w:vAlign w:val="center"/>
            <w:hideMark/>
          </w:tcPr>
          <w:p w14:paraId="050CEF7F"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21</w:t>
            </w:r>
          </w:p>
        </w:tc>
        <w:tc>
          <w:tcPr>
            <w:tcW w:w="0" w:type="auto"/>
            <w:tcBorders>
              <w:top w:val="nil"/>
              <w:left w:val="single" w:sz="8" w:space="0" w:color="000000"/>
              <w:bottom w:val="single" w:sz="8" w:space="0" w:color="000000"/>
              <w:right w:val="nil"/>
            </w:tcBorders>
            <w:vAlign w:val="center"/>
            <w:hideMark/>
          </w:tcPr>
          <w:p w14:paraId="5C4C7D01"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Investigador/a I</w:t>
            </w:r>
          </w:p>
        </w:tc>
        <w:tc>
          <w:tcPr>
            <w:tcW w:w="0" w:type="auto"/>
            <w:tcBorders>
              <w:top w:val="nil"/>
              <w:left w:val="single" w:sz="8" w:space="0" w:color="000000"/>
              <w:bottom w:val="single" w:sz="8" w:space="0" w:color="000000"/>
              <w:right w:val="nil"/>
            </w:tcBorders>
            <w:vAlign w:val="center"/>
            <w:hideMark/>
          </w:tcPr>
          <w:p w14:paraId="7D646D1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10BA3AD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0" w:type="auto"/>
            <w:tcBorders>
              <w:top w:val="nil"/>
              <w:left w:val="single" w:sz="8" w:space="0" w:color="000000"/>
              <w:bottom w:val="single" w:sz="8" w:space="0" w:color="000000"/>
              <w:right w:val="nil"/>
            </w:tcBorders>
            <w:vAlign w:val="center"/>
            <w:hideMark/>
          </w:tcPr>
          <w:p w14:paraId="53700D2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p>
        </w:tc>
        <w:tc>
          <w:tcPr>
            <w:tcW w:w="0" w:type="auto"/>
            <w:tcBorders>
              <w:top w:val="nil"/>
              <w:left w:val="single" w:sz="8" w:space="0" w:color="000000"/>
              <w:bottom w:val="single" w:sz="8" w:space="0" w:color="000000"/>
              <w:right w:val="nil"/>
            </w:tcBorders>
            <w:vAlign w:val="center"/>
            <w:hideMark/>
          </w:tcPr>
          <w:p w14:paraId="0CB5F3E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48</w:t>
            </w:r>
          </w:p>
        </w:tc>
        <w:tc>
          <w:tcPr>
            <w:tcW w:w="0" w:type="auto"/>
            <w:tcBorders>
              <w:top w:val="nil"/>
              <w:left w:val="single" w:sz="8" w:space="0" w:color="000000"/>
              <w:bottom w:val="single" w:sz="8" w:space="0" w:color="000000"/>
              <w:right w:val="single" w:sz="8" w:space="0" w:color="000000"/>
            </w:tcBorders>
            <w:vAlign w:val="center"/>
            <w:hideMark/>
          </w:tcPr>
          <w:p w14:paraId="3B5AB11F"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r w:rsidR="003B28A6" w14:paraId="02434AE2" w14:textId="77777777" w:rsidTr="003B28A6">
        <w:trPr>
          <w:trHeight w:val="253"/>
        </w:trPr>
        <w:tc>
          <w:tcPr>
            <w:tcW w:w="0" w:type="auto"/>
            <w:tcBorders>
              <w:top w:val="nil"/>
              <w:left w:val="single" w:sz="8" w:space="0" w:color="000000"/>
              <w:bottom w:val="single" w:sz="8" w:space="0" w:color="000000"/>
              <w:right w:val="nil"/>
            </w:tcBorders>
            <w:vAlign w:val="center"/>
            <w:hideMark/>
          </w:tcPr>
          <w:p w14:paraId="2598451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22</w:t>
            </w:r>
          </w:p>
        </w:tc>
        <w:tc>
          <w:tcPr>
            <w:tcW w:w="0" w:type="auto"/>
            <w:tcBorders>
              <w:top w:val="nil"/>
              <w:left w:val="single" w:sz="8" w:space="0" w:color="000000"/>
              <w:bottom w:val="single" w:sz="8" w:space="0" w:color="000000"/>
              <w:right w:val="nil"/>
            </w:tcBorders>
            <w:vAlign w:val="center"/>
            <w:hideMark/>
          </w:tcPr>
          <w:p w14:paraId="5D9F807C"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Investigador/a II</w:t>
            </w:r>
          </w:p>
        </w:tc>
        <w:tc>
          <w:tcPr>
            <w:tcW w:w="0" w:type="auto"/>
            <w:tcBorders>
              <w:top w:val="nil"/>
              <w:left w:val="single" w:sz="8" w:space="0" w:color="000000"/>
              <w:bottom w:val="single" w:sz="8" w:space="0" w:color="000000"/>
              <w:right w:val="nil"/>
            </w:tcBorders>
            <w:vAlign w:val="center"/>
            <w:hideMark/>
          </w:tcPr>
          <w:p w14:paraId="4B10FBE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659D75A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0" w:type="auto"/>
            <w:tcBorders>
              <w:top w:val="nil"/>
              <w:left w:val="single" w:sz="8" w:space="0" w:color="000000"/>
              <w:bottom w:val="single" w:sz="8" w:space="0" w:color="000000"/>
              <w:right w:val="nil"/>
            </w:tcBorders>
            <w:vAlign w:val="center"/>
            <w:hideMark/>
          </w:tcPr>
          <w:p w14:paraId="64B6AD1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p>
        </w:tc>
        <w:tc>
          <w:tcPr>
            <w:tcW w:w="0" w:type="auto"/>
            <w:tcBorders>
              <w:top w:val="nil"/>
              <w:left w:val="single" w:sz="8" w:space="0" w:color="000000"/>
              <w:bottom w:val="single" w:sz="8" w:space="0" w:color="000000"/>
              <w:right w:val="nil"/>
            </w:tcBorders>
            <w:vAlign w:val="center"/>
            <w:hideMark/>
          </w:tcPr>
          <w:p w14:paraId="4F1AC15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48</w:t>
            </w:r>
          </w:p>
        </w:tc>
        <w:tc>
          <w:tcPr>
            <w:tcW w:w="0" w:type="auto"/>
            <w:tcBorders>
              <w:top w:val="nil"/>
              <w:left w:val="single" w:sz="8" w:space="0" w:color="000000"/>
              <w:bottom w:val="single" w:sz="8" w:space="0" w:color="000000"/>
              <w:right w:val="single" w:sz="8" w:space="0" w:color="000000"/>
            </w:tcBorders>
            <w:vAlign w:val="center"/>
            <w:hideMark/>
          </w:tcPr>
          <w:p w14:paraId="50770D3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r w:rsidR="003B28A6" w14:paraId="1B07C970" w14:textId="77777777" w:rsidTr="003B28A6">
        <w:trPr>
          <w:trHeight w:val="555"/>
        </w:trPr>
        <w:tc>
          <w:tcPr>
            <w:tcW w:w="0" w:type="auto"/>
            <w:tcBorders>
              <w:top w:val="nil"/>
              <w:left w:val="single" w:sz="8" w:space="0" w:color="000000"/>
              <w:bottom w:val="single" w:sz="8" w:space="0" w:color="000000"/>
              <w:right w:val="nil"/>
            </w:tcBorders>
            <w:vAlign w:val="center"/>
            <w:hideMark/>
          </w:tcPr>
          <w:p w14:paraId="6A9C6749"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27</w:t>
            </w:r>
          </w:p>
        </w:tc>
        <w:tc>
          <w:tcPr>
            <w:tcW w:w="0" w:type="auto"/>
            <w:tcBorders>
              <w:top w:val="nil"/>
              <w:left w:val="single" w:sz="8" w:space="0" w:color="000000"/>
              <w:bottom w:val="single" w:sz="8" w:space="0" w:color="000000"/>
              <w:right w:val="nil"/>
            </w:tcBorders>
            <w:vAlign w:val="center"/>
            <w:hideMark/>
          </w:tcPr>
          <w:p w14:paraId="0D335BA7"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Equipo de Análisis e Investigación</w:t>
            </w:r>
          </w:p>
        </w:tc>
        <w:tc>
          <w:tcPr>
            <w:tcW w:w="0" w:type="auto"/>
            <w:tcBorders>
              <w:top w:val="nil"/>
              <w:left w:val="single" w:sz="8" w:space="0" w:color="000000"/>
              <w:bottom w:val="single" w:sz="8" w:space="0" w:color="000000"/>
              <w:right w:val="nil"/>
            </w:tcBorders>
            <w:vAlign w:val="center"/>
            <w:hideMark/>
          </w:tcPr>
          <w:p w14:paraId="064FD10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3F123489"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C1</w:t>
            </w:r>
          </w:p>
        </w:tc>
        <w:tc>
          <w:tcPr>
            <w:tcW w:w="0" w:type="auto"/>
            <w:tcBorders>
              <w:top w:val="nil"/>
              <w:left w:val="single" w:sz="8" w:space="0" w:color="000000"/>
              <w:bottom w:val="single" w:sz="8" w:space="0" w:color="000000"/>
              <w:right w:val="nil"/>
            </w:tcBorders>
            <w:vAlign w:val="center"/>
            <w:hideMark/>
          </w:tcPr>
          <w:p w14:paraId="38763A7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20</w:t>
            </w:r>
          </w:p>
        </w:tc>
        <w:tc>
          <w:tcPr>
            <w:tcW w:w="0" w:type="auto"/>
            <w:tcBorders>
              <w:top w:val="nil"/>
              <w:left w:val="single" w:sz="8" w:space="0" w:color="000000"/>
              <w:bottom w:val="single" w:sz="8" w:space="0" w:color="000000"/>
              <w:right w:val="nil"/>
            </w:tcBorders>
            <w:vAlign w:val="center"/>
            <w:hideMark/>
          </w:tcPr>
          <w:p w14:paraId="2AACF69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35</w:t>
            </w:r>
          </w:p>
        </w:tc>
        <w:tc>
          <w:tcPr>
            <w:tcW w:w="0" w:type="auto"/>
            <w:tcBorders>
              <w:top w:val="nil"/>
              <w:left w:val="single" w:sz="8" w:space="0" w:color="000000"/>
              <w:bottom w:val="single" w:sz="8" w:space="0" w:color="000000"/>
              <w:right w:val="single" w:sz="8" w:space="0" w:color="000000"/>
            </w:tcBorders>
            <w:vAlign w:val="center"/>
            <w:hideMark/>
          </w:tcPr>
          <w:p w14:paraId="487DBEA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r w:rsidR="003B28A6" w14:paraId="0CE622A1" w14:textId="77777777" w:rsidTr="003B28A6">
        <w:trPr>
          <w:trHeight w:val="407"/>
        </w:trPr>
        <w:tc>
          <w:tcPr>
            <w:tcW w:w="0" w:type="auto"/>
            <w:tcBorders>
              <w:top w:val="nil"/>
              <w:left w:val="single" w:sz="8" w:space="0" w:color="000000"/>
              <w:bottom w:val="single" w:sz="8" w:space="0" w:color="000000"/>
              <w:right w:val="nil"/>
            </w:tcBorders>
            <w:vAlign w:val="center"/>
            <w:hideMark/>
          </w:tcPr>
          <w:p w14:paraId="14C78D1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46</w:t>
            </w:r>
          </w:p>
        </w:tc>
        <w:tc>
          <w:tcPr>
            <w:tcW w:w="0" w:type="auto"/>
            <w:tcBorders>
              <w:top w:val="nil"/>
              <w:left w:val="single" w:sz="8" w:space="0" w:color="000000"/>
              <w:bottom w:val="single" w:sz="8" w:space="0" w:color="000000"/>
              <w:right w:val="nil"/>
            </w:tcBorders>
            <w:vAlign w:val="center"/>
            <w:hideMark/>
          </w:tcPr>
          <w:p w14:paraId="467C055E"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Negociado de Soporte Análisis e Investigación</w:t>
            </w:r>
          </w:p>
        </w:tc>
        <w:tc>
          <w:tcPr>
            <w:tcW w:w="0" w:type="auto"/>
            <w:tcBorders>
              <w:top w:val="nil"/>
              <w:left w:val="single" w:sz="8" w:space="0" w:color="000000"/>
              <w:bottom w:val="single" w:sz="8" w:space="0" w:color="000000"/>
              <w:right w:val="nil"/>
            </w:tcBorders>
            <w:vAlign w:val="center"/>
            <w:hideMark/>
          </w:tcPr>
          <w:p w14:paraId="1EE6BD7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14FF61A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C1/C2</w:t>
            </w:r>
          </w:p>
        </w:tc>
        <w:tc>
          <w:tcPr>
            <w:tcW w:w="0" w:type="auto"/>
            <w:tcBorders>
              <w:top w:val="nil"/>
              <w:left w:val="single" w:sz="8" w:space="0" w:color="000000"/>
              <w:bottom w:val="single" w:sz="8" w:space="0" w:color="000000"/>
              <w:right w:val="nil"/>
            </w:tcBorders>
            <w:vAlign w:val="center"/>
            <w:hideMark/>
          </w:tcPr>
          <w:p w14:paraId="24526BA9"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18</w:t>
            </w:r>
          </w:p>
        </w:tc>
        <w:tc>
          <w:tcPr>
            <w:tcW w:w="0" w:type="auto"/>
            <w:tcBorders>
              <w:top w:val="nil"/>
              <w:left w:val="single" w:sz="8" w:space="0" w:color="000000"/>
              <w:bottom w:val="single" w:sz="8" w:space="0" w:color="000000"/>
              <w:right w:val="nil"/>
            </w:tcBorders>
            <w:vAlign w:val="center"/>
            <w:hideMark/>
          </w:tcPr>
          <w:p w14:paraId="08F8EF0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35</w:t>
            </w:r>
          </w:p>
        </w:tc>
        <w:tc>
          <w:tcPr>
            <w:tcW w:w="0" w:type="auto"/>
            <w:tcBorders>
              <w:top w:val="nil"/>
              <w:left w:val="single" w:sz="8" w:space="0" w:color="000000"/>
              <w:bottom w:val="single" w:sz="8" w:space="0" w:color="000000"/>
              <w:right w:val="single" w:sz="8" w:space="0" w:color="000000"/>
            </w:tcBorders>
            <w:vAlign w:val="center"/>
            <w:hideMark/>
          </w:tcPr>
          <w:p w14:paraId="50F61DE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bl>
    <w:p w14:paraId="20E1F3F1" w14:textId="77777777" w:rsidR="00B22DC2" w:rsidRDefault="00B22DC2" w:rsidP="003B28A6">
      <w:pPr>
        <w:jc w:val="both"/>
        <w:rPr>
          <w:rFonts w:ascii="Arial" w:eastAsia="Droid Sans Fallback" w:hAnsi="Arial" w:cs="Arial"/>
          <w:kern w:val="3"/>
          <w:sz w:val="21"/>
          <w:szCs w:val="21"/>
          <w:lang w:eastAsia="zh-CN" w:bidi="hi-IN"/>
        </w:rPr>
      </w:pPr>
    </w:p>
    <w:tbl>
      <w:tblPr>
        <w:tblW w:w="5000" w:type="pct"/>
        <w:tblCellMar>
          <w:left w:w="70" w:type="dxa"/>
          <w:right w:w="70" w:type="dxa"/>
        </w:tblCellMar>
        <w:tblLook w:val="04A0" w:firstRow="1" w:lastRow="0" w:firstColumn="1" w:lastColumn="0" w:noHBand="0" w:noVBand="1"/>
      </w:tblPr>
      <w:tblGrid>
        <w:gridCol w:w="1067"/>
        <w:gridCol w:w="2902"/>
        <w:gridCol w:w="986"/>
        <w:gridCol w:w="716"/>
        <w:gridCol w:w="854"/>
        <w:gridCol w:w="913"/>
        <w:gridCol w:w="1066"/>
      </w:tblGrid>
      <w:tr w:rsidR="003B28A6" w14:paraId="51E66B1D" w14:textId="77777777" w:rsidTr="003B28A6">
        <w:trPr>
          <w:trHeight w:val="315"/>
        </w:trPr>
        <w:tc>
          <w:tcPr>
            <w:tcW w:w="5000" w:type="pct"/>
            <w:gridSpan w:val="7"/>
            <w:tcBorders>
              <w:top w:val="nil"/>
              <w:left w:val="nil"/>
              <w:bottom w:val="single" w:sz="8" w:space="0" w:color="000000"/>
              <w:right w:val="nil"/>
            </w:tcBorders>
            <w:shd w:val="clear" w:color="auto" w:fill="9D2235"/>
            <w:vAlign w:val="center"/>
            <w:hideMark/>
          </w:tcPr>
          <w:p w14:paraId="540B55C6" w14:textId="77777777" w:rsidR="003B28A6" w:rsidRDefault="003B28A6">
            <w:pPr>
              <w:spacing w:after="0" w:line="240" w:lineRule="auto"/>
              <w:jc w:val="both"/>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DIRECCIÓN DE PREVENCIÓN, FORMACIÓN Y DOCUMENTACIÓN</w:t>
            </w:r>
          </w:p>
        </w:tc>
      </w:tr>
      <w:tr w:rsidR="003B28A6" w14:paraId="7130AE97" w14:textId="77777777" w:rsidTr="003B28A6">
        <w:trPr>
          <w:trHeight w:val="555"/>
        </w:trPr>
        <w:tc>
          <w:tcPr>
            <w:tcW w:w="627" w:type="pct"/>
            <w:tcBorders>
              <w:top w:val="nil"/>
              <w:left w:val="single" w:sz="8" w:space="0" w:color="000000"/>
              <w:bottom w:val="single" w:sz="8" w:space="0" w:color="000000"/>
              <w:right w:val="nil"/>
            </w:tcBorders>
            <w:vAlign w:val="center"/>
            <w:hideMark/>
          </w:tcPr>
          <w:p w14:paraId="0FA81DBE"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N.º puesto</w:t>
            </w:r>
          </w:p>
        </w:tc>
        <w:tc>
          <w:tcPr>
            <w:tcW w:w="1706" w:type="pct"/>
            <w:tcBorders>
              <w:top w:val="nil"/>
              <w:left w:val="single" w:sz="8" w:space="0" w:color="000000"/>
              <w:bottom w:val="single" w:sz="8" w:space="0" w:color="000000"/>
              <w:right w:val="nil"/>
            </w:tcBorders>
            <w:vAlign w:val="center"/>
            <w:hideMark/>
          </w:tcPr>
          <w:p w14:paraId="3F89AC35"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Denominación</w:t>
            </w:r>
          </w:p>
        </w:tc>
        <w:tc>
          <w:tcPr>
            <w:tcW w:w="580" w:type="pct"/>
            <w:tcBorders>
              <w:top w:val="nil"/>
              <w:left w:val="single" w:sz="8" w:space="0" w:color="000000"/>
              <w:bottom w:val="single" w:sz="8" w:space="0" w:color="000000"/>
              <w:right w:val="nil"/>
            </w:tcBorders>
            <w:vAlign w:val="center"/>
            <w:hideMark/>
          </w:tcPr>
          <w:p w14:paraId="1FA05136"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Rég. Jco.</w:t>
            </w:r>
          </w:p>
        </w:tc>
        <w:tc>
          <w:tcPr>
            <w:tcW w:w="421" w:type="pct"/>
            <w:tcBorders>
              <w:top w:val="nil"/>
              <w:left w:val="single" w:sz="8" w:space="0" w:color="000000"/>
              <w:bottom w:val="single" w:sz="8" w:space="0" w:color="000000"/>
              <w:right w:val="nil"/>
            </w:tcBorders>
            <w:vAlign w:val="center"/>
            <w:hideMark/>
          </w:tcPr>
          <w:p w14:paraId="645843EE"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Gr.</w:t>
            </w:r>
          </w:p>
        </w:tc>
        <w:tc>
          <w:tcPr>
            <w:tcW w:w="502" w:type="pct"/>
            <w:tcBorders>
              <w:top w:val="nil"/>
              <w:left w:val="single" w:sz="8" w:space="0" w:color="000000"/>
              <w:bottom w:val="single" w:sz="8" w:space="0" w:color="000000"/>
              <w:right w:val="nil"/>
            </w:tcBorders>
            <w:vAlign w:val="center"/>
            <w:hideMark/>
          </w:tcPr>
          <w:p w14:paraId="2932EDF5"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Nivel CD</w:t>
            </w:r>
          </w:p>
        </w:tc>
        <w:tc>
          <w:tcPr>
            <w:tcW w:w="537" w:type="pct"/>
            <w:tcBorders>
              <w:top w:val="nil"/>
              <w:left w:val="single" w:sz="8" w:space="0" w:color="000000"/>
              <w:bottom w:val="single" w:sz="8" w:space="0" w:color="000000"/>
              <w:right w:val="nil"/>
            </w:tcBorders>
            <w:vAlign w:val="center"/>
            <w:hideMark/>
          </w:tcPr>
          <w:p w14:paraId="21DFAA72"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Nivel CE</w:t>
            </w:r>
          </w:p>
        </w:tc>
        <w:tc>
          <w:tcPr>
            <w:tcW w:w="627" w:type="pct"/>
            <w:tcBorders>
              <w:top w:val="nil"/>
              <w:left w:val="single" w:sz="8" w:space="0" w:color="000000"/>
              <w:bottom w:val="single" w:sz="8" w:space="0" w:color="000000"/>
              <w:right w:val="single" w:sz="8" w:space="0" w:color="000000"/>
            </w:tcBorders>
            <w:vAlign w:val="center"/>
            <w:hideMark/>
          </w:tcPr>
          <w:p w14:paraId="1C9A941C"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Forma provisión</w:t>
            </w:r>
          </w:p>
        </w:tc>
      </w:tr>
      <w:tr w:rsidR="003B28A6" w14:paraId="51D90776" w14:textId="77777777" w:rsidTr="003B28A6">
        <w:trPr>
          <w:trHeight w:val="490"/>
        </w:trPr>
        <w:tc>
          <w:tcPr>
            <w:tcW w:w="627" w:type="pct"/>
            <w:tcBorders>
              <w:top w:val="nil"/>
              <w:left w:val="single" w:sz="8" w:space="0" w:color="000000"/>
              <w:bottom w:val="single" w:sz="8" w:space="0" w:color="000000"/>
              <w:right w:val="nil"/>
            </w:tcBorders>
            <w:vAlign w:val="center"/>
            <w:hideMark/>
          </w:tcPr>
          <w:p w14:paraId="73A6CE7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w:t>
            </w:r>
          </w:p>
        </w:tc>
        <w:tc>
          <w:tcPr>
            <w:tcW w:w="1706" w:type="pct"/>
            <w:tcBorders>
              <w:top w:val="nil"/>
              <w:left w:val="single" w:sz="8" w:space="0" w:color="000000"/>
              <w:bottom w:val="single" w:sz="8" w:space="0" w:color="000000"/>
              <w:right w:val="nil"/>
            </w:tcBorders>
            <w:vAlign w:val="center"/>
            <w:hideMark/>
          </w:tcPr>
          <w:p w14:paraId="614A9AFE"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Director/a de Prevención, Formación y Documentación</w:t>
            </w:r>
          </w:p>
        </w:tc>
        <w:tc>
          <w:tcPr>
            <w:tcW w:w="580" w:type="pct"/>
            <w:tcBorders>
              <w:top w:val="nil"/>
              <w:left w:val="single" w:sz="8" w:space="0" w:color="000000"/>
              <w:bottom w:val="single" w:sz="8" w:space="0" w:color="000000"/>
              <w:right w:val="nil"/>
            </w:tcBorders>
            <w:vAlign w:val="center"/>
            <w:hideMark/>
          </w:tcPr>
          <w:p w14:paraId="0628E94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21" w:type="pct"/>
            <w:tcBorders>
              <w:top w:val="nil"/>
              <w:left w:val="single" w:sz="8" w:space="0" w:color="000000"/>
              <w:bottom w:val="single" w:sz="8" w:space="0" w:color="000000"/>
              <w:right w:val="nil"/>
            </w:tcBorders>
            <w:vAlign w:val="center"/>
            <w:hideMark/>
          </w:tcPr>
          <w:p w14:paraId="6A8AFF7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502" w:type="pct"/>
            <w:tcBorders>
              <w:top w:val="nil"/>
              <w:left w:val="single" w:sz="8" w:space="0" w:color="000000"/>
              <w:bottom w:val="single" w:sz="8" w:space="0" w:color="000000"/>
              <w:right w:val="nil"/>
            </w:tcBorders>
            <w:vAlign w:val="center"/>
            <w:hideMark/>
          </w:tcPr>
          <w:p w14:paraId="7176956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30</w:t>
            </w:r>
          </w:p>
        </w:tc>
        <w:tc>
          <w:tcPr>
            <w:tcW w:w="537" w:type="pct"/>
            <w:tcBorders>
              <w:top w:val="nil"/>
              <w:left w:val="single" w:sz="8" w:space="0" w:color="000000"/>
              <w:bottom w:val="single" w:sz="8" w:space="0" w:color="000000"/>
              <w:right w:val="nil"/>
            </w:tcBorders>
            <w:vAlign w:val="center"/>
            <w:hideMark/>
          </w:tcPr>
          <w:p w14:paraId="6D4E53D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w:t>
            </w:r>
          </w:p>
        </w:tc>
        <w:tc>
          <w:tcPr>
            <w:tcW w:w="627" w:type="pct"/>
            <w:tcBorders>
              <w:top w:val="nil"/>
              <w:left w:val="single" w:sz="8" w:space="0" w:color="000000"/>
              <w:bottom w:val="single" w:sz="8" w:space="0" w:color="000000"/>
              <w:right w:val="single" w:sz="8" w:space="0" w:color="000000"/>
            </w:tcBorders>
            <w:vAlign w:val="center"/>
            <w:hideMark/>
          </w:tcPr>
          <w:p w14:paraId="70F3BE5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3EBE203A" w14:textId="77777777" w:rsidTr="003B28A6">
        <w:trPr>
          <w:trHeight w:val="527"/>
        </w:trPr>
        <w:tc>
          <w:tcPr>
            <w:tcW w:w="627" w:type="pct"/>
            <w:tcBorders>
              <w:top w:val="nil"/>
              <w:left w:val="single" w:sz="8" w:space="0" w:color="000000"/>
              <w:bottom w:val="single" w:sz="8" w:space="0" w:color="000000"/>
              <w:right w:val="nil"/>
            </w:tcBorders>
            <w:vAlign w:val="center"/>
            <w:hideMark/>
          </w:tcPr>
          <w:p w14:paraId="0E00123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10</w:t>
            </w:r>
          </w:p>
        </w:tc>
        <w:tc>
          <w:tcPr>
            <w:tcW w:w="1706" w:type="pct"/>
            <w:tcBorders>
              <w:top w:val="nil"/>
              <w:left w:val="single" w:sz="8" w:space="0" w:color="000000"/>
              <w:bottom w:val="single" w:sz="8" w:space="0" w:color="000000"/>
              <w:right w:val="nil"/>
            </w:tcBorders>
            <w:vAlign w:val="center"/>
            <w:hideMark/>
          </w:tcPr>
          <w:p w14:paraId="33C75B03"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Servicio de Prevención</w:t>
            </w:r>
          </w:p>
        </w:tc>
        <w:tc>
          <w:tcPr>
            <w:tcW w:w="580" w:type="pct"/>
            <w:tcBorders>
              <w:top w:val="nil"/>
              <w:left w:val="single" w:sz="8" w:space="0" w:color="000000"/>
              <w:bottom w:val="single" w:sz="8" w:space="0" w:color="000000"/>
              <w:right w:val="nil"/>
            </w:tcBorders>
            <w:vAlign w:val="center"/>
            <w:hideMark/>
          </w:tcPr>
          <w:p w14:paraId="01FB612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21" w:type="pct"/>
            <w:tcBorders>
              <w:top w:val="nil"/>
              <w:left w:val="single" w:sz="8" w:space="0" w:color="000000"/>
              <w:bottom w:val="single" w:sz="8" w:space="0" w:color="000000"/>
              <w:right w:val="nil"/>
            </w:tcBorders>
            <w:vAlign w:val="center"/>
            <w:hideMark/>
          </w:tcPr>
          <w:p w14:paraId="23CBC215"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502" w:type="pct"/>
            <w:tcBorders>
              <w:top w:val="nil"/>
              <w:left w:val="single" w:sz="8" w:space="0" w:color="000000"/>
              <w:bottom w:val="single" w:sz="8" w:space="0" w:color="000000"/>
              <w:right w:val="nil"/>
            </w:tcBorders>
            <w:vAlign w:val="center"/>
            <w:hideMark/>
          </w:tcPr>
          <w:p w14:paraId="5AE1651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28</w:t>
            </w:r>
          </w:p>
        </w:tc>
        <w:tc>
          <w:tcPr>
            <w:tcW w:w="537" w:type="pct"/>
            <w:tcBorders>
              <w:top w:val="nil"/>
              <w:left w:val="single" w:sz="8" w:space="0" w:color="000000"/>
              <w:bottom w:val="single" w:sz="8" w:space="0" w:color="000000"/>
              <w:right w:val="nil"/>
            </w:tcBorders>
            <w:vAlign w:val="center"/>
            <w:hideMark/>
          </w:tcPr>
          <w:p w14:paraId="13EFFC7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w:t>
            </w:r>
          </w:p>
        </w:tc>
        <w:tc>
          <w:tcPr>
            <w:tcW w:w="627" w:type="pct"/>
            <w:tcBorders>
              <w:top w:val="nil"/>
              <w:left w:val="single" w:sz="8" w:space="0" w:color="000000"/>
              <w:bottom w:val="single" w:sz="8" w:space="0" w:color="000000"/>
              <w:right w:val="single" w:sz="8" w:space="0" w:color="000000"/>
            </w:tcBorders>
            <w:vAlign w:val="center"/>
            <w:hideMark/>
          </w:tcPr>
          <w:p w14:paraId="78B47A2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2E26CD35" w14:textId="77777777" w:rsidTr="003B28A6">
        <w:trPr>
          <w:trHeight w:val="422"/>
        </w:trPr>
        <w:tc>
          <w:tcPr>
            <w:tcW w:w="627" w:type="pct"/>
            <w:tcBorders>
              <w:top w:val="nil"/>
              <w:left w:val="single" w:sz="8" w:space="0" w:color="000000"/>
              <w:bottom w:val="single" w:sz="8" w:space="0" w:color="000000"/>
              <w:right w:val="nil"/>
            </w:tcBorders>
            <w:vAlign w:val="center"/>
            <w:hideMark/>
          </w:tcPr>
          <w:p w14:paraId="1EE71BA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20</w:t>
            </w:r>
          </w:p>
        </w:tc>
        <w:tc>
          <w:tcPr>
            <w:tcW w:w="1706" w:type="pct"/>
            <w:tcBorders>
              <w:top w:val="nil"/>
              <w:left w:val="single" w:sz="8" w:space="0" w:color="000000"/>
              <w:bottom w:val="single" w:sz="8" w:space="0" w:color="000000"/>
              <w:right w:val="nil"/>
            </w:tcBorders>
            <w:vAlign w:val="center"/>
            <w:hideMark/>
          </w:tcPr>
          <w:p w14:paraId="231B98B3"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Técnico/a de Formación</w:t>
            </w:r>
          </w:p>
        </w:tc>
        <w:tc>
          <w:tcPr>
            <w:tcW w:w="580" w:type="pct"/>
            <w:tcBorders>
              <w:top w:val="nil"/>
              <w:left w:val="single" w:sz="8" w:space="0" w:color="000000"/>
              <w:bottom w:val="single" w:sz="8" w:space="0" w:color="000000"/>
              <w:right w:val="nil"/>
            </w:tcBorders>
            <w:vAlign w:val="center"/>
            <w:hideMark/>
          </w:tcPr>
          <w:p w14:paraId="74BDE11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21" w:type="pct"/>
            <w:tcBorders>
              <w:top w:val="nil"/>
              <w:left w:val="single" w:sz="8" w:space="0" w:color="000000"/>
              <w:bottom w:val="single" w:sz="8" w:space="0" w:color="000000"/>
              <w:right w:val="nil"/>
            </w:tcBorders>
            <w:vAlign w:val="center"/>
            <w:hideMark/>
          </w:tcPr>
          <w:p w14:paraId="337230C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502" w:type="pct"/>
            <w:tcBorders>
              <w:top w:val="nil"/>
              <w:left w:val="single" w:sz="8" w:space="0" w:color="000000"/>
              <w:bottom w:val="single" w:sz="8" w:space="0" w:color="000000"/>
              <w:right w:val="nil"/>
            </w:tcBorders>
            <w:vAlign w:val="center"/>
            <w:hideMark/>
          </w:tcPr>
          <w:p w14:paraId="3EC676A5"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p>
        </w:tc>
        <w:tc>
          <w:tcPr>
            <w:tcW w:w="537" w:type="pct"/>
            <w:tcBorders>
              <w:top w:val="nil"/>
              <w:left w:val="single" w:sz="8" w:space="0" w:color="000000"/>
              <w:bottom w:val="single" w:sz="8" w:space="0" w:color="000000"/>
              <w:right w:val="nil"/>
            </w:tcBorders>
            <w:vAlign w:val="center"/>
            <w:hideMark/>
          </w:tcPr>
          <w:p w14:paraId="5EC279C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48</w:t>
            </w:r>
          </w:p>
        </w:tc>
        <w:tc>
          <w:tcPr>
            <w:tcW w:w="627" w:type="pct"/>
            <w:tcBorders>
              <w:top w:val="nil"/>
              <w:left w:val="single" w:sz="8" w:space="0" w:color="000000"/>
              <w:bottom w:val="single" w:sz="8" w:space="0" w:color="000000"/>
              <w:right w:val="single" w:sz="8" w:space="0" w:color="000000"/>
            </w:tcBorders>
            <w:vAlign w:val="center"/>
            <w:hideMark/>
          </w:tcPr>
          <w:p w14:paraId="65C7697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r w:rsidR="003B28A6" w14:paraId="35A0C144" w14:textId="77777777" w:rsidTr="003B28A6">
        <w:trPr>
          <w:trHeight w:val="683"/>
        </w:trPr>
        <w:tc>
          <w:tcPr>
            <w:tcW w:w="627" w:type="pct"/>
            <w:tcBorders>
              <w:top w:val="nil"/>
              <w:left w:val="single" w:sz="8" w:space="0" w:color="000000"/>
              <w:bottom w:val="single" w:sz="8" w:space="0" w:color="000000"/>
              <w:right w:val="nil"/>
            </w:tcBorders>
            <w:vAlign w:val="center"/>
            <w:hideMark/>
          </w:tcPr>
          <w:p w14:paraId="219B3A3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30</w:t>
            </w:r>
          </w:p>
        </w:tc>
        <w:tc>
          <w:tcPr>
            <w:tcW w:w="1706" w:type="pct"/>
            <w:tcBorders>
              <w:top w:val="nil"/>
              <w:left w:val="single" w:sz="8" w:space="0" w:color="000000"/>
              <w:bottom w:val="single" w:sz="8" w:space="0" w:color="000000"/>
              <w:right w:val="nil"/>
            </w:tcBorders>
            <w:vAlign w:val="center"/>
            <w:hideMark/>
          </w:tcPr>
          <w:p w14:paraId="5B14AF76"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Negociado de Soporte Prevención y Formación</w:t>
            </w:r>
          </w:p>
        </w:tc>
        <w:tc>
          <w:tcPr>
            <w:tcW w:w="580" w:type="pct"/>
            <w:tcBorders>
              <w:top w:val="nil"/>
              <w:left w:val="single" w:sz="8" w:space="0" w:color="000000"/>
              <w:bottom w:val="single" w:sz="8" w:space="0" w:color="000000"/>
              <w:right w:val="nil"/>
            </w:tcBorders>
            <w:vAlign w:val="center"/>
            <w:hideMark/>
          </w:tcPr>
          <w:p w14:paraId="439C222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21" w:type="pct"/>
            <w:tcBorders>
              <w:top w:val="nil"/>
              <w:left w:val="single" w:sz="8" w:space="0" w:color="000000"/>
              <w:bottom w:val="single" w:sz="8" w:space="0" w:color="000000"/>
              <w:right w:val="nil"/>
            </w:tcBorders>
            <w:vAlign w:val="center"/>
            <w:hideMark/>
          </w:tcPr>
          <w:p w14:paraId="57D6F54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C1/C2</w:t>
            </w:r>
          </w:p>
        </w:tc>
        <w:tc>
          <w:tcPr>
            <w:tcW w:w="502" w:type="pct"/>
            <w:tcBorders>
              <w:top w:val="nil"/>
              <w:left w:val="single" w:sz="8" w:space="0" w:color="000000"/>
              <w:bottom w:val="single" w:sz="8" w:space="0" w:color="000000"/>
              <w:right w:val="nil"/>
            </w:tcBorders>
            <w:vAlign w:val="center"/>
            <w:hideMark/>
          </w:tcPr>
          <w:p w14:paraId="6C8D8195"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18</w:t>
            </w:r>
          </w:p>
        </w:tc>
        <w:tc>
          <w:tcPr>
            <w:tcW w:w="537" w:type="pct"/>
            <w:tcBorders>
              <w:top w:val="nil"/>
              <w:left w:val="single" w:sz="8" w:space="0" w:color="000000"/>
              <w:bottom w:val="single" w:sz="8" w:space="0" w:color="000000"/>
              <w:right w:val="nil"/>
            </w:tcBorders>
            <w:vAlign w:val="center"/>
            <w:hideMark/>
          </w:tcPr>
          <w:p w14:paraId="0BB11F9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35</w:t>
            </w:r>
          </w:p>
        </w:tc>
        <w:tc>
          <w:tcPr>
            <w:tcW w:w="627" w:type="pct"/>
            <w:tcBorders>
              <w:top w:val="nil"/>
              <w:left w:val="single" w:sz="8" w:space="0" w:color="000000"/>
              <w:bottom w:val="single" w:sz="8" w:space="0" w:color="000000"/>
              <w:right w:val="single" w:sz="8" w:space="0" w:color="000000"/>
            </w:tcBorders>
            <w:vAlign w:val="center"/>
            <w:hideMark/>
          </w:tcPr>
          <w:p w14:paraId="25151A5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r w:rsidR="003B28A6" w14:paraId="6B630899" w14:textId="77777777" w:rsidTr="003B28A6">
        <w:trPr>
          <w:trHeight w:val="395"/>
        </w:trPr>
        <w:tc>
          <w:tcPr>
            <w:tcW w:w="627" w:type="pct"/>
            <w:tcBorders>
              <w:top w:val="nil"/>
              <w:left w:val="single" w:sz="8" w:space="0" w:color="000000"/>
              <w:bottom w:val="single" w:sz="8" w:space="0" w:color="000000"/>
              <w:right w:val="nil"/>
            </w:tcBorders>
            <w:vAlign w:val="center"/>
            <w:hideMark/>
          </w:tcPr>
          <w:p w14:paraId="73232DF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33</w:t>
            </w:r>
          </w:p>
        </w:tc>
        <w:tc>
          <w:tcPr>
            <w:tcW w:w="1706" w:type="pct"/>
            <w:tcBorders>
              <w:top w:val="nil"/>
              <w:left w:val="single" w:sz="8" w:space="0" w:color="000000"/>
              <w:bottom w:val="single" w:sz="8" w:space="0" w:color="000000"/>
              <w:right w:val="nil"/>
            </w:tcBorders>
            <w:vAlign w:val="center"/>
            <w:hideMark/>
          </w:tcPr>
          <w:p w14:paraId="27A8060C"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Servicio de Formación</w:t>
            </w:r>
          </w:p>
        </w:tc>
        <w:tc>
          <w:tcPr>
            <w:tcW w:w="580" w:type="pct"/>
            <w:tcBorders>
              <w:top w:val="nil"/>
              <w:left w:val="single" w:sz="8" w:space="0" w:color="000000"/>
              <w:bottom w:val="single" w:sz="8" w:space="0" w:color="000000"/>
              <w:right w:val="nil"/>
            </w:tcBorders>
            <w:vAlign w:val="center"/>
            <w:hideMark/>
          </w:tcPr>
          <w:p w14:paraId="73FCCA9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21" w:type="pct"/>
            <w:tcBorders>
              <w:top w:val="nil"/>
              <w:left w:val="single" w:sz="8" w:space="0" w:color="000000"/>
              <w:bottom w:val="single" w:sz="8" w:space="0" w:color="000000"/>
              <w:right w:val="nil"/>
            </w:tcBorders>
            <w:vAlign w:val="center"/>
            <w:hideMark/>
          </w:tcPr>
          <w:p w14:paraId="43F58AC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502" w:type="pct"/>
            <w:tcBorders>
              <w:top w:val="nil"/>
              <w:left w:val="single" w:sz="8" w:space="0" w:color="000000"/>
              <w:bottom w:val="single" w:sz="8" w:space="0" w:color="000000"/>
              <w:right w:val="nil"/>
            </w:tcBorders>
            <w:vAlign w:val="center"/>
            <w:hideMark/>
          </w:tcPr>
          <w:p w14:paraId="3DD8DE1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28</w:t>
            </w:r>
          </w:p>
        </w:tc>
        <w:tc>
          <w:tcPr>
            <w:tcW w:w="537" w:type="pct"/>
            <w:tcBorders>
              <w:top w:val="nil"/>
              <w:left w:val="single" w:sz="8" w:space="0" w:color="000000"/>
              <w:bottom w:val="single" w:sz="8" w:space="0" w:color="000000"/>
              <w:right w:val="nil"/>
            </w:tcBorders>
            <w:vAlign w:val="center"/>
            <w:hideMark/>
          </w:tcPr>
          <w:p w14:paraId="43CBDE6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w:t>
            </w:r>
          </w:p>
        </w:tc>
        <w:tc>
          <w:tcPr>
            <w:tcW w:w="627" w:type="pct"/>
            <w:tcBorders>
              <w:top w:val="nil"/>
              <w:left w:val="single" w:sz="8" w:space="0" w:color="000000"/>
              <w:bottom w:val="single" w:sz="8" w:space="0" w:color="000000"/>
              <w:right w:val="single" w:sz="8" w:space="0" w:color="000000"/>
            </w:tcBorders>
            <w:vAlign w:val="center"/>
            <w:hideMark/>
          </w:tcPr>
          <w:p w14:paraId="7F1F35E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1656582C" w14:textId="77777777" w:rsidTr="003B28A6">
        <w:trPr>
          <w:trHeight w:val="629"/>
        </w:trPr>
        <w:tc>
          <w:tcPr>
            <w:tcW w:w="627" w:type="pct"/>
            <w:tcBorders>
              <w:top w:val="nil"/>
              <w:left w:val="single" w:sz="8" w:space="0" w:color="000000"/>
              <w:bottom w:val="single" w:sz="8" w:space="0" w:color="000000"/>
              <w:right w:val="nil"/>
            </w:tcBorders>
            <w:vAlign w:val="center"/>
            <w:hideMark/>
          </w:tcPr>
          <w:p w14:paraId="514DCC3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34</w:t>
            </w:r>
          </w:p>
        </w:tc>
        <w:tc>
          <w:tcPr>
            <w:tcW w:w="1706" w:type="pct"/>
            <w:tcBorders>
              <w:top w:val="nil"/>
              <w:left w:val="single" w:sz="8" w:space="0" w:color="000000"/>
              <w:bottom w:val="single" w:sz="8" w:space="0" w:color="000000"/>
              <w:right w:val="nil"/>
            </w:tcBorders>
            <w:vAlign w:val="center"/>
            <w:hideMark/>
          </w:tcPr>
          <w:p w14:paraId="309F6252"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Servicio de Documentación e Informes</w:t>
            </w:r>
          </w:p>
        </w:tc>
        <w:tc>
          <w:tcPr>
            <w:tcW w:w="580" w:type="pct"/>
            <w:tcBorders>
              <w:top w:val="nil"/>
              <w:left w:val="single" w:sz="8" w:space="0" w:color="000000"/>
              <w:bottom w:val="single" w:sz="8" w:space="0" w:color="000000"/>
              <w:right w:val="nil"/>
            </w:tcBorders>
            <w:vAlign w:val="center"/>
            <w:hideMark/>
          </w:tcPr>
          <w:p w14:paraId="6D8BBA8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21" w:type="pct"/>
            <w:tcBorders>
              <w:top w:val="nil"/>
              <w:left w:val="single" w:sz="8" w:space="0" w:color="000000"/>
              <w:bottom w:val="single" w:sz="8" w:space="0" w:color="000000"/>
              <w:right w:val="nil"/>
            </w:tcBorders>
            <w:vAlign w:val="center"/>
            <w:hideMark/>
          </w:tcPr>
          <w:p w14:paraId="2480C07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502" w:type="pct"/>
            <w:tcBorders>
              <w:top w:val="nil"/>
              <w:left w:val="single" w:sz="8" w:space="0" w:color="000000"/>
              <w:bottom w:val="single" w:sz="8" w:space="0" w:color="000000"/>
              <w:right w:val="nil"/>
            </w:tcBorders>
            <w:vAlign w:val="center"/>
            <w:hideMark/>
          </w:tcPr>
          <w:p w14:paraId="7A6457D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28</w:t>
            </w:r>
          </w:p>
        </w:tc>
        <w:tc>
          <w:tcPr>
            <w:tcW w:w="537" w:type="pct"/>
            <w:tcBorders>
              <w:top w:val="nil"/>
              <w:left w:val="single" w:sz="8" w:space="0" w:color="000000"/>
              <w:bottom w:val="single" w:sz="8" w:space="0" w:color="000000"/>
              <w:right w:val="nil"/>
            </w:tcBorders>
            <w:vAlign w:val="center"/>
            <w:hideMark/>
          </w:tcPr>
          <w:p w14:paraId="768ABF4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w:t>
            </w:r>
          </w:p>
        </w:tc>
        <w:tc>
          <w:tcPr>
            <w:tcW w:w="627" w:type="pct"/>
            <w:tcBorders>
              <w:top w:val="nil"/>
              <w:left w:val="single" w:sz="8" w:space="0" w:color="000000"/>
              <w:bottom w:val="single" w:sz="8" w:space="0" w:color="000000"/>
              <w:right w:val="single" w:sz="8" w:space="0" w:color="000000"/>
            </w:tcBorders>
            <w:vAlign w:val="center"/>
            <w:hideMark/>
          </w:tcPr>
          <w:p w14:paraId="43D9D1E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446BD82E" w14:textId="77777777" w:rsidTr="003B28A6">
        <w:trPr>
          <w:trHeight w:val="126"/>
        </w:trPr>
        <w:tc>
          <w:tcPr>
            <w:tcW w:w="627" w:type="pct"/>
            <w:tcBorders>
              <w:top w:val="nil"/>
              <w:left w:val="single" w:sz="8" w:space="0" w:color="000000"/>
              <w:bottom w:val="single" w:sz="8" w:space="0" w:color="000000"/>
              <w:right w:val="nil"/>
            </w:tcBorders>
            <w:vAlign w:val="center"/>
            <w:hideMark/>
          </w:tcPr>
          <w:p w14:paraId="09814DE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35</w:t>
            </w:r>
          </w:p>
        </w:tc>
        <w:tc>
          <w:tcPr>
            <w:tcW w:w="1706" w:type="pct"/>
            <w:tcBorders>
              <w:top w:val="nil"/>
              <w:left w:val="single" w:sz="8" w:space="0" w:color="000000"/>
              <w:bottom w:val="single" w:sz="8" w:space="0" w:color="000000"/>
              <w:right w:val="nil"/>
            </w:tcBorders>
            <w:vAlign w:val="center"/>
            <w:hideMark/>
          </w:tcPr>
          <w:p w14:paraId="40956590"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Técnico/a de Prevención</w:t>
            </w:r>
          </w:p>
        </w:tc>
        <w:tc>
          <w:tcPr>
            <w:tcW w:w="580" w:type="pct"/>
            <w:tcBorders>
              <w:top w:val="nil"/>
              <w:left w:val="single" w:sz="8" w:space="0" w:color="000000"/>
              <w:bottom w:val="single" w:sz="8" w:space="0" w:color="000000"/>
              <w:right w:val="nil"/>
            </w:tcBorders>
            <w:vAlign w:val="center"/>
            <w:hideMark/>
          </w:tcPr>
          <w:p w14:paraId="3E66215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21" w:type="pct"/>
            <w:tcBorders>
              <w:top w:val="nil"/>
              <w:left w:val="single" w:sz="8" w:space="0" w:color="000000"/>
              <w:bottom w:val="single" w:sz="8" w:space="0" w:color="000000"/>
              <w:right w:val="nil"/>
            </w:tcBorders>
            <w:vAlign w:val="center"/>
            <w:hideMark/>
          </w:tcPr>
          <w:p w14:paraId="6F19491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502" w:type="pct"/>
            <w:tcBorders>
              <w:top w:val="nil"/>
              <w:left w:val="single" w:sz="8" w:space="0" w:color="000000"/>
              <w:bottom w:val="single" w:sz="8" w:space="0" w:color="000000"/>
              <w:right w:val="nil"/>
            </w:tcBorders>
            <w:vAlign w:val="center"/>
            <w:hideMark/>
          </w:tcPr>
          <w:p w14:paraId="3815CC5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p>
        </w:tc>
        <w:tc>
          <w:tcPr>
            <w:tcW w:w="537" w:type="pct"/>
            <w:tcBorders>
              <w:top w:val="nil"/>
              <w:left w:val="single" w:sz="8" w:space="0" w:color="000000"/>
              <w:bottom w:val="single" w:sz="8" w:space="0" w:color="000000"/>
              <w:right w:val="nil"/>
            </w:tcBorders>
            <w:vAlign w:val="center"/>
            <w:hideMark/>
          </w:tcPr>
          <w:p w14:paraId="374C6565"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48</w:t>
            </w:r>
          </w:p>
        </w:tc>
        <w:tc>
          <w:tcPr>
            <w:tcW w:w="627" w:type="pct"/>
            <w:tcBorders>
              <w:top w:val="nil"/>
              <w:left w:val="single" w:sz="8" w:space="0" w:color="000000"/>
              <w:bottom w:val="single" w:sz="8" w:space="0" w:color="000000"/>
              <w:right w:val="single" w:sz="8" w:space="0" w:color="000000"/>
            </w:tcBorders>
            <w:vAlign w:val="center"/>
            <w:hideMark/>
          </w:tcPr>
          <w:p w14:paraId="08DA93F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r w:rsidR="003B28A6" w14:paraId="3F64B4E0" w14:textId="77777777" w:rsidTr="003B28A6">
        <w:trPr>
          <w:trHeight w:val="429"/>
        </w:trPr>
        <w:tc>
          <w:tcPr>
            <w:tcW w:w="627" w:type="pct"/>
            <w:tcBorders>
              <w:top w:val="nil"/>
              <w:left w:val="single" w:sz="8" w:space="0" w:color="000000"/>
              <w:bottom w:val="single" w:sz="8" w:space="0" w:color="000000"/>
              <w:right w:val="nil"/>
            </w:tcBorders>
            <w:vAlign w:val="center"/>
            <w:hideMark/>
          </w:tcPr>
          <w:p w14:paraId="785127F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36</w:t>
            </w:r>
          </w:p>
        </w:tc>
        <w:tc>
          <w:tcPr>
            <w:tcW w:w="1706" w:type="pct"/>
            <w:tcBorders>
              <w:top w:val="nil"/>
              <w:left w:val="single" w:sz="8" w:space="0" w:color="000000"/>
              <w:bottom w:val="single" w:sz="8" w:space="0" w:color="000000"/>
              <w:right w:val="nil"/>
            </w:tcBorders>
            <w:vAlign w:val="center"/>
            <w:hideMark/>
          </w:tcPr>
          <w:p w14:paraId="5C760A1D"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Técnico/a de Formación</w:t>
            </w:r>
          </w:p>
        </w:tc>
        <w:tc>
          <w:tcPr>
            <w:tcW w:w="580" w:type="pct"/>
            <w:tcBorders>
              <w:top w:val="nil"/>
              <w:left w:val="single" w:sz="8" w:space="0" w:color="000000"/>
              <w:bottom w:val="single" w:sz="8" w:space="0" w:color="000000"/>
              <w:right w:val="nil"/>
            </w:tcBorders>
            <w:vAlign w:val="center"/>
            <w:hideMark/>
          </w:tcPr>
          <w:p w14:paraId="376ED1F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21" w:type="pct"/>
            <w:tcBorders>
              <w:top w:val="nil"/>
              <w:left w:val="single" w:sz="8" w:space="0" w:color="000000"/>
              <w:bottom w:val="single" w:sz="8" w:space="0" w:color="000000"/>
              <w:right w:val="nil"/>
            </w:tcBorders>
            <w:vAlign w:val="center"/>
            <w:hideMark/>
          </w:tcPr>
          <w:p w14:paraId="317A3CB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502" w:type="pct"/>
            <w:tcBorders>
              <w:top w:val="nil"/>
              <w:left w:val="single" w:sz="8" w:space="0" w:color="000000"/>
              <w:bottom w:val="single" w:sz="8" w:space="0" w:color="000000"/>
              <w:right w:val="nil"/>
            </w:tcBorders>
            <w:vAlign w:val="center"/>
            <w:hideMark/>
          </w:tcPr>
          <w:p w14:paraId="3976EFC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p>
        </w:tc>
        <w:tc>
          <w:tcPr>
            <w:tcW w:w="537" w:type="pct"/>
            <w:tcBorders>
              <w:top w:val="nil"/>
              <w:left w:val="single" w:sz="8" w:space="0" w:color="000000"/>
              <w:bottom w:val="single" w:sz="8" w:space="0" w:color="000000"/>
              <w:right w:val="nil"/>
            </w:tcBorders>
            <w:vAlign w:val="center"/>
            <w:hideMark/>
          </w:tcPr>
          <w:p w14:paraId="22D85AF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48</w:t>
            </w:r>
          </w:p>
        </w:tc>
        <w:tc>
          <w:tcPr>
            <w:tcW w:w="627" w:type="pct"/>
            <w:tcBorders>
              <w:top w:val="nil"/>
              <w:left w:val="single" w:sz="8" w:space="0" w:color="000000"/>
              <w:bottom w:val="single" w:sz="8" w:space="0" w:color="000000"/>
              <w:right w:val="single" w:sz="8" w:space="0" w:color="000000"/>
            </w:tcBorders>
            <w:vAlign w:val="center"/>
            <w:hideMark/>
          </w:tcPr>
          <w:p w14:paraId="6127654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r w:rsidR="003B28A6" w14:paraId="5AA91AD6" w14:textId="77777777" w:rsidTr="003B28A6">
        <w:trPr>
          <w:trHeight w:val="420"/>
        </w:trPr>
        <w:tc>
          <w:tcPr>
            <w:tcW w:w="627" w:type="pct"/>
            <w:tcBorders>
              <w:top w:val="nil"/>
              <w:left w:val="single" w:sz="8" w:space="0" w:color="000000"/>
              <w:bottom w:val="single" w:sz="8" w:space="0" w:color="000000"/>
              <w:right w:val="nil"/>
            </w:tcBorders>
            <w:vAlign w:val="center"/>
            <w:hideMark/>
          </w:tcPr>
          <w:p w14:paraId="157BC0A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41</w:t>
            </w:r>
          </w:p>
        </w:tc>
        <w:tc>
          <w:tcPr>
            <w:tcW w:w="1706" w:type="pct"/>
            <w:tcBorders>
              <w:top w:val="nil"/>
              <w:left w:val="single" w:sz="8" w:space="0" w:color="000000"/>
              <w:bottom w:val="single" w:sz="8" w:space="0" w:color="000000"/>
              <w:right w:val="nil"/>
            </w:tcBorders>
            <w:vAlign w:val="center"/>
            <w:hideMark/>
          </w:tcPr>
          <w:p w14:paraId="479B9BBE"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Técnico/a de Prevención</w:t>
            </w:r>
          </w:p>
        </w:tc>
        <w:tc>
          <w:tcPr>
            <w:tcW w:w="580" w:type="pct"/>
            <w:tcBorders>
              <w:top w:val="nil"/>
              <w:left w:val="single" w:sz="8" w:space="0" w:color="000000"/>
              <w:bottom w:val="single" w:sz="8" w:space="0" w:color="000000"/>
              <w:right w:val="nil"/>
            </w:tcBorders>
            <w:vAlign w:val="center"/>
            <w:hideMark/>
          </w:tcPr>
          <w:p w14:paraId="37B29B45"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21" w:type="pct"/>
            <w:tcBorders>
              <w:top w:val="nil"/>
              <w:left w:val="single" w:sz="8" w:space="0" w:color="000000"/>
              <w:bottom w:val="single" w:sz="8" w:space="0" w:color="000000"/>
              <w:right w:val="nil"/>
            </w:tcBorders>
            <w:vAlign w:val="center"/>
            <w:hideMark/>
          </w:tcPr>
          <w:p w14:paraId="59FB785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502" w:type="pct"/>
            <w:tcBorders>
              <w:top w:val="nil"/>
              <w:left w:val="single" w:sz="8" w:space="0" w:color="000000"/>
              <w:bottom w:val="single" w:sz="8" w:space="0" w:color="000000"/>
              <w:right w:val="nil"/>
            </w:tcBorders>
            <w:vAlign w:val="center"/>
            <w:hideMark/>
          </w:tcPr>
          <w:p w14:paraId="1F44660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p>
        </w:tc>
        <w:tc>
          <w:tcPr>
            <w:tcW w:w="537" w:type="pct"/>
            <w:tcBorders>
              <w:top w:val="nil"/>
              <w:left w:val="single" w:sz="8" w:space="0" w:color="000000"/>
              <w:bottom w:val="single" w:sz="8" w:space="0" w:color="000000"/>
              <w:right w:val="nil"/>
            </w:tcBorders>
            <w:vAlign w:val="center"/>
            <w:hideMark/>
          </w:tcPr>
          <w:p w14:paraId="1E0A7B1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48</w:t>
            </w:r>
          </w:p>
        </w:tc>
        <w:tc>
          <w:tcPr>
            <w:tcW w:w="627" w:type="pct"/>
            <w:tcBorders>
              <w:top w:val="nil"/>
              <w:left w:val="single" w:sz="8" w:space="0" w:color="000000"/>
              <w:bottom w:val="single" w:sz="8" w:space="0" w:color="000000"/>
              <w:right w:val="single" w:sz="8" w:space="0" w:color="000000"/>
            </w:tcBorders>
            <w:vAlign w:val="center"/>
            <w:hideMark/>
          </w:tcPr>
          <w:p w14:paraId="132056A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r w:rsidR="003B28A6" w14:paraId="538EA816" w14:textId="77777777" w:rsidTr="003B28A6">
        <w:trPr>
          <w:trHeight w:val="552"/>
        </w:trPr>
        <w:tc>
          <w:tcPr>
            <w:tcW w:w="627" w:type="pct"/>
            <w:tcBorders>
              <w:top w:val="nil"/>
              <w:left w:val="single" w:sz="8" w:space="0" w:color="000000"/>
              <w:bottom w:val="single" w:sz="8" w:space="0" w:color="000000"/>
              <w:right w:val="nil"/>
            </w:tcBorders>
            <w:vAlign w:val="center"/>
            <w:hideMark/>
          </w:tcPr>
          <w:p w14:paraId="2477593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42</w:t>
            </w:r>
          </w:p>
        </w:tc>
        <w:tc>
          <w:tcPr>
            <w:tcW w:w="1706" w:type="pct"/>
            <w:tcBorders>
              <w:top w:val="nil"/>
              <w:left w:val="single" w:sz="8" w:space="0" w:color="000000"/>
              <w:bottom w:val="single" w:sz="8" w:space="0" w:color="000000"/>
              <w:right w:val="nil"/>
            </w:tcBorders>
            <w:vAlign w:val="center"/>
            <w:hideMark/>
          </w:tcPr>
          <w:p w14:paraId="11A7364E"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Técnico/a de Prevención Jurídico</w:t>
            </w:r>
          </w:p>
        </w:tc>
        <w:tc>
          <w:tcPr>
            <w:tcW w:w="580" w:type="pct"/>
            <w:tcBorders>
              <w:top w:val="nil"/>
              <w:left w:val="single" w:sz="8" w:space="0" w:color="000000"/>
              <w:bottom w:val="single" w:sz="8" w:space="0" w:color="000000"/>
              <w:right w:val="nil"/>
            </w:tcBorders>
            <w:vAlign w:val="center"/>
            <w:hideMark/>
          </w:tcPr>
          <w:p w14:paraId="56DB0A3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21" w:type="pct"/>
            <w:tcBorders>
              <w:top w:val="nil"/>
              <w:left w:val="single" w:sz="8" w:space="0" w:color="000000"/>
              <w:bottom w:val="single" w:sz="8" w:space="0" w:color="000000"/>
              <w:right w:val="nil"/>
            </w:tcBorders>
            <w:vAlign w:val="center"/>
            <w:hideMark/>
          </w:tcPr>
          <w:p w14:paraId="2C234BC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502" w:type="pct"/>
            <w:tcBorders>
              <w:top w:val="nil"/>
              <w:left w:val="single" w:sz="8" w:space="0" w:color="000000"/>
              <w:bottom w:val="single" w:sz="8" w:space="0" w:color="000000"/>
              <w:right w:val="nil"/>
            </w:tcBorders>
            <w:vAlign w:val="center"/>
            <w:hideMark/>
          </w:tcPr>
          <w:p w14:paraId="611DDCF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p>
        </w:tc>
        <w:tc>
          <w:tcPr>
            <w:tcW w:w="537" w:type="pct"/>
            <w:tcBorders>
              <w:top w:val="nil"/>
              <w:left w:val="single" w:sz="8" w:space="0" w:color="000000"/>
              <w:bottom w:val="single" w:sz="8" w:space="0" w:color="000000"/>
              <w:right w:val="nil"/>
            </w:tcBorders>
            <w:vAlign w:val="center"/>
            <w:hideMark/>
          </w:tcPr>
          <w:p w14:paraId="51B1DB5F"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48</w:t>
            </w:r>
          </w:p>
        </w:tc>
        <w:tc>
          <w:tcPr>
            <w:tcW w:w="627" w:type="pct"/>
            <w:tcBorders>
              <w:top w:val="nil"/>
              <w:left w:val="single" w:sz="8" w:space="0" w:color="000000"/>
              <w:bottom w:val="single" w:sz="8" w:space="0" w:color="000000"/>
              <w:right w:val="single" w:sz="8" w:space="0" w:color="000000"/>
            </w:tcBorders>
            <w:vAlign w:val="center"/>
            <w:hideMark/>
          </w:tcPr>
          <w:p w14:paraId="2F39B2D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r w:rsidR="003B28A6" w14:paraId="565B4732" w14:textId="77777777" w:rsidTr="003B28A6">
        <w:trPr>
          <w:trHeight w:val="410"/>
        </w:trPr>
        <w:tc>
          <w:tcPr>
            <w:tcW w:w="627" w:type="pct"/>
            <w:tcBorders>
              <w:top w:val="nil"/>
              <w:left w:val="single" w:sz="8" w:space="0" w:color="000000"/>
              <w:bottom w:val="single" w:sz="8" w:space="0" w:color="000000"/>
              <w:right w:val="nil"/>
            </w:tcBorders>
            <w:vAlign w:val="center"/>
            <w:hideMark/>
          </w:tcPr>
          <w:p w14:paraId="22D346D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43</w:t>
            </w:r>
          </w:p>
        </w:tc>
        <w:tc>
          <w:tcPr>
            <w:tcW w:w="1706" w:type="pct"/>
            <w:tcBorders>
              <w:top w:val="nil"/>
              <w:left w:val="single" w:sz="8" w:space="0" w:color="000000"/>
              <w:bottom w:val="single" w:sz="8" w:space="0" w:color="000000"/>
              <w:right w:val="nil"/>
            </w:tcBorders>
            <w:vAlign w:val="center"/>
            <w:hideMark/>
          </w:tcPr>
          <w:p w14:paraId="1E522ADC"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Técnico/a de Prevención Jurídico</w:t>
            </w:r>
          </w:p>
        </w:tc>
        <w:tc>
          <w:tcPr>
            <w:tcW w:w="580" w:type="pct"/>
            <w:tcBorders>
              <w:top w:val="nil"/>
              <w:left w:val="single" w:sz="8" w:space="0" w:color="000000"/>
              <w:bottom w:val="single" w:sz="8" w:space="0" w:color="000000"/>
              <w:right w:val="nil"/>
            </w:tcBorders>
            <w:vAlign w:val="center"/>
            <w:hideMark/>
          </w:tcPr>
          <w:p w14:paraId="5142F19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21" w:type="pct"/>
            <w:tcBorders>
              <w:top w:val="nil"/>
              <w:left w:val="single" w:sz="8" w:space="0" w:color="000000"/>
              <w:bottom w:val="single" w:sz="8" w:space="0" w:color="000000"/>
              <w:right w:val="nil"/>
            </w:tcBorders>
            <w:vAlign w:val="center"/>
            <w:hideMark/>
          </w:tcPr>
          <w:p w14:paraId="103B2C7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502" w:type="pct"/>
            <w:tcBorders>
              <w:top w:val="nil"/>
              <w:left w:val="single" w:sz="8" w:space="0" w:color="000000"/>
              <w:bottom w:val="single" w:sz="8" w:space="0" w:color="000000"/>
              <w:right w:val="nil"/>
            </w:tcBorders>
            <w:vAlign w:val="center"/>
            <w:hideMark/>
          </w:tcPr>
          <w:p w14:paraId="492669D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p>
        </w:tc>
        <w:tc>
          <w:tcPr>
            <w:tcW w:w="537" w:type="pct"/>
            <w:tcBorders>
              <w:top w:val="nil"/>
              <w:left w:val="single" w:sz="8" w:space="0" w:color="000000"/>
              <w:bottom w:val="single" w:sz="8" w:space="0" w:color="000000"/>
              <w:right w:val="nil"/>
            </w:tcBorders>
            <w:vAlign w:val="center"/>
            <w:hideMark/>
          </w:tcPr>
          <w:p w14:paraId="61B719F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48</w:t>
            </w:r>
          </w:p>
        </w:tc>
        <w:tc>
          <w:tcPr>
            <w:tcW w:w="627" w:type="pct"/>
            <w:tcBorders>
              <w:top w:val="nil"/>
              <w:left w:val="single" w:sz="8" w:space="0" w:color="000000"/>
              <w:bottom w:val="single" w:sz="8" w:space="0" w:color="000000"/>
              <w:right w:val="single" w:sz="8" w:space="0" w:color="000000"/>
            </w:tcBorders>
            <w:vAlign w:val="center"/>
            <w:hideMark/>
          </w:tcPr>
          <w:p w14:paraId="486B45A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r w:rsidR="003B28A6" w14:paraId="3500FCB8" w14:textId="77777777" w:rsidTr="003B28A6">
        <w:trPr>
          <w:trHeight w:val="644"/>
        </w:trPr>
        <w:tc>
          <w:tcPr>
            <w:tcW w:w="627" w:type="pct"/>
            <w:tcBorders>
              <w:top w:val="nil"/>
              <w:left w:val="single" w:sz="8" w:space="0" w:color="000000"/>
              <w:bottom w:val="single" w:sz="8" w:space="0" w:color="000000"/>
              <w:right w:val="nil"/>
            </w:tcBorders>
            <w:vAlign w:val="center"/>
            <w:hideMark/>
          </w:tcPr>
          <w:p w14:paraId="06C71FD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44</w:t>
            </w:r>
          </w:p>
        </w:tc>
        <w:tc>
          <w:tcPr>
            <w:tcW w:w="1706" w:type="pct"/>
            <w:tcBorders>
              <w:top w:val="nil"/>
              <w:left w:val="single" w:sz="8" w:space="0" w:color="000000"/>
              <w:bottom w:val="single" w:sz="8" w:space="0" w:color="000000"/>
              <w:right w:val="nil"/>
            </w:tcBorders>
            <w:vAlign w:val="center"/>
            <w:hideMark/>
          </w:tcPr>
          <w:p w14:paraId="201DF478"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Negociado de Soporte Documentación</w:t>
            </w:r>
          </w:p>
        </w:tc>
        <w:tc>
          <w:tcPr>
            <w:tcW w:w="580" w:type="pct"/>
            <w:tcBorders>
              <w:top w:val="nil"/>
              <w:left w:val="single" w:sz="8" w:space="0" w:color="000000"/>
              <w:bottom w:val="single" w:sz="8" w:space="0" w:color="000000"/>
              <w:right w:val="nil"/>
            </w:tcBorders>
            <w:vAlign w:val="center"/>
            <w:hideMark/>
          </w:tcPr>
          <w:p w14:paraId="3838664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421" w:type="pct"/>
            <w:tcBorders>
              <w:top w:val="nil"/>
              <w:left w:val="single" w:sz="8" w:space="0" w:color="000000"/>
              <w:bottom w:val="single" w:sz="8" w:space="0" w:color="000000"/>
              <w:right w:val="nil"/>
            </w:tcBorders>
            <w:vAlign w:val="center"/>
            <w:hideMark/>
          </w:tcPr>
          <w:p w14:paraId="66B78A1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C1/C2</w:t>
            </w:r>
          </w:p>
        </w:tc>
        <w:tc>
          <w:tcPr>
            <w:tcW w:w="502" w:type="pct"/>
            <w:tcBorders>
              <w:top w:val="nil"/>
              <w:left w:val="single" w:sz="8" w:space="0" w:color="000000"/>
              <w:bottom w:val="single" w:sz="8" w:space="0" w:color="000000"/>
              <w:right w:val="nil"/>
            </w:tcBorders>
            <w:vAlign w:val="center"/>
            <w:hideMark/>
          </w:tcPr>
          <w:p w14:paraId="2A39F405"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18</w:t>
            </w:r>
          </w:p>
        </w:tc>
        <w:tc>
          <w:tcPr>
            <w:tcW w:w="537" w:type="pct"/>
            <w:tcBorders>
              <w:top w:val="nil"/>
              <w:left w:val="single" w:sz="8" w:space="0" w:color="000000"/>
              <w:bottom w:val="single" w:sz="8" w:space="0" w:color="000000"/>
              <w:right w:val="nil"/>
            </w:tcBorders>
            <w:vAlign w:val="center"/>
            <w:hideMark/>
          </w:tcPr>
          <w:p w14:paraId="0C531ED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35</w:t>
            </w:r>
          </w:p>
        </w:tc>
        <w:tc>
          <w:tcPr>
            <w:tcW w:w="627" w:type="pct"/>
            <w:tcBorders>
              <w:top w:val="nil"/>
              <w:left w:val="single" w:sz="8" w:space="0" w:color="000000"/>
              <w:bottom w:val="single" w:sz="8" w:space="0" w:color="000000"/>
              <w:right w:val="single" w:sz="8" w:space="0" w:color="000000"/>
            </w:tcBorders>
            <w:vAlign w:val="center"/>
            <w:hideMark/>
          </w:tcPr>
          <w:p w14:paraId="6BD3BCD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bl>
    <w:p w14:paraId="52E437F0" w14:textId="77777777" w:rsidR="003B28A6" w:rsidRDefault="003B28A6" w:rsidP="003B28A6">
      <w:pPr>
        <w:jc w:val="both"/>
        <w:rPr>
          <w:rFonts w:ascii="Arial" w:eastAsia="Droid Sans Fallback" w:hAnsi="Arial" w:cs="Arial"/>
          <w:kern w:val="3"/>
          <w:sz w:val="21"/>
          <w:szCs w:val="21"/>
          <w:lang w:eastAsia="zh-CN" w:bidi="hi-IN"/>
        </w:rPr>
      </w:pPr>
    </w:p>
    <w:tbl>
      <w:tblPr>
        <w:tblW w:w="0" w:type="auto"/>
        <w:tblCellMar>
          <w:left w:w="70" w:type="dxa"/>
          <w:right w:w="70" w:type="dxa"/>
        </w:tblCellMar>
        <w:tblLook w:val="04A0" w:firstRow="1" w:lastRow="0" w:firstColumn="1" w:lastColumn="0" w:noHBand="0" w:noVBand="1"/>
      </w:tblPr>
      <w:tblGrid>
        <w:gridCol w:w="911"/>
        <w:gridCol w:w="3334"/>
        <w:gridCol w:w="780"/>
        <w:gridCol w:w="651"/>
        <w:gridCol w:w="759"/>
        <w:gridCol w:w="753"/>
        <w:gridCol w:w="1316"/>
      </w:tblGrid>
      <w:tr w:rsidR="003B28A6" w14:paraId="569CC594" w14:textId="77777777" w:rsidTr="003B28A6">
        <w:trPr>
          <w:trHeight w:val="300"/>
        </w:trPr>
        <w:tc>
          <w:tcPr>
            <w:tcW w:w="0" w:type="auto"/>
            <w:gridSpan w:val="7"/>
            <w:tcBorders>
              <w:top w:val="nil"/>
              <w:left w:val="nil"/>
              <w:bottom w:val="single" w:sz="8" w:space="0" w:color="000000"/>
              <w:right w:val="nil"/>
            </w:tcBorders>
            <w:shd w:val="clear" w:color="auto" w:fill="9D2235"/>
            <w:vAlign w:val="center"/>
            <w:hideMark/>
          </w:tcPr>
          <w:p w14:paraId="1842D2C6" w14:textId="77777777" w:rsidR="003B28A6" w:rsidRDefault="003B28A6">
            <w:pPr>
              <w:spacing w:after="0" w:line="240" w:lineRule="auto"/>
              <w:jc w:val="both"/>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DIRECCIÓN DE ASUNTOS JURÍDICOS</w:t>
            </w:r>
          </w:p>
        </w:tc>
      </w:tr>
      <w:tr w:rsidR="003B28A6" w14:paraId="5B1D72AF" w14:textId="77777777" w:rsidTr="003B28A6">
        <w:trPr>
          <w:trHeight w:val="564"/>
        </w:trPr>
        <w:tc>
          <w:tcPr>
            <w:tcW w:w="0" w:type="auto"/>
            <w:tcBorders>
              <w:top w:val="nil"/>
              <w:left w:val="single" w:sz="8" w:space="0" w:color="000000"/>
              <w:bottom w:val="single" w:sz="8" w:space="0" w:color="000000"/>
              <w:right w:val="nil"/>
            </w:tcBorders>
            <w:vAlign w:val="center"/>
            <w:hideMark/>
          </w:tcPr>
          <w:p w14:paraId="57549BD3"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N.º puesto</w:t>
            </w:r>
          </w:p>
        </w:tc>
        <w:tc>
          <w:tcPr>
            <w:tcW w:w="0" w:type="auto"/>
            <w:tcBorders>
              <w:top w:val="nil"/>
              <w:left w:val="single" w:sz="8" w:space="0" w:color="000000"/>
              <w:bottom w:val="single" w:sz="8" w:space="0" w:color="000000"/>
              <w:right w:val="nil"/>
            </w:tcBorders>
            <w:vAlign w:val="center"/>
            <w:hideMark/>
          </w:tcPr>
          <w:p w14:paraId="63EADE6B"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Denominación</w:t>
            </w:r>
          </w:p>
        </w:tc>
        <w:tc>
          <w:tcPr>
            <w:tcW w:w="0" w:type="auto"/>
            <w:tcBorders>
              <w:top w:val="nil"/>
              <w:left w:val="single" w:sz="8" w:space="0" w:color="000000"/>
              <w:bottom w:val="single" w:sz="8" w:space="0" w:color="000000"/>
              <w:right w:val="nil"/>
            </w:tcBorders>
            <w:vAlign w:val="center"/>
            <w:hideMark/>
          </w:tcPr>
          <w:p w14:paraId="446396DF"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Rég. Jco.</w:t>
            </w:r>
          </w:p>
        </w:tc>
        <w:tc>
          <w:tcPr>
            <w:tcW w:w="0" w:type="auto"/>
            <w:tcBorders>
              <w:top w:val="nil"/>
              <w:left w:val="single" w:sz="8" w:space="0" w:color="000000"/>
              <w:bottom w:val="single" w:sz="8" w:space="0" w:color="000000"/>
              <w:right w:val="nil"/>
            </w:tcBorders>
            <w:vAlign w:val="center"/>
            <w:hideMark/>
          </w:tcPr>
          <w:p w14:paraId="3B9FC759"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Gr.</w:t>
            </w:r>
          </w:p>
        </w:tc>
        <w:tc>
          <w:tcPr>
            <w:tcW w:w="0" w:type="auto"/>
            <w:tcBorders>
              <w:top w:val="nil"/>
              <w:left w:val="single" w:sz="8" w:space="0" w:color="000000"/>
              <w:bottom w:val="single" w:sz="8" w:space="0" w:color="000000"/>
              <w:right w:val="nil"/>
            </w:tcBorders>
            <w:vAlign w:val="center"/>
            <w:hideMark/>
          </w:tcPr>
          <w:p w14:paraId="7BAF6F1B"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Nivel CD</w:t>
            </w:r>
          </w:p>
        </w:tc>
        <w:tc>
          <w:tcPr>
            <w:tcW w:w="0" w:type="auto"/>
            <w:tcBorders>
              <w:top w:val="nil"/>
              <w:left w:val="single" w:sz="8" w:space="0" w:color="000000"/>
              <w:bottom w:val="single" w:sz="8" w:space="0" w:color="000000"/>
              <w:right w:val="nil"/>
            </w:tcBorders>
            <w:vAlign w:val="center"/>
            <w:hideMark/>
          </w:tcPr>
          <w:p w14:paraId="14464D7B"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Nivel CE</w:t>
            </w:r>
          </w:p>
        </w:tc>
        <w:tc>
          <w:tcPr>
            <w:tcW w:w="0" w:type="auto"/>
            <w:tcBorders>
              <w:top w:val="nil"/>
              <w:left w:val="single" w:sz="8" w:space="0" w:color="000000"/>
              <w:bottom w:val="single" w:sz="8" w:space="0" w:color="000000"/>
              <w:right w:val="single" w:sz="8" w:space="0" w:color="000000"/>
            </w:tcBorders>
            <w:vAlign w:val="center"/>
            <w:hideMark/>
          </w:tcPr>
          <w:p w14:paraId="68172619" w14:textId="77777777" w:rsidR="003B28A6" w:rsidRDefault="003B28A6">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Forma provisión</w:t>
            </w:r>
          </w:p>
        </w:tc>
      </w:tr>
      <w:tr w:rsidR="003B28A6" w14:paraId="3F79D687" w14:textId="77777777" w:rsidTr="003B28A6">
        <w:trPr>
          <w:trHeight w:val="268"/>
        </w:trPr>
        <w:tc>
          <w:tcPr>
            <w:tcW w:w="0" w:type="auto"/>
            <w:tcBorders>
              <w:top w:val="nil"/>
              <w:left w:val="single" w:sz="8" w:space="0" w:color="000000"/>
              <w:bottom w:val="single" w:sz="8" w:space="0" w:color="000000"/>
              <w:right w:val="nil"/>
            </w:tcBorders>
            <w:vAlign w:val="center"/>
            <w:hideMark/>
          </w:tcPr>
          <w:p w14:paraId="13C5891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w:t>
            </w:r>
          </w:p>
        </w:tc>
        <w:tc>
          <w:tcPr>
            <w:tcW w:w="0" w:type="auto"/>
            <w:tcBorders>
              <w:top w:val="nil"/>
              <w:left w:val="single" w:sz="8" w:space="0" w:color="000000"/>
              <w:bottom w:val="single" w:sz="8" w:space="0" w:color="000000"/>
              <w:right w:val="nil"/>
            </w:tcBorders>
            <w:vAlign w:val="center"/>
            <w:hideMark/>
          </w:tcPr>
          <w:p w14:paraId="1C298902"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Director/a de Asuntos Jurídicos</w:t>
            </w:r>
          </w:p>
        </w:tc>
        <w:tc>
          <w:tcPr>
            <w:tcW w:w="0" w:type="auto"/>
            <w:tcBorders>
              <w:top w:val="nil"/>
              <w:left w:val="single" w:sz="8" w:space="0" w:color="000000"/>
              <w:bottom w:val="single" w:sz="8" w:space="0" w:color="000000"/>
              <w:right w:val="nil"/>
            </w:tcBorders>
            <w:vAlign w:val="center"/>
            <w:hideMark/>
          </w:tcPr>
          <w:p w14:paraId="0079CE0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5BE25E4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0" w:type="auto"/>
            <w:tcBorders>
              <w:top w:val="nil"/>
              <w:left w:val="single" w:sz="8" w:space="0" w:color="000000"/>
              <w:bottom w:val="single" w:sz="8" w:space="0" w:color="000000"/>
              <w:right w:val="nil"/>
            </w:tcBorders>
            <w:vAlign w:val="center"/>
            <w:hideMark/>
          </w:tcPr>
          <w:p w14:paraId="164895C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30</w:t>
            </w:r>
          </w:p>
        </w:tc>
        <w:tc>
          <w:tcPr>
            <w:tcW w:w="0" w:type="auto"/>
            <w:tcBorders>
              <w:top w:val="nil"/>
              <w:left w:val="single" w:sz="8" w:space="0" w:color="000000"/>
              <w:bottom w:val="single" w:sz="8" w:space="0" w:color="000000"/>
              <w:right w:val="nil"/>
            </w:tcBorders>
            <w:vAlign w:val="center"/>
            <w:hideMark/>
          </w:tcPr>
          <w:p w14:paraId="79A7B90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w:t>
            </w:r>
          </w:p>
        </w:tc>
        <w:tc>
          <w:tcPr>
            <w:tcW w:w="0" w:type="auto"/>
            <w:tcBorders>
              <w:top w:val="nil"/>
              <w:left w:val="single" w:sz="8" w:space="0" w:color="000000"/>
              <w:bottom w:val="single" w:sz="8" w:space="0" w:color="000000"/>
              <w:right w:val="single" w:sz="8" w:space="0" w:color="000000"/>
            </w:tcBorders>
            <w:vAlign w:val="center"/>
            <w:hideMark/>
          </w:tcPr>
          <w:p w14:paraId="32714BE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6D18FEB6" w14:textId="77777777" w:rsidTr="003B28A6">
        <w:trPr>
          <w:trHeight w:val="300"/>
        </w:trPr>
        <w:tc>
          <w:tcPr>
            <w:tcW w:w="0" w:type="auto"/>
            <w:tcBorders>
              <w:top w:val="nil"/>
              <w:left w:val="single" w:sz="8" w:space="0" w:color="000000"/>
              <w:bottom w:val="single" w:sz="8" w:space="0" w:color="000000"/>
              <w:right w:val="nil"/>
            </w:tcBorders>
            <w:vAlign w:val="center"/>
            <w:hideMark/>
          </w:tcPr>
          <w:p w14:paraId="4027CB5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11</w:t>
            </w:r>
          </w:p>
        </w:tc>
        <w:tc>
          <w:tcPr>
            <w:tcW w:w="0" w:type="auto"/>
            <w:tcBorders>
              <w:top w:val="nil"/>
              <w:left w:val="single" w:sz="8" w:space="0" w:color="000000"/>
              <w:bottom w:val="single" w:sz="8" w:space="0" w:color="000000"/>
              <w:right w:val="nil"/>
            </w:tcBorders>
            <w:vAlign w:val="center"/>
            <w:hideMark/>
          </w:tcPr>
          <w:p w14:paraId="51AFA6D6"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Letrado/a</w:t>
            </w:r>
          </w:p>
        </w:tc>
        <w:tc>
          <w:tcPr>
            <w:tcW w:w="0" w:type="auto"/>
            <w:tcBorders>
              <w:top w:val="nil"/>
              <w:left w:val="single" w:sz="8" w:space="0" w:color="000000"/>
              <w:bottom w:val="single" w:sz="8" w:space="0" w:color="000000"/>
              <w:right w:val="nil"/>
            </w:tcBorders>
            <w:vAlign w:val="center"/>
            <w:hideMark/>
          </w:tcPr>
          <w:p w14:paraId="5AA0335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4EDF4589"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0" w:type="auto"/>
            <w:tcBorders>
              <w:top w:val="nil"/>
              <w:left w:val="single" w:sz="8" w:space="0" w:color="000000"/>
              <w:bottom w:val="single" w:sz="8" w:space="0" w:color="000000"/>
              <w:right w:val="nil"/>
            </w:tcBorders>
            <w:vAlign w:val="center"/>
            <w:hideMark/>
          </w:tcPr>
          <w:p w14:paraId="667B6EEF"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28</w:t>
            </w:r>
          </w:p>
        </w:tc>
        <w:tc>
          <w:tcPr>
            <w:tcW w:w="0" w:type="auto"/>
            <w:tcBorders>
              <w:top w:val="nil"/>
              <w:left w:val="single" w:sz="8" w:space="0" w:color="000000"/>
              <w:bottom w:val="single" w:sz="8" w:space="0" w:color="000000"/>
              <w:right w:val="nil"/>
            </w:tcBorders>
            <w:vAlign w:val="center"/>
            <w:hideMark/>
          </w:tcPr>
          <w:p w14:paraId="285BC2AF"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w:t>
            </w:r>
          </w:p>
        </w:tc>
        <w:tc>
          <w:tcPr>
            <w:tcW w:w="0" w:type="auto"/>
            <w:tcBorders>
              <w:top w:val="nil"/>
              <w:left w:val="single" w:sz="8" w:space="0" w:color="000000"/>
              <w:bottom w:val="single" w:sz="8" w:space="0" w:color="000000"/>
              <w:right w:val="single" w:sz="8" w:space="0" w:color="000000"/>
            </w:tcBorders>
            <w:vAlign w:val="center"/>
            <w:hideMark/>
          </w:tcPr>
          <w:p w14:paraId="634870B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12492A92" w14:textId="77777777" w:rsidTr="003B28A6">
        <w:trPr>
          <w:trHeight w:val="517"/>
        </w:trPr>
        <w:tc>
          <w:tcPr>
            <w:tcW w:w="0" w:type="auto"/>
            <w:tcBorders>
              <w:top w:val="nil"/>
              <w:left w:val="single" w:sz="8" w:space="0" w:color="000000"/>
              <w:bottom w:val="single" w:sz="8" w:space="0" w:color="000000"/>
              <w:right w:val="nil"/>
            </w:tcBorders>
            <w:vAlign w:val="center"/>
            <w:hideMark/>
          </w:tcPr>
          <w:p w14:paraId="72F06AF9"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p>
        </w:tc>
        <w:tc>
          <w:tcPr>
            <w:tcW w:w="0" w:type="auto"/>
            <w:tcBorders>
              <w:top w:val="nil"/>
              <w:left w:val="single" w:sz="8" w:space="0" w:color="000000"/>
              <w:bottom w:val="single" w:sz="8" w:space="0" w:color="000000"/>
              <w:right w:val="nil"/>
            </w:tcBorders>
            <w:vAlign w:val="center"/>
            <w:hideMark/>
          </w:tcPr>
          <w:p w14:paraId="0C44D12A"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Unidad de Asuntos Jurídicos</w:t>
            </w:r>
          </w:p>
        </w:tc>
        <w:tc>
          <w:tcPr>
            <w:tcW w:w="0" w:type="auto"/>
            <w:tcBorders>
              <w:top w:val="nil"/>
              <w:left w:val="single" w:sz="8" w:space="0" w:color="000000"/>
              <w:bottom w:val="single" w:sz="8" w:space="0" w:color="000000"/>
              <w:right w:val="nil"/>
            </w:tcBorders>
            <w:vAlign w:val="center"/>
            <w:hideMark/>
          </w:tcPr>
          <w:p w14:paraId="4718F1B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22FE52A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0" w:type="auto"/>
            <w:tcBorders>
              <w:top w:val="nil"/>
              <w:left w:val="single" w:sz="8" w:space="0" w:color="000000"/>
              <w:bottom w:val="single" w:sz="8" w:space="0" w:color="000000"/>
              <w:right w:val="nil"/>
            </w:tcBorders>
            <w:vAlign w:val="center"/>
            <w:hideMark/>
          </w:tcPr>
          <w:p w14:paraId="11B486B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26</w:t>
            </w:r>
          </w:p>
        </w:tc>
        <w:tc>
          <w:tcPr>
            <w:tcW w:w="0" w:type="auto"/>
            <w:tcBorders>
              <w:top w:val="nil"/>
              <w:left w:val="single" w:sz="8" w:space="0" w:color="000000"/>
              <w:bottom w:val="single" w:sz="8" w:space="0" w:color="000000"/>
              <w:right w:val="nil"/>
            </w:tcBorders>
            <w:vAlign w:val="center"/>
            <w:hideMark/>
          </w:tcPr>
          <w:p w14:paraId="55A1C67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49</w:t>
            </w:r>
          </w:p>
        </w:tc>
        <w:tc>
          <w:tcPr>
            <w:tcW w:w="0" w:type="auto"/>
            <w:tcBorders>
              <w:top w:val="nil"/>
              <w:left w:val="single" w:sz="8" w:space="0" w:color="000000"/>
              <w:bottom w:val="single" w:sz="8" w:space="0" w:color="000000"/>
              <w:right w:val="single" w:sz="8" w:space="0" w:color="000000"/>
            </w:tcBorders>
            <w:vAlign w:val="center"/>
            <w:hideMark/>
          </w:tcPr>
          <w:p w14:paraId="3A48B4B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1716A2FB" w14:textId="77777777" w:rsidTr="003B28A6">
        <w:trPr>
          <w:trHeight w:val="540"/>
        </w:trPr>
        <w:tc>
          <w:tcPr>
            <w:tcW w:w="0" w:type="auto"/>
            <w:tcBorders>
              <w:top w:val="nil"/>
              <w:left w:val="single" w:sz="8" w:space="0" w:color="000000"/>
              <w:bottom w:val="single" w:sz="8" w:space="0" w:color="000000"/>
              <w:right w:val="nil"/>
            </w:tcBorders>
            <w:vAlign w:val="center"/>
            <w:hideMark/>
          </w:tcPr>
          <w:p w14:paraId="1BF2D9F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29</w:t>
            </w:r>
          </w:p>
        </w:tc>
        <w:tc>
          <w:tcPr>
            <w:tcW w:w="0" w:type="auto"/>
            <w:tcBorders>
              <w:top w:val="nil"/>
              <w:left w:val="single" w:sz="8" w:space="0" w:color="000000"/>
              <w:bottom w:val="single" w:sz="8" w:space="0" w:color="000000"/>
              <w:right w:val="nil"/>
            </w:tcBorders>
            <w:vAlign w:val="center"/>
            <w:hideMark/>
          </w:tcPr>
          <w:p w14:paraId="4EA091AD"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negociado de soporte administrativo y jurídico</w:t>
            </w:r>
          </w:p>
        </w:tc>
        <w:tc>
          <w:tcPr>
            <w:tcW w:w="0" w:type="auto"/>
            <w:tcBorders>
              <w:top w:val="nil"/>
              <w:left w:val="single" w:sz="8" w:space="0" w:color="000000"/>
              <w:bottom w:val="single" w:sz="8" w:space="0" w:color="000000"/>
              <w:right w:val="nil"/>
            </w:tcBorders>
            <w:vAlign w:val="center"/>
            <w:hideMark/>
          </w:tcPr>
          <w:p w14:paraId="0101757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3004F58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C1/C2</w:t>
            </w:r>
          </w:p>
        </w:tc>
        <w:tc>
          <w:tcPr>
            <w:tcW w:w="0" w:type="auto"/>
            <w:tcBorders>
              <w:top w:val="nil"/>
              <w:left w:val="single" w:sz="8" w:space="0" w:color="000000"/>
              <w:bottom w:val="single" w:sz="8" w:space="0" w:color="000000"/>
              <w:right w:val="nil"/>
            </w:tcBorders>
            <w:vAlign w:val="center"/>
            <w:hideMark/>
          </w:tcPr>
          <w:p w14:paraId="494B3F7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18</w:t>
            </w:r>
          </w:p>
        </w:tc>
        <w:tc>
          <w:tcPr>
            <w:tcW w:w="0" w:type="auto"/>
            <w:tcBorders>
              <w:top w:val="nil"/>
              <w:left w:val="single" w:sz="8" w:space="0" w:color="000000"/>
              <w:bottom w:val="single" w:sz="8" w:space="0" w:color="000000"/>
              <w:right w:val="nil"/>
            </w:tcBorders>
            <w:vAlign w:val="center"/>
            <w:hideMark/>
          </w:tcPr>
          <w:p w14:paraId="66CD8E6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35</w:t>
            </w:r>
          </w:p>
        </w:tc>
        <w:tc>
          <w:tcPr>
            <w:tcW w:w="0" w:type="auto"/>
            <w:tcBorders>
              <w:top w:val="nil"/>
              <w:left w:val="single" w:sz="8" w:space="0" w:color="000000"/>
              <w:bottom w:val="single" w:sz="8" w:space="0" w:color="000000"/>
              <w:right w:val="single" w:sz="8" w:space="0" w:color="000000"/>
            </w:tcBorders>
            <w:vAlign w:val="center"/>
            <w:hideMark/>
          </w:tcPr>
          <w:p w14:paraId="76DCFE59"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r w:rsidR="003B28A6" w14:paraId="791BB890" w14:textId="77777777" w:rsidTr="003B28A6">
        <w:trPr>
          <w:trHeight w:val="300"/>
        </w:trPr>
        <w:tc>
          <w:tcPr>
            <w:tcW w:w="0" w:type="auto"/>
            <w:tcBorders>
              <w:top w:val="nil"/>
              <w:left w:val="single" w:sz="8" w:space="0" w:color="000000"/>
              <w:bottom w:val="single" w:sz="8" w:space="0" w:color="000000"/>
              <w:right w:val="nil"/>
            </w:tcBorders>
            <w:vAlign w:val="center"/>
            <w:hideMark/>
          </w:tcPr>
          <w:p w14:paraId="5A773A65"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37</w:t>
            </w:r>
          </w:p>
        </w:tc>
        <w:tc>
          <w:tcPr>
            <w:tcW w:w="0" w:type="auto"/>
            <w:tcBorders>
              <w:top w:val="nil"/>
              <w:left w:val="single" w:sz="8" w:space="0" w:color="000000"/>
              <w:bottom w:val="single" w:sz="8" w:space="0" w:color="000000"/>
              <w:right w:val="nil"/>
            </w:tcBorders>
            <w:vAlign w:val="center"/>
            <w:hideMark/>
          </w:tcPr>
          <w:p w14:paraId="2B080BE9"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Letrado/a</w:t>
            </w:r>
          </w:p>
        </w:tc>
        <w:tc>
          <w:tcPr>
            <w:tcW w:w="0" w:type="auto"/>
            <w:tcBorders>
              <w:top w:val="nil"/>
              <w:left w:val="single" w:sz="8" w:space="0" w:color="000000"/>
              <w:bottom w:val="single" w:sz="8" w:space="0" w:color="000000"/>
              <w:right w:val="nil"/>
            </w:tcBorders>
            <w:vAlign w:val="center"/>
            <w:hideMark/>
          </w:tcPr>
          <w:p w14:paraId="6EBDAD9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7DB9E37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0" w:type="auto"/>
            <w:tcBorders>
              <w:top w:val="nil"/>
              <w:left w:val="single" w:sz="8" w:space="0" w:color="000000"/>
              <w:bottom w:val="single" w:sz="8" w:space="0" w:color="000000"/>
              <w:right w:val="nil"/>
            </w:tcBorders>
            <w:vAlign w:val="center"/>
            <w:hideMark/>
          </w:tcPr>
          <w:p w14:paraId="5F58CD4F"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28</w:t>
            </w:r>
          </w:p>
        </w:tc>
        <w:tc>
          <w:tcPr>
            <w:tcW w:w="0" w:type="auto"/>
            <w:tcBorders>
              <w:top w:val="nil"/>
              <w:left w:val="single" w:sz="8" w:space="0" w:color="000000"/>
              <w:bottom w:val="single" w:sz="8" w:space="0" w:color="000000"/>
              <w:right w:val="nil"/>
            </w:tcBorders>
            <w:vAlign w:val="center"/>
            <w:hideMark/>
          </w:tcPr>
          <w:p w14:paraId="6CC931A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w:t>
            </w:r>
          </w:p>
        </w:tc>
        <w:tc>
          <w:tcPr>
            <w:tcW w:w="0" w:type="auto"/>
            <w:tcBorders>
              <w:top w:val="nil"/>
              <w:left w:val="single" w:sz="8" w:space="0" w:color="000000"/>
              <w:bottom w:val="single" w:sz="8" w:space="0" w:color="000000"/>
              <w:right w:val="single" w:sz="8" w:space="0" w:color="000000"/>
            </w:tcBorders>
            <w:vAlign w:val="center"/>
            <w:hideMark/>
          </w:tcPr>
          <w:p w14:paraId="7D81D6D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4B4FA662" w14:textId="77777777" w:rsidTr="003B28A6">
        <w:trPr>
          <w:trHeight w:val="300"/>
        </w:trPr>
        <w:tc>
          <w:tcPr>
            <w:tcW w:w="0" w:type="auto"/>
            <w:tcBorders>
              <w:top w:val="nil"/>
              <w:left w:val="single" w:sz="8" w:space="0" w:color="000000"/>
              <w:bottom w:val="single" w:sz="8" w:space="0" w:color="000000"/>
              <w:right w:val="nil"/>
            </w:tcBorders>
            <w:vAlign w:val="center"/>
            <w:hideMark/>
          </w:tcPr>
          <w:p w14:paraId="3784710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38</w:t>
            </w:r>
          </w:p>
        </w:tc>
        <w:tc>
          <w:tcPr>
            <w:tcW w:w="0" w:type="auto"/>
            <w:tcBorders>
              <w:top w:val="nil"/>
              <w:left w:val="single" w:sz="8" w:space="0" w:color="000000"/>
              <w:bottom w:val="single" w:sz="8" w:space="0" w:color="000000"/>
              <w:right w:val="nil"/>
            </w:tcBorders>
            <w:vAlign w:val="center"/>
            <w:hideMark/>
          </w:tcPr>
          <w:p w14:paraId="6EF04DF0"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Letrado/a</w:t>
            </w:r>
          </w:p>
        </w:tc>
        <w:tc>
          <w:tcPr>
            <w:tcW w:w="0" w:type="auto"/>
            <w:tcBorders>
              <w:top w:val="nil"/>
              <w:left w:val="single" w:sz="8" w:space="0" w:color="000000"/>
              <w:bottom w:val="single" w:sz="8" w:space="0" w:color="000000"/>
              <w:right w:val="nil"/>
            </w:tcBorders>
            <w:vAlign w:val="center"/>
            <w:hideMark/>
          </w:tcPr>
          <w:p w14:paraId="13EAE5D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357FB06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0" w:type="auto"/>
            <w:tcBorders>
              <w:top w:val="nil"/>
              <w:left w:val="single" w:sz="8" w:space="0" w:color="000000"/>
              <w:bottom w:val="single" w:sz="8" w:space="0" w:color="000000"/>
              <w:right w:val="nil"/>
            </w:tcBorders>
            <w:vAlign w:val="center"/>
            <w:hideMark/>
          </w:tcPr>
          <w:p w14:paraId="7E9E8C8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28</w:t>
            </w:r>
          </w:p>
        </w:tc>
        <w:tc>
          <w:tcPr>
            <w:tcW w:w="0" w:type="auto"/>
            <w:tcBorders>
              <w:top w:val="nil"/>
              <w:left w:val="single" w:sz="8" w:space="0" w:color="000000"/>
              <w:bottom w:val="single" w:sz="8" w:space="0" w:color="000000"/>
              <w:right w:val="nil"/>
            </w:tcBorders>
            <w:vAlign w:val="center"/>
            <w:hideMark/>
          </w:tcPr>
          <w:p w14:paraId="2382B4BF"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w:t>
            </w:r>
          </w:p>
        </w:tc>
        <w:tc>
          <w:tcPr>
            <w:tcW w:w="0" w:type="auto"/>
            <w:tcBorders>
              <w:top w:val="nil"/>
              <w:left w:val="single" w:sz="8" w:space="0" w:color="000000"/>
              <w:bottom w:val="single" w:sz="8" w:space="0" w:color="000000"/>
              <w:right w:val="single" w:sz="8" w:space="0" w:color="000000"/>
            </w:tcBorders>
            <w:vAlign w:val="center"/>
            <w:hideMark/>
          </w:tcPr>
          <w:p w14:paraId="685CCDC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4665983B" w14:textId="77777777" w:rsidTr="003B28A6">
        <w:trPr>
          <w:trHeight w:val="300"/>
        </w:trPr>
        <w:tc>
          <w:tcPr>
            <w:tcW w:w="0" w:type="auto"/>
            <w:tcBorders>
              <w:top w:val="nil"/>
              <w:left w:val="single" w:sz="8" w:space="0" w:color="000000"/>
              <w:bottom w:val="single" w:sz="8" w:space="0" w:color="000000"/>
              <w:right w:val="nil"/>
            </w:tcBorders>
            <w:vAlign w:val="center"/>
            <w:hideMark/>
          </w:tcPr>
          <w:p w14:paraId="49AEDBF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39</w:t>
            </w:r>
          </w:p>
        </w:tc>
        <w:tc>
          <w:tcPr>
            <w:tcW w:w="0" w:type="auto"/>
            <w:tcBorders>
              <w:top w:val="nil"/>
              <w:left w:val="single" w:sz="8" w:space="0" w:color="000000"/>
              <w:bottom w:val="single" w:sz="8" w:space="0" w:color="000000"/>
              <w:right w:val="nil"/>
            </w:tcBorders>
            <w:vAlign w:val="center"/>
            <w:hideMark/>
          </w:tcPr>
          <w:p w14:paraId="543853F6"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Letrado/a</w:t>
            </w:r>
          </w:p>
        </w:tc>
        <w:tc>
          <w:tcPr>
            <w:tcW w:w="0" w:type="auto"/>
            <w:tcBorders>
              <w:top w:val="nil"/>
              <w:left w:val="single" w:sz="8" w:space="0" w:color="000000"/>
              <w:bottom w:val="single" w:sz="8" w:space="0" w:color="000000"/>
              <w:right w:val="nil"/>
            </w:tcBorders>
            <w:vAlign w:val="center"/>
            <w:hideMark/>
          </w:tcPr>
          <w:p w14:paraId="0FF9F30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02ED84F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A1</w:t>
            </w:r>
          </w:p>
        </w:tc>
        <w:tc>
          <w:tcPr>
            <w:tcW w:w="0" w:type="auto"/>
            <w:tcBorders>
              <w:top w:val="nil"/>
              <w:left w:val="single" w:sz="8" w:space="0" w:color="000000"/>
              <w:bottom w:val="single" w:sz="8" w:space="0" w:color="000000"/>
              <w:right w:val="nil"/>
            </w:tcBorders>
            <w:vAlign w:val="center"/>
            <w:hideMark/>
          </w:tcPr>
          <w:p w14:paraId="6D13231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28</w:t>
            </w:r>
          </w:p>
        </w:tc>
        <w:tc>
          <w:tcPr>
            <w:tcW w:w="0" w:type="auto"/>
            <w:tcBorders>
              <w:top w:val="nil"/>
              <w:left w:val="single" w:sz="8" w:space="0" w:color="000000"/>
              <w:bottom w:val="single" w:sz="8" w:space="0" w:color="000000"/>
              <w:right w:val="nil"/>
            </w:tcBorders>
            <w:vAlign w:val="center"/>
            <w:hideMark/>
          </w:tcPr>
          <w:p w14:paraId="1236130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50</w:t>
            </w:r>
          </w:p>
        </w:tc>
        <w:tc>
          <w:tcPr>
            <w:tcW w:w="0" w:type="auto"/>
            <w:tcBorders>
              <w:top w:val="nil"/>
              <w:left w:val="single" w:sz="8" w:space="0" w:color="000000"/>
              <w:bottom w:val="single" w:sz="8" w:space="0" w:color="000000"/>
              <w:right w:val="single" w:sz="8" w:space="0" w:color="000000"/>
            </w:tcBorders>
            <w:vAlign w:val="center"/>
            <w:hideMark/>
          </w:tcPr>
          <w:p w14:paraId="3F8402A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LD-AP</w:t>
            </w:r>
          </w:p>
        </w:tc>
      </w:tr>
      <w:tr w:rsidR="003B28A6" w14:paraId="31476F12" w14:textId="77777777" w:rsidTr="003B28A6">
        <w:trPr>
          <w:trHeight w:val="433"/>
        </w:trPr>
        <w:tc>
          <w:tcPr>
            <w:tcW w:w="0" w:type="auto"/>
            <w:tcBorders>
              <w:top w:val="nil"/>
              <w:left w:val="single" w:sz="8" w:space="0" w:color="000000"/>
              <w:bottom w:val="single" w:sz="8" w:space="0" w:color="000000"/>
              <w:right w:val="nil"/>
            </w:tcBorders>
            <w:vAlign w:val="center"/>
            <w:hideMark/>
          </w:tcPr>
          <w:p w14:paraId="428DDCAF"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40</w:t>
            </w:r>
          </w:p>
        </w:tc>
        <w:tc>
          <w:tcPr>
            <w:tcW w:w="0" w:type="auto"/>
            <w:tcBorders>
              <w:top w:val="nil"/>
              <w:left w:val="single" w:sz="8" w:space="0" w:color="000000"/>
              <w:bottom w:val="single" w:sz="8" w:space="0" w:color="000000"/>
              <w:right w:val="nil"/>
            </w:tcBorders>
            <w:vAlign w:val="center"/>
            <w:hideMark/>
          </w:tcPr>
          <w:p w14:paraId="575809D4" w14:textId="77777777" w:rsidR="003B28A6" w:rsidRDefault="003B28A6">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Jefe/a de Equipo de Soporte Administrativo y Jurídico</w:t>
            </w:r>
          </w:p>
        </w:tc>
        <w:tc>
          <w:tcPr>
            <w:tcW w:w="0" w:type="auto"/>
            <w:tcBorders>
              <w:top w:val="nil"/>
              <w:left w:val="single" w:sz="8" w:space="0" w:color="000000"/>
              <w:bottom w:val="single" w:sz="8" w:space="0" w:color="000000"/>
              <w:right w:val="nil"/>
            </w:tcBorders>
            <w:vAlign w:val="center"/>
            <w:hideMark/>
          </w:tcPr>
          <w:p w14:paraId="677DE53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w:t>
            </w:r>
          </w:p>
        </w:tc>
        <w:tc>
          <w:tcPr>
            <w:tcW w:w="0" w:type="auto"/>
            <w:tcBorders>
              <w:top w:val="nil"/>
              <w:left w:val="single" w:sz="8" w:space="0" w:color="000000"/>
              <w:bottom w:val="single" w:sz="8" w:space="0" w:color="000000"/>
              <w:right w:val="nil"/>
            </w:tcBorders>
            <w:vAlign w:val="center"/>
            <w:hideMark/>
          </w:tcPr>
          <w:p w14:paraId="63CED7E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C1</w:t>
            </w:r>
          </w:p>
        </w:tc>
        <w:tc>
          <w:tcPr>
            <w:tcW w:w="0" w:type="auto"/>
            <w:tcBorders>
              <w:top w:val="nil"/>
              <w:left w:val="single" w:sz="8" w:space="0" w:color="000000"/>
              <w:bottom w:val="single" w:sz="8" w:space="0" w:color="000000"/>
              <w:right w:val="nil"/>
            </w:tcBorders>
            <w:vAlign w:val="center"/>
            <w:hideMark/>
          </w:tcPr>
          <w:p w14:paraId="113D94D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20</w:t>
            </w:r>
          </w:p>
        </w:tc>
        <w:tc>
          <w:tcPr>
            <w:tcW w:w="0" w:type="auto"/>
            <w:tcBorders>
              <w:top w:val="nil"/>
              <w:left w:val="single" w:sz="8" w:space="0" w:color="000000"/>
              <w:bottom w:val="single" w:sz="8" w:space="0" w:color="000000"/>
              <w:right w:val="nil"/>
            </w:tcBorders>
            <w:vAlign w:val="center"/>
            <w:hideMark/>
          </w:tcPr>
          <w:p w14:paraId="02846A8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35</w:t>
            </w:r>
          </w:p>
        </w:tc>
        <w:tc>
          <w:tcPr>
            <w:tcW w:w="0" w:type="auto"/>
            <w:tcBorders>
              <w:top w:val="nil"/>
              <w:left w:val="single" w:sz="8" w:space="0" w:color="000000"/>
              <w:bottom w:val="single" w:sz="8" w:space="0" w:color="000000"/>
              <w:right w:val="single" w:sz="8" w:space="0" w:color="000000"/>
            </w:tcBorders>
            <w:vAlign w:val="center"/>
            <w:hideMark/>
          </w:tcPr>
          <w:p w14:paraId="2CF7962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CE–AP</w:t>
            </w:r>
          </w:p>
        </w:tc>
      </w:tr>
    </w:tbl>
    <w:p w14:paraId="1C7CD26B" w14:textId="77777777" w:rsidR="003B28A6" w:rsidRDefault="003B28A6" w:rsidP="003B28A6">
      <w:pPr>
        <w:jc w:val="both"/>
        <w:rPr>
          <w:rFonts w:ascii="Arial" w:eastAsia="Droid Sans Fallback" w:hAnsi="Arial" w:cs="Arial"/>
          <w:kern w:val="3"/>
          <w:sz w:val="21"/>
          <w:szCs w:val="21"/>
          <w:lang w:eastAsia="zh-CN" w:bidi="hi-IN"/>
        </w:rPr>
      </w:pPr>
    </w:p>
    <w:p w14:paraId="7BA11448" w14:textId="77777777" w:rsidR="003B28A6" w:rsidRDefault="003B28A6" w:rsidP="00B22DC2">
      <w:pPr>
        <w:spacing w:after="240" w:line="276" w:lineRule="auto"/>
        <w:jc w:val="both"/>
        <w:rPr>
          <w:rFonts w:ascii="Arial" w:eastAsia="Droid Sans Fallback" w:hAnsi="Arial" w:cs="Arial"/>
          <w:kern w:val="3"/>
          <w:sz w:val="21"/>
          <w:szCs w:val="21"/>
          <w:lang w:eastAsia="zh-CN" w:bidi="hi-IN"/>
        </w:rPr>
      </w:pPr>
      <w:r>
        <w:rPr>
          <w:rFonts w:ascii="Arial" w:eastAsia="Droid Sans Fallback" w:hAnsi="Arial" w:cs="Arial"/>
          <w:kern w:val="3"/>
          <w:sz w:val="21"/>
          <w:szCs w:val="21"/>
          <w:lang w:eastAsia="zh-CN" w:bidi="hi-IN"/>
        </w:rPr>
        <w:t>La estructura de cada una de las unidades administrativas que integran la Agencia ha sido objeto de diferentes modificaciones a los efectos de garantizar su adaptación a las exigencias cualitativas y cuantitativas ocasionadas por el despliegue de su acción.</w:t>
      </w:r>
    </w:p>
    <w:p w14:paraId="6D93FDF2" w14:textId="77777777" w:rsidR="003B28A6" w:rsidRDefault="003B28A6" w:rsidP="00B22DC2">
      <w:pPr>
        <w:spacing w:after="240" w:line="276" w:lineRule="auto"/>
        <w:jc w:val="both"/>
        <w:rPr>
          <w:rFonts w:ascii="Arial" w:eastAsia="Droid Sans Fallback" w:hAnsi="Arial" w:cs="Arial"/>
          <w:kern w:val="3"/>
          <w:sz w:val="21"/>
          <w:szCs w:val="21"/>
          <w:lang w:eastAsia="zh-CN" w:bidi="hi-IN"/>
        </w:rPr>
      </w:pPr>
      <w:r>
        <w:rPr>
          <w:rFonts w:ascii="Arial" w:eastAsia="Droid Sans Fallback" w:hAnsi="Arial" w:cs="Arial"/>
          <w:kern w:val="3"/>
          <w:sz w:val="21"/>
          <w:szCs w:val="21"/>
          <w:lang w:eastAsia="zh-CN" w:bidi="hi-IN"/>
        </w:rPr>
        <w:t>En el siguiente gráfico puede verse cómo se han ido configurando las diferentes unidades administrativas de la Agencia desde su creación, en cuanto al número de puestos de trabajo que las componen:</w:t>
      </w:r>
    </w:p>
    <w:p w14:paraId="43D78291" w14:textId="77777777" w:rsidR="00B22DC2" w:rsidRDefault="003B28A6" w:rsidP="00B22DC2">
      <w:pPr>
        <w:keepNext/>
        <w:jc w:val="both"/>
      </w:pPr>
      <w:r>
        <w:rPr>
          <w:rFonts w:ascii="Arial" w:hAnsi="Arial" w:cs="Arial"/>
          <w:noProof/>
        </w:rPr>
        <w:drawing>
          <wp:inline distT="0" distB="0" distL="0" distR="0" wp14:anchorId="22AE4B34" wp14:editId="4E4C1639">
            <wp:extent cx="5400675" cy="2787109"/>
            <wp:effectExtent l="0" t="0" r="0" b="0"/>
            <wp:docPr id="43" name="Gráfico 43">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5A152920" w14:textId="5331B183" w:rsidR="003B28A6" w:rsidRPr="00B22DC2" w:rsidRDefault="003B28A6" w:rsidP="003B28A6">
      <w:pPr>
        <w:pStyle w:val="Descripcin"/>
        <w:jc w:val="both"/>
        <w:rPr>
          <w:rFonts w:ascii="Arial" w:eastAsia="Droid Sans Fallback" w:hAnsi="Arial" w:cs="Arial"/>
          <w:smallCaps w:val="0"/>
          <w:kern w:val="3"/>
          <w:sz w:val="16"/>
          <w:szCs w:val="21"/>
          <w:lang w:eastAsia="zh-CN" w:bidi="hi-IN"/>
        </w:rPr>
      </w:pPr>
      <w:bookmarkStart w:id="302" w:name="_Toc66443906"/>
      <w:bookmarkStart w:id="303" w:name="_Toc67646421"/>
      <w:r w:rsidRPr="00B22DC2">
        <w:rPr>
          <w:rFonts w:ascii="Arial" w:hAnsi="Arial" w:cs="Arial"/>
          <w:smallCaps w:val="0"/>
          <w:color w:val="9D2235" w:themeColor="accent1"/>
          <w:sz w:val="16"/>
        </w:rPr>
        <w:t xml:space="preserve">Gráfico </w:t>
      </w:r>
      <w:r w:rsidRPr="00B22DC2">
        <w:rPr>
          <w:rFonts w:ascii="Arial" w:hAnsi="Arial" w:cs="Arial"/>
          <w:smallCaps w:val="0"/>
          <w:sz w:val="16"/>
        </w:rPr>
        <w:fldChar w:fldCharType="begin"/>
      </w:r>
      <w:r w:rsidRPr="00B22DC2">
        <w:rPr>
          <w:rFonts w:ascii="Arial" w:hAnsi="Arial" w:cs="Arial"/>
          <w:smallCaps w:val="0"/>
          <w:color w:val="9D2235" w:themeColor="accent1"/>
          <w:sz w:val="16"/>
        </w:rPr>
        <w:instrText xml:space="preserve"> SEQ Gráfico \* ARABIC </w:instrText>
      </w:r>
      <w:r w:rsidRPr="00B22DC2">
        <w:rPr>
          <w:rFonts w:ascii="Arial" w:hAnsi="Arial" w:cs="Arial"/>
          <w:smallCaps w:val="0"/>
          <w:sz w:val="16"/>
        </w:rPr>
        <w:fldChar w:fldCharType="separate"/>
      </w:r>
      <w:r w:rsidR="00000D1F">
        <w:rPr>
          <w:rFonts w:ascii="Arial" w:hAnsi="Arial" w:cs="Arial"/>
          <w:smallCaps w:val="0"/>
          <w:noProof/>
          <w:color w:val="9D2235" w:themeColor="accent1"/>
          <w:sz w:val="16"/>
        </w:rPr>
        <w:t>25</w:t>
      </w:r>
      <w:r w:rsidRPr="00B22DC2">
        <w:rPr>
          <w:rFonts w:ascii="Arial" w:hAnsi="Arial" w:cs="Arial"/>
          <w:smallCaps w:val="0"/>
          <w:sz w:val="16"/>
        </w:rPr>
        <w:fldChar w:fldCharType="end"/>
      </w:r>
      <w:r w:rsidRPr="00B22DC2">
        <w:rPr>
          <w:rFonts w:ascii="Arial" w:hAnsi="Arial" w:cs="Arial"/>
          <w:smallCaps w:val="0"/>
          <w:color w:val="9D2235" w:themeColor="accent1"/>
          <w:sz w:val="16"/>
        </w:rPr>
        <w:t xml:space="preserve">: </w:t>
      </w:r>
      <w:r w:rsidRPr="00B22DC2">
        <w:rPr>
          <w:rFonts w:ascii="Arial" w:hAnsi="Arial" w:cs="Arial"/>
          <w:smallCaps w:val="0"/>
          <w:sz w:val="16"/>
        </w:rPr>
        <w:t>Número de puestos de trabajo de las unidades administrativas de la Agencia desde su creación.</w:t>
      </w:r>
      <w:bookmarkEnd w:id="302"/>
      <w:bookmarkEnd w:id="303"/>
    </w:p>
    <w:p w14:paraId="78D7A6DC" w14:textId="77777777" w:rsidR="003B28A6" w:rsidRDefault="003B28A6" w:rsidP="003B28A6">
      <w:pPr>
        <w:jc w:val="both"/>
        <w:rPr>
          <w:rFonts w:ascii="Arial" w:eastAsia="Droid Sans Fallback" w:hAnsi="Arial" w:cs="Arial"/>
          <w:kern w:val="3"/>
          <w:sz w:val="21"/>
          <w:szCs w:val="21"/>
          <w:lang w:eastAsia="zh-CN" w:bidi="hi-IN"/>
        </w:rPr>
      </w:pPr>
    </w:p>
    <w:p w14:paraId="042937E4" w14:textId="77777777" w:rsidR="003B28A6" w:rsidRPr="00837C34" w:rsidRDefault="003B28A6" w:rsidP="00837C34">
      <w:pPr>
        <w:pStyle w:val="Ttulo3"/>
        <w:numPr>
          <w:ilvl w:val="2"/>
          <w:numId w:val="57"/>
        </w:numPr>
        <w:spacing w:before="360" w:after="240" w:line="276" w:lineRule="auto"/>
        <w:ind w:left="1134" w:hanging="1134"/>
        <w:rPr>
          <w:rFonts w:ascii="Arial" w:hAnsi="Arial" w:cs="Arial"/>
          <w:b/>
          <w:bCs/>
          <w:color w:val="9D2235" w:themeColor="accent1"/>
        </w:rPr>
      </w:pPr>
      <w:bookmarkStart w:id="304" w:name="_Toc66438652"/>
      <w:bookmarkStart w:id="305" w:name="_Toc67646327"/>
      <w:r w:rsidRPr="00837C34">
        <w:rPr>
          <w:rFonts w:ascii="Arial" w:hAnsi="Arial" w:cs="Arial"/>
          <w:b/>
          <w:bCs/>
          <w:color w:val="9D2235" w:themeColor="accent1"/>
        </w:rPr>
        <w:t>Los procedimientos de provisión de personal</w:t>
      </w:r>
      <w:bookmarkEnd w:id="304"/>
      <w:bookmarkEnd w:id="305"/>
    </w:p>
    <w:p w14:paraId="3C51E3F2" w14:textId="77777777" w:rsidR="003B28A6" w:rsidRDefault="003B28A6" w:rsidP="00B22DC2">
      <w:pPr>
        <w:spacing w:after="240" w:line="276" w:lineRule="auto"/>
        <w:jc w:val="both"/>
        <w:rPr>
          <w:rFonts w:ascii="Arial" w:eastAsia="Droid Sans Fallback" w:hAnsi="Arial" w:cs="Arial"/>
          <w:kern w:val="3"/>
          <w:sz w:val="21"/>
          <w:szCs w:val="21"/>
          <w:lang w:eastAsia="zh-CN" w:bidi="hi-IN"/>
        </w:rPr>
      </w:pPr>
      <w:r>
        <w:rPr>
          <w:rFonts w:ascii="Arial" w:eastAsia="Droid Sans Fallback" w:hAnsi="Arial" w:cs="Arial"/>
          <w:kern w:val="3"/>
          <w:sz w:val="21"/>
          <w:szCs w:val="21"/>
          <w:lang w:eastAsia="zh-CN" w:bidi="hi-IN"/>
        </w:rPr>
        <w:t>La Ley 11/2016, prevé que los puestos de trabajo de la Agencia se provean de acuerdo con las normas de la Ley de Función Pública Valenciana, y así se ha llevado a cabo en la Agencia.</w:t>
      </w:r>
    </w:p>
    <w:p w14:paraId="2CA284A5" w14:textId="77777777" w:rsidR="003B28A6" w:rsidRDefault="003B28A6" w:rsidP="00B22DC2">
      <w:pPr>
        <w:spacing w:after="240" w:line="276" w:lineRule="auto"/>
        <w:jc w:val="both"/>
        <w:rPr>
          <w:rFonts w:ascii="Arial" w:eastAsia="Droid Sans Fallback" w:hAnsi="Arial" w:cs="Arial"/>
          <w:kern w:val="3"/>
          <w:sz w:val="21"/>
          <w:szCs w:val="21"/>
          <w:lang w:eastAsia="zh-CN" w:bidi="hi-IN"/>
        </w:rPr>
      </w:pPr>
      <w:r>
        <w:rPr>
          <w:rFonts w:ascii="Arial" w:eastAsia="Droid Sans Fallback" w:hAnsi="Arial" w:cs="Arial"/>
          <w:kern w:val="3"/>
          <w:sz w:val="21"/>
          <w:szCs w:val="21"/>
          <w:lang w:eastAsia="zh-CN" w:bidi="hi-IN"/>
        </w:rPr>
        <w:t xml:space="preserve">Durante el ejercicio 2020 se han incoado procedimientos para la provisión de un total de 30 puestos de trabajo, 16 con carácter provisional a través del sistema de comisión de servicios, y 14 con carácter definitivo a través del sistema de libre designación. </w:t>
      </w:r>
    </w:p>
    <w:p w14:paraId="71C77D96" w14:textId="77777777" w:rsidR="003B28A6" w:rsidRDefault="003B28A6" w:rsidP="00B22DC2">
      <w:pPr>
        <w:spacing w:after="240" w:line="276" w:lineRule="auto"/>
        <w:jc w:val="both"/>
        <w:rPr>
          <w:rFonts w:ascii="Arial" w:eastAsia="Droid Sans Fallback" w:hAnsi="Arial" w:cs="Arial"/>
          <w:kern w:val="3"/>
          <w:sz w:val="21"/>
          <w:szCs w:val="21"/>
          <w:lang w:eastAsia="zh-CN" w:bidi="hi-IN"/>
        </w:rPr>
      </w:pPr>
      <w:r>
        <w:rPr>
          <w:rFonts w:ascii="Arial" w:eastAsia="Droid Sans Fallback" w:hAnsi="Arial" w:cs="Arial"/>
          <w:kern w:val="3"/>
          <w:sz w:val="21"/>
          <w:szCs w:val="21"/>
          <w:lang w:eastAsia="zh-CN" w:bidi="hi-IN"/>
        </w:rPr>
        <w:t>A fecha de elaboración de la presente memoria, febrero de 2021, del total de procedimientos señalados, queda pendiente de resolver el procedimiento LD 4/2020.</w:t>
      </w:r>
    </w:p>
    <w:p w14:paraId="7C46AB08" w14:textId="39814760" w:rsidR="000E39C0" w:rsidRDefault="003B28A6" w:rsidP="00B22DC2">
      <w:pPr>
        <w:spacing w:after="240" w:line="276" w:lineRule="auto"/>
        <w:jc w:val="both"/>
        <w:rPr>
          <w:rFonts w:ascii="Arial" w:eastAsia="Droid Sans Fallback" w:hAnsi="Arial" w:cs="Arial"/>
          <w:kern w:val="3"/>
          <w:sz w:val="21"/>
          <w:szCs w:val="21"/>
          <w:lang w:eastAsia="zh-CN" w:bidi="hi-IN"/>
        </w:rPr>
      </w:pPr>
      <w:r>
        <w:rPr>
          <w:rFonts w:ascii="Arial" w:eastAsia="Droid Sans Fallback" w:hAnsi="Arial" w:cs="Arial"/>
          <w:kern w:val="3"/>
          <w:sz w:val="21"/>
          <w:szCs w:val="21"/>
          <w:lang w:eastAsia="zh-CN" w:bidi="hi-IN"/>
        </w:rPr>
        <w:t xml:space="preserve">Los procedimientos incoados son los que seguidamente se indican, cuyo desarrollo puede ser objeto de consulta </w:t>
      </w:r>
      <w:hyperlink r:id="rId223" w:history="1">
        <w:r w:rsidR="000E39C0" w:rsidRPr="000E39C0">
          <w:rPr>
            <w:rStyle w:val="Hipervnculo"/>
            <w:rFonts w:ascii="Arial" w:eastAsia="Droid Sans Fallback" w:hAnsi="Arial" w:cs="Arial"/>
            <w:kern w:val="3"/>
            <w:sz w:val="21"/>
            <w:szCs w:val="21"/>
            <w:lang w:eastAsia="zh-CN" w:bidi="hi-IN"/>
          </w:rPr>
          <w:t>aquí</w:t>
        </w:r>
      </w:hyperlink>
      <w:r w:rsidR="000E39C0">
        <w:rPr>
          <w:rFonts w:ascii="Arial" w:eastAsia="Droid Sans Fallback" w:hAnsi="Arial" w:cs="Arial"/>
          <w:kern w:val="3"/>
          <w:sz w:val="21"/>
          <w:szCs w:val="21"/>
          <w:lang w:eastAsia="zh-CN" w:bidi="hi-IN"/>
        </w:rPr>
        <w:t>.</w:t>
      </w:r>
    </w:p>
    <w:p w14:paraId="7A7A46AB" w14:textId="049AFD4A" w:rsidR="003B28A6" w:rsidRPr="00B22DC2" w:rsidRDefault="003B28A6" w:rsidP="003B28A6">
      <w:pPr>
        <w:pStyle w:val="Descripcin"/>
        <w:keepNext/>
        <w:rPr>
          <w:rFonts w:ascii="Arial" w:hAnsi="Arial" w:cs="Arial"/>
          <w:smallCaps w:val="0"/>
          <w:sz w:val="18"/>
          <w:szCs w:val="20"/>
        </w:rPr>
      </w:pPr>
      <w:bookmarkStart w:id="306" w:name="_Toc66443892"/>
      <w:bookmarkStart w:id="307" w:name="_Toc67646361"/>
      <w:r w:rsidRPr="00B22DC2">
        <w:rPr>
          <w:rFonts w:ascii="Arial" w:hAnsi="Arial" w:cs="Arial"/>
          <w:smallCaps w:val="0"/>
          <w:color w:val="9D2235" w:themeColor="accent1"/>
          <w:sz w:val="18"/>
          <w:szCs w:val="20"/>
        </w:rPr>
        <w:t xml:space="preserve">Tabla </w:t>
      </w:r>
      <w:r w:rsidRPr="00B22DC2">
        <w:rPr>
          <w:rFonts w:ascii="Arial" w:hAnsi="Arial" w:cs="Arial"/>
          <w:smallCaps w:val="0"/>
          <w:sz w:val="18"/>
          <w:szCs w:val="24"/>
        </w:rPr>
        <w:fldChar w:fldCharType="begin"/>
      </w:r>
      <w:r w:rsidRPr="00B22DC2">
        <w:rPr>
          <w:rFonts w:ascii="Arial" w:hAnsi="Arial" w:cs="Arial"/>
          <w:smallCaps w:val="0"/>
          <w:color w:val="9D2235" w:themeColor="accent1"/>
          <w:sz w:val="18"/>
          <w:szCs w:val="20"/>
        </w:rPr>
        <w:instrText xml:space="preserve"> SEQ Tabla \* ARABIC </w:instrText>
      </w:r>
      <w:r w:rsidRPr="00B22DC2">
        <w:rPr>
          <w:rFonts w:ascii="Arial" w:hAnsi="Arial" w:cs="Arial"/>
          <w:smallCaps w:val="0"/>
          <w:sz w:val="18"/>
          <w:szCs w:val="24"/>
        </w:rPr>
        <w:fldChar w:fldCharType="separate"/>
      </w:r>
      <w:r w:rsidR="00ED7F0D">
        <w:rPr>
          <w:rFonts w:ascii="Arial" w:hAnsi="Arial" w:cs="Arial"/>
          <w:smallCaps w:val="0"/>
          <w:noProof/>
          <w:color w:val="9D2235" w:themeColor="accent1"/>
          <w:sz w:val="18"/>
          <w:szCs w:val="20"/>
        </w:rPr>
        <w:t>24</w:t>
      </w:r>
      <w:r w:rsidRPr="00B22DC2">
        <w:rPr>
          <w:rFonts w:ascii="Arial" w:hAnsi="Arial" w:cs="Arial"/>
          <w:smallCaps w:val="0"/>
          <w:sz w:val="18"/>
          <w:szCs w:val="24"/>
        </w:rPr>
        <w:fldChar w:fldCharType="end"/>
      </w:r>
      <w:r w:rsidRPr="00B22DC2">
        <w:rPr>
          <w:rFonts w:ascii="Arial" w:hAnsi="Arial" w:cs="Arial"/>
          <w:smallCaps w:val="0"/>
          <w:color w:val="9D2235" w:themeColor="accent1"/>
          <w:sz w:val="18"/>
          <w:szCs w:val="20"/>
        </w:rPr>
        <w:t xml:space="preserve">: </w:t>
      </w:r>
      <w:r w:rsidRPr="00B22DC2">
        <w:rPr>
          <w:rFonts w:ascii="Arial" w:hAnsi="Arial" w:cs="Arial"/>
          <w:smallCaps w:val="0"/>
          <w:sz w:val="18"/>
          <w:szCs w:val="20"/>
        </w:rPr>
        <w:t>Procedimientos de</w:t>
      </w:r>
      <w:r w:rsidRPr="00B22DC2">
        <w:rPr>
          <w:rFonts w:ascii="Arial" w:hAnsi="Arial" w:cs="Arial"/>
          <w:smallCaps w:val="0"/>
          <w:noProof/>
          <w:sz w:val="18"/>
          <w:szCs w:val="20"/>
        </w:rPr>
        <w:t xml:space="preserve"> provisión de puestos de trabajo durante el ejercicio 2020</w:t>
      </w:r>
      <w:bookmarkEnd w:id="306"/>
      <w:bookmarkEnd w:id="307"/>
    </w:p>
    <w:tbl>
      <w:tblPr>
        <w:tblW w:w="5000" w:type="pct"/>
        <w:tblCellMar>
          <w:left w:w="70" w:type="dxa"/>
          <w:right w:w="70" w:type="dxa"/>
        </w:tblCellMar>
        <w:tblLook w:val="04A0" w:firstRow="1" w:lastRow="0" w:firstColumn="1" w:lastColumn="0" w:noHBand="0" w:noVBand="1"/>
      </w:tblPr>
      <w:tblGrid>
        <w:gridCol w:w="2393"/>
        <w:gridCol w:w="2392"/>
        <w:gridCol w:w="1396"/>
        <w:gridCol w:w="2303"/>
      </w:tblGrid>
      <w:tr w:rsidR="003B28A6" w14:paraId="4BBBA549" w14:textId="77777777" w:rsidTr="003B28A6">
        <w:trPr>
          <w:trHeight w:val="846"/>
          <w:tblHeader/>
        </w:trPr>
        <w:tc>
          <w:tcPr>
            <w:tcW w:w="1410" w:type="pct"/>
            <w:tcBorders>
              <w:top w:val="single" w:sz="8" w:space="0" w:color="000000"/>
              <w:left w:val="single" w:sz="8" w:space="0" w:color="000000"/>
              <w:bottom w:val="single" w:sz="8" w:space="0" w:color="000000"/>
              <w:right w:val="nil"/>
            </w:tcBorders>
            <w:shd w:val="clear" w:color="auto" w:fill="9D2235"/>
            <w:vAlign w:val="center"/>
            <w:hideMark/>
          </w:tcPr>
          <w:p w14:paraId="3FF60A94" w14:textId="77777777" w:rsidR="003B28A6" w:rsidRDefault="003B28A6">
            <w:pPr>
              <w:spacing w:after="0" w:line="240" w:lineRule="auto"/>
              <w:jc w:val="both"/>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Procedimiento de provisión temporal</w:t>
            </w:r>
          </w:p>
        </w:tc>
        <w:tc>
          <w:tcPr>
            <w:tcW w:w="1410" w:type="pct"/>
            <w:tcBorders>
              <w:top w:val="single" w:sz="8" w:space="0" w:color="000000"/>
              <w:left w:val="single" w:sz="8" w:space="0" w:color="000000"/>
              <w:bottom w:val="single" w:sz="8" w:space="0" w:color="000000"/>
              <w:right w:val="nil"/>
            </w:tcBorders>
            <w:shd w:val="clear" w:color="auto" w:fill="9D2235"/>
            <w:vAlign w:val="center"/>
            <w:hideMark/>
          </w:tcPr>
          <w:p w14:paraId="5D009E5D" w14:textId="77777777" w:rsidR="003B28A6" w:rsidRDefault="003B28A6">
            <w:pPr>
              <w:spacing w:after="0" w:line="240" w:lineRule="auto"/>
              <w:jc w:val="both"/>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Procedimiento de provisión definitivo</w:t>
            </w:r>
          </w:p>
        </w:tc>
        <w:tc>
          <w:tcPr>
            <w:tcW w:w="823" w:type="pct"/>
            <w:tcBorders>
              <w:top w:val="single" w:sz="8" w:space="0" w:color="000000"/>
              <w:left w:val="single" w:sz="8" w:space="0" w:color="000000"/>
              <w:bottom w:val="single" w:sz="8" w:space="0" w:color="000000"/>
              <w:right w:val="nil"/>
            </w:tcBorders>
            <w:shd w:val="clear" w:color="auto" w:fill="9D2235"/>
            <w:vAlign w:val="center"/>
            <w:hideMark/>
          </w:tcPr>
          <w:p w14:paraId="7BC84460" w14:textId="77777777" w:rsidR="003B28A6" w:rsidRDefault="003B28A6">
            <w:pPr>
              <w:spacing w:after="0" w:line="240" w:lineRule="auto"/>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Número puesto de trabajo</w:t>
            </w:r>
          </w:p>
        </w:tc>
        <w:tc>
          <w:tcPr>
            <w:tcW w:w="1358" w:type="pct"/>
            <w:tcBorders>
              <w:top w:val="single" w:sz="8" w:space="0" w:color="000000"/>
              <w:left w:val="single" w:sz="8" w:space="0" w:color="000000"/>
              <w:bottom w:val="single" w:sz="8" w:space="0" w:color="000000"/>
              <w:right w:val="single" w:sz="8" w:space="0" w:color="000000"/>
            </w:tcBorders>
            <w:shd w:val="clear" w:color="auto" w:fill="9D2235"/>
            <w:vAlign w:val="center"/>
            <w:hideMark/>
          </w:tcPr>
          <w:p w14:paraId="4CF41AF9" w14:textId="77777777" w:rsidR="003B28A6" w:rsidRDefault="003B28A6">
            <w:pPr>
              <w:spacing w:after="0" w:line="240" w:lineRule="auto"/>
              <w:jc w:val="both"/>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Fecha incorporación</w:t>
            </w:r>
          </w:p>
        </w:tc>
      </w:tr>
      <w:tr w:rsidR="003B28A6" w14:paraId="26B13E08" w14:textId="77777777" w:rsidTr="003B28A6">
        <w:trPr>
          <w:trHeight w:val="315"/>
        </w:trPr>
        <w:tc>
          <w:tcPr>
            <w:tcW w:w="1410" w:type="pct"/>
            <w:tcBorders>
              <w:top w:val="nil"/>
              <w:left w:val="single" w:sz="8" w:space="0" w:color="000000"/>
              <w:bottom w:val="single" w:sz="8" w:space="0" w:color="000000"/>
              <w:right w:val="nil"/>
            </w:tcBorders>
            <w:vAlign w:val="center"/>
            <w:hideMark/>
          </w:tcPr>
          <w:p w14:paraId="78C0D1C2"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CS 1/2020</w:t>
            </w:r>
          </w:p>
        </w:tc>
        <w:tc>
          <w:tcPr>
            <w:tcW w:w="1410" w:type="pct"/>
            <w:vMerge w:val="restart"/>
            <w:tcBorders>
              <w:top w:val="nil"/>
              <w:left w:val="single" w:sz="8" w:space="0" w:color="000000"/>
              <w:bottom w:val="single" w:sz="8" w:space="0" w:color="000000"/>
              <w:right w:val="single" w:sz="8" w:space="0" w:color="000000"/>
            </w:tcBorders>
            <w:vAlign w:val="center"/>
            <w:hideMark/>
          </w:tcPr>
          <w:p w14:paraId="183C036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FreeSans"/>
                <w:color w:val="000000"/>
                <w:sz w:val="18"/>
                <w:szCs w:val="18"/>
                <w:lang w:eastAsia="es-ES"/>
              </w:rPr>
              <w:t> </w:t>
            </w:r>
          </w:p>
        </w:tc>
        <w:tc>
          <w:tcPr>
            <w:tcW w:w="823" w:type="pct"/>
            <w:tcBorders>
              <w:top w:val="nil"/>
              <w:left w:val="nil"/>
              <w:bottom w:val="single" w:sz="8" w:space="0" w:color="000000"/>
              <w:right w:val="nil"/>
            </w:tcBorders>
            <w:vAlign w:val="center"/>
            <w:hideMark/>
          </w:tcPr>
          <w:p w14:paraId="515C417E" w14:textId="77777777" w:rsidR="003B28A6" w:rsidRDefault="003B28A6">
            <w:pPr>
              <w:spacing w:after="0" w:line="240" w:lineRule="auto"/>
              <w:jc w:val="center"/>
              <w:rPr>
                <w:rFonts w:ascii="Arial" w:eastAsia="Times New Roman" w:hAnsi="Arial" w:cs="Arial"/>
                <w:color w:val="00000A"/>
                <w:sz w:val="18"/>
                <w:szCs w:val="18"/>
                <w:lang w:eastAsia="es-ES"/>
              </w:rPr>
            </w:pPr>
            <w:r>
              <w:rPr>
                <w:rFonts w:ascii="Arial" w:eastAsia="Times New Roman" w:hAnsi="Arial" w:cs="Arial"/>
                <w:color w:val="00000A"/>
                <w:sz w:val="18"/>
                <w:szCs w:val="18"/>
                <w:lang w:eastAsia="es-ES"/>
              </w:rPr>
              <w:t>45</w:t>
            </w:r>
          </w:p>
        </w:tc>
        <w:tc>
          <w:tcPr>
            <w:tcW w:w="1358" w:type="pct"/>
            <w:tcBorders>
              <w:top w:val="nil"/>
              <w:left w:val="single" w:sz="8" w:space="0" w:color="000000"/>
              <w:bottom w:val="single" w:sz="8" w:space="0" w:color="000000"/>
              <w:right w:val="single" w:sz="8" w:space="0" w:color="000000"/>
            </w:tcBorders>
            <w:vAlign w:val="center"/>
            <w:hideMark/>
          </w:tcPr>
          <w:p w14:paraId="5B4950E5"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01/05/2020</w:t>
            </w:r>
          </w:p>
        </w:tc>
      </w:tr>
      <w:tr w:rsidR="003B28A6" w14:paraId="3C7D396E" w14:textId="77777777" w:rsidTr="003B28A6">
        <w:trPr>
          <w:trHeight w:val="315"/>
        </w:trPr>
        <w:tc>
          <w:tcPr>
            <w:tcW w:w="1410" w:type="pct"/>
            <w:tcBorders>
              <w:top w:val="nil"/>
              <w:left w:val="single" w:sz="8" w:space="0" w:color="000000"/>
              <w:bottom w:val="single" w:sz="8" w:space="0" w:color="000000"/>
              <w:right w:val="nil"/>
            </w:tcBorders>
            <w:vAlign w:val="center"/>
            <w:hideMark/>
          </w:tcPr>
          <w:p w14:paraId="78A56E67"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CS 2/2020</w:t>
            </w:r>
          </w:p>
        </w:tc>
        <w:tc>
          <w:tcPr>
            <w:tcW w:w="0" w:type="auto"/>
            <w:vMerge/>
            <w:tcBorders>
              <w:top w:val="nil"/>
              <w:left w:val="single" w:sz="8" w:space="0" w:color="000000"/>
              <w:bottom w:val="single" w:sz="8" w:space="0" w:color="000000"/>
              <w:right w:val="single" w:sz="8" w:space="0" w:color="000000"/>
            </w:tcBorders>
            <w:vAlign w:val="center"/>
            <w:hideMark/>
          </w:tcPr>
          <w:p w14:paraId="7D8959C7" w14:textId="77777777" w:rsidR="003B28A6" w:rsidRDefault="003B28A6">
            <w:pPr>
              <w:spacing w:after="0"/>
              <w:rPr>
                <w:rFonts w:ascii="Arial" w:eastAsia="Times New Roman" w:hAnsi="Arial" w:cs="Arial"/>
                <w:color w:val="000000"/>
                <w:sz w:val="18"/>
                <w:szCs w:val="18"/>
                <w:lang w:eastAsia="es-ES"/>
              </w:rPr>
            </w:pPr>
          </w:p>
        </w:tc>
        <w:tc>
          <w:tcPr>
            <w:tcW w:w="823" w:type="pct"/>
            <w:tcBorders>
              <w:top w:val="nil"/>
              <w:left w:val="nil"/>
              <w:bottom w:val="single" w:sz="8" w:space="0" w:color="000000"/>
              <w:right w:val="nil"/>
            </w:tcBorders>
            <w:vAlign w:val="center"/>
            <w:hideMark/>
          </w:tcPr>
          <w:p w14:paraId="19462AF2" w14:textId="77777777" w:rsidR="003B28A6" w:rsidRDefault="003B28A6">
            <w:pPr>
              <w:spacing w:after="0" w:line="240" w:lineRule="auto"/>
              <w:jc w:val="center"/>
              <w:rPr>
                <w:rFonts w:ascii="Arial" w:eastAsia="Times New Roman" w:hAnsi="Arial" w:cs="Arial"/>
                <w:color w:val="00000A"/>
                <w:sz w:val="18"/>
                <w:szCs w:val="18"/>
                <w:lang w:eastAsia="es-ES"/>
              </w:rPr>
            </w:pPr>
            <w:r>
              <w:rPr>
                <w:rFonts w:ascii="Arial" w:eastAsia="Times New Roman" w:hAnsi="Arial" w:cs="Arial"/>
                <w:color w:val="00000A"/>
                <w:sz w:val="18"/>
                <w:szCs w:val="18"/>
                <w:lang w:eastAsia="es-ES"/>
              </w:rPr>
              <w:t>40</w:t>
            </w:r>
          </w:p>
        </w:tc>
        <w:tc>
          <w:tcPr>
            <w:tcW w:w="1358" w:type="pct"/>
            <w:tcBorders>
              <w:top w:val="nil"/>
              <w:left w:val="single" w:sz="8" w:space="0" w:color="000000"/>
              <w:bottom w:val="single" w:sz="8" w:space="0" w:color="000000"/>
              <w:right w:val="single" w:sz="8" w:space="0" w:color="000000"/>
            </w:tcBorders>
            <w:vAlign w:val="center"/>
            <w:hideMark/>
          </w:tcPr>
          <w:p w14:paraId="33EA3EF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01/06/2020</w:t>
            </w:r>
          </w:p>
        </w:tc>
      </w:tr>
      <w:tr w:rsidR="003B28A6" w14:paraId="21476E71" w14:textId="77777777" w:rsidTr="003B28A6">
        <w:trPr>
          <w:trHeight w:val="315"/>
        </w:trPr>
        <w:tc>
          <w:tcPr>
            <w:tcW w:w="1410" w:type="pct"/>
            <w:tcBorders>
              <w:top w:val="nil"/>
              <w:left w:val="single" w:sz="8" w:space="0" w:color="000000"/>
              <w:bottom w:val="single" w:sz="8" w:space="0" w:color="000000"/>
              <w:right w:val="nil"/>
            </w:tcBorders>
            <w:vAlign w:val="center"/>
            <w:hideMark/>
          </w:tcPr>
          <w:p w14:paraId="2B110C4D"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CS 3/2020</w:t>
            </w:r>
          </w:p>
        </w:tc>
        <w:tc>
          <w:tcPr>
            <w:tcW w:w="0" w:type="auto"/>
            <w:vMerge/>
            <w:tcBorders>
              <w:top w:val="nil"/>
              <w:left w:val="single" w:sz="8" w:space="0" w:color="000000"/>
              <w:bottom w:val="single" w:sz="8" w:space="0" w:color="000000"/>
              <w:right w:val="single" w:sz="8" w:space="0" w:color="000000"/>
            </w:tcBorders>
            <w:vAlign w:val="center"/>
            <w:hideMark/>
          </w:tcPr>
          <w:p w14:paraId="4811A98F" w14:textId="77777777" w:rsidR="003B28A6" w:rsidRDefault="003B28A6">
            <w:pPr>
              <w:spacing w:after="0"/>
              <w:rPr>
                <w:rFonts w:ascii="Arial" w:eastAsia="Times New Roman" w:hAnsi="Arial" w:cs="Arial"/>
                <w:color w:val="000000"/>
                <w:sz w:val="18"/>
                <w:szCs w:val="18"/>
                <w:lang w:eastAsia="es-ES"/>
              </w:rPr>
            </w:pPr>
          </w:p>
        </w:tc>
        <w:tc>
          <w:tcPr>
            <w:tcW w:w="823" w:type="pct"/>
            <w:tcBorders>
              <w:top w:val="nil"/>
              <w:left w:val="nil"/>
              <w:bottom w:val="single" w:sz="8" w:space="0" w:color="000000"/>
              <w:right w:val="nil"/>
            </w:tcBorders>
            <w:vAlign w:val="center"/>
            <w:hideMark/>
          </w:tcPr>
          <w:p w14:paraId="68A2A6A4" w14:textId="77777777" w:rsidR="003B28A6" w:rsidRDefault="003B28A6">
            <w:pPr>
              <w:spacing w:after="0" w:line="240" w:lineRule="auto"/>
              <w:jc w:val="center"/>
              <w:rPr>
                <w:rFonts w:ascii="Arial" w:eastAsia="Times New Roman" w:hAnsi="Arial" w:cs="Arial"/>
                <w:color w:val="00000A"/>
                <w:sz w:val="18"/>
                <w:szCs w:val="18"/>
                <w:lang w:eastAsia="es-ES"/>
              </w:rPr>
            </w:pPr>
            <w:r>
              <w:rPr>
                <w:rFonts w:ascii="Arial" w:eastAsia="Times New Roman" w:hAnsi="Arial" w:cs="Arial"/>
                <w:color w:val="00000A"/>
                <w:sz w:val="18"/>
                <w:szCs w:val="18"/>
                <w:lang w:eastAsia="es-ES"/>
              </w:rPr>
              <w:t>22</w:t>
            </w:r>
          </w:p>
        </w:tc>
        <w:tc>
          <w:tcPr>
            <w:tcW w:w="1358" w:type="pct"/>
            <w:tcBorders>
              <w:top w:val="nil"/>
              <w:left w:val="single" w:sz="8" w:space="0" w:color="000000"/>
              <w:bottom w:val="single" w:sz="8" w:space="0" w:color="000000"/>
              <w:right w:val="single" w:sz="8" w:space="0" w:color="000000"/>
            </w:tcBorders>
            <w:vAlign w:val="center"/>
            <w:hideMark/>
          </w:tcPr>
          <w:p w14:paraId="42DFDDA9"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16/07/2020</w:t>
            </w:r>
          </w:p>
        </w:tc>
      </w:tr>
      <w:tr w:rsidR="003B28A6" w14:paraId="56954C48" w14:textId="77777777" w:rsidTr="003B28A6">
        <w:trPr>
          <w:trHeight w:val="300"/>
        </w:trPr>
        <w:tc>
          <w:tcPr>
            <w:tcW w:w="1410" w:type="pct"/>
            <w:vMerge w:val="restart"/>
            <w:tcBorders>
              <w:top w:val="nil"/>
              <w:left w:val="single" w:sz="8" w:space="0" w:color="000000"/>
              <w:bottom w:val="single" w:sz="8" w:space="0" w:color="000000"/>
              <w:right w:val="single" w:sz="8" w:space="0" w:color="000000"/>
            </w:tcBorders>
            <w:vAlign w:val="center"/>
            <w:hideMark/>
          </w:tcPr>
          <w:p w14:paraId="4C64BAEB"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CS 4/2020</w:t>
            </w:r>
          </w:p>
        </w:tc>
        <w:tc>
          <w:tcPr>
            <w:tcW w:w="0" w:type="auto"/>
            <w:vMerge/>
            <w:tcBorders>
              <w:top w:val="nil"/>
              <w:left w:val="single" w:sz="8" w:space="0" w:color="000000"/>
              <w:bottom w:val="single" w:sz="8" w:space="0" w:color="000000"/>
              <w:right w:val="single" w:sz="8" w:space="0" w:color="000000"/>
            </w:tcBorders>
            <w:vAlign w:val="center"/>
            <w:hideMark/>
          </w:tcPr>
          <w:p w14:paraId="4F63A95B" w14:textId="77777777" w:rsidR="003B28A6" w:rsidRDefault="003B28A6">
            <w:pPr>
              <w:spacing w:after="0"/>
              <w:rPr>
                <w:rFonts w:ascii="Arial" w:eastAsia="Times New Roman" w:hAnsi="Arial" w:cs="Arial"/>
                <w:color w:val="000000"/>
                <w:sz w:val="18"/>
                <w:szCs w:val="18"/>
                <w:lang w:eastAsia="es-ES"/>
              </w:rPr>
            </w:pPr>
          </w:p>
        </w:tc>
        <w:tc>
          <w:tcPr>
            <w:tcW w:w="823" w:type="pct"/>
            <w:vAlign w:val="center"/>
            <w:hideMark/>
          </w:tcPr>
          <w:p w14:paraId="3D64D5AF"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20</w:t>
            </w:r>
          </w:p>
        </w:tc>
        <w:tc>
          <w:tcPr>
            <w:tcW w:w="1358" w:type="pct"/>
            <w:tcBorders>
              <w:top w:val="nil"/>
              <w:left w:val="single" w:sz="8" w:space="0" w:color="000000"/>
              <w:bottom w:val="nil"/>
              <w:right w:val="single" w:sz="8" w:space="0" w:color="000000"/>
            </w:tcBorders>
            <w:vAlign w:val="center"/>
            <w:hideMark/>
          </w:tcPr>
          <w:p w14:paraId="60667B4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22/12/2020</w:t>
            </w:r>
          </w:p>
        </w:tc>
      </w:tr>
      <w:tr w:rsidR="003B28A6" w14:paraId="02F194D0" w14:textId="77777777" w:rsidTr="003B28A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389C440B"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5DEB2453" w14:textId="77777777" w:rsidR="003B28A6" w:rsidRDefault="003B28A6">
            <w:pPr>
              <w:spacing w:after="0"/>
              <w:rPr>
                <w:rFonts w:ascii="Arial" w:eastAsia="Times New Roman" w:hAnsi="Arial" w:cs="Arial"/>
                <w:color w:val="000000"/>
                <w:sz w:val="18"/>
                <w:szCs w:val="18"/>
                <w:lang w:eastAsia="es-ES"/>
              </w:rPr>
            </w:pPr>
          </w:p>
        </w:tc>
        <w:tc>
          <w:tcPr>
            <w:tcW w:w="823" w:type="pct"/>
            <w:vAlign w:val="center"/>
            <w:hideMark/>
          </w:tcPr>
          <w:p w14:paraId="20DD653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38</w:t>
            </w:r>
          </w:p>
        </w:tc>
        <w:tc>
          <w:tcPr>
            <w:tcW w:w="1358" w:type="pct"/>
            <w:tcBorders>
              <w:top w:val="nil"/>
              <w:left w:val="single" w:sz="8" w:space="0" w:color="000000"/>
              <w:bottom w:val="nil"/>
              <w:right w:val="single" w:sz="8" w:space="0" w:color="000000"/>
            </w:tcBorders>
            <w:vAlign w:val="center"/>
            <w:hideMark/>
          </w:tcPr>
          <w:p w14:paraId="687F9E8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01/07/2020</w:t>
            </w:r>
          </w:p>
        </w:tc>
      </w:tr>
      <w:tr w:rsidR="003B28A6" w14:paraId="5FA3A914" w14:textId="77777777" w:rsidTr="003B28A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08E69508"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10F0007E" w14:textId="77777777" w:rsidR="003B28A6" w:rsidRDefault="003B28A6">
            <w:pPr>
              <w:spacing w:after="0"/>
              <w:rPr>
                <w:rFonts w:ascii="Arial" w:eastAsia="Times New Roman" w:hAnsi="Arial" w:cs="Arial"/>
                <w:color w:val="000000"/>
                <w:sz w:val="18"/>
                <w:szCs w:val="18"/>
                <w:lang w:eastAsia="es-ES"/>
              </w:rPr>
            </w:pPr>
          </w:p>
        </w:tc>
        <w:tc>
          <w:tcPr>
            <w:tcW w:w="823" w:type="pct"/>
            <w:vAlign w:val="center"/>
            <w:hideMark/>
          </w:tcPr>
          <w:p w14:paraId="624FAF2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39</w:t>
            </w:r>
          </w:p>
        </w:tc>
        <w:tc>
          <w:tcPr>
            <w:tcW w:w="1358" w:type="pct"/>
            <w:tcBorders>
              <w:top w:val="nil"/>
              <w:left w:val="single" w:sz="8" w:space="0" w:color="000000"/>
              <w:bottom w:val="nil"/>
              <w:right w:val="single" w:sz="8" w:space="0" w:color="000000"/>
            </w:tcBorders>
            <w:vAlign w:val="center"/>
            <w:hideMark/>
          </w:tcPr>
          <w:p w14:paraId="25FFC13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w:t>
            </w:r>
          </w:p>
        </w:tc>
      </w:tr>
      <w:tr w:rsidR="003B28A6" w14:paraId="46E9A6E8" w14:textId="77777777" w:rsidTr="003B28A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249A3F28"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4C75A1AB" w14:textId="77777777" w:rsidR="003B28A6" w:rsidRDefault="003B28A6">
            <w:pPr>
              <w:spacing w:after="0"/>
              <w:rPr>
                <w:rFonts w:ascii="Arial" w:eastAsia="Times New Roman" w:hAnsi="Arial" w:cs="Arial"/>
                <w:color w:val="000000"/>
                <w:sz w:val="18"/>
                <w:szCs w:val="18"/>
                <w:lang w:eastAsia="es-ES"/>
              </w:rPr>
            </w:pPr>
          </w:p>
        </w:tc>
        <w:tc>
          <w:tcPr>
            <w:tcW w:w="823" w:type="pct"/>
            <w:vAlign w:val="center"/>
            <w:hideMark/>
          </w:tcPr>
          <w:p w14:paraId="57C8098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41</w:t>
            </w:r>
          </w:p>
        </w:tc>
        <w:tc>
          <w:tcPr>
            <w:tcW w:w="1358" w:type="pct"/>
            <w:tcBorders>
              <w:top w:val="nil"/>
              <w:left w:val="single" w:sz="8" w:space="0" w:color="000000"/>
              <w:bottom w:val="nil"/>
              <w:right w:val="single" w:sz="8" w:space="0" w:color="000000"/>
            </w:tcBorders>
            <w:vAlign w:val="center"/>
            <w:hideMark/>
          </w:tcPr>
          <w:p w14:paraId="3022ECF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06/07/2020</w:t>
            </w:r>
          </w:p>
        </w:tc>
      </w:tr>
      <w:tr w:rsidR="003B28A6" w14:paraId="5ABCDE97" w14:textId="77777777" w:rsidTr="003B28A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0CB4F0B2"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14828B0C" w14:textId="77777777" w:rsidR="003B28A6" w:rsidRDefault="003B28A6">
            <w:pPr>
              <w:spacing w:after="0"/>
              <w:rPr>
                <w:rFonts w:ascii="Arial" w:eastAsia="Times New Roman" w:hAnsi="Arial" w:cs="Arial"/>
                <w:color w:val="000000"/>
                <w:sz w:val="18"/>
                <w:szCs w:val="18"/>
                <w:lang w:eastAsia="es-ES"/>
              </w:rPr>
            </w:pPr>
          </w:p>
        </w:tc>
        <w:tc>
          <w:tcPr>
            <w:tcW w:w="823" w:type="pct"/>
            <w:vAlign w:val="center"/>
            <w:hideMark/>
          </w:tcPr>
          <w:p w14:paraId="6F1D0F8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42</w:t>
            </w:r>
          </w:p>
        </w:tc>
        <w:tc>
          <w:tcPr>
            <w:tcW w:w="1358" w:type="pct"/>
            <w:tcBorders>
              <w:top w:val="nil"/>
              <w:left w:val="single" w:sz="8" w:space="0" w:color="000000"/>
              <w:bottom w:val="nil"/>
              <w:right w:val="single" w:sz="8" w:space="0" w:color="000000"/>
            </w:tcBorders>
            <w:vAlign w:val="center"/>
            <w:hideMark/>
          </w:tcPr>
          <w:p w14:paraId="48EA2C9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strike/>
                <w:color w:val="000000"/>
                <w:sz w:val="18"/>
                <w:szCs w:val="18"/>
                <w:lang w:eastAsia="es-ES"/>
              </w:rPr>
              <w:t>--------------</w:t>
            </w:r>
          </w:p>
        </w:tc>
      </w:tr>
      <w:tr w:rsidR="003B28A6" w14:paraId="460303B8" w14:textId="77777777" w:rsidTr="003B28A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1AB422DF"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0BAA7A97" w14:textId="77777777" w:rsidR="003B28A6" w:rsidRDefault="003B28A6">
            <w:pPr>
              <w:spacing w:after="0"/>
              <w:rPr>
                <w:rFonts w:ascii="Arial" w:eastAsia="Times New Roman" w:hAnsi="Arial" w:cs="Arial"/>
                <w:color w:val="000000"/>
                <w:sz w:val="18"/>
                <w:szCs w:val="18"/>
                <w:lang w:eastAsia="es-ES"/>
              </w:rPr>
            </w:pPr>
          </w:p>
        </w:tc>
        <w:tc>
          <w:tcPr>
            <w:tcW w:w="823" w:type="pct"/>
            <w:vAlign w:val="center"/>
            <w:hideMark/>
          </w:tcPr>
          <w:p w14:paraId="262DA17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43</w:t>
            </w:r>
          </w:p>
        </w:tc>
        <w:tc>
          <w:tcPr>
            <w:tcW w:w="1358" w:type="pct"/>
            <w:tcBorders>
              <w:top w:val="nil"/>
              <w:left w:val="single" w:sz="8" w:space="0" w:color="000000"/>
              <w:bottom w:val="nil"/>
              <w:right w:val="single" w:sz="8" w:space="0" w:color="000000"/>
            </w:tcBorders>
            <w:vAlign w:val="center"/>
            <w:hideMark/>
          </w:tcPr>
          <w:p w14:paraId="3F9804F5"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strike/>
                <w:color w:val="000000"/>
                <w:sz w:val="18"/>
                <w:szCs w:val="18"/>
                <w:lang w:eastAsia="es-ES"/>
              </w:rPr>
              <w:t>--------------</w:t>
            </w:r>
          </w:p>
        </w:tc>
      </w:tr>
      <w:tr w:rsidR="003B28A6" w14:paraId="2714F94F" w14:textId="77777777" w:rsidTr="003B28A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7CB28614"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67CE9E1B" w14:textId="77777777" w:rsidR="003B28A6" w:rsidRDefault="003B28A6">
            <w:pPr>
              <w:spacing w:after="0"/>
              <w:rPr>
                <w:rFonts w:ascii="Arial" w:eastAsia="Times New Roman" w:hAnsi="Arial" w:cs="Arial"/>
                <w:color w:val="000000"/>
                <w:sz w:val="18"/>
                <w:szCs w:val="18"/>
                <w:lang w:eastAsia="es-ES"/>
              </w:rPr>
            </w:pPr>
          </w:p>
        </w:tc>
        <w:tc>
          <w:tcPr>
            <w:tcW w:w="823" w:type="pct"/>
            <w:vAlign w:val="center"/>
            <w:hideMark/>
          </w:tcPr>
          <w:p w14:paraId="7C9460E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47</w:t>
            </w:r>
          </w:p>
        </w:tc>
        <w:tc>
          <w:tcPr>
            <w:tcW w:w="1358" w:type="pct"/>
            <w:tcBorders>
              <w:top w:val="nil"/>
              <w:left w:val="single" w:sz="8" w:space="0" w:color="000000"/>
              <w:bottom w:val="nil"/>
              <w:right w:val="single" w:sz="8" w:space="0" w:color="000000"/>
            </w:tcBorders>
            <w:vAlign w:val="center"/>
            <w:hideMark/>
          </w:tcPr>
          <w:p w14:paraId="63574C3F"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01/07/2020</w:t>
            </w:r>
          </w:p>
        </w:tc>
      </w:tr>
      <w:tr w:rsidR="003B28A6" w14:paraId="14A2F801" w14:textId="77777777" w:rsidTr="003B28A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6AAD1F2B"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0E919BCD" w14:textId="77777777" w:rsidR="003B28A6" w:rsidRDefault="003B28A6">
            <w:pPr>
              <w:spacing w:after="0"/>
              <w:rPr>
                <w:rFonts w:ascii="Arial" w:eastAsia="Times New Roman" w:hAnsi="Arial" w:cs="Arial"/>
                <w:color w:val="000000"/>
                <w:sz w:val="18"/>
                <w:szCs w:val="18"/>
                <w:lang w:eastAsia="es-ES"/>
              </w:rPr>
            </w:pPr>
          </w:p>
        </w:tc>
        <w:tc>
          <w:tcPr>
            <w:tcW w:w="823" w:type="pct"/>
            <w:vAlign w:val="center"/>
            <w:hideMark/>
          </w:tcPr>
          <w:p w14:paraId="0312BF8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27</w:t>
            </w:r>
          </w:p>
        </w:tc>
        <w:tc>
          <w:tcPr>
            <w:tcW w:w="1358" w:type="pct"/>
            <w:tcBorders>
              <w:top w:val="nil"/>
              <w:left w:val="single" w:sz="8" w:space="0" w:color="000000"/>
              <w:bottom w:val="nil"/>
              <w:right w:val="single" w:sz="8" w:space="0" w:color="000000"/>
            </w:tcBorders>
            <w:vAlign w:val="center"/>
            <w:hideMark/>
          </w:tcPr>
          <w:p w14:paraId="014A261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15/10/2020</w:t>
            </w:r>
          </w:p>
        </w:tc>
      </w:tr>
      <w:tr w:rsidR="003B28A6" w14:paraId="356335D5" w14:textId="77777777" w:rsidTr="003B28A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4B10EDB6"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637C4466" w14:textId="77777777" w:rsidR="003B28A6" w:rsidRDefault="003B28A6">
            <w:pPr>
              <w:spacing w:after="0"/>
              <w:rPr>
                <w:rFonts w:ascii="Arial" w:eastAsia="Times New Roman" w:hAnsi="Arial" w:cs="Arial"/>
                <w:color w:val="000000"/>
                <w:sz w:val="18"/>
                <w:szCs w:val="18"/>
                <w:lang w:eastAsia="es-ES"/>
              </w:rPr>
            </w:pPr>
          </w:p>
        </w:tc>
        <w:tc>
          <w:tcPr>
            <w:tcW w:w="823" w:type="pct"/>
            <w:vAlign w:val="center"/>
            <w:hideMark/>
          </w:tcPr>
          <w:p w14:paraId="3158F4F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28</w:t>
            </w:r>
          </w:p>
        </w:tc>
        <w:tc>
          <w:tcPr>
            <w:tcW w:w="1358" w:type="pct"/>
            <w:tcBorders>
              <w:top w:val="nil"/>
              <w:left w:val="single" w:sz="8" w:space="0" w:color="000000"/>
              <w:bottom w:val="nil"/>
              <w:right w:val="single" w:sz="8" w:space="0" w:color="000000"/>
            </w:tcBorders>
            <w:vAlign w:val="center"/>
            <w:hideMark/>
          </w:tcPr>
          <w:p w14:paraId="3CB98D0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01/07/2020</w:t>
            </w:r>
          </w:p>
        </w:tc>
      </w:tr>
      <w:tr w:rsidR="003B28A6" w14:paraId="0398575C" w14:textId="77777777" w:rsidTr="003B28A6">
        <w:trPr>
          <w:trHeight w:val="315"/>
        </w:trPr>
        <w:tc>
          <w:tcPr>
            <w:tcW w:w="0" w:type="auto"/>
            <w:vMerge/>
            <w:tcBorders>
              <w:top w:val="nil"/>
              <w:left w:val="single" w:sz="8" w:space="0" w:color="000000"/>
              <w:bottom w:val="single" w:sz="8" w:space="0" w:color="000000"/>
              <w:right w:val="single" w:sz="8" w:space="0" w:color="000000"/>
            </w:tcBorders>
            <w:vAlign w:val="center"/>
            <w:hideMark/>
          </w:tcPr>
          <w:p w14:paraId="3A14F762"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51633D9F" w14:textId="77777777" w:rsidR="003B28A6" w:rsidRDefault="003B28A6">
            <w:pPr>
              <w:spacing w:after="0"/>
              <w:rPr>
                <w:rFonts w:ascii="Arial" w:eastAsia="Times New Roman" w:hAnsi="Arial" w:cs="Arial"/>
                <w:color w:val="000000"/>
                <w:sz w:val="18"/>
                <w:szCs w:val="18"/>
                <w:lang w:eastAsia="es-ES"/>
              </w:rPr>
            </w:pPr>
          </w:p>
        </w:tc>
        <w:tc>
          <w:tcPr>
            <w:tcW w:w="823" w:type="pct"/>
            <w:tcBorders>
              <w:top w:val="nil"/>
              <w:left w:val="nil"/>
              <w:bottom w:val="single" w:sz="8" w:space="0" w:color="000000"/>
              <w:right w:val="nil"/>
            </w:tcBorders>
            <w:vAlign w:val="center"/>
            <w:hideMark/>
          </w:tcPr>
          <w:p w14:paraId="673FE07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46</w:t>
            </w:r>
          </w:p>
        </w:tc>
        <w:tc>
          <w:tcPr>
            <w:tcW w:w="1358" w:type="pct"/>
            <w:tcBorders>
              <w:top w:val="nil"/>
              <w:left w:val="single" w:sz="8" w:space="0" w:color="000000"/>
              <w:bottom w:val="single" w:sz="8" w:space="0" w:color="000000"/>
              <w:right w:val="single" w:sz="8" w:space="0" w:color="000000"/>
            </w:tcBorders>
            <w:vAlign w:val="center"/>
            <w:hideMark/>
          </w:tcPr>
          <w:p w14:paraId="1894128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15/10/2020</w:t>
            </w:r>
          </w:p>
        </w:tc>
      </w:tr>
      <w:tr w:rsidR="003B28A6" w14:paraId="307B77E4" w14:textId="77777777" w:rsidTr="003B28A6">
        <w:trPr>
          <w:trHeight w:val="315"/>
        </w:trPr>
        <w:tc>
          <w:tcPr>
            <w:tcW w:w="1410" w:type="pct"/>
            <w:tcBorders>
              <w:top w:val="nil"/>
              <w:left w:val="single" w:sz="8" w:space="0" w:color="000000"/>
              <w:bottom w:val="single" w:sz="8" w:space="0" w:color="000000"/>
              <w:right w:val="nil"/>
            </w:tcBorders>
            <w:vAlign w:val="center"/>
            <w:hideMark/>
          </w:tcPr>
          <w:p w14:paraId="065C1761"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CS 5/2020</w:t>
            </w:r>
          </w:p>
        </w:tc>
        <w:tc>
          <w:tcPr>
            <w:tcW w:w="0" w:type="auto"/>
            <w:vMerge/>
            <w:tcBorders>
              <w:top w:val="nil"/>
              <w:left w:val="single" w:sz="8" w:space="0" w:color="000000"/>
              <w:bottom w:val="single" w:sz="8" w:space="0" w:color="000000"/>
              <w:right w:val="single" w:sz="8" w:space="0" w:color="000000"/>
            </w:tcBorders>
            <w:vAlign w:val="center"/>
            <w:hideMark/>
          </w:tcPr>
          <w:p w14:paraId="15F98522" w14:textId="77777777" w:rsidR="003B28A6" w:rsidRDefault="003B28A6">
            <w:pPr>
              <w:spacing w:after="0"/>
              <w:rPr>
                <w:rFonts w:ascii="Arial" w:eastAsia="Times New Roman" w:hAnsi="Arial" w:cs="Arial"/>
                <w:color w:val="000000"/>
                <w:sz w:val="18"/>
                <w:szCs w:val="18"/>
                <w:lang w:eastAsia="es-ES"/>
              </w:rPr>
            </w:pPr>
          </w:p>
        </w:tc>
        <w:tc>
          <w:tcPr>
            <w:tcW w:w="823" w:type="pct"/>
            <w:tcBorders>
              <w:top w:val="nil"/>
              <w:left w:val="nil"/>
              <w:bottom w:val="single" w:sz="8" w:space="0" w:color="000000"/>
              <w:right w:val="nil"/>
            </w:tcBorders>
            <w:vAlign w:val="center"/>
            <w:hideMark/>
          </w:tcPr>
          <w:p w14:paraId="2075393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w:t>
            </w:r>
          </w:p>
        </w:tc>
        <w:tc>
          <w:tcPr>
            <w:tcW w:w="1358" w:type="pct"/>
            <w:tcBorders>
              <w:top w:val="nil"/>
              <w:left w:val="single" w:sz="8" w:space="0" w:color="000000"/>
              <w:bottom w:val="single" w:sz="8" w:space="0" w:color="000000"/>
              <w:right w:val="single" w:sz="8" w:space="0" w:color="000000"/>
            </w:tcBorders>
            <w:vAlign w:val="center"/>
            <w:hideMark/>
          </w:tcPr>
          <w:p w14:paraId="4C2131A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01/07/2020</w:t>
            </w:r>
          </w:p>
        </w:tc>
      </w:tr>
      <w:tr w:rsidR="003B28A6" w14:paraId="25A8D886" w14:textId="77777777" w:rsidTr="003B28A6">
        <w:trPr>
          <w:trHeight w:val="315"/>
        </w:trPr>
        <w:tc>
          <w:tcPr>
            <w:tcW w:w="1410" w:type="pct"/>
            <w:tcBorders>
              <w:top w:val="nil"/>
              <w:left w:val="single" w:sz="8" w:space="0" w:color="000000"/>
              <w:bottom w:val="single" w:sz="8" w:space="0" w:color="000000"/>
              <w:right w:val="nil"/>
            </w:tcBorders>
            <w:vAlign w:val="center"/>
            <w:hideMark/>
          </w:tcPr>
          <w:p w14:paraId="0BB32898"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CS 6/2020</w:t>
            </w:r>
          </w:p>
        </w:tc>
        <w:tc>
          <w:tcPr>
            <w:tcW w:w="0" w:type="auto"/>
            <w:vMerge/>
            <w:tcBorders>
              <w:top w:val="nil"/>
              <w:left w:val="single" w:sz="8" w:space="0" w:color="000000"/>
              <w:bottom w:val="single" w:sz="8" w:space="0" w:color="000000"/>
              <w:right w:val="single" w:sz="8" w:space="0" w:color="000000"/>
            </w:tcBorders>
            <w:vAlign w:val="center"/>
            <w:hideMark/>
          </w:tcPr>
          <w:p w14:paraId="7328FC9F" w14:textId="77777777" w:rsidR="003B28A6" w:rsidRDefault="003B28A6">
            <w:pPr>
              <w:spacing w:after="0"/>
              <w:rPr>
                <w:rFonts w:ascii="Arial" w:eastAsia="Times New Roman" w:hAnsi="Arial" w:cs="Arial"/>
                <w:color w:val="000000"/>
                <w:sz w:val="18"/>
                <w:szCs w:val="18"/>
                <w:lang w:eastAsia="es-ES"/>
              </w:rPr>
            </w:pPr>
          </w:p>
        </w:tc>
        <w:tc>
          <w:tcPr>
            <w:tcW w:w="823" w:type="pct"/>
            <w:tcBorders>
              <w:top w:val="nil"/>
              <w:left w:val="nil"/>
              <w:bottom w:val="single" w:sz="8" w:space="0" w:color="000000"/>
              <w:right w:val="nil"/>
            </w:tcBorders>
            <w:vAlign w:val="center"/>
            <w:hideMark/>
          </w:tcPr>
          <w:p w14:paraId="067062D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44</w:t>
            </w:r>
          </w:p>
        </w:tc>
        <w:tc>
          <w:tcPr>
            <w:tcW w:w="1358" w:type="pct"/>
            <w:tcBorders>
              <w:top w:val="nil"/>
              <w:left w:val="single" w:sz="8" w:space="0" w:color="000000"/>
              <w:bottom w:val="single" w:sz="8" w:space="0" w:color="000000"/>
              <w:right w:val="single" w:sz="8" w:space="0" w:color="000000"/>
            </w:tcBorders>
            <w:vAlign w:val="center"/>
            <w:hideMark/>
          </w:tcPr>
          <w:p w14:paraId="208B939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13/11/2020</w:t>
            </w:r>
          </w:p>
        </w:tc>
      </w:tr>
      <w:tr w:rsidR="003B28A6" w14:paraId="38ADB0E7" w14:textId="77777777" w:rsidTr="003B28A6">
        <w:trPr>
          <w:trHeight w:val="300"/>
        </w:trPr>
        <w:tc>
          <w:tcPr>
            <w:tcW w:w="1410" w:type="pct"/>
            <w:vMerge w:val="restart"/>
            <w:tcBorders>
              <w:top w:val="nil"/>
              <w:left w:val="single" w:sz="8" w:space="0" w:color="000000"/>
              <w:bottom w:val="single" w:sz="8" w:space="0" w:color="000000"/>
              <w:right w:val="single" w:sz="8" w:space="0" w:color="000000"/>
            </w:tcBorders>
            <w:vAlign w:val="center"/>
            <w:hideMark/>
          </w:tcPr>
          <w:p w14:paraId="59876505"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FreeSans"/>
                <w:color w:val="000000"/>
                <w:sz w:val="18"/>
                <w:szCs w:val="18"/>
                <w:lang w:eastAsia="es-ES"/>
              </w:rPr>
              <w:t> </w:t>
            </w:r>
          </w:p>
        </w:tc>
        <w:tc>
          <w:tcPr>
            <w:tcW w:w="1410" w:type="pct"/>
            <w:vMerge w:val="restart"/>
            <w:tcBorders>
              <w:top w:val="nil"/>
              <w:left w:val="single" w:sz="8" w:space="0" w:color="000000"/>
              <w:bottom w:val="single" w:sz="8" w:space="0" w:color="000000"/>
              <w:right w:val="single" w:sz="8" w:space="0" w:color="000000"/>
            </w:tcBorders>
            <w:vAlign w:val="center"/>
            <w:hideMark/>
          </w:tcPr>
          <w:p w14:paraId="3A3B509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 1/2020</w:t>
            </w:r>
          </w:p>
        </w:tc>
        <w:tc>
          <w:tcPr>
            <w:tcW w:w="823" w:type="pct"/>
            <w:vAlign w:val="center"/>
            <w:hideMark/>
          </w:tcPr>
          <w:p w14:paraId="108EF67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7</w:t>
            </w:r>
          </w:p>
        </w:tc>
        <w:tc>
          <w:tcPr>
            <w:tcW w:w="1358" w:type="pct"/>
            <w:tcBorders>
              <w:top w:val="nil"/>
              <w:left w:val="single" w:sz="8" w:space="0" w:color="000000"/>
              <w:bottom w:val="nil"/>
              <w:right w:val="single" w:sz="8" w:space="0" w:color="000000"/>
            </w:tcBorders>
            <w:vAlign w:val="center"/>
            <w:hideMark/>
          </w:tcPr>
          <w:p w14:paraId="5792E02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01/06/2020</w:t>
            </w:r>
          </w:p>
        </w:tc>
      </w:tr>
      <w:tr w:rsidR="003B28A6" w14:paraId="53ABCC00" w14:textId="77777777" w:rsidTr="003B28A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7A685000"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0ED21826" w14:textId="77777777" w:rsidR="003B28A6" w:rsidRDefault="003B28A6">
            <w:pPr>
              <w:spacing w:after="0"/>
              <w:rPr>
                <w:rFonts w:ascii="Arial" w:eastAsia="Times New Roman" w:hAnsi="Arial" w:cs="Arial"/>
                <w:color w:val="000000"/>
                <w:sz w:val="18"/>
                <w:szCs w:val="18"/>
                <w:lang w:eastAsia="es-ES"/>
              </w:rPr>
            </w:pPr>
          </w:p>
        </w:tc>
        <w:tc>
          <w:tcPr>
            <w:tcW w:w="823" w:type="pct"/>
            <w:vAlign w:val="center"/>
            <w:hideMark/>
          </w:tcPr>
          <w:p w14:paraId="2CF51EE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14</w:t>
            </w:r>
          </w:p>
        </w:tc>
        <w:tc>
          <w:tcPr>
            <w:tcW w:w="1358" w:type="pct"/>
            <w:tcBorders>
              <w:top w:val="nil"/>
              <w:left w:val="single" w:sz="8" w:space="0" w:color="000000"/>
              <w:bottom w:val="nil"/>
              <w:right w:val="single" w:sz="8" w:space="0" w:color="000000"/>
            </w:tcBorders>
            <w:vAlign w:val="center"/>
            <w:hideMark/>
          </w:tcPr>
          <w:p w14:paraId="52B061F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16/07/2020</w:t>
            </w:r>
          </w:p>
        </w:tc>
      </w:tr>
      <w:tr w:rsidR="003B28A6" w14:paraId="4F26E4CE" w14:textId="77777777" w:rsidTr="003B28A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00BDF279"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120BB09A" w14:textId="77777777" w:rsidR="003B28A6" w:rsidRDefault="003B28A6">
            <w:pPr>
              <w:spacing w:after="0"/>
              <w:rPr>
                <w:rFonts w:ascii="Arial" w:eastAsia="Times New Roman" w:hAnsi="Arial" w:cs="Arial"/>
                <w:color w:val="000000"/>
                <w:sz w:val="18"/>
                <w:szCs w:val="18"/>
                <w:lang w:eastAsia="es-ES"/>
              </w:rPr>
            </w:pPr>
          </w:p>
        </w:tc>
        <w:tc>
          <w:tcPr>
            <w:tcW w:w="823" w:type="pct"/>
            <w:vAlign w:val="center"/>
            <w:hideMark/>
          </w:tcPr>
          <w:p w14:paraId="6582B09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15</w:t>
            </w:r>
          </w:p>
        </w:tc>
        <w:tc>
          <w:tcPr>
            <w:tcW w:w="1358" w:type="pct"/>
            <w:tcBorders>
              <w:top w:val="nil"/>
              <w:left w:val="single" w:sz="8" w:space="0" w:color="000000"/>
              <w:bottom w:val="nil"/>
              <w:right w:val="single" w:sz="8" w:space="0" w:color="000000"/>
            </w:tcBorders>
            <w:vAlign w:val="center"/>
            <w:hideMark/>
          </w:tcPr>
          <w:p w14:paraId="61BDF32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16/07/2020</w:t>
            </w:r>
          </w:p>
        </w:tc>
      </w:tr>
      <w:tr w:rsidR="003B28A6" w14:paraId="48D84E5F" w14:textId="77777777" w:rsidTr="003B28A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22249C69"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71913F5C" w14:textId="77777777" w:rsidR="003B28A6" w:rsidRDefault="003B28A6">
            <w:pPr>
              <w:spacing w:after="0"/>
              <w:rPr>
                <w:rFonts w:ascii="Arial" w:eastAsia="Times New Roman" w:hAnsi="Arial" w:cs="Arial"/>
                <w:color w:val="000000"/>
                <w:sz w:val="18"/>
                <w:szCs w:val="18"/>
                <w:lang w:eastAsia="es-ES"/>
              </w:rPr>
            </w:pPr>
          </w:p>
        </w:tc>
        <w:tc>
          <w:tcPr>
            <w:tcW w:w="823" w:type="pct"/>
            <w:vAlign w:val="center"/>
            <w:hideMark/>
          </w:tcPr>
          <w:p w14:paraId="6C3896B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16</w:t>
            </w:r>
          </w:p>
        </w:tc>
        <w:tc>
          <w:tcPr>
            <w:tcW w:w="1358" w:type="pct"/>
            <w:tcBorders>
              <w:top w:val="nil"/>
              <w:left w:val="single" w:sz="8" w:space="0" w:color="000000"/>
              <w:bottom w:val="nil"/>
              <w:right w:val="single" w:sz="8" w:space="0" w:color="000000"/>
            </w:tcBorders>
            <w:vAlign w:val="center"/>
            <w:hideMark/>
          </w:tcPr>
          <w:p w14:paraId="51FBEDA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NSimSun" w:hAnsi="Arial" w:cs="Arial"/>
                <w:color w:val="000000"/>
                <w:sz w:val="18"/>
                <w:szCs w:val="18"/>
                <w:lang w:eastAsia="es-ES"/>
              </w:rPr>
              <w:t>16/07/2020</w:t>
            </w:r>
          </w:p>
        </w:tc>
      </w:tr>
      <w:tr w:rsidR="003B28A6" w14:paraId="4D757C0C" w14:textId="77777777" w:rsidTr="003B28A6">
        <w:trPr>
          <w:trHeight w:val="315"/>
        </w:trPr>
        <w:tc>
          <w:tcPr>
            <w:tcW w:w="0" w:type="auto"/>
            <w:vMerge/>
            <w:tcBorders>
              <w:top w:val="nil"/>
              <w:left w:val="single" w:sz="8" w:space="0" w:color="000000"/>
              <w:bottom w:val="single" w:sz="8" w:space="0" w:color="000000"/>
              <w:right w:val="single" w:sz="8" w:space="0" w:color="000000"/>
            </w:tcBorders>
            <w:vAlign w:val="center"/>
            <w:hideMark/>
          </w:tcPr>
          <w:p w14:paraId="2D436948"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0E2AAFAC" w14:textId="77777777" w:rsidR="003B28A6" w:rsidRDefault="003B28A6">
            <w:pPr>
              <w:spacing w:after="0"/>
              <w:rPr>
                <w:rFonts w:ascii="Arial" w:eastAsia="Times New Roman" w:hAnsi="Arial" w:cs="Arial"/>
                <w:color w:val="000000"/>
                <w:sz w:val="18"/>
                <w:szCs w:val="18"/>
                <w:lang w:eastAsia="es-ES"/>
              </w:rPr>
            </w:pPr>
          </w:p>
        </w:tc>
        <w:tc>
          <w:tcPr>
            <w:tcW w:w="823" w:type="pct"/>
            <w:tcBorders>
              <w:top w:val="nil"/>
              <w:left w:val="nil"/>
              <w:bottom w:val="single" w:sz="8" w:space="0" w:color="000000"/>
              <w:right w:val="nil"/>
            </w:tcBorders>
            <w:vAlign w:val="center"/>
            <w:hideMark/>
          </w:tcPr>
          <w:p w14:paraId="16A21C0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17</w:t>
            </w:r>
          </w:p>
        </w:tc>
        <w:tc>
          <w:tcPr>
            <w:tcW w:w="1358" w:type="pct"/>
            <w:tcBorders>
              <w:top w:val="nil"/>
              <w:left w:val="single" w:sz="8" w:space="0" w:color="000000"/>
              <w:bottom w:val="single" w:sz="8" w:space="0" w:color="000000"/>
              <w:right w:val="single" w:sz="8" w:space="0" w:color="000000"/>
            </w:tcBorders>
            <w:vAlign w:val="center"/>
            <w:hideMark/>
          </w:tcPr>
          <w:p w14:paraId="6419D10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Desierto</w:t>
            </w:r>
          </w:p>
        </w:tc>
      </w:tr>
      <w:tr w:rsidR="003B28A6" w14:paraId="0789ED48" w14:textId="77777777" w:rsidTr="003B28A6">
        <w:trPr>
          <w:trHeight w:val="315"/>
        </w:trPr>
        <w:tc>
          <w:tcPr>
            <w:tcW w:w="0" w:type="auto"/>
            <w:vMerge/>
            <w:tcBorders>
              <w:top w:val="nil"/>
              <w:left w:val="single" w:sz="8" w:space="0" w:color="000000"/>
              <w:bottom w:val="single" w:sz="8" w:space="0" w:color="000000"/>
              <w:right w:val="single" w:sz="8" w:space="0" w:color="000000"/>
            </w:tcBorders>
            <w:vAlign w:val="center"/>
            <w:hideMark/>
          </w:tcPr>
          <w:p w14:paraId="2F24A52A" w14:textId="77777777" w:rsidR="003B28A6" w:rsidRDefault="003B28A6">
            <w:pPr>
              <w:spacing w:after="0"/>
              <w:rPr>
                <w:rFonts w:ascii="Arial" w:eastAsia="Times New Roman" w:hAnsi="Arial" w:cs="Arial"/>
                <w:color w:val="000000"/>
                <w:sz w:val="18"/>
                <w:szCs w:val="18"/>
                <w:lang w:eastAsia="es-ES"/>
              </w:rPr>
            </w:pPr>
          </w:p>
        </w:tc>
        <w:tc>
          <w:tcPr>
            <w:tcW w:w="1410" w:type="pct"/>
            <w:tcBorders>
              <w:top w:val="nil"/>
              <w:left w:val="nil"/>
              <w:bottom w:val="single" w:sz="8" w:space="0" w:color="000000"/>
              <w:right w:val="nil"/>
            </w:tcBorders>
            <w:vAlign w:val="center"/>
            <w:hideMark/>
          </w:tcPr>
          <w:p w14:paraId="2BE0F6B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 2/2020</w:t>
            </w:r>
          </w:p>
        </w:tc>
        <w:tc>
          <w:tcPr>
            <w:tcW w:w="823" w:type="pct"/>
            <w:tcBorders>
              <w:top w:val="nil"/>
              <w:left w:val="single" w:sz="8" w:space="0" w:color="000000"/>
              <w:bottom w:val="single" w:sz="8" w:space="0" w:color="000000"/>
              <w:right w:val="nil"/>
            </w:tcBorders>
            <w:vAlign w:val="center"/>
            <w:hideMark/>
          </w:tcPr>
          <w:p w14:paraId="706524F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w:t>
            </w:r>
          </w:p>
        </w:tc>
        <w:tc>
          <w:tcPr>
            <w:tcW w:w="1358" w:type="pct"/>
            <w:tcBorders>
              <w:top w:val="nil"/>
              <w:left w:val="single" w:sz="8" w:space="0" w:color="000000"/>
              <w:bottom w:val="single" w:sz="8" w:space="0" w:color="000000"/>
              <w:right w:val="single" w:sz="8" w:space="0" w:color="000000"/>
            </w:tcBorders>
            <w:vAlign w:val="center"/>
            <w:hideMark/>
          </w:tcPr>
          <w:p w14:paraId="73470B5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01/05/2020</w:t>
            </w:r>
          </w:p>
        </w:tc>
      </w:tr>
      <w:tr w:rsidR="003B28A6" w14:paraId="5E510209" w14:textId="77777777" w:rsidTr="003B28A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5160A850" w14:textId="77777777" w:rsidR="003B28A6" w:rsidRDefault="003B28A6">
            <w:pPr>
              <w:spacing w:after="0"/>
              <w:rPr>
                <w:rFonts w:ascii="Arial" w:eastAsia="Times New Roman" w:hAnsi="Arial" w:cs="Arial"/>
                <w:color w:val="000000"/>
                <w:sz w:val="18"/>
                <w:szCs w:val="18"/>
                <w:lang w:eastAsia="es-ES"/>
              </w:rPr>
            </w:pPr>
          </w:p>
        </w:tc>
        <w:tc>
          <w:tcPr>
            <w:tcW w:w="1410" w:type="pct"/>
            <w:vMerge w:val="restart"/>
            <w:tcBorders>
              <w:top w:val="nil"/>
              <w:left w:val="single" w:sz="8" w:space="0" w:color="000000"/>
              <w:bottom w:val="single" w:sz="8" w:space="0" w:color="000000"/>
              <w:right w:val="single" w:sz="8" w:space="0" w:color="000000"/>
            </w:tcBorders>
            <w:vAlign w:val="center"/>
            <w:hideMark/>
          </w:tcPr>
          <w:p w14:paraId="0425F80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 3/2020</w:t>
            </w:r>
          </w:p>
        </w:tc>
        <w:tc>
          <w:tcPr>
            <w:tcW w:w="823" w:type="pct"/>
            <w:vAlign w:val="center"/>
            <w:hideMark/>
          </w:tcPr>
          <w:p w14:paraId="3FA80A4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18</w:t>
            </w:r>
          </w:p>
        </w:tc>
        <w:tc>
          <w:tcPr>
            <w:tcW w:w="1358" w:type="pct"/>
            <w:tcBorders>
              <w:top w:val="nil"/>
              <w:left w:val="single" w:sz="8" w:space="0" w:color="000000"/>
              <w:bottom w:val="nil"/>
              <w:right w:val="single" w:sz="8" w:space="0" w:color="000000"/>
            </w:tcBorders>
            <w:vAlign w:val="center"/>
            <w:hideMark/>
          </w:tcPr>
          <w:p w14:paraId="2C9EAC9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22/07/2020</w:t>
            </w:r>
          </w:p>
        </w:tc>
      </w:tr>
      <w:tr w:rsidR="003B28A6" w14:paraId="56CE91F9" w14:textId="77777777" w:rsidTr="003B28A6">
        <w:trPr>
          <w:trHeight w:val="315"/>
        </w:trPr>
        <w:tc>
          <w:tcPr>
            <w:tcW w:w="0" w:type="auto"/>
            <w:vMerge/>
            <w:tcBorders>
              <w:top w:val="nil"/>
              <w:left w:val="single" w:sz="8" w:space="0" w:color="000000"/>
              <w:bottom w:val="single" w:sz="8" w:space="0" w:color="000000"/>
              <w:right w:val="single" w:sz="8" w:space="0" w:color="000000"/>
            </w:tcBorders>
            <w:vAlign w:val="center"/>
            <w:hideMark/>
          </w:tcPr>
          <w:p w14:paraId="64C80EE6"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69F08284" w14:textId="77777777" w:rsidR="003B28A6" w:rsidRDefault="003B28A6">
            <w:pPr>
              <w:spacing w:after="0"/>
              <w:rPr>
                <w:rFonts w:ascii="Arial" w:eastAsia="Times New Roman" w:hAnsi="Arial" w:cs="Arial"/>
                <w:color w:val="000000"/>
                <w:sz w:val="18"/>
                <w:szCs w:val="18"/>
                <w:lang w:eastAsia="es-ES"/>
              </w:rPr>
            </w:pPr>
          </w:p>
        </w:tc>
        <w:tc>
          <w:tcPr>
            <w:tcW w:w="823" w:type="pct"/>
            <w:tcBorders>
              <w:top w:val="nil"/>
              <w:left w:val="nil"/>
              <w:bottom w:val="single" w:sz="8" w:space="0" w:color="000000"/>
              <w:right w:val="nil"/>
            </w:tcBorders>
            <w:vAlign w:val="center"/>
            <w:hideMark/>
          </w:tcPr>
          <w:p w14:paraId="4ACBF08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19</w:t>
            </w:r>
          </w:p>
        </w:tc>
        <w:tc>
          <w:tcPr>
            <w:tcW w:w="1358" w:type="pct"/>
            <w:tcBorders>
              <w:top w:val="nil"/>
              <w:left w:val="single" w:sz="8" w:space="0" w:color="000000"/>
              <w:bottom w:val="single" w:sz="8" w:space="0" w:color="000000"/>
              <w:right w:val="single" w:sz="8" w:space="0" w:color="000000"/>
            </w:tcBorders>
            <w:vAlign w:val="center"/>
            <w:hideMark/>
          </w:tcPr>
          <w:p w14:paraId="0CD80899"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22/07/2020</w:t>
            </w:r>
          </w:p>
        </w:tc>
      </w:tr>
      <w:tr w:rsidR="003B28A6" w14:paraId="05F2F5C3" w14:textId="77777777" w:rsidTr="003B28A6">
        <w:trPr>
          <w:trHeight w:val="835"/>
        </w:trPr>
        <w:tc>
          <w:tcPr>
            <w:tcW w:w="0" w:type="auto"/>
            <w:vMerge/>
            <w:tcBorders>
              <w:top w:val="nil"/>
              <w:left w:val="single" w:sz="8" w:space="0" w:color="000000"/>
              <w:bottom w:val="single" w:sz="8" w:space="0" w:color="000000"/>
              <w:right w:val="single" w:sz="8" w:space="0" w:color="000000"/>
            </w:tcBorders>
            <w:vAlign w:val="center"/>
            <w:hideMark/>
          </w:tcPr>
          <w:p w14:paraId="4DC2E6BB" w14:textId="77777777" w:rsidR="003B28A6" w:rsidRDefault="003B28A6">
            <w:pPr>
              <w:spacing w:after="0"/>
              <w:rPr>
                <w:rFonts w:ascii="Arial" w:eastAsia="Times New Roman" w:hAnsi="Arial" w:cs="Arial"/>
                <w:color w:val="000000"/>
                <w:sz w:val="18"/>
                <w:szCs w:val="18"/>
                <w:lang w:eastAsia="es-ES"/>
              </w:rPr>
            </w:pPr>
          </w:p>
        </w:tc>
        <w:tc>
          <w:tcPr>
            <w:tcW w:w="1410" w:type="pct"/>
            <w:tcBorders>
              <w:top w:val="nil"/>
              <w:left w:val="nil"/>
              <w:bottom w:val="single" w:sz="8" w:space="0" w:color="000000"/>
              <w:right w:val="nil"/>
            </w:tcBorders>
            <w:vAlign w:val="center"/>
            <w:hideMark/>
          </w:tcPr>
          <w:p w14:paraId="491A75A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 4 /2020</w:t>
            </w:r>
          </w:p>
        </w:tc>
        <w:tc>
          <w:tcPr>
            <w:tcW w:w="823" w:type="pct"/>
            <w:tcBorders>
              <w:top w:val="nil"/>
              <w:left w:val="single" w:sz="8" w:space="0" w:color="000000"/>
              <w:bottom w:val="single" w:sz="8" w:space="0" w:color="000000"/>
              <w:right w:val="nil"/>
            </w:tcBorders>
            <w:vAlign w:val="center"/>
            <w:hideMark/>
          </w:tcPr>
          <w:p w14:paraId="171FE90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9</w:t>
            </w:r>
          </w:p>
        </w:tc>
        <w:tc>
          <w:tcPr>
            <w:tcW w:w="1358" w:type="pct"/>
            <w:tcBorders>
              <w:top w:val="nil"/>
              <w:left w:val="single" w:sz="8" w:space="0" w:color="000000"/>
              <w:bottom w:val="single" w:sz="8" w:space="0" w:color="000000"/>
              <w:right w:val="single" w:sz="8" w:space="0" w:color="000000"/>
            </w:tcBorders>
            <w:vAlign w:val="center"/>
            <w:hideMark/>
          </w:tcPr>
          <w:p w14:paraId="3E3B59D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Pendiente resolución a 31/12/2020</w:t>
            </w:r>
          </w:p>
        </w:tc>
      </w:tr>
      <w:tr w:rsidR="003B28A6" w14:paraId="56391EB8" w14:textId="77777777" w:rsidTr="003B28A6">
        <w:trPr>
          <w:trHeight w:val="315"/>
        </w:trPr>
        <w:tc>
          <w:tcPr>
            <w:tcW w:w="0" w:type="auto"/>
            <w:vMerge/>
            <w:tcBorders>
              <w:top w:val="nil"/>
              <w:left w:val="single" w:sz="8" w:space="0" w:color="000000"/>
              <w:bottom w:val="single" w:sz="8" w:space="0" w:color="000000"/>
              <w:right w:val="single" w:sz="8" w:space="0" w:color="000000"/>
            </w:tcBorders>
            <w:vAlign w:val="center"/>
            <w:hideMark/>
          </w:tcPr>
          <w:p w14:paraId="54CAED17" w14:textId="77777777" w:rsidR="003B28A6" w:rsidRDefault="003B28A6">
            <w:pPr>
              <w:spacing w:after="0"/>
              <w:rPr>
                <w:rFonts w:ascii="Arial" w:eastAsia="Times New Roman" w:hAnsi="Arial" w:cs="Arial"/>
                <w:color w:val="000000"/>
                <w:sz w:val="18"/>
                <w:szCs w:val="18"/>
                <w:lang w:eastAsia="es-ES"/>
              </w:rPr>
            </w:pPr>
          </w:p>
        </w:tc>
        <w:tc>
          <w:tcPr>
            <w:tcW w:w="1410" w:type="pct"/>
            <w:tcBorders>
              <w:top w:val="nil"/>
              <w:left w:val="nil"/>
              <w:bottom w:val="single" w:sz="8" w:space="0" w:color="000000"/>
              <w:right w:val="nil"/>
            </w:tcBorders>
            <w:vAlign w:val="center"/>
            <w:hideMark/>
          </w:tcPr>
          <w:p w14:paraId="07F66E7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 5/2020</w:t>
            </w:r>
          </w:p>
        </w:tc>
        <w:tc>
          <w:tcPr>
            <w:tcW w:w="823" w:type="pct"/>
            <w:tcBorders>
              <w:top w:val="nil"/>
              <w:left w:val="single" w:sz="8" w:space="0" w:color="000000"/>
              <w:bottom w:val="single" w:sz="8" w:space="0" w:color="000000"/>
              <w:right w:val="nil"/>
            </w:tcBorders>
            <w:vAlign w:val="center"/>
            <w:hideMark/>
          </w:tcPr>
          <w:p w14:paraId="13F970C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33</w:t>
            </w:r>
          </w:p>
        </w:tc>
        <w:tc>
          <w:tcPr>
            <w:tcW w:w="1358" w:type="pct"/>
            <w:tcBorders>
              <w:top w:val="nil"/>
              <w:left w:val="single" w:sz="8" w:space="0" w:color="000000"/>
              <w:bottom w:val="single" w:sz="8" w:space="0" w:color="000000"/>
              <w:right w:val="single" w:sz="8" w:space="0" w:color="000000"/>
            </w:tcBorders>
            <w:vAlign w:val="center"/>
            <w:hideMark/>
          </w:tcPr>
          <w:p w14:paraId="6369359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01/11/2020</w:t>
            </w:r>
          </w:p>
        </w:tc>
      </w:tr>
      <w:tr w:rsidR="003B28A6" w14:paraId="5EC3E7CC" w14:textId="77777777" w:rsidTr="003B28A6">
        <w:trPr>
          <w:trHeight w:val="315"/>
        </w:trPr>
        <w:tc>
          <w:tcPr>
            <w:tcW w:w="0" w:type="auto"/>
            <w:vMerge/>
            <w:tcBorders>
              <w:top w:val="nil"/>
              <w:left w:val="single" w:sz="8" w:space="0" w:color="000000"/>
              <w:bottom w:val="single" w:sz="8" w:space="0" w:color="000000"/>
              <w:right w:val="single" w:sz="8" w:space="0" w:color="000000"/>
            </w:tcBorders>
            <w:vAlign w:val="center"/>
            <w:hideMark/>
          </w:tcPr>
          <w:p w14:paraId="685C5C45" w14:textId="77777777" w:rsidR="003B28A6" w:rsidRDefault="003B28A6">
            <w:pPr>
              <w:spacing w:after="0"/>
              <w:rPr>
                <w:rFonts w:ascii="Arial" w:eastAsia="Times New Roman" w:hAnsi="Arial" w:cs="Arial"/>
                <w:color w:val="000000"/>
                <w:sz w:val="18"/>
                <w:szCs w:val="18"/>
                <w:lang w:eastAsia="es-ES"/>
              </w:rPr>
            </w:pPr>
          </w:p>
        </w:tc>
        <w:tc>
          <w:tcPr>
            <w:tcW w:w="1410" w:type="pct"/>
            <w:tcBorders>
              <w:top w:val="nil"/>
              <w:left w:val="nil"/>
              <w:bottom w:val="single" w:sz="8" w:space="0" w:color="000000"/>
              <w:right w:val="nil"/>
            </w:tcBorders>
            <w:vAlign w:val="center"/>
            <w:hideMark/>
          </w:tcPr>
          <w:p w14:paraId="3A4CC4B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 6/2020</w:t>
            </w:r>
          </w:p>
        </w:tc>
        <w:tc>
          <w:tcPr>
            <w:tcW w:w="823" w:type="pct"/>
            <w:tcBorders>
              <w:top w:val="nil"/>
              <w:left w:val="single" w:sz="8" w:space="0" w:color="000000"/>
              <w:bottom w:val="single" w:sz="8" w:space="0" w:color="000000"/>
              <w:right w:val="nil"/>
            </w:tcBorders>
            <w:vAlign w:val="center"/>
            <w:hideMark/>
          </w:tcPr>
          <w:p w14:paraId="2E229D4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45</w:t>
            </w:r>
          </w:p>
        </w:tc>
        <w:tc>
          <w:tcPr>
            <w:tcW w:w="1358" w:type="pct"/>
            <w:tcBorders>
              <w:top w:val="nil"/>
              <w:left w:val="single" w:sz="8" w:space="0" w:color="000000"/>
              <w:bottom w:val="single" w:sz="8" w:space="0" w:color="000000"/>
              <w:right w:val="single" w:sz="8" w:space="0" w:color="000000"/>
            </w:tcBorders>
            <w:vAlign w:val="center"/>
            <w:hideMark/>
          </w:tcPr>
          <w:p w14:paraId="00F8AAF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01/11/2020</w:t>
            </w:r>
          </w:p>
        </w:tc>
      </w:tr>
      <w:tr w:rsidR="003B28A6" w14:paraId="6291C800" w14:textId="77777777" w:rsidTr="003B28A6">
        <w:trPr>
          <w:trHeight w:val="315"/>
        </w:trPr>
        <w:tc>
          <w:tcPr>
            <w:tcW w:w="0" w:type="auto"/>
            <w:vMerge/>
            <w:tcBorders>
              <w:top w:val="nil"/>
              <w:left w:val="single" w:sz="8" w:space="0" w:color="000000"/>
              <w:bottom w:val="single" w:sz="8" w:space="0" w:color="000000"/>
              <w:right w:val="single" w:sz="8" w:space="0" w:color="000000"/>
            </w:tcBorders>
            <w:vAlign w:val="center"/>
            <w:hideMark/>
          </w:tcPr>
          <w:p w14:paraId="1CA0790B" w14:textId="77777777" w:rsidR="003B28A6" w:rsidRDefault="003B28A6">
            <w:pPr>
              <w:spacing w:after="0"/>
              <w:rPr>
                <w:rFonts w:ascii="Arial" w:eastAsia="Times New Roman" w:hAnsi="Arial" w:cs="Arial"/>
                <w:color w:val="000000"/>
                <w:sz w:val="18"/>
                <w:szCs w:val="18"/>
                <w:lang w:eastAsia="es-ES"/>
              </w:rPr>
            </w:pPr>
          </w:p>
        </w:tc>
        <w:tc>
          <w:tcPr>
            <w:tcW w:w="1410" w:type="pct"/>
            <w:tcBorders>
              <w:top w:val="nil"/>
              <w:left w:val="nil"/>
              <w:bottom w:val="single" w:sz="8" w:space="0" w:color="000000"/>
              <w:right w:val="nil"/>
            </w:tcBorders>
            <w:vAlign w:val="center"/>
            <w:hideMark/>
          </w:tcPr>
          <w:p w14:paraId="53506A9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 7/2020</w:t>
            </w:r>
          </w:p>
        </w:tc>
        <w:tc>
          <w:tcPr>
            <w:tcW w:w="823" w:type="pct"/>
            <w:tcBorders>
              <w:top w:val="nil"/>
              <w:left w:val="single" w:sz="8" w:space="0" w:color="000000"/>
              <w:bottom w:val="single" w:sz="8" w:space="0" w:color="000000"/>
              <w:right w:val="nil"/>
            </w:tcBorders>
            <w:vAlign w:val="center"/>
            <w:hideMark/>
          </w:tcPr>
          <w:p w14:paraId="4F15392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17</w:t>
            </w:r>
          </w:p>
        </w:tc>
        <w:tc>
          <w:tcPr>
            <w:tcW w:w="1358" w:type="pct"/>
            <w:tcBorders>
              <w:top w:val="nil"/>
              <w:left w:val="single" w:sz="8" w:space="0" w:color="000000"/>
              <w:bottom w:val="single" w:sz="8" w:space="0" w:color="000000"/>
              <w:right w:val="single" w:sz="8" w:space="0" w:color="000000"/>
            </w:tcBorders>
            <w:vAlign w:val="center"/>
            <w:hideMark/>
          </w:tcPr>
          <w:p w14:paraId="7C3D9BE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06/11/2020</w:t>
            </w:r>
          </w:p>
        </w:tc>
      </w:tr>
      <w:tr w:rsidR="003B28A6" w14:paraId="3B88AC14" w14:textId="77777777" w:rsidTr="003B28A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0DB289EF" w14:textId="77777777" w:rsidR="003B28A6" w:rsidRDefault="003B28A6">
            <w:pPr>
              <w:spacing w:after="0"/>
              <w:rPr>
                <w:rFonts w:ascii="Arial" w:eastAsia="Times New Roman" w:hAnsi="Arial" w:cs="Arial"/>
                <w:color w:val="000000"/>
                <w:sz w:val="18"/>
                <w:szCs w:val="18"/>
                <w:lang w:eastAsia="es-ES"/>
              </w:rPr>
            </w:pPr>
          </w:p>
        </w:tc>
        <w:tc>
          <w:tcPr>
            <w:tcW w:w="1410" w:type="pct"/>
            <w:vMerge w:val="restart"/>
            <w:tcBorders>
              <w:top w:val="nil"/>
              <w:left w:val="single" w:sz="8" w:space="0" w:color="000000"/>
              <w:bottom w:val="single" w:sz="8" w:space="0" w:color="000000"/>
              <w:right w:val="single" w:sz="8" w:space="0" w:color="000000"/>
            </w:tcBorders>
            <w:vAlign w:val="center"/>
            <w:hideMark/>
          </w:tcPr>
          <w:p w14:paraId="156258D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LD 8/2020</w:t>
            </w:r>
          </w:p>
        </w:tc>
        <w:tc>
          <w:tcPr>
            <w:tcW w:w="823" w:type="pct"/>
            <w:vAlign w:val="center"/>
            <w:hideMark/>
          </w:tcPr>
          <w:p w14:paraId="78F5E5DF"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38</w:t>
            </w:r>
          </w:p>
        </w:tc>
        <w:tc>
          <w:tcPr>
            <w:tcW w:w="1358" w:type="pct"/>
            <w:tcBorders>
              <w:top w:val="nil"/>
              <w:left w:val="single" w:sz="8" w:space="0" w:color="000000"/>
              <w:bottom w:val="nil"/>
              <w:right w:val="single" w:sz="8" w:space="0" w:color="000000"/>
            </w:tcBorders>
            <w:vAlign w:val="center"/>
            <w:hideMark/>
          </w:tcPr>
          <w:p w14:paraId="0C8092B4" w14:textId="77777777" w:rsidR="003B28A6" w:rsidRDefault="003B28A6">
            <w:pPr>
              <w:spacing w:after="0" w:line="240" w:lineRule="auto"/>
              <w:jc w:val="center"/>
              <w:rPr>
                <w:rFonts w:ascii="Arial" w:eastAsia="Times New Roman" w:hAnsi="Arial" w:cs="Arial"/>
                <w:color w:val="00000A"/>
                <w:sz w:val="18"/>
                <w:szCs w:val="18"/>
                <w:lang w:eastAsia="es-ES"/>
              </w:rPr>
            </w:pPr>
            <w:r>
              <w:rPr>
                <w:rFonts w:ascii="Arial" w:eastAsia="Times New Roman" w:hAnsi="Arial" w:cs="Arial"/>
                <w:color w:val="00000A"/>
                <w:sz w:val="18"/>
                <w:szCs w:val="18"/>
                <w:lang w:eastAsia="es-ES"/>
              </w:rPr>
              <w:t>01/01/2021</w:t>
            </w:r>
          </w:p>
        </w:tc>
      </w:tr>
      <w:tr w:rsidR="003B28A6" w14:paraId="5096A600" w14:textId="77777777" w:rsidTr="003B28A6">
        <w:trPr>
          <w:trHeight w:val="315"/>
        </w:trPr>
        <w:tc>
          <w:tcPr>
            <w:tcW w:w="0" w:type="auto"/>
            <w:vMerge/>
            <w:tcBorders>
              <w:top w:val="nil"/>
              <w:left w:val="single" w:sz="8" w:space="0" w:color="000000"/>
              <w:bottom w:val="single" w:sz="8" w:space="0" w:color="000000"/>
              <w:right w:val="single" w:sz="8" w:space="0" w:color="000000"/>
            </w:tcBorders>
            <w:vAlign w:val="center"/>
            <w:hideMark/>
          </w:tcPr>
          <w:p w14:paraId="053E46F2"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413476EC" w14:textId="77777777" w:rsidR="003B28A6" w:rsidRDefault="003B28A6">
            <w:pPr>
              <w:spacing w:after="0"/>
              <w:rPr>
                <w:rFonts w:ascii="Arial" w:eastAsia="Times New Roman" w:hAnsi="Arial" w:cs="Arial"/>
                <w:color w:val="000000"/>
                <w:sz w:val="18"/>
                <w:szCs w:val="18"/>
                <w:lang w:eastAsia="es-ES"/>
              </w:rPr>
            </w:pPr>
          </w:p>
        </w:tc>
        <w:tc>
          <w:tcPr>
            <w:tcW w:w="823" w:type="pct"/>
            <w:tcBorders>
              <w:top w:val="nil"/>
              <w:left w:val="nil"/>
              <w:bottom w:val="single" w:sz="8" w:space="0" w:color="000000"/>
              <w:right w:val="nil"/>
            </w:tcBorders>
            <w:vAlign w:val="center"/>
            <w:hideMark/>
          </w:tcPr>
          <w:p w14:paraId="14C320B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39</w:t>
            </w:r>
          </w:p>
        </w:tc>
        <w:tc>
          <w:tcPr>
            <w:tcW w:w="1358" w:type="pct"/>
            <w:tcBorders>
              <w:top w:val="nil"/>
              <w:left w:val="single" w:sz="8" w:space="0" w:color="000000"/>
              <w:bottom w:val="single" w:sz="8" w:space="0" w:color="000000"/>
              <w:right w:val="single" w:sz="8" w:space="0" w:color="000000"/>
            </w:tcBorders>
            <w:vAlign w:val="center"/>
            <w:hideMark/>
          </w:tcPr>
          <w:p w14:paraId="1CCBC6CF" w14:textId="77777777" w:rsidR="003B28A6" w:rsidRDefault="003B28A6">
            <w:pPr>
              <w:spacing w:after="0" w:line="240" w:lineRule="auto"/>
              <w:jc w:val="center"/>
              <w:rPr>
                <w:rFonts w:ascii="Arial" w:eastAsia="Times New Roman" w:hAnsi="Arial" w:cs="Arial"/>
                <w:color w:val="00000A"/>
                <w:sz w:val="18"/>
                <w:szCs w:val="18"/>
                <w:lang w:eastAsia="es-ES"/>
              </w:rPr>
            </w:pPr>
            <w:r>
              <w:rPr>
                <w:rFonts w:ascii="Arial" w:eastAsia="Times New Roman" w:hAnsi="Arial" w:cs="Arial"/>
                <w:color w:val="00000A"/>
                <w:sz w:val="18"/>
                <w:szCs w:val="18"/>
                <w:lang w:eastAsia="es-ES"/>
              </w:rPr>
              <w:t>11/01/2021</w:t>
            </w:r>
          </w:p>
        </w:tc>
      </w:tr>
    </w:tbl>
    <w:p w14:paraId="3E6B2DAF" w14:textId="77777777" w:rsidR="003B28A6" w:rsidRDefault="003B28A6" w:rsidP="003B28A6">
      <w:pPr>
        <w:jc w:val="both"/>
        <w:rPr>
          <w:rFonts w:ascii="Arial" w:eastAsia="Droid Sans Fallback" w:hAnsi="Arial" w:cs="Arial"/>
          <w:kern w:val="3"/>
          <w:sz w:val="21"/>
          <w:szCs w:val="21"/>
          <w:lang w:eastAsia="zh-CN" w:bidi="hi-IN"/>
        </w:rPr>
      </w:pPr>
    </w:p>
    <w:p w14:paraId="30C46AB1" w14:textId="77777777" w:rsidR="003B28A6" w:rsidRDefault="003B28A6" w:rsidP="00B22DC2">
      <w:pPr>
        <w:spacing w:after="240" w:line="276" w:lineRule="auto"/>
        <w:jc w:val="both"/>
        <w:rPr>
          <w:rFonts w:ascii="Arial" w:eastAsia="Droid Sans Fallback" w:hAnsi="Arial" w:cs="Arial"/>
          <w:kern w:val="3"/>
          <w:sz w:val="21"/>
          <w:szCs w:val="21"/>
          <w:lang w:eastAsia="zh-CN" w:bidi="hi-IN"/>
        </w:rPr>
      </w:pPr>
      <w:r>
        <w:rPr>
          <w:rFonts w:ascii="Arial" w:eastAsia="Droid Sans Fallback" w:hAnsi="Arial" w:cs="Arial"/>
          <w:kern w:val="3"/>
          <w:sz w:val="21"/>
          <w:szCs w:val="21"/>
          <w:lang w:eastAsia="zh-CN" w:bidi="hi-IN"/>
        </w:rPr>
        <w:t xml:space="preserve">Con carácter complementario y con la finalidad de ofrecer una visión global de la estructura de los recursos humanos de esta Agencia desde el momento de su creación, se incluye una información exhaustiva de la situación de dicha estructura a 31 de diciembre de cada uno de los cuatro ejercicios de existencia de la Agencia. </w:t>
      </w:r>
    </w:p>
    <w:p w14:paraId="7A3DD327" w14:textId="4CDC5263" w:rsidR="003B28A6" w:rsidRPr="00B22DC2" w:rsidRDefault="003B28A6" w:rsidP="003B28A6">
      <w:pPr>
        <w:pStyle w:val="Descripcin"/>
        <w:keepNext/>
        <w:jc w:val="both"/>
        <w:rPr>
          <w:rFonts w:ascii="Arial" w:hAnsi="Arial" w:cs="Arial"/>
          <w:smallCaps w:val="0"/>
          <w:sz w:val="18"/>
          <w:szCs w:val="18"/>
        </w:rPr>
      </w:pPr>
      <w:bookmarkStart w:id="308" w:name="_Toc66443893"/>
      <w:bookmarkStart w:id="309" w:name="_Toc67646362"/>
      <w:r w:rsidRPr="00B22DC2">
        <w:rPr>
          <w:rFonts w:ascii="Arial" w:hAnsi="Arial" w:cs="Arial"/>
          <w:smallCaps w:val="0"/>
          <w:color w:val="9D2235" w:themeColor="accent1"/>
          <w:sz w:val="18"/>
          <w:szCs w:val="18"/>
        </w:rPr>
        <w:t xml:space="preserve">Tabla </w:t>
      </w:r>
      <w:r w:rsidRPr="00B22DC2">
        <w:rPr>
          <w:rFonts w:ascii="Arial" w:hAnsi="Arial" w:cs="Arial"/>
          <w:smallCaps w:val="0"/>
          <w:sz w:val="18"/>
        </w:rPr>
        <w:fldChar w:fldCharType="begin"/>
      </w:r>
      <w:r w:rsidRPr="00B22DC2">
        <w:rPr>
          <w:rFonts w:ascii="Arial" w:hAnsi="Arial" w:cs="Arial"/>
          <w:smallCaps w:val="0"/>
          <w:color w:val="9D2235" w:themeColor="accent1"/>
          <w:sz w:val="18"/>
          <w:szCs w:val="18"/>
        </w:rPr>
        <w:instrText xml:space="preserve"> SEQ Tabla \* ARABIC </w:instrText>
      </w:r>
      <w:r w:rsidRPr="00B22DC2">
        <w:rPr>
          <w:rFonts w:ascii="Arial" w:hAnsi="Arial" w:cs="Arial"/>
          <w:smallCaps w:val="0"/>
          <w:sz w:val="18"/>
        </w:rPr>
        <w:fldChar w:fldCharType="separate"/>
      </w:r>
      <w:r w:rsidR="00ED7F0D">
        <w:rPr>
          <w:rFonts w:ascii="Arial" w:hAnsi="Arial" w:cs="Arial"/>
          <w:smallCaps w:val="0"/>
          <w:noProof/>
          <w:color w:val="9D2235" w:themeColor="accent1"/>
          <w:sz w:val="18"/>
          <w:szCs w:val="18"/>
        </w:rPr>
        <w:t>25</w:t>
      </w:r>
      <w:r w:rsidRPr="00B22DC2">
        <w:rPr>
          <w:rFonts w:ascii="Arial" w:hAnsi="Arial" w:cs="Arial"/>
          <w:smallCaps w:val="0"/>
          <w:sz w:val="18"/>
        </w:rPr>
        <w:fldChar w:fldCharType="end"/>
      </w:r>
      <w:r w:rsidRPr="00B22DC2">
        <w:rPr>
          <w:rFonts w:ascii="Arial" w:hAnsi="Arial" w:cs="Arial"/>
          <w:smallCaps w:val="0"/>
          <w:sz w:val="18"/>
          <w:szCs w:val="18"/>
        </w:rPr>
        <w:t>: Descripción de unidades administrativas, puestos de trabajo adscritos, su clasificación y estado de ocupación a 31 de diciembre. Ejercicios 2017, 2018, 2019 y 2020.</w:t>
      </w:r>
      <w:bookmarkEnd w:id="308"/>
      <w:bookmarkEnd w:id="309"/>
    </w:p>
    <w:tbl>
      <w:tblPr>
        <w:tblW w:w="5094" w:type="pct"/>
        <w:tblCellMar>
          <w:left w:w="70" w:type="dxa"/>
          <w:right w:w="70" w:type="dxa"/>
        </w:tblCellMar>
        <w:tblLook w:val="04A0" w:firstRow="1" w:lastRow="0" w:firstColumn="1" w:lastColumn="0" w:noHBand="0" w:noVBand="1"/>
      </w:tblPr>
      <w:tblGrid>
        <w:gridCol w:w="1829"/>
        <w:gridCol w:w="1089"/>
        <w:gridCol w:w="1321"/>
        <w:gridCol w:w="1842"/>
        <w:gridCol w:w="1134"/>
        <w:gridCol w:w="1257"/>
        <w:gridCol w:w="161"/>
      </w:tblGrid>
      <w:tr w:rsidR="003B28A6" w14:paraId="3C5A438D" w14:textId="77777777" w:rsidTr="003B28A6">
        <w:trPr>
          <w:gridAfter w:val="1"/>
          <w:wAfter w:w="93" w:type="pct"/>
          <w:trHeight w:val="990"/>
          <w:tblHeader/>
        </w:trPr>
        <w:tc>
          <w:tcPr>
            <w:tcW w:w="1059" w:type="pct"/>
            <w:tcBorders>
              <w:top w:val="single" w:sz="12" w:space="0" w:color="000000"/>
              <w:left w:val="single" w:sz="12" w:space="0" w:color="000000"/>
              <w:bottom w:val="single" w:sz="12" w:space="0" w:color="000000"/>
              <w:right w:val="nil"/>
            </w:tcBorders>
            <w:shd w:val="clear" w:color="auto" w:fill="9D2235"/>
            <w:vAlign w:val="center"/>
            <w:hideMark/>
          </w:tcPr>
          <w:p w14:paraId="30DA6A9E" w14:textId="77777777" w:rsidR="003B28A6" w:rsidRDefault="003B28A6">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Unidad administrativa</w:t>
            </w:r>
          </w:p>
        </w:tc>
        <w:tc>
          <w:tcPr>
            <w:tcW w:w="631" w:type="pct"/>
            <w:tcBorders>
              <w:top w:val="single" w:sz="12" w:space="0" w:color="000000"/>
              <w:left w:val="single" w:sz="8" w:space="0" w:color="000000"/>
              <w:bottom w:val="single" w:sz="12" w:space="0" w:color="000000"/>
              <w:right w:val="nil"/>
            </w:tcBorders>
            <w:shd w:val="clear" w:color="auto" w:fill="9D2235"/>
            <w:vAlign w:val="center"/>
            <w:hideMark/>
          </w:tcPr>
          <w:p w14:paraId="4638F528" w14:textId="77777777" w:rsidR="003B28A6" w:rsidRDefault="003B28A6">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Fecha estado situación</w:t>
            </w:r>
          </w:p>
        </w:tc>
        <w:tc>
          <w:tcPr>
            <w:tcW w:w="765" w:type="pct"/>
            <w:tcBorders>
              <w:top w:val="single" w:sz="12" w:space="0" w:color="000000"/>
              <w:left w:val="single" w:sz="8" w:space="0" w:color="000000"/>
              <w:bottom w:val="single" w:sz="12" w:space="0" w:color="000000"/>
              <w:right w:val="nil"/>
            </w:tcBorders>
            <w:shd w:val="clear" w:color="auto" w:fill="9D2235"/>
            <w:vAlign w:val="center"/>
            <w:hideMark/>
          </w:tcPr>
          <w:p w14:paraId="1221DD7F" w14:textId="77777777" w:rsidR="003B28A6" w:rsidRDefault="003B28A6">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 xml:space="preserve">N.º total puestos por unidad  </w:t>
            </w:r>
          </w:p>
        </w:tc>
        <w:tc>
          <w:tcPr>
            <w:tcW w:w="1067" w:type="pct"/>
            <w:tcBorders>
              <w:top w:val="single" w:sz="12" w:space="0" w:color="000000"/>
              <w:left w:val="single" w:sz="8" w:space="0" w:color="000000"/>
              <w:bottom w:val="single" w:sz="12" w:space="0" w:color="000000"/>
              <w:right w:val="nil"/>
            </w:tcBorders>
            <w:shd w:val="clear" w:color="auto" w:fill="9D2235"/>
            <w:vAlign w:val="center"/>
            <w:hideMark/>
          </w:tcPr>
          <w:p w14:paraId="383AFC12" w14:textId="77777777" w:rsidR="003B28A6" w:rsidRDefault="003B28A6">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Clasificación según Grupo/subgrupo</w:t>
            </w:r>
          </w:p>
        </w:tc>
        <w:tc>
          <w:tcPr>
            <w:tcW w:w="657" w:type="pct"/>
            <w:tcBorders>
              <w:top w:val="single" w:sz="12" w:space="0" w:color="000000"/>
              <w:left w:val="single" w:sz="8" w:space="0" w:color="000000"/>
              <w:bottom w:val="single" w:sz="12" w:space="0" w:color="000000"/>
              <w:right w:val="nil"/>
            </w:tcBorders>
            <w:shd w:val="clear" w:color="auto" w:fill="9D2235"/>
            <w:vAlign w:val="center"/>
            <w:hideMark/>
          </w:tcPr>
          <w:p w14:paraId="49E51B73" w14:textId="77777777" w:rsidR="003B28A6" w:rsidRDefault="003B28A6">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 xml:space="preserve">Puestos ocupados </w:t>
            </w:r>
          </w:p>
        </w:tc>
        <w:tc>
          <w:tcPr>
            <w:tcW w:w="728" w:type="pct"/>
            <w:tcBorders>
              <w:top w:val="single" w:sz="12" w:space="0" w:color="000000"/>
              <w:left w:val="single" w:sz="8" w:space="0" w:color="000000"/>
              <w:bottom w:val="single" w:sz="12" w:space="0" w:color="000000"/>
              <w:right w:val="single" w:sz="12" w:space="0" w:color="000000"/>
            </w:tcBorders>
            <w:shd w:val="clear" w:color="auto" w:fill="9D2235"/>
            <w:vAlign w:val="center"/>
            <w:hideMark/>
          </w:tcPr>
          <w:p w14:paraId="755AED9B" w14:textId="77777777" w:rsidR="003B28A6" w:rsidRDefault="003B28A6">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 xml:space="preserve">Puestos vacantes </w:t>
            </w:r>
          </w:p>
        </w:tc>
      </w:tr>
      <w:tr w:rsidR="003B28A6" w14:paraId="78FEC293" w14:textId="77777777" w:rsidTr="003B28A6">
        <w:trPr>
          <w:gridAfter w:val="1"/>
          <w:wAfter w:w="93" w:type="pct"/>
          <w:trHeight w:val="510"/>
        </w:trPr>
        <w:tc>
          <w:tcPr>
            <w:tcW w:w="1059" w:type="pct"/>
            <w:vMerge w:val="restart"/>
            <w:tcBorders>
              <w:top w:val="nil"/>
              <w:left w:val="single" w:sz="12" w:space="0" w:color="000000"/>
              <w:bottom w:val="single" w:sz="12" w:space="0" w:color="000000"/>
              <w:right w:val="single" w:sz="8" w:space="0" w:color="000000"/>
            </w:tcBorders>
            <w:vAlign w:val="center"/>
            <w:hideMark/>
          </w:tcPr>
          <w:p w14:paraId="6DDE55F5" w14:textId="77777777" w:rsidR="003B28A6" w:rsidRDefault="003B28A6">
            <w:pPr>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Relaciones Institucionales, Comunicación y Participación</w:t>
            </w:r>
          </w:p>
        </w:tc>
        <w:tc>
          <w:tcPr>
            <w:tcW w:w="631" w:type="pct"/>
            <w:tcBorders>
              <w:top w:val="nil"/>
              <w:left w:val="nil"/>
              <w:bottom w:val="single" w:sz="8" w:space="0" w:color="000000"/>
              <w:right w:val="nil"/>
            </w:tcBorders>
            <w:vAlign w:val="center"/>
            <w:hideMark/>
          </w:tcPr>
          <w:p w14:paraId="05947AC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31/12/2017</w:t>
            </w:r>
          </w:p>
        </w:tc>
        <w:tc>
          <w:tcPr>
            <w:tcW w:w="765" w:type="pct"/>
            <w:tcBorders>
              <w:top w:val="nil"/>
              <w:left w:val="single" w:sz="8" w:space="0" w:color="000000"/>
              <w:bottom w:val="single" w:sz="8" w:space="0" w:color="000000"/>
              <w:right w:val="nil"/>
            </w:tcBorders>
            <w:vAlign w:val="center"/>
            <w:hideMark/>
          </w:tcPr>
          <w:p w14:paraId="2C364DE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w:t>
            </w:r>
          </w:p>
        </w:tc>
        <w:tc>
          <w:tcPr>
            <w:tcW w:w="1067" w:type="pct"/>
            <w:tcBorders>
              <w:top w:val="nil"/>
              <w:left w:val="single" w:sz="8" w:space="0" w:color="000000"/>
              <w:bottom w:val="single" w:sz="8" w:space="0" w:color="000000"/>
              <w:right w:val="nil"/>
            </w:tcBorders>
            <w:vAlign w:val="center"/>
            <w:hideMark/>
          </w:tcPr>
          <w:p w14:paraId="3A576033"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 A1, 1 C1/C2</w:t>
            </w:r>
          </w:p>
        </w:tc>
        <w:tc>
          <w:tcPr>
            <w:tcW w:w="657" w:type="pct"/>
            <w:tcBorders>
              <w:top w:val="nil"/>
              <w:left w:val="single" w:sz="8" w:space="0" w:color="000000"/>
              <w:bottom w:val="single" w:sz="8" w:space="0" w:color="000000"/>
              <w:right w:val="nil"/>
            </w:tcBorders>
            <w:vAlign w:val="center"/>
            <w:hideMark/>
          </w:tcPr>
          <w:p w14:paraId="451250B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728" w:type="pct"/>
            <w:tcBorders>
              <w:top w:val="nil"/>
              <w:left w:val="single" w:sz="8" w:space="0" w:color="000000"/>
              <w:bottom w:val="single" w:sz="8" w:space="0" w:color="000000"/>
              <w:right w:val="single" w:sz="12" w:space="0" w:color="000000"/>
            </w:tcBorders>
            <w:vAlign w:val="center"/>
            <w:hideMark/>
          </w:tcPr>
          <w:p w14:paraId="6AAFE55B"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 C1/C2</w:t>
            </w:r>
          </w:p>
        </w:tc>
      </w:tr>
      <w:tr w:rsidR="003B28A6" w14:paraId="2BCA0045" w14:textId="77777777" w:rsidTr="003B28A6">
        <w:trPr>
          <w:gridAfter w:val="1"/>
          <w:wAfter w:w="93" w:type="pct"/>
          <w:trHeight w:val="211"/>
        </w:trPr>
        <w:tc>
          <w:tcPr>
            <w:tcW w:w="0" w:type="auto"/>
            <w:vMerge/>
            <w:tcBorders>
              <w:top w:val="nil"/>
              <w:left w:val="single" w:sz="12" w:space="0" w:color="000000"/>
              <w:bottom w:val="single" w:sz="12" w:space="0" w:color="000000"/>
              <w:right w:val="single" w:sz="8" w:space="0" w:color="000000"/>
            </w:tcBorders>
            <w:vAlign w:val="center"/>
            <w:hideMark/>
          </w:tcPr>
          <w:p w14:paraId="607B7E88" w14:textId="77777777" w:rsidR="003B28A6" w:rsidRDefault="003B28A6">
            <w:pPr>
              <w:spacing w:after="0"/>
              <w:rPr>
                <w:rFonts w:ascii="Arial" w:eastAsia="Times New Roman" w:hAnsi="Arial" w:cs="Arial"/>
                <w:b/>
                <w:bCs/>
                <w:color w:val="000000"/>
                <w:sz w:val="18"/>
                <w:szCs w:val="18"/>
                <w:lang w:eastAsia="es-ES"/>
              </w:rPr>
            </w:pPr>
          </w:p>
        </w:tc>
        <w:tc>
          <w:tcPr>
            <w:tcW w:w="631" w:type="pct"/>
            <w:tcBorders>
              <w:top w:val="nil"/>
              <w:left w:val="nil"/>
              <w:bottom w:val="single" w:sz="8" w:space="0" w:color="000000"/>
              <w:right w:val="nil"/>
            </w:tcBorders>
            <w:vAlign w:val="center"/>
            <w:hideMark/>
          </w:tcPr>
          <w:p w14:paraId="7CB20E6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31/12/2018</w:t>
            </w:r>
          </w:p>
        </w:tc>
        <w:tc>
          <w:tcPr>
            <w:tcW w:w="765" w:type="pct"/>
            <w:tcBorders>
              <w:top w:val="nil"/>
              <w:left w:val="single" w:sz="8" w:space="0" w:color="000000"/>
              <w:bottom w:val="single" w:sz="8" w:space="0" w:color="000000"/>
              <w:right w:val="nil"/>
            </w:tcBorders>
            <w:vAlign w:val="center"/>
            <w:hideMark/>
          </w:tcPr>
          <w:p w14:paraId="55E088C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w:t>
            </w:r>
          </w:p>
        </w:tc>
        <w:tc>
          <w:tcPr>
            <w:tcW w:w="1067" w:type="pct"/>
            <w:tcBorders>
              <w:top w:val="nil"/>
              <w:left w:val="single" w:sz="8" w:space="0" w:color="000000"/>
              <w:bottom w:val="single" w:sz="8" w:space="0" w:color="000000"/>
              <w:right w:val="nil"/>
            </w:tcBorders>
            <w:vAlign w:val="center"/>
            <w:hideMark/>
          </w:tcPr>
          <w:p w14:paraId="21ECD73F"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 A1, 1 C1/C2</w:t>
            </w:r>
          </w:p>
        </w:tc>
        <w:tc>
          <w:tcPr>
            <w:tcW w:w="657" w:type="pct"/>
            <w:tcBorders>
              <w:top w:val="nil"/>
              <w:left w:val="single" w:sz="8" w:space="0" w:color="000000"/>
              <w:bottom w:val="single" w:sz="8" w:space="0" w:color="000000"/>
              <w:right w:val="nil"/>
            </w:tcBorders>
            <w:vAlign w:val="center"/>
            <w:hideMark/>
          </w:tcPr>
          <w:p w14:paraId="160A5D4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w:t>
            </w:r>
          </w:p>
        </w:tc>
        <w:tc>
          <w:tcPr>
            <w:tcW w:w="728" w:type="pct"/>
            <w:tcBorders>
              <w:top w:val="nil"/>
              <w:left w:val="single" w:sz="8" w:space="0" w:color="000000"/>
              <w:bottom w:val="single" w:sz="8" w:space="0" w:color="000000"/>
              <w:right w:val="single" w:sz="12" w:space="0" w:color="000000"/>
            </w:tcBorders>
            <w:vAlign w:val="center"/>
            <w:hideMark/>
          </w:tcPr>
          <w:p w14:paraId="26A890DC"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w:t>
            </w:r>
          </w:p>
        </w:tc>
      </w:tr>
      <w:tr w:rsidR="003B28A6" w14:paraId="6B52F483" w14:textId="77777777" w:rsidTr="003B28A6">
        <w:trPr>
          <w:gridAfter w:val="1"/>
          <w:wAfter w:w="93" w:type="pct"/>
          <w:trHeight w:val="331"/>
        </w:trPr>
        <w:tc>
          <w:tcPr>
            <w:tcW w:w="0" w:type="auto"/>
            <w:vMerge/>
            <w:tcBorders>
              <w:top w:val="nil"/>
              <w:left w:val="single" w:sz="12" w:space="0" w:color="000000"/>
              <w:bottom w:val="single" w:sz="12" w:space="0" w:color="000000"/>
              <w:right w:val="single" w:sz="8" w:space="0" w:color="000000"/>
            </w:tcBorders>
            <w:vAlign w:val="center"/>
            <w:hideMark/>
          </w:tcPr>
          <w:p w14:paraId="7F792151" w14:textId="77777777" w:rsidR="003B28A6" w:rsidRDefault="003B28A6">
            <w:pPr>
              <w:spacing w:after="0"/>
              <w:rPr>
                <w:rFonts w:ascii="Arial" w:eastAsia="Times New Roman" w:hAnsi="Arial" w:cs="Arial"/>
                <w:b/>
                <w:bCs/>
                <w:color w:val="000000"/>
                <w:sz w:val="18"/>
                <w:szCs w:val="18"/>
                <w:lang w:eastAsia="es-ES"/>
              </w:rPr>
            </w:pPr>
          </w:p>
        </w:tc>
        <w:tc>
          <w:tcPr>
            <w:tcW w:w="631" w:type="pct"/>
            <w:tcBorders>
              <w:top w:val="nil"/>
              <w:left w:val="nil"/>
              <w:bottom w:val="single" w:sz="8" w:space="0" w:color="000000"/>
              <w:right w:val="nil"/>
            </w:tcBorders>
            <w:vAlign w:val="center"/>
            <w:hideMark/>
          </w:tcPr>
          <w:p w14:paraId="650020D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31/12/2019</w:t>
            </w:r>
          </w:p>
        </w:tc>
        <w:tc>
          <w:tcPr>
            <w:tcW w:w="765" w:type="pct"/>
            <w:tcBorders>
              <w:top w:val="nil"/>
              <w:left w:val="single" w:sz="8" w:space="0" w:color="000000"/>
              <w:bottom w:val="single" w:sz="8" w:space="0" w:color="000000"/>
              <w:right w:val="nil"/>
            </w:tcBorders>
            <w:vAlign w:val="center"/>
            <w:hideMark/>
          </w:tcPr>
          <w:p w14:paraId="50F931E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w:t>
            </w:r>
          </w:p>
        </w:tc>
        <w:tc>
          <w:tcPr>
            <w:tcW w:w="1067" w:type="pct"/>
            <w:tcBorders>
              <w:top w:val="nil"/>
              <w:left w:val="single" w:sz="8" w:space="0" w:color="000000"/>
              <w:bottom w:val="single" w:sz="8" w:space="0" w:color="000000"/>
              <w:right w:val="nil"/>
            </w:tcBorders>
            <w:vAlign w:val="center"/>
            <w:hideMark/>
          </w:tcPr>
          <w:p w14:paraId="02FD05B4"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 A1, 1 C1, 1 C1/C2</w:t>
            </w:r>
          </w:p>
        </w:tc>
        <w:tc>
          <w:tcPr>
            <w:tcW w:w="657" w:type="pct"/>
            <w:tcBorders>
              <w:top w:val="nil"/>
              <w:left w:val="single" w:sz="8" w:space="0" w:color="000000"/>
              <w:bottom w:val="single" w:sz="8" w:space="0" w:color="000000"/>
              <w:right w:val="nil"/>
            </w:tcBorders>
            <w:vAlign w:val="center"/>
            <w:hideMark/>
          </w:tcPr>
          <w:p w14:paraId="3FD06B2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w:t>
            </w:r>
          </w:p>
        </w:tc>
        <w:tc>
          <w:tcPr>
            <w:tcW w:w="728" w:type="pct"/>
            <w:tcBorders>
              <w:top w:val="nil"/>
              <w:left w:val="single" w:sz="8" w:space="0" w:color="000000"/>
              <w:bottom w:val="single" w:sz="8" w:space="0" w:color="000000"/>
              <w:right w:val="single" w:sz="12" w:space="0" w:color="000000"/>
            </w:tcBorders>
            <w:vAlign w:val="center"/>
            <w:hideMark/>
          </w:tcPr>
          <w:p w14:paraId="39AADFA8"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w:t>
            </w:r>
          </w:p>
        </w:tc>
      </w:tr>
      <w:tr w:rsidR="003B28A6" w14:paraId="263E8D99" w14:textId="77777777" w:rsidTr="003B28A6">
        <w:trPr>
          <w:gridAfter w:val="1"/>
          <w:wAfter w:w="93" w:type="pct"/>
          <w:trHeight w:val="323"/>
        </w:trPr>
        <w:tc>
          <w:tcPr>
            <w:tcW w:w="0" w:type="auto"/>
            <w:vMerge/>
            <w:tcBorders>
              <w:top w:val="nil"/>
              <w:left w:val="single" w:sz="12" w:space="0" w:color="000000"/>
              <w:bottom w:val="single" w:sz="12" w:space="0" w:color="000000"/>
              <w:right w:val="single" w:sz="8" w:space="0" w:color="000000"/>
            </w:tcBorders>
            <w:vAlign w:val="center"/>
            <w:hideMark/>
          </w:tcPr>
          <w:p w14:paraId="687B468A" w14:textId="77777777" w:rsidR="003B28A6" w:rsidRDefault="003B28A6">
            <w:pPr>
              <w:spacing w:after="0"/>
              <w:rPr>
                <w:rFonts w:ascii="Arial" w:eastAsia="Times New Roman" w:hAnsi="Arial" w:cs="Arial"/>
                <w:b/>
                <w:bCs/>
                <w:color w:val="000000"/>
                <w:sz w:val="18"/>
                <w:szCs w:val="18"/>
                <w:lang w:eastAsia="es-ES"/>
              </w:rPr>
            </w:pPr>
          </w:p>
        </w:tc>
        <w:tc>
          <w:tcPr>
            <w:tcW w:w="631" w:type="pct"/>
            <w:tcBorders>
              <w:top w:val="nil"/>
              <w:left w:val="nil"/>
              <w:bottom w:val="single" w:sz="12" w:space="0" w:color="000000"/>
              <w:right w:val="nil"/>
            </w:tcBorders>
            <w:vAlign w:val="center"/>
            <w:hideMark/>
          </w:tcPr>
          <w:p w14:paraId="5C4E0D3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31/12/2020</w:t>
            </w:r>
          </w:p>
        </w:tc>
        <w:tc>
          <w:tcPr>
            <w:tcW w:w="765" w:type="pct"/>
            <w:tcBorders>
              <w:top w:val="nil"/>
              <w:left w:val="single" w:sz="8" w:space="0" w:color="000000"/>
              <w:bottom w:val="single" w:sz="12" w:space="0" w:color="000000"/>
              <w:right w:val="nil"/>
            </w:tcBorders>
            <w:vAlign w:val="center"/>
            <w:hideMark/>
          </w:tcPr>
          <w:p w14:paraId="395D3B0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w:t>
            </w:r>
          </w:p>
        </w:tc>
        <w:tc>
          <w:tcPr>
            <w:tcW w:w="1067" w:type="pct"/>
            <w:tcBorders>
              <w:top w:val="nil"/>
              <w:left w:val="single" w:sz="8" w:space="0" w:color="000000"/>
              <w:bottom w:val="single" w:sz="12" w:space="0" w:color="000000"/>
              <w:right w:val="nil"/>
            </w:tcBorders>
            <w:vAlign w:val="center"/>
            <w:hideMark/>
          </w:tcPr>
          <w:p w14:paraId="48AEBC7C"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 A1, 1 C1, 1 C1/C2</w:t>
            </w:r>
          </w:p>
        </w:tc>
        <w:tc>
          <w:tcPr>
            <w:tcW w:w="657" w:type="pct"/>
            <w:tcBorders>
              <w:top w:val="nil"/>
              <w:left w:val="single" w:sz="8" w:space="0" w:color="000000"/>
              <w:bottom w:val="single" w:sz="12" w:space="0" w:color="000000"/>
              <w:right w:val="nil"/>
            </w:tcBorders>
            <w:vAlign w:val="center"/>
            <w:hideMark/>
          </w:tcPr>
          <w:p w14:paraId="7281B05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w:t>
            </w:r>
          </w:p>
        </w:tc>
        <w:tc>
          <w:tcPr>
            <w:tcW w:w="728" w:type="pct"/>
            <w:tcBorders>
              <w:top w:val="nil"/>
              <w:left w:val="single" w:sz="8" w:space="0" w:color="000000"/>
              <w:bottom w:val="single" w:sz="12" w:space="0" w:color="000000"/>
              <w:right w:val="single" w:sz="12" w:space="0" w:color="000000"/>
            </w:tcBorders>
            <w:vAlign w:val="center"/>
            <w:hideMark/>
          </w:tcPr>
          <w:p w14:paraId="74561A5E"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 A1</w:t>
            </w:r>
          </w:p>
        </w:tc>
      </w:tr>
      <w:tr w:rsidR="003B28A6" w14:paraId="61860B6E" w14:textId="77777777" w:rsidTr="003B28A6">
        <w:trPr>
          <w:gridAfter w:val="1"/>
          <w:wAfter w:w="93" w:type="pct"/>
          <w:trHeight w:val="395"/>
        </w:trPr>
        <w:tc>
          <w:tcPr>
            <w:tcW w:w="1059" w:type="pct"/>
            <w:vMerge w:val="restart"/>
            <w:tcBorders>
              <w:top w:val="nil"/>
              <w:left w:val="single" w:sz="12" w:space="0" w:color="000000"/>
              <w:bottom w:val="single" w:sz="12" w:space="0" w:color="000000"/>
              <w:right w:val="single" w:sz="8" w:space="0" w:color="000000"/>
            </w:tcBorders>
            <w:vAlign w:val="center"/>
            <w:hideMark/>
          </w:tcPr>
          <w:p w14:paraId="48CAED64" w14:textId="77777777" w:rsidR="003B28A6" w:rsidRDefault="003B28A6">
            <w:pPr>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Administración, Recursos Humanos y Gestión Económica</w:t>
            </w:r>
          </w:p>
        </w:tc>
        <w:tc>
          <w:tcPr>
            <w:tcW w:w="631" w:type="pct"/>
            <w:tcBorders>
              <w:top w:val="nil"/>
              <w:left w:val="nil"/>
              <w:bottom w:val="single" w:sz="8" w:space="0" w:color="000000"/>
              <w:right w:val="nil"/>
            </w:tcBorders>
            <w:vAlign w:val="center"/>
            <w:hideMark/>
          </w:tcPr>
          <w:p w14:paraId="2C01E1C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31/12/2017</w:t>
            </w:r>
          </w:p>
        </w:tc>
        <w:tc>
          <w:tcPr>
            <w:tcW w:w="765" w:type="pct"/>
            <w:tcBorders>
              <w:top w:val="nil"/>
              <w:left w:val="single" w:sz="8" w:space="0" w:color="000000"/>
              <w:bottom w:val="single" w:sz="8" w:space="0" w:color="000000"/>
              <w:right w:val="nil"/>
            </w:tcBorders>
            <w:vAlign w:val="center"/>
            <w:hideMark/>
          </w:tcPr>
          <w:p w14:paraId="5F3E8D7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w:t>
            </w:r>
          </w:p>
        </w:tc>
        <w:tc>
          <w:tcPr>
            <w:tcW w:w="1067" w:type="pct"/>
            <w:tcBorders>
              <w:top w:val="nil"/>
              <w:left w:val="single" w:sz="8" w:space="0" w:color="000000"/>
              <w:bottom w:val="single" w:sz="8" w:space="0" w:color="000000"/>
              <w:right w:val="nil"/>
            </w:tcBorders>
            <w:vAlign w:val="center"/>
            <w:hideMark/>
          </w:tcPr>
          <w:p w14:paraId="7DC50A34"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 A1, 2 A1/A2, 1 C1/C2, 1 C2</w:t>
            </w:r>
          </w:p>
        </w:tc>
        <w:tc>
          <w:tcPr>
            <w:tcW w:w="657" w:type="pct"/>
            <w:tcBorders>
              <w:top w:val="nil"/>
              <w:left w:val="single" w:sz="8" w:space="0" w:color="000000"/>
              <w:bottom w:val="single" w:sz="8" w:space="0" w:color="000000"/>
              <w:right w:val="nil"/>
            </w:tcBorders>
            <w:vAlign w:val="center"/>
            <w:hideMark/>
          </w:tcPr>
          <w:p w14:paraId="0B256B2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w:t>
            </w:r>
          </w:p>
        </w:tc>
        <w:tc>
          <w:tcPr>
            <w:tcW w:w="728" w:type="pct"/>
            <w:tcBorders>
              <w:top w:val="nil"/>
              <w:left w:val="single" w:sz="8" w:space="0" w:color="000000"/>
              <w:bottom w:val="single" w:sz="8" w:space="0" w:color="000000"/>
              <w:right w:val="single" w:sz="12" w:space="0" w:color="000000"/>
            </w:tcBorders>
            <w:vAlign w:val="center"/>
            <w:hideMark/>
          </w:tcPr>
          <w:p w14:paraId="358C46D4"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 C1/C2, 1 C1</w:t>
            </w:r>
          </w:p>
        </w:tc>
      </w:tr>
      <w:tr w:rsidR="003B28A6" w14:paraId="337EA992" w14:textId="77777777" w:rsidTr="003B28A6">
        <w:trPr>
          <w:gridAfter w:val="1"/>
          <w:wAfter w:w="93" w:type="pct"/>
          <w:trHeight w:val="657"/>
        </w:trPr>
        <w:tc>
          <w:tcPr>
            <w:tcW w:w="0" w:type="auto"/>
            <w:vMerge/>
            <w:tcBorders>
              <w:top w:val="nil"/>
              <w:left w:val="single" w:sz="12" w:space="0" w:color="000000"/>
              <w:bottom w:val="single" w:sz="12" w:space="0" w:color="000000"/>
              <w:right w:val="single" w:sz="8" w:space="0" w:color="000000"/>
            </w:tcBorders>
            <w:vAlign w:val="center"/>
            <w:hideMark/>
          </w:tcPr>
          <w:p w14:paraId="6E7161AF" w14:textId="77777777" w:rsidR="003B28A6" w:rsidRDefault="003B28A6">
            <w:pPr>
              <w:spacing w:after="0"/>
              <w:rPr>
                <w:rFonts w:ascii="Arial" w:eastAsia="Times New Roman" w:hAnsi="Arial" w:cs="Arial"/>
                <w:b/>
                <w:bCs/>
                <w:color w:val="000000"/>
                <w:sz w:val="18"/>
                <w:szCs w:val="18"/>
                <w:lang w:eastAsia="es-ES"/>
              </w:rPr>
            </w:pPr>
          </w:p>
        </w:tc>
        <w:tc>
          <w:tcPr>
            <w:tcW w:w="631" w:type="pct"/>
            <w:tcBorders>
              <w:top w:val="nil"/>
              <w:left w:val="nil"/>
              <w:bottom w:val="single" w:sz="8" w:space="0" w:color="000000"/>
              <w:right w:val="nil"/>
            </w:tcBorders>
            <w:vAlign w:val="center"/>
            <w:hideMark/>
          </w:tcPr>
          <w:p w14:paraId="0EBD77E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31/12/2018</w:t>
            </w:r>
          </w:p>
        </w:tc>
        <w:tc>
          <w:tcPr>
            <w:tcW w:w="765" w:type="pct"/>
            <w:tcBorders>
              <w:top w:val="nil"/>
              <w:left w:val="single" w:sz="8" w:space="0" w:color="000000"/>
              <w:bottom w:val="single" w:sz="8" w:space="0" w:color="000000"/>
              <w:right w:val="nil"/>
            </w:tcBorders>
            <w:vAlign w:val="center"/>
            <w:hideMark/>
          </w:tcPr>
          <w:p w14:paraId="15ADA02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w:t>
            </w:r>
          </w:p>
        </w:tc>
        <w:tc>
          <w:tcPr>
            <w:tcW w:w="1067" w:type="pct"/>
            <w:tcBorders>
              <w:top w:val="nil"/>
              <w:left w:val="single" w:sz="8" w:space="0" w:color="000000"/>
              <w:bottom w:val="single" w:sz="8" w:space="0" w:color="000000"/>
              <w:right w:val="nil"/>
            </w:tcBorders>
            <w:vAlign w:val="center"/>
            <w:hideMark/>
          </w:tcPr>
          <w:p w14:paraId="40E6AE39"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 A1, 2 A1/A2, 1 C1, 1 C1/C2, 1 APF 01-01</w:t>
            </w:r>
          </w:p>
        </w:tc>
        <w:tc>
          <w:tcPr>
            <w:tcW w:w="657" w:type="pct"/>
            <w:tcBorders>
              <w:top w:val="nil"/>
              <w:left w:val="single" w:sz="8" w:space="0" w:color="000000"/>
              <w:bottom w:val="single" w:sz="8" w:space="0" w:color="000000"/>
              <w:right w:val="nil"/>
            </w:tcBorders>
            <w:vAlign w:val="center"/>
            <w:hideMark/>
          </w:tcPr>
          <w:p w14:paraId="6CB68C4F"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w:t>
            </w:r>
          </w:p>
        </w:tc>
        <w:tc>
          <w:tcPr>
            <w:tcW w:w="728" w:type="pct"/>
            <w:tcBorders>
              <w:top w:val="nil"/>
              <w:left w:val="single" w:sz="8" w:space="0" w:color="000000"/>
              <w:bottom w:val="single" w:sz="8" w:space="0" w:color="000000"/>
              <w:right w:val="single" w:sz="12" w:space="0" w:color="000000"/>
            </w:tcBorders>
            <w:vAlign w:val="center"/>
            <w:hideMark/>
          </w:tcPr>
          <w:p w14:paraId="3231971B"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w:t>
            </w:r>
          </w:p>
        </w:tc>
      </w:tr>
      <w:tr w:rsidR="003B28A6" w14:paraId="39339299" w14:textId="77777777" w:rsidTr="003B28A6">
        <w:trPr>
          <w:gridAfter w:val="1"/>
          <w:wAfter w:w="93" w:type="pct"/>
          <w:trHeight w:val="553"/>
        </w:trPr>
        <w:tc>
          <w:tcPr>
            <w:tcW w:w="0" w:type="auto"/>
            <w:vMerge/>
            <w:tcBorders>
              <w:top w:val="nil"/>
              <w:left w:val="single" w:sz="12" w:space="0" w:color="000000"/>
              <w:bottom w:val="single" w:sz="12" w:space="0" w:color="000000"/>
              <w:right w:val="single" w:sz="8" w:space="0" w:color="000000"/>
            </w:tcBorders>
            <w:vAlign w:val="center"/>
            <w:hideMark/>
          </w:tcPr>
          <w:p w14:paraId="1D3C19D0" w14:textId="77777777" w:rsidR="003B28A6" w:rsidRDefault="003B28A6">
            <w:pPr>
              <w:spacing w:after="0"/>
              <w:rPr>
                <w:rFonts w:ascii="Arial" w:eastAsia="Times New Roman" w:hAnsi="Arial" w:cs="Arial"/>
                <w:b/>
                <w:bCs/>
                <w:color w:val="000000"/>
                <w:sz w:val="18"/>
                <w:szCs w:val="18"/>
                <w:lang w:eastAsia="es-ES"/>
              </w:rPr>
            </w:pPr>
          </w:p>
        </w:tc>
        <w:tc>
          <w:tcPr>
            <w:tcW w:w="631" w:type="pct"/>
            <w:tcBorders>
              <w:top w:val="nil"/>
              <w:left w:val="nil"/>
              <w:bottom w:val="single" w:sz="8" w:space="0" w:color="000000"/>
              <w:right w:val="nil"/>
            </w:tcBorders>
            <w:vAlign w:val="center"/>
            <w:hideMark/>
          </w:tcPr>
          <w:p w14:paraId="25B6F6E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31/12/2019</w:t>
            </w:r>
          </w:p>
        </w:tc>
        <w:tc>
          <w:tcPr>
            <w:tcW w:w="765" w:type="pct"/>
            <w:tcBorders>
              <w:top w:val="nil"/>
              <w:left w:val="single" w:sz="8" w:space="0" w:color="000000"/>
              <w:bottom w:val="single" w:sz="8" w:space="0" w:color="000000"/>
              <w:right w:val="nil"/>
            </w:tcBorders>
            <w:vAlign w:val="center"/>
            <w:hideMark/>
          </w:tcPr>
          <w:p w14:paraId="772A306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7</w:t>
            </w:r>
          </w:p>
        </w:tc>
        <w:tc>
          <w:tcPr>
            <w:tcW w:w="1067" w:type="pct"/>
            <w:tcBorders>
              <w:top w:val="nil"/>
              <w:left w:val="single" w:sz="8" w:space="0" w:color="000000"/>
              <w:bottom w:val="single" w:sz="8" w:space="0" w:color="000000"/>
              <w:right w:val="nil"/>
            </w:tcBorders>
            <w:vAlign w:val="center"/>
            <w:hideMark/>
          </w:tcPr>
          <w:p w14:paraId="288F4293"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 A1, 2 A1/A2, 1 C1, 1 C1/C2, 1 APF 01-01</w:t>
            </w:r>
          </w:p>
        </w:tc>
        <w:tc>
          <w:tcPr>
            <w:tcW w:w="657" w:type="pct"/>
            <w:tcBorders>
              <w:top w:val="nil"/>
              <w:left w:val="single" w:sz="8" w:space="0" w:color="000000"/>
              <w:bottom w:val="single" w:sz="8" w:space="0" w:color="000000"/>
              <w:right w:val="nil"/>
            </w:tcBorders>
            <w:vAlign w:val="center"/>
            <w:hideMark/>
          </w:tcPr>
          <w:p w14:paraId="1AF9B79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7</w:t>
            </w:r>
          </w:p>
        </w:tc>
        <w:tc>
          <w:tcPr>
            <w:tcW w:w="728" w:type="pct"/>
            <w:tcBorders>
              <w:top w:val="nil"/>
              <w:left w:val="single" w:sz="8" w:space="0" w:color="000000"/>
              <w:bottom w:val="single" w:sz="8" w:space="0" w:color="000000"/>
              <w:right w:val="single" w:sz="12" w:space="0" w:color="000000"/>
            </w:tcBorders>
            <w:vAlign w:val="center"/>
            <w:hideMark/>
          </w:tcPr>
          <w:p w14:paraId="790468C0"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w:t>
            </w:r>
          </w:p>
        </w:tc>
      </w:tr>
      <w:tr w:rsidR="003B28A6" w14:paraId="2AD9BFCF" w14:textId="77777777" w:rsidTr="003B28A6">
        <w:trPr>
          <w:gridAfter w:val="1"/>
          <w:wAfter w:w="93" w:type="pct"/>
          <w:trHeight w:val="463"/>
        </w:trPr>
        <w:tc>
          <w:tcPr>
            <w:tcW w:w="0" w:type="auto"/>
            <w:vMerge/>
            <w:tcBorders>
              <w:top w:val="nil"/>
              <w:left w:val="single" w:sz="12" w:space="0" w:color="000000"/>
              <w:bottom w:val="single" w:sz="12" w:space="0" w:color="000000"/>
              <w:right w:val="single" w:sz="8" w:space="0" w:color="000000"/>
            </w:tcBorders>
            <w:vAlign w:val="center"/>
            <w:hideMark/>
          </w:tcPr>
          <w:p w14:paraId="0A8BD35F" w14:textId="77777777" w:rsidR="003B28A6" w:rsidRDefault="003B28A6">
            <w:pPr>
              <w:spacing w:after="0"/>
              <w:rPr>
                <w:rFonts w:ascii="Arial" w:eastAsia="Times New Roman" w:hAnsi="Arial" w:cs="Arial"/>
                <w:b/>
                <w:bCs/>
                <w:color w:val="000000"/>
                <w:sz w:val="18"/>
                <w:szCs w:val="18"/>
                <w:lang w:eastAsia="es-ES"/>
              </w:rPr>
            </w:pPr>
          </w:p>
        </w:tc>
        <w:tc>
          <w:tcPr>
            <w:tcW w:w="631" w:type="pct"/>
            <w:tcBorders>
              <w:top w:val="nil"/>
              <w:left w:val="nil"/>
              <w:bottom w:val="single" w:sz="12" w:space="0" w:color="000000"/>
              <w:right w:val="nil"/>
            </w:tcBorders>
            <w:vAlign w:val="center"/>
            <w:hideMark/>
          </w:tcPr>
          <w:p w14:paraId="3138AA8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31/12/2020</w:t>
            </w:r>
          </w:p>
        </w:tc>
        <w:tc>
          <w:tcPr>
            <w:tcW w:w="765" w:type="pct"/>
            <w:tcBorders>
              <w:top w:val="nil"/>
              <w:left w:val="single" w:sz="8" w:space="0" w:color="000000"/>
              <w:bottom w:val="single" w:sz="12" w:space="0" w:color="000000"/>
              <w:right w:val="nil"/>
            </w:tcBorders>
            <w:vAlign w:val="center"/>
            <w:hideMark/>
          </w:tcPr>
          <w:p w14:paraId="65F377D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w:t>
            </w:r>
          </w:p>
        </w:tc>
        <w:tc>
          <w:tcPr>
            <w:tcW w:w="1067" w:type="pct"/>
            <w:tcBorders>
              <w:top w:val="nil"/>
              <w:left w:val="single" w:sz="8" w:space="0" w:color="000000"/>
              <w:bottom w:val="single" w:sz="12" w:space="0" w:color="000000"/>
              <w:right w:val="nil"/>
            </w:tcBorders>
            <w:vAlign w:val="center"/>
            <w:hideMark/>
          </w:tcPr>
          <w:p w14:paraId="4848D7FB"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 A1, 2 A1/A2, 1 C1, 2 C1/C2</w:t>
            </w:r>
          </w:p>
        </w:tc>
        <w:tc>
          <w:tcPr>
            <w:tcW w:w="657" w:type="pct"/>
            <w:tcBorders>
              <w:top w:val="nil"/>
              <w:left w:val="single" w:sz="8" w:space="0" w:color="000000"/>
              <w:bottom w:val="single" w:sz="12" w:space="0" w:color="000000"/>
              <w:right w:val="nil"/>
            </w:tcBorders>
            <w:vAlign w:val="center"/>
            <w:hideMark/>
          </w:tcPr>
          <w:p w14:paraId="2D929B77"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w:t>
            </w:r>
          </w:p>
        </w:tc>
        <w:tc>
          <w:tcPr>
            <w:tcW w:w="728" w:type="pct"/>
            <w:tcBorders>
              <w:top w:val="nil"/>
              <w:left w:val="single" w:sz="8" w:space="0" w:color="000000"/>
              <w:bottom w:val="single" w:sz="12" w:space="0" w:color="000000"/>
              <w:right w:val="single" w:sz="12" w:space="0" w:color="000000"/>
            </w:tcBorders>
            <w:vAlign w:val="center"/>
            <w:hideMark/>
          </w:tcPr>
          <w:p w14:paraId="6C62F18E"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 C1, 1 C1/C2</w:t>
            </w:r>
          </w:p>
        </w:tc>
      </w:tr>
      <w:tr w:rsidR="003B28A6" w14:paraId="44AD2445" w14:textId="77777777" w:rsidTr="003B28A6">
        <w:trPr>
          <w:gridAfter w:val="1"/>
          <w:wAfter w:w="93" w:type="pct"/>
          <w:trHeight w:val="529"/>
        </w:trPr>
        <w:tc>
          <w:tcPr>
            <w:tcW w:w="1059" w:type="pct"/>
            <w:vMerge w:val="restart"/>
            <w:tcBorders>
              <w:top w:val="nil"/>
              <w:left w:val="single" w:sz="12" w:space="0" w:color="000000"/>
              <w:bottom w:val="single" w:sz="12" w:space="0" w:color="000000"/>
              <w:right w:val="single" w:sz="8" w:space="0" w:color="000000"/>
            </w:tcBorders>
            <w:vAlign w:val="center"/>
            <w:hideMark/>
          </w:tcPr>
          <w:p w14:paraId="7EA03F56" w14:textId="77777777" w:rsidR="003B28A6" w:rsidRDefault="003B28A6">
            <w:pPr>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Dirección de Análisis e Investigación</w:t>
            </w:r>
          </w:p>
        </w:tc>
        <w:tc>
          <w:tcPr>
            <w:tcW w:w="631" w:type="pct"/>
            <w:tcBorders>
              <w:top w:val="nil"/>
              <w:left w:val="nil"/>
              <w:bottom w:val="single" w:sz="8" w:space="0" w:color="000000"/>
              <w:right w:val="nil"/>
            </w:tcBorders>
            <w:vAlign w:val="center"/>
            <w:hideMark/>
          </w:tcPr>
          <w:p w14:paraId="64AACFF5"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31/12/2017</w:t>
            </w:r>
          </w:p>
        </w:tc>
        <w:tc>
          <w:tcPr>
            <w:tcW w:w="765" w:type="pct"/>
            <w:tcBorders>
              <w:top w:val="nil"/>
              <w:left w:val="single" w:sz="8" w:space="0" w:color="000000"/>
              <w:bottom w:val="single" w:sz="8" w:space="0" w:color="000000"/>
              <w:right w:val="nil"/>
            </w:tcBorders>
            <w:vAlign w:val="center"/>
            <w:hideMark/>
          </w:tcPr>
          <w:p w14:paraId="07F8E4D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17</w:t>
            </w:r>
          </w:p>
        </w:tc>
        <w:tc>
          <w:tcPr>
            <w:tcW w:w="1067" w:type="pct"/>
            <w:tcBorders>
              <w:top w:val="nil"/>
              <w:left w:val="single" w:sz="8" w:space="0" w:color="000000"/>
              <w:bottom w:val="single" w:sz="8" w:space="0" w:color="000000"/>
              <w:right w:val="nil"/>
            </w:tcBorders>
            <w:vAlign w:val="center"/>
            <w:hideMark/>
          </w:tcPr>
          <w:p w14:paraId="726ECE3C"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11 A1, 4 A1/A2, 1 C1/C2, 1 C2</w:t>
            </w:r>
          </w:p>
        </w:tc>
        <w:tc>
          <w:tcPr>
            <w:tcW w:w="657" w:type="pct"/>
            <w:tcBorders>
              <w:top w:val="nil"/>
              <w:left w:val="single" w:sz="8" w:space="0" w:color="000000"/>
              <w:bottom w:val="single" w:sz="8" w:space="0" w:color="000000"/>
              <w:right w:val="nil"/>
            </w:tcBorders>
            <w:vAlign w:val="center"/>
            <w:hideMark/>
          </w:tcPr>
          <w:p w14:paraId="1FEAC95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w:t>
            </w:r>
          </w:p>
        </w:tc>
        <w:tc>
          <w:tcPr>
            <w:tcW w:w="728" w:type="pct"/>
            <w:tcBorders>
              <w:top w:val="nil"/>
              <w:left w:val="single" w:sz="8" w:space="0" w:color="000000"/>
              <w:bottom w:val="single" w:sz="8" w:space="0" w:color="000000"/>
              <w:right w:val="single" w:sz="12" w:space="0" w:color="000000"/>
            </w:tcBorders>
            <w:vAlign w:val="center"/>
            <w:hideMark/>
          </w:tcPr>
          <w:p w14:paraId="0D3BA81D"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9 A1,4 A1/A2, 1 C1/C2, 1 C2</w:t>
            </w:r>
          </w:p>
        </w:tc>
      </w:tr>
      <w:tr w:rsidR="003B28A6" w14:paraId="6A2E9C3C" w14:textId="77777777" w:rsidTr="003B28A6">
        <w:trPr>
          <w:gridAfter w:val="1"/>
          <w:wAfter w:w="93" w:type="pct"/>
          <w:trHeight w:val="450"/>
        </w:trPr>
        <w:tc>
          <w:tcPr>
            <w:tcW w:w="0" w:type="auto"/>
            <w:vMerge/>
            <w:tcBorders>
              <w:top w:val="nil"/>
              <w:left w:val="single" w:sz="12" w:space="0" w:color="000000"/>
              <w:bottom w:val="single" w:sz="12" w:space="0" w:color="000000"/>
              <w:right w:val="single" w:sz="8" w:space="0" w:color="000000"/>
            </w:tcBorders>
            <w:vAlign w:val="center"/>
            <w:hideMark/>
          </w:tcPr>
          <w:p w14:paraId="41554CB3" w14:textId="77777777" w:rsidR="003B28A6" w:rsidRDefault="003B28A6">
            <w:pPr>
              <w:spacing w:after="0"/>
              <w:rPr>
                <w:rFonts w:ascii="Arial" w:eastAsia="Times New Roman" w:hAnsi="Arial" w:cs="Arial"/>
                <w:b/>
                <w:bCs/>
                <w:color w:val="000000"/>
                <w:sz w:val="18"/>
                <w:szCs w:val="18"/>
                <w:lang w:eastAsia="es-ES"/>
              </w:rPr>
            </w:pPr>
          </w:p>
        </w:tc>
        <w:tc>
          <w:tcPr>
            <w:tcW w:w="631" w:type="pct"/>
            <w:vMerge w:val="restart"/>
            <w:tcBorders>
              <w:top w:val="nil"/>
              <w:left w:val="single" w:sz="8" w:space="0" w:color="000000"/>
              <w:bottom w:val="single" w:sz="8" w:space="0" w:color="000000"/>
              <w:right w:val="single" w:sz="8" w:space="0" w:color="000000"/>
            </w:tcBorders>
            <w:vAlign w:val="center"/>
            <w:hideMark/>
          </w:tcPr>
          <w:p w14:paraId="006C3C8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31/12/2018</w:t>
            </w:r>
          </w:p>
        </w:tc>
        <w:tc>
          <w:tcPr>
            <w:tcW w:w="765" w:type="pct"/>
            <w:vMerge w:val="restart"/>
            <w:tcBorders>
              <w:top w:val="nil"/>
              <w:left w:val="single" w:sz="8" w:space="0" w:color="000000"/>
              <w:bottom w:val="single" w:sz="8" w:space="0" w:color="000000"/>
              <w:right w:val="single" w:sz="8" w:space="0" w:color="000000"/>
            </w:tcBorders>
            <w:vAlign w:val="center"/>
            <w:hideMark/>
          </w:tcPr>
          <w:p w14:paraId="5359F3A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16</w:t>
            </w:r>
          </w:p>
        </w:tc>
        <w:tc>
          <w:tcPr>
            <w:tcW w:w="1067" w:type="pct"/>
            <w:vMerge w:val="restart"/>
            <w:tcBorders>
              <w:top w:val="nil"/>
              <w:left w:val="single" w:sz="8" w:space="0" w:color="000000"/>
              <w:bottom w:val="single" w:sz="8" w:space="0" w:color="000000"/>
              <w:right w:val="single" w:sz="8" w:space="0" w:color="000000"/>
            </w:tcBorders>
            <w:vAlign w:val="center"/>
            <w:hideMark/>
          </w:tcPr>
          <w:p w14:paraId="3CE56939"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 A1, 6 A1/A2, 2 A2, 1 C1, 1 C1/C2</w:t>
            </w:r>
          </w:p>
        </w:tc>
        <w:tc>
          <w:tcPr>
            <w:tcW w:w="657" w:type="pct"/>
            <w:vMerge w:val="restart"/>
            <w:tcBorders>
              <w:top w:val="nil"/>
              <w:left w:val="single" w:sz="8" w:space="0" w:color="000000"/>
              <w:bottom w:val="single" w:sz="8" w:space="0" w:color="000000"/>
              <w:right w:val="single" w:sz="8" w:space="0" w:color="000000"/>
            </w:tcBorders>
            <w:vAlign w:val="center"/>
            <w:hideMark/>
          </w:tcPr>
          <w:p w14:paraId="480271F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10</w:t>
            </w:r>
          </w:p>
        </w:tc>
        <w:tc>
          <w:tcPr>
            <w:tcW w:w="728" w:type="pct"/>
            <w:vMerge w:val="restart"/>
            <w:tcBorders>
              <w:top w:val="nil"/>
              <w:left w:val="single" w:sz="8" w:space="0" w:color="000000"/>
              <w:bottom w:val="single" w:sz="8" w:space="0" w:color="000000"/>
              <w:right w:val="single" w:sz="12" w:space="0" w:color="000000"/>
            </w:tcBorders>
            <w:vAlign w:val="center"/>
            <w:hideMark/>
          </w:tcPr>
          <w:p w14:paraId="20DA1A45"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 A1, 2 A2, 1 C1, 1 C1/C2</w:t>
            </w:r>
          </w:p>
        </w:tc>
      </w:tr>
      <w:tr w:rsidR="003B28A6" w14:paraId="512F1453" w14:textId="77777777" w:rsidTr="003B28A6">
        <w:trPr>
          <w:trHeight w:val="104"/>
        </w:trPr>
        <w:tc>
          <w:tcPr>
            <w:tcW w:w="0" w:type="auto"/>
            <w:vMerge/>
            <w:tcBorders>
              <w:top w:val="nil"/>
              <w:left w:val="single" w:sz="12" w:space="0" w:color="000000"/>
              <w:bottom w:val="single" w:sz="12" w:space="0" w:color="000000"/>
              <w:right w:val="single" w:sz="8" w:space="0" w:color="000000"/>
            </w:tcBorders>
            <w:vAlign w:val="center"/>
            <w:hideMark/>
          </w:tcPr>
          <w:p w14:paraId="192C9B77" w14:textId="77777777" w:rsidR="003B28A6" w:rsidRDefault="003B28A6">
            <w:pPr>
              <w:spacing w:after="0"/>
              <w:rPr>
                <w:rFonts w:ascii="Arial" w:eastAsia="Times New Roman" w:hAnsi="Arial" w:cs="Arial"/>
                <w:b/>
                <w:bCs/>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5F54ECC2"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580BC816"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5707C643"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604DE31C"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12" w:space="0" w:color="000000"/>
            </w:tcBorders>
            <w:vAlign w:val="center"/>
            <w:hideMark/>
          </w:tcPr>
          <w:p w14:paraId="270EA328" w14:textId="77777777" w:rsidR="003B28A6" w:rsidRDefault="003B28A6">
            <w:pPr>
              <w:spacing w:after="0"/>
              <w:rPr>
                <w:rFonts w:ascii="Arial" w:eastAsia="Times New Roman" w:hAnsi="Arial" w:cs="Arial"/>
                <w:color w:val="000000"/>
                <w:sz w:val="18"/>
                <w:szCs w:val="18"/>
                <w:lang w:eastAsia="es-ES"/>
              </w:rPr>
            </w:pPr>
          </w:p>
        </w:tc>
        <w:tc>
          <w:tcPr>
            <w:tcW w:w="93" w:type="pct"/>
            <w:noWrap/>
            <w:vAlign w:val="bottom"/>
            <w:hideMark/>
          </w:tcPr>
          <w:p w14:paraId="77960447" w14:textId="77777777" w:rsidR="003B28A6" w:rsidRDefault="003B28A6"/>
        </w:tc>
      </w:tr>
      <w:tr w:rsidR="003B28A6" w14:paraId="5DE6618C" w14:textId="77777777" w:rsidTr="003B28A6">
        <w:trPr>
          <w:trHeight w:val="247"/>
        </w:trPr>
        <w:tc>
          <w:tcPr>
            <w:tcW w:w="0" w:type="auto"/>
            <w:vMerge/>
            <w:tcBorders>
              <w:top w:val="nil"/>
              <w:left w:val="single" w:sz="12" w:space="0" w:color="000000"/>
              <w:bottom w:val="single" w:sz="12" w:space="0" w:color="000000"/>
              <w:right w:val="single" w:sz="8" w:space="0" w:color="000000"/>
            </w:tcBorders>
            <w:vAlign w:val="center"/>
            <w:hideMark/>
          </w:tcPr>
          <w:p w14:paraId="162B89CC" w14:textId="77777777" w:rsidR="003B28A6" w:rsidRDefault="003B28A6">
            <w:pPr>
              <w:spacing w:after="0"/>
              <w:rPr>
                <w:rFonts w:ascii="Arial" w:eastAsia="Times New Roman" w:hAnsi="Arial" w:cs="Arial"/>
                <w:b/>
                <w:bCs/>
                <w:color w:val="000000"/>
                <w:sz w:val="18"/>
                <w:szCs w:val="18"/>
                <w:lang w:eastAsia="es-ES"/>
              </w:rPr>
            </w:pPr>
          </w:p>
        </w:tc>
        <w:tc>
          <w:tcPr>
            <w:tcW w:w="631" w:type="pct"/>
            <w:tcBorders>
              <w:top w:val="nil"/>
              <w:left w:val="nil"/>
              <w:bottom w:val="single" w:sz="8" w:space="0" w:color="000000"/>
              <w:right w:val="nil"/>
            </w:tcBorders>
            <w:vAlign w:val="center"/>
            <w:hideMark/>
          </w:tcPr>
          <w:p w14:paraId="1F52223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31/12/2019</w:t>
            </w:r>
          </w:p>
        </w:tc>
        <w:tc>
          <w:tcPr>
            <w:tcW w:w="765" w:type="pct"/>
            <w:tcBorders>
              <w:top w:val="nil"/>
              <w:left w:val="single" w:sz="8" w:space="0" w:color="000000"/>
              <w:bottom w:val="single" w:sz="8" w:space="0" w:color="000000"/>
              <w:right w:val="nil"/>
            </w:tcBorders>
            <w:vAlign w:val="center"/>
            <w:hideMark/>
          </w:tcPr>
          <w:p w14:paraId="2CF6656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14</w:t>
            </w:r>
          </w:p>
        </w:tc>
        <w:tc>
          <w:tcPr>
            <w:tcW w:w="1067" w:type="pct"/>
            <w:tcBorders>
              <w:top w:val="nil"/>
              <w:left w:val="single" w:sz="8" w:space="0" w:color="000000"/>
              <w:bottom w:val="single" w:sz="8" w:space="0" w:color="000000"/>
              <w:right w:val="nil"/>
            </w:tcBorders>
            <w:vAlign w:val="center"/>
            <w:hideMark/>
          </w:tcPr>
          <w:p w14:paraId="039DE636"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7 A1, 6 A1/A2, 1 C1</w:t>
            </w:r>
          </w:p>
        </w:tc>
        <w:tc>
          <w:tcPr>
            <w:tcW w:w="657" w:type="pct"/>
            <w:tcBorders>
              <w:top w:val="nil"/>
              <w:left w:val="single" w:sz="8" w:space="0" w:color="000000"/>
              <w:bottom w:val="single" w:sz="8" w:space="0" w:color="000000"/>
              <w:right w:val="nil"/>
            </w:tcBorders>
            <w:vAlign w:val="center"/>
            <w:hideMark/>
          </w:tcPr>
          <w:p w14:paraId="5B95506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11</w:t>
            </w:r>
          </w:p>
        </w:tc>
        <w:tc>
          <w:tcPr>
            <w:tcW w:w="728" w:type="pct"/>
            <w:tcBorders>
              <w:top w:val="nil"/>
              <w:left w:val="single" w:sz="8" w:space="0" w:color="000000"/>
              <w:bottom w:val="single" w:sz="8" w:space="0" w:color="000000"/>
              <w:right w:val="single" w:sz="12" w:space="0" w:color="000000"/>
            </w:tcBorders>
            <w:vAlign w:val="center"/>
            <w:hideMark/>
          </w:tcPr>
          <w:p w14:paraId="0A3A4E65"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 A1</w:t>
            </w:r>
          </w:p>
        </w:tc>
        <w:tc>
          <w:tcPr>
            <w:tcW w:w="93" w:type="pct"/>
            <w:vAlign w:val="center"/>
            <w:hideMark/>
          </w:tcPr>
          <w:p w14:paraId="79DE3D66" w14:textId="77777777" w:rsidR="003B28A6" w:rsidRDefault="003B28A6">
            <w:pPr>
              <w:rPr>
                <w:rFonts w:ascii="Arial" w:eastAsia="Times New Roman" w:hAnsi="Arial" w:cs="Arial"/>
                <w:color w:val="000000"/>
                <w:sz w:val="18"/>
                <w:szCs w:val="18"/>
                <w:lang w:eastAsia="es-ES"/>
              </w:rPr>
            </w:pPr>
          </w:p>
        </w:tc>
      </w:tr>
      <w:tr w:rsidR="003B28A6" w14:paraId="6A662304" w14:textId="77777777" w:rsidTr="003B28A6">
        <w:trPr>
          <w:trHeight w:val="393"/>
        </w:trPr>
        <w:tc>
          <w:tcPr>
            <w:tcW w:w="0" w:type="auto"/>
            <w:vMerge/>
            <w:tcBorders>
              <w:top w:val="nil"/>
              <w:left w:val="single" w:sz="12" w:space="0" w:color="000000"/>
              <w:bottom w:val="single" w:sz="12" w:space="0" w:color="000000"/>
              <w:right w:val="single" w:sz="8" w:space="0" w:color="000000"/>
            </w:tcBorders>
            <w:vAlign w:val="center"/>
            <w:hideMark/>
          </w:tcPr>
          <w:p w14:paraId="6A391C7C" w14:textId="77777777" w:rsidR="003B28A6" w:rsidRDefault="003B28A6">
            <w:pPr>
              <w:spacing w:after="0"/>
              <w:rPr>
                <w:rFonts w:ascii="Arial" w:eastAsia="Times New Roman" w:hAnsi="Arial" w:cs="Arial"/>
                <w:b/>
                <w:bCs/>
                <w:color w:val="000000"/>
                <w:sz w:val="18"/>
                <w:szCs w:val="18"/>
                <w:lang w:eastAsia="es-ES"/>
              </w:rPr>
            </w:pPr>
          </w:p>
        </w:tc>
        <w:tc>
          <w:tcPr>
            <w:tcW w:w="631" w:type="pct"/>
            <w:tcBorders>
              <w:top w:val="nil"/>
              <w:left w:val="nil"/>
              <w:bottom w:val="single" w:sz="12" w:space="0" w:color="000000"/>
              <w:right w:val="nil"/>
            </w:tcBorders>
            <w:vAlign w:val="center"/>
            <w:hideMark/>
          </w:tcPr>
          <w:p w14:paraId="2C06BF1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31/12/2020</w:t>
            </w:r>
          </w:p>
        </w:tc>
        <w:tc>
          <w:tcPr>
            <w:tcW w:w="765" w:type="pct"/>
            <w:tcBorders>
              <w:top w:val="nil"/>
              <w:left w:val="single" w:sz="8" w:space="0" w:color="000000"/>
              <w:bottom w:val="single" w:sz="12" w:space="0" w:color="000000"/>
              <w:right w:val="nil"/>
            </w:tcBorders>
            <w:vAlign w:val="center"/>
            <w:hideMark/>
          </w:tcPr>
          <w:p w14:paraId="19DD29A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15</w:t>
            </w:r>
          </w:p>
        </w:tc>
        <w:tc>
          <w:tcPr>
            <w:tcW w:w="1067" w:type="pct"/>
            <w:tcBorders>
              <w:top w:val="nil"/>
              <w:left w:val="single" w:sz="8" w:space="0" w:color="000000"/>
              <w:bottom w:val="single" w:sz="12" w:space="0" w:color="000000"/>
              <w:right w:val="nil"/>
            </w:tcBorders>
            <w:vAlign w:val="center"/>
            <w:hideMark/>
          </w:tcPr>
          <w:p w14:paraId="5494894B"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7 A1, 6 A1/A2, 1 C1, 1 C1/C2</w:t>
            </w:r>
          </w:p>
        </w:tc>
        <w:tc>
          <w:tcPr>
            <w:tcW w:w="657" w:type="pct"/>
            <w:tcBorders>
              <w:top w:val="nil"/>
              <w:left w:val="single" w:sz="8" w:space="0" w:color="000000"/>
              <w:bottom w:val="single" w:sz="12" w:space="0" w:color="000000"/>
              <w:right w:val="nil"/>
            </w:tcBorders>
            <w:vAlign w:val="center"/>
            <w:hideMark/>
          </w:tcPr>
          <w:p w14:paraId="6163EBF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13</w:t>
            </w:r>
          </w:p>
        </w:tc>
        <w:tc>
          <w:tcPr>
            <w:tcW w:w="728" w:type="pct"/>
            <w:tcBorders>
              <w:top w:val="nil"/>
              <w:left w:val="single" w:sz="8" w:space="0" w:color="000000"/>
              <w:bottom w:val="single" w:sz="12" w:space="0" w:color="000000"/>
              <w:right w:val="single" w:sz="12" w:space="0" w:color="000000"/>
            </w:tcBorders>
            <w:vAlign w:val="center"/>
            <w:hideMark/>
          </w:tcPr>
          <w:p w14:paraId="51606E3F"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 A1, 1 A1/A2</w:t>
            </w:r>
          </w:p>
        </w:tc>
        <w:tc>
          <w:tcPr>
            <w:tcW w:w="93" w:type="pct"/>
            <w:vAlign w:val="center"/>
            <w:hideMark/>
          </w:tcPr>
          <w:p w14:paraId="7B7248F7" w14:textId="77777777" w:rsidR="003B28A6" w:rsidRDefault="003B28A6">
            <w:pPr>
              <w:rPr>
                <w:rFonts w:ascii="Arial" w:eastAsia="Times New Roman" w:hAnsi="Arial" w:cs="Arial"/>
                <w:color w:val="000000"/>
                <w:sz w:val="18"/>
                <w:szCs w:val="18"/>
                <w:lang w:eastAsia="es-ES"/>
              </w:rPr>
            </w:pPr>
          </w:p>
        </w:tc>
      </w:tr>
      <w:tr w:rsidR="003B28A6" w14:paraId="08B398FA" w14:textId="77777777" w:rsidTr="003B28A6">
        <w:trPr>
          <w:trHeight w:val="525"/>
        </w:trPr>
        <w:tc>
          <w:tcPr>
            <w:tcW w:w="1059" w:type="pct"/>
            <w:vMerge w:val="restart"/>
            <w:tcBorders>
              <w:top w:val="nil"/>
              <w:left w:val="single" w:sz="12" w:space="0" w:color="000000"/>
              <w:bottom w:val="single" w:sz="12" w:space="0" w:color="000000"/>
              <w:right w:val="single" w:sz="8" w:space="0" w:color="000000"/>
            </w:tcBorders>
            <w:vAlign w:val="center"/>
            <w:hideMark/>
          </w:tcPr>
          <w:p w14:paraId="6B5A30E2" w14:textId="77777777" w:rsidR="003B28A6" w:rsidRDefault="003B28A6">
            <w:pPr>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Dirección de Prevención Formación y Documentación</w:t>
            </w:r>
          </w:p>
        </w:tc>
        <w:tc>
          <w:tcPr>
            <w:tcW w:w="631" w:type="pct"/>
            <w:tcBorders>
              <w:top w:val="nil"/>
              <w:left w:val="nil"/>
              <w:bottom w:val="single" w:sz="8" w:space="0" w:color="000000"/>
              <w:right w:val="nil"/>
            </w:tcBorders>
            <w:vAlign w:val="center"/>
            <w:hideMark/>
          </w:tcPr>
          <w:p w14:paraId="7E124589"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31/12/2017</w:t>
            </w:r>
          </w:p>
        </w:tc>
        <w:tc>
          <w:tcPr>
            <w:tcW w:w="765" w:type="pct"/>
            <w:tcBorders>
              <w:top w:val="nil"/>
              <w:left w:val="single" w:sz="8" w:space="0" w:color="000000"/>
              <w:bottom w:val="single" w:sz="8" w:space="0" w:color="000000"/>
              <w:right w:val="nil"/>
            </w:tcBorders>
            <w:vAlign w:val="center"/>
            <w:hideMark/>
          </w:tcPr>
          <w:p w14:paraId="1E02874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w:t>
            </w:r>
          </w:p>
        </w:tc>
        <w:tc>
          <w:tcPr>
            <w:tcW w:w="1067" w:type="pct"/>
            <w:tcBorders>
              <w:top w:val="nil"/>
              <w:left w:val="single" w:sz="8" w:space="0" w:color="000000"/>
              <w:bottom w:val="single" w:sz="8" w:space="0" w:color="000000"/>
              <w:right w:val="nil"/>
            </w:tcBorders>
            <w:vAlign w:val="center"/>
            <w:hideMark/>
          </w:tcPr>
          <w:p w14:paraId="620CF8B9"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 A1, 1 C1/C2, 1 C2</w:t>
            </w:r>
          </w:p>
        </w:tc>
        <w:tc>
          <w:tcPr>
            <w:tcW w:w="657" w:type="pct"/>
            <w:tcBorders>
              <w:top w:val="nil"/>
              <w:left w:val="single" w:sz="8" w:space="0" w:color="000000"/>
              <w:bottom w:val="single" w:sz="8" w:space="0" w:color="000000"/>
              <w:right w:val="nil"/>
            </w:tcBorders>
            <w:vAlign w:val="center"/>
            <w:hideMark/>
          </w:tcPr>
          <w:p w14:paraId="26AEBF0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w:t>
            </w:r>
          </w:p>
        </w:tc>
        <w:tc>
          <w:tcPr>
            <w:tcW w:w="728" w:type="pct"/>
            <w:tcBorders>
              <w:top w:val="nil"/>
              <w:left w:val="single" w:sz="8" w:space="0" w:color="000000"/>
              <w:bottom w:val="single" w:sz="8" w:space="0" w:color="000000"/>
              <w:right w:val="single" w:sz="12" w:space="0" w:color="000000"/>
            </w:tcBorders>
            <w:vAlign w:val="center"/>
            <w:hideMark/>
          </w:tcPr>
          <w:p w14:paraId="18E43A81"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 A1, 1C1/C2, 1 C2</w:t>
            </w:r>
          </w:p>
        </w:tc>
        <w:tc>
          <w:tcPr>
            <w:tcW w:w="93" w:type="pct"/>
            <w:vAlign w:val="center"/>
            <w:hideMark/>
          </w:tcPr>
          <w:p w14:paraId="06A5261B" w14:textId="77777777" w:rsidR="003B28A6" w:rsidRDefault="003B28A6">
            <w:pPr>
              <w:rPr>
                <w:rFonts w:ascii="Arial" w:eastAsia="Times New Roman" w:hAnsi="Arial" w:cs="Arial"/>
                <w:color w:val="000000"/>
                <w:sz w:val="18"/>
                <w:szCs w:val="18"/>
                <w:lang w:eastAsia="es-ES"/>
              </w:rPr>
            </w:pPr>
          </w:p>
        </w:tc>
      </w:tr>
      <w:tr w:rsidR="003B28A6" w14:paraId="7C8F82C6" w14:textId="77777777" w:rsidTr="003B28A6">
        <w:trPr>
          <w:trHeight w:val="391"/>
        </w:trPr>
        <w:tc>
          <w:tcPr>
            <w:tcW w:w="0" w:type="auto"/>
            <w:vMerge/>
            <w:tcBorders>
              <w:top w:val="nil"/>
              <w:left w:val="single" w:sz="12" w:space="0" w:color="000000"/>
              <w:bottom w:val="single" w:sz="12" w:space="0" w:color="000000"/>
              <w:right w:val="single" w:sz="8" w:space="0" w:color="000000"/>
            </w:tcBorders>
            <w:vAlign w:val="center"/>
            <w:hideMark/>
          </w:tcPr>
          <w:p w14:paraId="6D006704" w14:textId="77777777" w:rsidR="003B28A6" w:rsidRDefault="003B28A6">
            <w:pPr>
              <w:spacing w:after="0"/>
              <w:rPr>
                <w:rFonts w:ascii="Arial" w:eastAsia="Times New Roman" w:hAnsi="Arial" w:cs="Arial"/>
                <w:b/>
                <w:bCs/>
                <w:color w:val="000000"/>
                <w:sz w:val="18"/>
                <w:szCs w:val="18"/>
                <w:lang w:eastAsia="es-ES"/>
              </w:rPr>
            </w:pPr>
          </w:p>
        </w:tc>
        <w:tc>
          <w:tcPr>
            <w:tcW w:w="631" w:type="pct"/>
            <w:tcBorders>
              <w:top w:val="nil"/>
              <w:left w:val="nil"/>
              <w:bottom w:val="single" w:sz="8" w:space="0" w:color="000000"/>
              <w:right w:val="nil"/>
            </w:tcBorders>
            <w:vAlign w:val="center"/>
            <w:hideMark/>
          </w:tcPr>
          <w:p w14:paraId="437CE72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31/12/2018</w:t>
            </w:r>
          </w:p>
        </w:tc>
        <w:tc>
          <w:tcPr>
            <w:tcW w:w="765" w:type="pct"/>
            <w:tcBorders>
              <w:top w:val="nil"/>
              <w:left w:val="single" w:sz="8" w:space="0" w:color="000000"/>
              <w:bottom w:val="single" w:sz="8" w:space="0" w:color="000000"/>
              <w:right w:val="nil"/>
            </w:tcBorders>
            <w:vAlign w:val="center"/>
            <w:hideMark/>
          </w:tcPr>
          <w:p w14:paraId="29BBE5BC"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w:t>
            </w:r>
          </w:p>
        </w:tc>
        <w:tc>
          <w:tcPr>
            <w:tcW w:w="1067" w:type="pct"/>
            <w:tcBorders>
              <w:top w:val="nil"/>
              <w:left w:val="single" w:sz="8" w:space="0" w:color="000000"/>
              <w:bottom w:val="single" w:sz="8" w:space="0" w:color="000000"/>
              <w:right w:val="nil"/>
            </w:tcBorders>
            <w:vAlign w:val="center"/>
            <w:hideMark/>
          </w:tcPr>
          <w:p w14:paraId="286923BB"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 A1, 1 C1/C2</w:t>
            </w:r>
          </w:p>
        </w:tc>
        <w:tc>
          <w:tcPr>
            <w:tcW w:w="657" w:type="pct"/>
            <w:tcBorders>
              <w:top w:val="nil"/>
              <w:left w:val="single" w:sz="8" w:space="0" w:color="000000"/>
              <w:bottom w:val="single" w:sz="8" w:space="0" w:color="000000"/>
              <w:right w:val="nil"/>
            </w:tcBorders>
            <w:vAlign w:val="center"/>
            <w:hideMark/>
          </w:tcPr>
          <w:p w14:paraId="648C8CE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w:t>
            </w:r>
          </w:p>
        </w:tc>
        <w:tc>
          <w:tcPr>
            <w:tcW w:w="728" w:type="pct"/>
            <w:tcBorders>
              <w:top w:val="nil"/>
              <w:left w:val="single" w:sz="8" w:space="0" w:color="000000"/>
              <w:bottom w:val="single" w:sz="8" w:space="0" w:color="000000"/>
              <w:right w:val="single" w:sz="12" w:space="0" w:color="000000"/>
            </w:tcBorders>
            <w:vAlign w:val="center"/>
            <w:hideMark/>
          </w:tcPr>
          <w:p w14:paraId="7F058CAB"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 A1, 1 C1/C2</w:t>
            </w:r>
          </w:p>
        </w:tc>
        <w:tc>
          <w:tcPr>
            <w:tcW w:w="93" w:type="pct"/>
            <w:vAlign w:val="center"/>
            <w:hideMark/>
          </w:tcPr>
          <w:p w14:paraId="12F282C5" w14:textId="77777777" w:rsidR="003B28A6" w:rsidRDefault="003B28A6">
            <w:pPr>
              <w:rPr>
                <w:rFonts w:ascii="Arial" w:eastAsia="Times New Roman" w:hAnsi="Arial" w:cs="Arial"/>
                <w:color w:val="000000"/>
                <w:sz w:val="18"/>
                <w:szCs w:val="18"/>
                <w:lang w:eastAsia="es-ES"/>
              </w:rPr>
            </w:pPr>
          </w:p>
        </w:tc>
      </w:tr>
      <w:tr w:rsidR="003B28A6" w14:paraId="1D5AE7E4" w14:textId="77777777" w:rsidTr="003B28A6">
        <w:trPr>
          <w:trHeight w:val="255"/>
        </w:trPr>
        <w:tc>
          <w:tcPr>
            <w:tcW w:w="0" w:type="auto"/>
            <w:vMerge/>
            <w:tcBorders>
              <w:top w:val="nil"/>
              <w:left w:val="single" w:sz="12" w:space="0" w:color="000000"/>
              <w:bottom w:val="single" w:sz="12" w:space="0" w:color="000000"/>
              <w:right w:val="single" w:sz="8" w:space="0" w:color="000000"/>
            </w:tcBorders>
            <w:vAlign w:val="center"/>
            <w:hideMark/>
          </w:tcPr>
          <w:p w14:paraId="2898E383" w14:textId="77777777" w:rsidR="003B28A6" w:rsidRDefault="003B28A6">
            <w:pPr>
              <w:spacing w:after="0"/>
              <w:rPr>
                <w:rFonts w:ascii="Arial" w:eastAsia="Times New Roman" w:hAnsi="Arial" w:cs="Arial"/>
                <w:b/>
                <w:bCs/>
                <w:color w:val="000000"/>
                <w:sz w:val="18"/>
                <w:szCs w:val="18"/>
                <w:lang w:eastAsia="es-ES"/>
              </w:rPr>
            </w:pPr>
          </w:p>
        </w:tc>
        <w:tc>
          <w:tcPr>
            <w:tcW w:w="631" w:type="pct"/>
            <w:tcBorders>
              <w:top w:val="nil"/>
              <w:left w:val="nil"/>
              <w:bottom w:val="single" w:sz="8" w:space="0" w:color="000000"/>
              <w:right w:val="nil"/>
            </w:tcBorders>
            <w:vAlign w:val="center"/>
            <w:hideMark/>
          </w:tcPr>
          <w:p w14:paraId="0C5CDC8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31/12/2019</w:t>
            </w:r>
          </w:p>
        </w:tc>
        <w:tc>
          <w:tcPr>
            <w:tcW w:w="765" w:type="pct"/>
            <w:tcBorders>
              <w:top w:val="nil"/>
              <w:left w:val="single" w:sz="8" w:space="0" w:color="000000"/>
              <w:bottom w:val="single" w:sz="8" w:space="0" w:color="000000"/>
              <w:right w:val="nil"/>
            </w:tcBorders>
            <w:vAlign w:val="center"/>
            <w:hideMark/>
          </w:tcPr>
          <w:p w14:paraId="6185DD65"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w:t>
            </w:r>
          </w:p>
        </w:tc>
        <w:tc>
          <w:tcPr>
            <w:tcW w:w="1067" w:type="pct"/>
            <w:tcBorders>
              <w:top w:val="nil"/>
              <w:left w:val="single" w:sz="8" w:space="0" w:color="000000"/>
              <w:bottom w:val="single" w:sz="8" w:space="0" w:color="000000"/>
              <w:right w:val="nil"/>
            </w:tcBorders>
            <w:vAlign w:val="center"/>
            <w:hideMark/>
          </w:tcPr>
          <w:p w14:paraId="678B532A"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7 A1, 1 C1/C2</w:t>
            </w:r>
          </w:p>
        </w:tc>
        <w:tc>
          <w:tcPr>
            <w:tcW w:w="657" w:type="pct"/>
            <w:tcBorders>
              <w:top w:val="nil"/>
              <w:left w:val="single" w:sz="8" w:space="0" w:color="000000"/>
              <w:bottom w:val="single" w:sz="8" w:space="0" w:color="000000"/>
              <w:right w:val="nil"/>
            </w:tcBorders>
            <w:vAlign w:val="center"/>
            <w:hideMark/>
          </w:tcPr>
          <w:p w14:paraId="67026C8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w:t>
            </w:r>
          </w:p>
        </w:tc>
        <w:tc>
          <w:tcPr>
            <w:tcW w:w="728" w:type="pct"/>
            <w:tcBorders>
              <w:top w:val="nil"/>
              <w:left w:val="single" w:sz="8" w:space="0" w:color="000000"/>
              <w:bottom w:val="single" w:sz="8" w:space="0" w:color="000000"/>
              <w:right w:val="single" w:sz="12" w:space="0" w:color="000000"/>
            </w:tcBorders>
            <w:vAlign w:val="center"/>
            <w:hideMark/>
          </w:tcPr>
          <w:p w14:paraId="630AD4C1"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 A1</w:t>
            </w:r>
          </w:p>
        </w:tc>
        <w:tc>
          <w:tcPr>
            <w:tcW w:w="93" w:type="pct"/>
            <w:vAlign w:val="center"/>
            <w:hideMark/>
          </w:tcPr>
          <w:p w14:paraId="3190DC29" w14:textId="77777777" w:rsidR="003B28A6" w:rsidRDefault="003B28A6">
            <w:pPr>
              <w:rPr>
                <w:rFonts w:ascii="Arial" w:eastAsia="Times New Roman" w:hAnsi="Arial" w:cs="Arial"/>
                <w:color w:val="000000"/>
                <w:sz w:val="18"/>
                <w:szCs w:val="18"/>
                <w:lang w:eastAsia="es-ES"/>
              </w:rPr>
            </w:pPr>
          </w:p>
        </w:tc>
      </w:tr>
      <w:tr w:rsidR="003B28A6" w14:paraId="691A9714" w14:textId="77777777" w:rsidTr="003B28A6">
        <w:trPr>
          <w:trHeight w:val="388"/>
        </w:trPr>
        <w:tc>
          <w:tcPr>
            <w:tcW w:w="0" w:type="auto"/>
            <w:vMerge/>
            <w:tcBorders>
              <w:top w:val="nil"/>
              <w:left w:val="single" w:sz="12" w:space="0" w:color="000000"/>
              <w:bottom w:val="single" w:sz="12" w:space="0" w:color="000000"/>
              <w:right w:val="single" w:sz="8" w:space="0" w:color="000000"/>
            </w:tcBorders>
            <w:vAlign w:val="center"/>
            <w:hideMark/>
          </w:tcPr>
          <w:p w14:paraId="437EC4E2" w14:textId="77777777" w:rsidR="003B28A6" w:rsidRDefault="003B28A6">
            <w:pPr>
              <w:spacing w:after="0"/>
              <w:rPr>
                <w:rFonts w:ascii="Arial" w:eastAsia="Times New Roman" w:hAnsi="Arial" w:cs="Arial"/>
                <w:b/>
                <w:bCs/>
                <w:color w:val="000000"/>
                <w:sz w:val="18"/>
                <w:szCs w:val="18"/>
                <w:lang w:eastAsia="es-ES"/>
              </w:rPr>
            </w:pPr>
          </w:p>
        </w:tc>
        <w:tc>
          <w:tcPr>
            <w:tcW w:w="631" w:type="pct"/>
            <w:tcBorders>
              <w:top w:val="nil"/>
              <w:left w:val="nil"/>
              <w:bottom w:val="single" w:sz="12" w:space="0" w:color="000000"/>
              <w:right w:val="nil"/>
            </w:tcBorders>
            <w:vAlign w:val="center"/>
            <w:hideMark/>
          </w:tcPr>
          <w:p w14:paraId="7153EEA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31/12/2020</w:t>
            </w:r>
          </w:p>
        </w:tc>
        <w:tc>
          <w:tcPr>
            <w:tcW w:w="765" w:type="pct"/>
            <w:tcBorders>
              <w:top w:val="nil"/>
              <w:left w:val="single" w:sz="8" w:space="0" w:color="000000"/>
              <w:bottom w:val="single" w:sz="12" w:space="0" w:color="000000"/>
              <w:right w:val="nil"/>
            </w:tcBorders>
            <w:vAlign w:val="center"/>
            <w:hideMark/>
          </w:tcPr>
          <w:p w14:paraId="3BF6C99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12</w:t>
            </w:r>
          </w:p>
        </w:tc>
        <w:tc>
          <w:tcPr>
            <w:tcW w:w="1067" w:type="pct"/>
            <w:tcBorders>
              <w:top w:val="nil"/>
              <w:left w:val="single" w:sz="8" w:space="0" w:color="000000"/>
              <w:bottom w:val="single" w:sz="12" w:space="0" w:color="000000"/>
              <w:right w:val="nil"/>
            </w:tcBorders>
            <w:vAlign w:val="center"/>
            <w:hideMark/>
          </w:tcPr>
          <w:p w14:paraId="059F9E50"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10 A1, 2 C1/C2</w:t>
            </w:r>
          </w:p>
        </w:tc>
        <w:tc>
          <w:tcPr>
            <w:tcW w:w="657" w:type="pct"/>
            <w:tcBorders>
              <w:top w:val="nil"/>
              <w:left w:val="single" w:sz="8" w:space="0" w:color="000000"/>
              <w:bottom w:val="single" w:sz="12" w:space="0" w:color="000000"/>
              <w:right w:val="nil"/>
            </w:tcBorders>
            <w:vAlign w:val="center"/>
            <w:hideMark/>
          </w:tcPr>
          <w:p w14:paraId="57892659"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w:t>
            </w:r>
          </w:p>
        </w:tc>
        <w:tc>
          <w:tcPr>
            <w:tcW w:w="728" w:type="pct"/>
            <w:tcBorders>
              <w:top w:val="nil"/>
              <w:left w:val="single" w:sz="8" w:space="0" w:color="000000"/>
              <w:bottom w:val="single" w:sz="12" w:space="0" w:color="000000"/>
              <w:right w:val="single" w:sz="12" w:space="0" w:color="000000"/>
            </w:tcBorders>
            <w:vAlign w:val="center"/>
            <w:hideMark/>
          </w:tcPr>
          <w:p w14:paraId="43910284"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 A1, 1 C1/C2</w:t>
            </w:r>
          </w:p>
        </w:tc>
        <w:tc>
          <w:tcPr>
            <w:tcW w:w="93" w:type="pct"/>
            <w:vAlign w:val="center"/>
            <w:hideMark/>
          </w:tcPr>
          <w:p w14:paraId="2D1A6828" w14:textId="77777777" w:rsidR="003B28A6" w:rsidRDefault="003B28A6">
            <w:pPr>
              <w:rPr>
                <w:rFonts w:ascii="Arial" w:eastAsia="Times New Roman" w:hAnsi="Arial" w:cs="Arial"/>
                <w:color w:val="000000"/>
                <w:sz w:val="18"/>
                <w:szCs w:val="18"/>
                <w:lang w:eastAsia="es-ES"/>
              </w:rPr>
            </w:pPr>
          </w:p>
        </w:tc>
      </w:tr>
      <w:tr w:rsidR="003B28A6" w14:paraId="7421793D" w14:textId="77777777" w:rsidTr="003B28A6">
        <w:trPr>
          <w:trHeight w:val="510"/>
        </w:trPr>
        <w:tc>
          <w:tcPr>
            <w:tcW w:w="1059" w:type="pct"/>
            <w:vMerge w:val="restart"/>
            <w:tcBorders>
              <w:top w:val="nil"/>
              <w:left w:val="single" w:sz="12" w:space="0" w:color="000000"/>
              <w:bottom w:val="single" w:sz="12" w:space="0" w:color="000000"/>
              <w:right w:val="single" w:sz="8" w:space="0" w:color="000000"/>
            </w:tcBorders>
            <w:vAlign w:val="center"/>
            <w:hideMark/>
          </w:tcPr>
          <w:p w14:paraId="3C22BE38" w14:textId="77777777" w:rsidR="003B28A6" w:rsidRDefault="003B28A6">
            <w:pPr>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Dirección de Asuntos Jurídicos</w:t>
            </w:r>
          </w:p>
        </w:tc>
        <w:tc>
          <w:tcPr>
            <w:tcW w:w="631" w:type="pct"/>
            <w:tcBorders>
              <w:top w:val="nil"/>
              <w:left w:val="nil"/>
              <w:bottom w:val="single" w:sz="8" w:space="0" w:color="000000"/>
              <w:right w:val="nil"/>
            </w:tcBorders>
            <w:vAlign w:val="center"/>
            <w:hideMark/>
          </w:tcPr>
          <w:p w14:paraId="1BE8500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31/12/2017</w:t>
            </w:r>
          </w:p>
        </w:tc>
        <w:tc>
          <w:tcPr>
            <w:tcW w:w="765" w:type="pct"/>
            <w:tcBorders>
              <w:top w:val="nil"/>
              <w:left w:val="single" w:sz="8" w:space="0" w:color="000000"/>
              <w:bottom w:val="single" w:sz="8" w:space="0" w:color="000000"/>
              <w:right w:val="nil"/>
            </w:tcBorders>
            <w:vAlign w:val="center"/>
            <w:hideMark/>
          </w:tcPr>
          <w:p w14:paraId="3A52BC5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w:t>
            </w:r>
          </w:p>
        </w:tc>
        <w:tc>
          <w:tcPr>
            <w:tcW w:w="1067" w:type="pct"/>
            <w:tcBorders>
              <w:top w:val="nil"/>
              <w:left w:val="single" w:sz="8" w:space="0" w:color="000000"/>
              <w:bottom w:val="single" w:sz="8" w:space="0" w:color="000000"/>
              <w:right w:val="nil"/>
            </w:tcBorders>
            <w:vAlign w:val="center"/>
            <w:hideMark/>
          </w:tcPr>
          <w:p w14:paraId="130F2381"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 A1, 1 C1/C2, 1 C2</w:t>
            </w:r>
          </w:p>
        </w:tc>
        <w:tc>
          <w:tcPr>
            <w:tcW w:w="657" w:type="pct"/>
            <w:tcBorders>
              <w:top w:val="nil"/>
              <w:left w:val="single" w:sz="8" w:space="0" w:color="000000"/>
              <w:bottom w:val="single" w:sz="8" w:space="0" w:color="000000"/>
              <w:right w:val="nil"/>
            </w:tcBorders>
            <w:vAlign w:val="center"/>
            <w:hideMark/>
          </w:tcPr>
          <w:p w14:paraId="46D1C88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728" w:type="pct"/>
            <w:tcBorders>
              <w:top w:val="nil"/>
              <w:left w:val="single" w:sz="8" w:space="0" w:color="000000"/>
              <w:bottom w:val="single" w:sz="8" w:space="0" w:color="000000"/>
              <w:right w:val="single" w:sz="12" w:space="0" w:color="000000"/>
            </w:tcBorders>
            <w:vAlign w:val="center"/>
            <w:hideMark/>
          </w:tcPr>
          <w:p w14:paraId="7907CE5E"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 A1, 1 C1/C2, 1 C2</w:t>
            </w:r>
          </w:p>
        </w:tc>
        <w:tc>
          <w:tcPr>
            <w:tcW w:w="93" w:type="pct"/>
            <w:vAlign w:val="center"/>
            <w:hideMark/>
          </w:tcPr>
          <w:p w14:paraId="3B84E3BC" w14:textId="77777777" w:rsidR="003B28A6" w:rsidRDefault="003B28A6">
            <w:pPr>
              <w:rPr>
                <w:rFonts w:ascii="Arial" w:eastAsia="Times New Roman" w:hAnsi="Arial" w:cs="Arial"/>
                <w:color w:val="000000"/>
                <w:sz w:val="18"/>
                <w:szCs w:val="18"/>
                <w:lang w:eastAsia="es-ES"/>
              </w:rPr>
            </w:pPr>
          </w:p>
        </w:tc>
      </w:tr>
      <w:tr w:rsidR="003B28A6" w14:paraId="7A25D241" w14:textId="77777777" w:rsidTr="003B28A6">
        <w:trPr>
          <w:trHeight w:val="300"/>
        </w:trPr>
        <w:tc>
          <w:tcPr>
            <w:tcW w:w="0" w:type="auto"/>
            <w:vMerge/>
            <w:tcBorders>
              <w:top w:val="nil"/>
              <w:left w:val="single" w:sz="12" w:space="0" w:color="000000"/>
              <w:bottom w:val="single" w:sz="12" w:space="0" w:color="000000"/>
              <w:right w:val="single" w:sz="8" w:space="0" w:color="000000"/>
            </w:tcBorders>
            <w:vAlign w:val="center"/>
            <w:hideMark/>
          </w:tcPr>
          <w:p w14:paraId="4335001D" w14:textId="77777777" w:rsidR="003B28A6" w:rsidRDefault="003B28A6">
            <w:pPr>
              <w:spacing w:after="0"/>
              <w:rPr>
                <w:rFonts w:ascii="Arial" w:eastAsia="Times New Roman" w:hAnsi="Arial" w:cs="Arial"/>
                <w:b/>
                <w:bCs/>
                <w:color w:val="000000"/>
                <w:sz w:val="18"/>
                <w:szCs w:val="18"/>
                <w:lang w:eastAsia="es-ES"/>
              </w:rPr>
            </w:pPr>
          </w:p>
        </w:tc>
        <w:tc>
          <w:tcPr>
            <w:tcW w:w="631" w:type="pct"/>
            <w:tcBorders>
              <w:top w:val="nil"/>
              <w:left w:val="nil"/>
              <w:bottom w:val="single" w:sz="8" w:space="0" w:color="000000"/>
              <w:right w:val="nil"/>
            </w:tcBorders>
            <w:vAlign w:val="center"/>
            <w:hideMark/>
          </w:tcPr>
          <w:p w14:paraId="6352223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31/12/2018</w:t>
            </w:r>
          </w:p>
        </w:tc>
        <w:tc>
          <w:tcPr>
            <w:tcW w:w="765" w:type="pct"/>
            <w:tcBorders>
              <w:top w:val="nil"/>
              <w:left w:val="single" w:sz="8" w:space="0" w:color="000000"/>
              <w:bottom w:val="single" w:sz="8" w:space="0" w:color="000000"/>
              <w:right w:val="nil"/>
            </w:tcBorders>
            <w:vAlign w:val="center"/>
            <w:hideMark/>
          </w:tcPr>
          <w:p w14:paraId="60F67A7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w:t>
            </w:r>
          </w:p>
        </w:tc>
        <w:tc>
          <w:tcPr>
            <w:tcW w:w="1067" w:type="pct"/>
            <w:tcBorders>
              <w:top w:val="nil"/>
              <w:left w:val="single" w:sz="8" w:space="0" w:color="000000"/>
              <w:bottom w:val="single" w:sz="8" w:space="0" w:color="000000"/>
              <w:right w:val="nil"/>
            </w:tcBorders>
            <w:vAlign w:val="center"/>
            <w:hideMark/>
          </w:tcPr>
          <w:p w14:paraId="6AC5A1DD"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 A1, 1 C1/C2</w:t>
            </w:r>
          </w:p>
        </w:tc>
        <w:tc>
          <w:tcPr>
            <w:tcW w:w="657" w:type="pct"/>
            <w:tcBorders>
              <w:top w:val="nil"/>
              <w:left w:val="single" w:sz="8" w:space="0" w:color="000000"/>
              <w:bottom w:val="single" w:sz="8" w:space="0" w:color="000000"/>
              <w:right w:val="nil"/>
            </w:tcBorders>
            <w:vAlign w:val="center"/>
            <w:hideMark/>
          </w:tcPr>
          <w:p w14:paraId="3ADF8BA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w:t>
            </w:r>
          </w:p>
        </w:tc>
        <w:tc>
          <w:tcPr>
            <w:tcW w:w="728" w:type="pct"/>
            <w:tcBorders>
              <w:top w:val="nil"/>
              <w:left w:val="single" w:sz="8" w:space="0" w:color="000000"/>
              <w:bottom w:val="single" w:sz="8" w:space="0" w:color="000000"/>
              <w:right w:val="single" w:sz="12" w:space="0" w:color="000000"/>
            </w:tcBorders>
            <w:vAlign w:val="center"/>
            <w:hideMark/>
          </w:tcPr>
          <w:p w14:paraId="2CFE575F"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w:t>
            </w:r>
          </w:p>
        </w:tc>
        <w:tc>
          <w:tcPr>
            <w:tcW w:w="93" w:type="pct"/>
            <w:vAlign w:val="center"/>
            <w:hideMark/>
          </w:tcPr>
          <w:p w14:paraId="346AA417" w14:textId="77777777" w:rsidR="003B28A6" w:rsidRDefault="003B28A6">
            <w:pPr>
              <w:rPr>
                <w:rFonts w:ascii="Arial" w:eastAsia="Times New Roman" w:hAnsi="Arial" w:cs="Arial"/>
                <w:color w:val="000000"/>
                <w:sz w:val="18"/>
                <w:szCs w:val="18"/>
                <w:lang w:eastAsia="es-ES"/>
              </w:rPr>
            </w:pPr>
          </w:p>
        </w:tc>
      </w:tr>
      <w:tr w:rsidR="003B28A6" w14:paraId="00E9FD7A" w14:textId="77777777" w:rsidTr="003B28A6">
        <w:trPr>
          <w:trHeight w:val="291"/>
        </w:trPr>
        <w:tc>
          <w:tcPr>
            <w:tcW w:w="0" w:type="auto"/>
            <w:vMerge/>
            <w:tcBorders>
              <w:top w:val="nil"/>
              <w:left w:val="single" w:sz="12" w:space="0" w:color="000000"/>
              <w:bottom w:val="single" w:sz="12" w:space="0" w:color="000000"/>
              <w:right w:val="single" w:sz="8" w:space="0" w:color="000000"/>
            </w:tcBorders>
            <w:vAlign w:val="center"/>
            <w:hideMark/>
          </w:tcPr>
          <w:p w14:paraId="180007E5" w14:textId="77777777" w:rsidR="003B28A6" w:rsidRDefault="003B28A6">
            <w:pPr>
              <w:spacing w:after="0"/>
              <w:rPr>
                <w:rFonts w:ascii="Arial" w:eastAsia="Times New Roman" w:hAnsi="Arial" w:cs="Arial"/>
                <w:b/>
                <w:bCs/>
                <w:color w:val="000000"/>
                <w:sz w:val="18"/>
                <w:szCs w:val="18"/>
                <w:lang w:eastAsia="es-ES"/>
              </w:rPr>
            </w:pPr>
          </w:p>
        </w:tc>
        <w:tc>
          <w:tcPr>
            <w:tcW w:w="631" w:type="pct"/>
            <w:tcBorders>
              <w:top w:val="nil"/>
              <w:left w:val="nil"/>
              <w:bottom w:val="single" w:sz="8" w:space="0" w:color="000000"/>
              <w:right w:val="nil"/>
            </w:tcBorders>
            <w:vAlign w:val="center"/>
            <w:hideMark/>
          </w:tcPr>
          <w:p w14:paraId="543B8E7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31/12/2019</w:t>
            </w:r>
          </w:p>
        </w:tc>
        <w:tc>
          <w:tcPr>
            <w:tcW w:w="765" w:type="pct"/>
            <w:tcBorders>
              <w:top w:val="nil"/>
              <w:left w:val="single" w:sz="8" w:space="0" w:color="000000"/>
              <w:bottom w:val="single" w:sz="8" w:space="0" w:color="000000"/>
              <w:right w:val="nil"/>
            </w:tcBorders>
            <w:vAlign w:val="center"/>
            <w:hideMark/>
          </w:tcPr>
          <w:p w14:paraId="0BD566D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w:t>
            </w:r>
          </w:p>
        </w:tc>
        <w:tc>
          <w:tcPr>
            <w:tcW w:w="1067" w:type="pct"/>
            <w:tcBorders>
              <w:top w:val="nil"/>
              <w:left w:val="single" w:sz="8" w:space="0" w:color="000000"/>
              <w:bottom w:val="single" w:sz="8" w:space="0" w:color="000000"/>
              <w:right w:val="nil"/>
            </w:tcBorders>
            <w:vAlign w:val="center"/>
            <w:hideMark/>
          </w:tcPr>
          <w:p w14:paraId="14D7FAE3"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 A1, 1 C1/C2</w:t>
            </w:r>
          </w:p>
        </w:tc>
        <w:tc>
          <w:tcPr>
            <w:tcW w:w="657" w:type="pct"/>
            <w:tcBorders>
              <w:top w:val="nil"/>
              <w:left w:val="single" w:sz="8" w:space="0" w:color="000000"/>
              <w:bottom w:val="single" w:sz="8" w:space="0" w:color="000000"/>
              <w:right w:val="nil"/>
            </w:tcBorders>
            <w:vAlign w:val="center"/>
            <w:hideMark/>
          </w:tcPr>
          <w:p w14:paraId="3CC09EB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w:t>
            </w:r>
          </w:p>
        </w:tc>
        <w:tc>
          <w:tcPr>
            <w:tcW w:w="728" w:type="pct"/>
            <w:tcBorders>
              <w:top w:val="nil"/>
              <w:left w:val="single" w:sz="8" w:space="0" w:color="000000"/>
              <w:bottom w:val="single" w:sz="8" w:space="0" w:color="000000"/>
              <w:right w:val="single" w:sz="12" w:space="0" w:color="000000"/>
            </w:tcBorders>
            <w:vAlign w:val="center"/>
            <w:hideMark/>
          </w:tcPr>
          <w:p w14:paraId="4494F066"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 A1</w:t>
            </w:r>
          </w:p>
        </w:tc>
        <w:tc>
          <w:tcPr>
            <w:tcW w:w="93" w:type="pct"/>
            <w:vAlign w:val="center"/>
            <w:hideMark/>
          </w:tcPr>
          <w:p w14:paraId="20D75BD0" w14:textId="77777777" w:rsidR="003B28A6" w:rsidRDefault="003B28A6">
            <w:pPr>
              <w:rPr>
                <w:rFonts w:ascii="Arial" w:eastAsia="Times New Roman" w:hAnsi="Arial" w:cs="Arial"/>
                <w:color w:val="000000"/>
                <w:sz w:val="18"/>
                <w:szCs w:val="18"/>
                <w:lang w:eastAsia="es-ES"/>
              </w:rPr>
            </w:pPr>
          </w:p>
        </w:tc>
      </w:tr>
      <w:tr w:rsidR="003B28A6" w14:paraId="5A3D8585" w14:textId="77777777" w:rsidTr="003B28A6">
        <w:trPr>
          <w:trHeight w:val="394"/>
        </w:trPr>
        <w:tc>
          <w:tcPr>
            <w:tcW w:w="0" w:type="auto"/>
            <w:vMerge/>
            <w:tcBorders>
              <w:top w:val="nil"/>
              <w:left w:val="single" w:sz="12" w:space="0" w:color="000000"/>
              <w:bottom w:val="single" w:sz="12" w:space="0" w:color="000000"/>
              <w:right w:val="single" w:sz="8" w:space="0" w:color="000000"/>
            </w:tcBorders>
            <w:vAlign w:val="center"/>
            <w:hideMark/>
          </w:tcPr>
          <w:p w14:paraId="2BADECAA" w14:textId="77777777" w:rsidR="003B28A6" w:rsidRDefault="003B28A6">
            <w:pPr>
              <w:spacing w:after="0"/>
              <w:rPr>
                <w:rFonts w:ascii="Arial" w:eastAsia="Times New Roman" w:hAnsi="Arial" w:cs="Arial"/>
                <w:b/>
                <w:bCs/>
                <w:color w:val="000000"/>
                <w:sz w:val="18"/>
                <w:szCs w:val="18"/>
                <w:lang w:eastAsia="es-ES"/>
              </w:rPr>
            </w:pPr>
          </w:p>
        </w:tc>
        <w:tc>
          <w:tcPr>
            <w:tcW w:w="631" w:type="pct"/>
            <w:tcBorders>
              <w:top w:val="nil"/>
              <w:left w:val="nil"/>
              <w:bottom w:val="single" w:sz="12" w:space="0" w:color="000000"/>
              <w:right w:val="nil"/>
            </w:tcBorders>
            <w:vAlign w:val="center"/>
            <w:hideMark/>
          </w:tcPr>
          <w:p w14:paraId="4A5D0A3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31/12/2020</w:t>
            </w:r>
          </w:p>
        </w:tc>
        <w:tc>
          <w:tcPr>
            <w:tcW w:w="765" w:type="pct"/>
            <w:tcBorders>
              <w:top w:val="nil"/>
              <w:left w:val="single" w:sz="8" w:space="0" w:color="000000"/>
              <w:bottom w:val="single" w:sz="12" w:space="0" w:color="000000"/>
              <w:right w:val="nil"/>
            </w:tcBorders>
            <w:vAlign w:val="center"/>
            <w:hideMark/>
          </w:tcPr>
          <w:p w14:paraId="6E5D4710"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w:t>
            </w:r>
          </w:p>
        </w:tc>
        <w:tc>
          <w:tcPr>
            <w:tcW w:w="1067" w:type="pct"/>
            <w:tcBorders>
              <w:top w:val="nil"/>
              <w:left w:val="single" w:sz="8" w:space="0" w:color="000000"/>
              <w:bottom w:val="single" w:sz="12" w:space="0" w:color="000000"/>
              <w:right w:val="nil"/>
            </w:tcBorders>
            <w:vAlign w:val="center"/>
            <w:hideMark/>
          </w:tcPr>
          <w:p w14:paraId="0B7C34FD"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 A1, 1 C1, 1 C1/C2</w:t>
            </w:r>
          </w:p>
        </w:tc>
        <w:tc>
          <w:tcPr>
            <w:tcW w:w="657" w:type="pct"/>
            <w:tcBorders>
              <w:top w:val="nil"/>
              <w:left w:val="single" w:sz="8" w:space="0" w:color="000000"/>
              <w:bottom w:val="single" w:sz="12" w:space="0" w:color="000000"/>
              <w:right w:val="nil"/>
            </w:tcBorders>
            <w:vAlign w:val="center"/>
            <w:hideMark/>
          </w:tcPr>
          <w:p w14:paraId="3709914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w:t>
            </w:r>
          </w:p>
        </w:tc>
        <w:tc>
          <w:tcPr>
            <w:tcW w:w="728" w:type="pct"/>
            <w:tcBorders>
              <w:top w:val="nil"/>
              <w:left w:val="single" w:sz="8" w:space="0" w:color="000000"/>
              <w:bottom w:val="single" w:sz="12" w:space="0" w:color="000000"/>
              <w:right w:val="single" w:sz="12" w:space="0" w:color="000000"/>
            </w:tcBorders>
            <w:vAlign w:val="center"/>
            <w:hideMark/>
          </w:tcPr>
          <w:p w14:paraId="0516E939"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 A1, 1 C1/C2</w:t>
            </w:r>
          </w:p>
        </w:tc>
        <w:tc>
          <w:tcPr>
            <w:tcW w:w="93" w:type="pct"/>
            <w:vAlign w:val="center"/>
            <w:hideMark/>
          </w:tcPr>
          <w:p w14:paraId="5AFDEB6C" w14:textId="77777777" w:rsidR="003B28A6" w:rsidRDefault="003B28A6">
            <w:pPr>
              <w:rPr>
                <w:rFonts w:ascii="Arial" w:eastAsia="Times New Roman" w:hAnsi="Arial" w:cs="Arial"/>
                <w:color w:val="000000"/>
                <w:sz w:val="18"/>
                <w:szCs w:val="18"/>
                <w:lang w:eastAsia="es-ES"/>
              </w:rPr>
            </w:pPr>
          </w:p>
        </w:tc>
      </w:tr>
      <w:tr w:rsidR="003B28A6" w14:paraId="64237F37" w14:textId="77777777" w:rsidTr="003B28A6">
        <w:trPr>
          <w:trHeight w:val="421"/>
        </w:trPr>
        <w:tc>
          <w:tcPr>
            <w:tcW w:w="1059" w:type="pct"/>
            <w:vMerge w:val="restart"/>
            <w:tcBorders>
              <w:top w:val="nil"/>
              <w:left w:val="single" w:sz="12" w:space="0" w:color="000000"/>
              <w:bottom w:val="single" w:sz="12" w:space="0" w:color="000000"/>
              <w:right w:val="single" w:sz="8" w:space="0" w:color="000000"/>
            </w:tcBorders>
            <w:vAlign w:val="center"/>
            <w:hideMark/>
          </w:tcPr>
          <w:p w14:paraId="05381FC1" w14:textId="77777777" w:rsidR="003B28A6" w:rsidRDefault="003B28A6">
            <w:pPr>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Estado a 31/12 Relación de puestos de trabajo</w:t>
            </w:r>
          </w:p>
        </w:tc>
        <w:tc>
          <w:tcPr>
            <w:tcW w:w="631" w:type="pct"/>
            <w:tcBorders>
              <w:top w:val="nil"/>
              <w:left w:val="nil"/>
              <w:bottom w:val="single" w:sz="8" w:space="0" w:color="000000"/>
              <w:right w:val="nil"/>
            </w:tcBorders>
            <w:vAlign w:val="center"/>
            <w:hideMark/>
          </w:tcPr>
          <w:p w14:paraId="5526D9D2"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31/12/2017</w:t>
            </w:r>
          </w:p>
        </w:tc>
        <w:tc>
          <w:tcPr>
            <w:tcW w:w="765" w:type="pct"/>
            <w:tcBorders>
              <w:top w:val="nil"/>
              <w:left w:val="single" w:sz="8" w:space="0" w:color="000000"/>
              <w:bottom w:val="single" w:sz="8" w:space="0" w:color="000000"/>
              <w:right w:val="nil"/>
            </w:tcBorders>
            <w:vAlign w:val="center"/>
            <w:hideMark/>
          </w:tcPr>
          <w:p w14:paraId="4E7F3BA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33</w:t>
            </w:r>
          </w:p>
        </w:tc>
        <w:tc>
          <w:tcPr>
            <w:tcW w:w="1067" w:type="pct"/>
            <w:tcBorders>
              <w:top w:val="nil"/>
              <w:left w:val="single" w:sz="8" w:space="0" w:color="000000"/>
              <w:bottom w:val="single" w:sz="8" w:space="0" w:color="000000"/>
              <w:right w:val="nil"/>
            </w:tcBorders>
            <w:vAlign w:val="center"/>
            <w:hideMark/>
          </w:tcPr>
          <w:p w14:paraId="02208B3B"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18 A1, 6 A1/A2, 5 C1/C2, 4 C2</w:t>
            </w:r>
          </w:p>
        </w:tc>
        <w:tc>
          <w:tcPr>
            <w:tcW w:w="657" w:type="pct"/>
            <w:tcBorders>
              <w:top w:val="nil"/>
              <w:left w:val="single" w:sz="8" w:space="0" w:color="000000"/>
              <w:bottom w:val="single" w:sz="8" w:space="0" w:color="000000"/>
              <w:right w:val="nil"/>
            </w:tcBorders>
            <w:vAlign w:val="center"/>
            <w:hideMark/>
          </w:tcPr>
          <w:p w14:paraId="3589F8D4"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7</w:t>
            </w:r>
          </w:p>
        </w:tc>
        <w:tc>
          <w:tcPr>
            <w:tcW w:w="728" w:type="pct"/>
            <w:tcBorders>
              <w:top w:val="nil"/>
              <w:left w:val="single" w:sz="8" w:space="0" w:color="000000"/>
              <w:bottom w:val="single" w:sz="8" w:space="0" w:color="000000"/>
              <w:right w:val="single" w:sz="12" w:space="0" w:color="000000"/>
            </w:tcBorders>
            <w:vAlign w:val="center"/>
            <w:hideMark/>
          </w:tcPr>
          <w:p w14:paraId="091B9ECF"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13 A1, 4 A1/A2, 5 C1/C2, 4 C2</w:t>
            </w:r>
          </w:p>
        </w:tc>
        <w:tc>
          <w:tcPr>
            <w:tcW w:w="93" w:type="pct"/>
            <w:vAlign w:val="center"/>
            <w:hideMark/>
          </w:tcPr>
          <w:p w14:paraId="03A821C0" w14:textId="77777777" w:rsidR="003B28A6" w:rsidRDefault="003B28A6">
            <w:pPr>
              <w:rPr>
                <w:rFonts w:ascii="Arial" w:eastAsia="Times New Roman" w:hAnsi="Arial" w:cs="Arial"/>
                <w:color w:val="000000"/>
                <w:sz w:val="18"/>
                <w:szCs w:val="18"/>
                <w:lang w:eastAsia="es-ES"/>
              </w:rPr>
            </w:pPr>
          </w:p>
        </w:tc>
      </w:tr>
      <w:tr w:rsidR="003B28A6" w14:paraId="5FCEC6A4" w14:textId="77777777" w:rsidTr="003B28A6">
        <w:trPr>
          <w:trHeight w:val="735"/>
        </w:trPr>
        <w:tc>
          <w:tcPr>
            <w:tcW w:w="0" w:type="auto"/>
            <w:vMerge/>
            <w:tcBorders>
              <w:top w:val="nil"/>
              <w:left w:val="single" w:sz="12" w:space="0" w:color="000000"/>
              <w:bottom w:val="single" w:sz="12" w:space="0" w:color="000000"/>
              <w:right w:val="single" w:sz="8" w:space="0" w:color="000000"/>
            </w:tcBorders>
            <w:vAlign w:val="center"/>
            <w:hideMark/>
          </w:tcPr>
          <w:p w14:paraId="40D45139" w14:textId="77777777" w:rsidR="003B28A6" w:rsidRDefault="003B28A6">
            <w:pPr>
              <w:spacing w:after="0"/>
              <w:rPr>
                <w:rFonts w:ascii="Arial" w:eastAsia="Times New Roman" w:hAnsi="Arial" w:cs="Arial"/>
                <w:b/>
                <w:bCs/>
                <w:color w:val="000000"/>
                <w:sz w:val="18"/>
                <w:szCs w:val="18"/>
                <w:lang w:eastAsia="es-ES"/>
              </w:rPr>
            </w:pPr>
          </w:p>
        </w:tc>
        <w:tc>
          <w:tcPr>
            <w:tcW w:w="631" w:type="pct"/>
            <w:tcBorders>
              <w:top w:val="nil"/>
              <w:left w:val="nil"/>
              <w:bottom w:val="single" w:sz="8" w:space="0" w:color="000000"/>
              <w:right w:val="nil"/>
            </w:tcBorders>
            <w:vAlign w:val="center"/>
            <w:hideMark/>
          </w:tcPr>
          <w:p w14:paraId="2C3CD54B"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31/12/2018</w:t>
            </w:r>
          </w:p>
        </w:tc>
        <w:tc>
          <w:tcPr>
            <w:tcW w:w="765" w:type="pct"/>
            <w:tcBorders>
              <w:top w:val="nil"/>
              <w:left w:val="single" w:sz="8" w:space="0" w:color="000000"/>
              <w:bottom w:val="single" w:sz="8" w:space="0" w:color="000000"/>
              <w:right w:val="nil"/>
            </w:tcBorders>
            <w:vAlign w:val="center"/>
            <w:hideMark/>
          </w:tcPr>
          <w:p w14:paraId="34CF7311"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32</w:t>
            </w:r>
          </w:p>
        </w:tc>
        <w:tc>
          <w:tcPr>
            <w:tcW w:w="1067" w:type="pct"/>
            <w:tcBorders>
              <w:top w:val="nil"/>
              <w:left w:val="single" w:sz="8" w:space="0" w:color="000000"/>
              <w:bottom w:val="single" w:sz="8" w:space="0" w:color="000000"/>
              <w:right w:val="nil"/>
            </w:tcBorders>
            <w:vAlign w:val="center"/>
            <w:hideMark/>
          </w:tcPr>
          <w:p w14:paraId="157E1E55"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14 A1, 8 A1/A2, 2 A2, 2 C1, 5 C1/C2, 1 APF 01-01</w:t>
            </w:r>
          </w:p>
        </w:tc>
        <w:tc>
          <w:tcPr>
            <w:tcW w:w="657" w:type="pct"/>
            <w:tcBorders>
              <w:top w:val="nil"/>
              <w:left w:val="single" w:sz="8" w:space="0" w:color="000000"/>
              <w:bottom w:val="single" w:sz="8" w:space="0" w:color="000000"/>
              <w:right w:val="nil"/>
            </w:tcBorders>
            <w:vAlign w:val="center"/>
            <w:hideMark/>
          </w:tcPr>
          <w:p w14:paraId="225E5D7A"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p>
        </w:tc>
        <w:tc>
          <w:tcPr>
            <w:tcW w:w="728" w:type="pct"/>
            <w:tcBorders>
              <w:top w:val="nil"/>
              <w:left w:val="single" w:sz="8" w:space="0" w:color="000000"/>
              <w:bottom w:val="single" w:sz="8" w:space="0" w:color="000000"/>
              <w:right w:val="single" w:sz="12" w:space="0" w:color="000000"/>
            </w:tcBorders>
            <w:vAlign w:val="center"/>
            <w:hideMark/>
          </w:tcPr>
          <w:p w14:paraId="1934C672"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 A1, 2 A2, 1 C1, 2 C1/C2</w:t>
            </w:r>
          </w:p>
        </w:tc>
        <w:tc>
          <w:tcPr>
            <w:tcW w:w="93" w:type="pct"/>
            <w:vAlign w:val="center"/>
            <w:hideMark/>
          </w:tcPr>
          <w:p w14:paraId="18ADD4F0" w14:textId="77777777" w:rsidR="003B28A6" w:rsidRDefault="003B28A6">
            <w:pPr>
              <w:rPr>
                <w:rFonts w:ascii="Arial" w:eastAsia="Times New Roman" w:hAnsi="Arial" w:cs="Arial"/>
                <w:color w:val="000000"/>
                <w:sz w:val="18"/>
                <w:szCs w:val="18"/>
                <w:lang w:eastAsia="es-ES"/>
              </w:rPr>
            </w:pPr>
          </w:p>
        </w:tc>
      </w:tr>
      <w:tr w:rsidR="003B28A6" w14:paraId="559F4CA4" w14:textId="77777777" w:rsidTr="003B28A6">
        <w:trPr>
          <w:trHeight w:val="674"/>
        </w:trPr>
        <w:tc>
          <w:tcPr>
            <w:tcW w:w="0" w:type="auto"/>
            <w:vMerge/>
            <w:tcBorders>
              <w:top w:val="nil"/>
              <w:left w:val="single" w:sz="12" w:space="0" w:color="000000"/>
              <w:bottom w:val="single" w:sz="12" w:space="0" w:color="000000"/>
              <w:right w:val="single" w:sz="8" w:space="0" w:color="000000"/>
            </w:tcBorders>
            <w:vAlign w:val="center"/>
            <w:hideMark/>
          </w:tcPr>
          <w:p w14:paraId="1AA7580C" w14:textId="77777777" w:rsidR="003B28A6" w:rsidRDefault="003B28A6">
            <w:pPr>
              <w:spacing w:after="0"/>
              <w:rPr>
                <w:rFonts w:ascii="Arial" w:eastAsia="Times New Roman" w:hAnsi="Arial" w:cs="Arial"/>
                <w:b/>
                <w:bCs/>
                <w:color w:val="000000"/>
                <w:sz w:val="18"/>
                <w:szCs w:val="18"/>
                <w:lang w:eastAsia="es-ES"/>
              </w:rPr>
            </w:pPr>
          </w:p>
        </w:tc>
        <w:tc>
          <w:tcPr>
            <w:tcW w:w="631" w:type="pct"/>
            <w:tcBorders>
              <w:top w:val="nil"/>
              <w:left w:val="nil"/>
              <w:bottom w:val="single" w:sz="8" w:space="0" w:color="000000"/>
              <w:right w:val="nil"/>
            </w:tcBorders>
            <w:vAlign w:val="center"/>
            <w:hideMark/>
          </w:tcPr>
          <w:p w14:paraId="20E98F5D"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31/12/2019</w:t>
            </w:r>
          </w:p>
        </w:tc>
        <w:tc>
          <w:tcPr>
            <w:tcW w:w="765" w:type="pct"/>
            <w:tcBorders>
              <w:top w:val="nil"/>
              <w:left w:val="single" w:sz="8" w:space="0" w:color="000000"/>
              <w:bottom w:val="single" w:sz="8" w:space="0" w:color="000000"/>
              <w:right w:val="nil"/>
            </w:tcBorders>
            <w:vAlign w:val="center"/>
            <w:hideMark/>
          </w:tcPr>
          <w:p w14:paraId="3B2DB5CE"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37 </w:t>
            </w:r>
          </w:p>
        </w:tc>
        <w:tc>
          <w:tcPr>
            <w:tcW w:w="1067" w:type="pct"/>
            <w:tcBorders>
              <w:top w:val="nil"/>
              <w:left w:val="single" w:sz="8" w:space="0" w:color="000000"/>
              <w:bottom w:val="single" w:sz="8" w:space="0" w:color="000000"/>
              <w:right w:val="nil"/>
            </w:tcBorders>
            <w:vAlign w:val="center"/>
            <w:hideMark/>
          </w:tcPr>
          <w:p w14:paraId="63A48390"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21 A1, 8 A1/A2, 3 C1, 4 C1/C2, 1 APF 01-01</w:t>
            </w:r>
          </w:p>
        </w:tc>
        <w:tc>
          <w:tcPr>
            <w:tcW w:w="657" w:type="pct"/>
            <w:tcBorders>
              <w:top w:val="nil"/>
              <w:left w:val="single" w:sz="8" w:space="0" w:color="000000"/>
              <w:bottom w:val="single" w:sz="8" w:space="0" w:color="000000"/>
              <w:right w:val="nil"/>
            </w:tcBorders>
            <w:vAlign w:val="center"/>
            <w:hideMark/>
          </w:tcPr>
          <w:p w14:paraId="3958227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w:t>
            </w:r>
          </w:p>
        </w:tc>
        <w:tc>
          <w:tcPr>
            <w:tcW w:w="728" w:type="pct"/>
            <w:tcBorders>
              <w:top w:val="nil"/>
              <w:left w:val="single" w:sz="8" w:space="0" w:color="000000"/>
              <w:bottom w:val="single" w:sz="8" w:space="0" w:color="000000"/>
              <w:right w:val="single" w:sz="12" w:space="0" w:color="000000"/>
            </w:tcBorders>
            <w:vAlign w:val="center"/>
            <w:hideMark/>
          </w:tcPr>
          <w:p w14:paraId="052E6847"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 A1</w:t>
            </w:r>
          </w:p>
        </w:tc>
        <w:tc>
          <w:tcPr>
            <w:tcW w:w="93" w:type="pct"/>
            <w:vAlign w:val="center"/>
            <w:hideMark/>
          </w:tcPr>
          <w:p w14:paraId="60631EBE" w14:textId="77777777" w:rsidR="003B28A6" w:rsidRDefault="003B28A6">
            <w:pPr>
              <w:rPr>
                <w:rFonts w:ascii="Arial" w:eastAsia="Times New Roman" w:hAnsi="Arial" w:cs="Arial"/>
                <w:color w:val="000000"/>
                <w:sz w:val="18"/>
                <w:szCs w:val="18"/>
                <w:lang w:eastAsia="es-ES"/>
              </w:rPr>
            </w:pPr>
          </w:p>
        </w:tc>
      </w:tr>
      <w:tr w:rsidR="003B28A6" w14:paraId="46CCD9FC" w14:textId="77777777" w:rsidTr="003B28A6">
        <w:trPr>
          <w:trHeight w:val="543"/>
        </w:trPr>
        <w:tc>
          <w:tcPr>
            <w:tcW w:w="0" w:type="auto"/>
            <w:vMerge/>
            <w:tcBorders>
              <w:top w:val="nil"/>
              <w:left w:val="single" w:sz="12" w:space="0" w:color="000000"/>
              <w:bottom w:val="single" w:sz="12" w:space="0" w:color="000000"/>
              <w:right w:val="single" w:sz="8" w:space="0" w:color="000000"/>
            </w:tcBorders>
            <w:vAlign w:val="center"/>
            <w:hideMark/>
          </w:tcPr>
          <w:p w14:paraId="5B4C25D0" w14:textId="77777777" w:rsidR="003B28A6" w:rsidRDefault="003B28A6">
            <w:pPr>
              <w:spacing w:after="0"/>
              <w:rPr>
                <w:rFonts w:ascii="Arial" w:eastAsia="Times New Roman" w:hAnsi="Arial" w:cs="Arial"/>
                <w:b/>
                <w:bCs/>
                <w:color w:val="000000"/>
                <w:sz w:val="18"/>
                <w:szCs w:val="18"/>
                <w:lang w:eastAsia="es-ES"/>
              </w:rPr>
            </w:pPr>
          </w:p>
        </w:tc>
        <w:tc>
          <w:tcPr>
            <w:tcW w:w="631" w:type="pct"/>
            <w:tcBorders>
              <w:top w:val="nil"/>
              <w:left w:val="nil"/>
              <w:bottom w:val="single" w:sz="12" w:space="0" w:color="000000"/>
              <w:right w:val="nil"/>
            </w:tcBorders>
            <w:vAlign w:val="center"/>
            <w:hideMark/>
          </w:tcPr>
          <w:p w14:paraId="13538E88"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31/12/2020</w:t>
            </w:r>
          </w:p>
        </w:tc>
        <w:tc>
          <w:tcPr>
            <w:tcW w:w="765" w:type="pct"/>
            <w:tcBorders>
              <w:top w:val="nil"/>
              <w:left w:val="single" w:sz="8" w:space="0" w:color="000000"/>
              <w:bottom w:val="single" w:sz="12" w:space="0" w:color="000000"/>
              <w:right w:val="nil"/>
            </w:tcBorders>
            <w:vAlign w:val="center"/>
            <w:hideMark/>
          </w:tcPr>
          <w:p w14:paraId="078FB573"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47</w:t>
            </w:r>
          </w:p>
        </w:tc>
        <w:tc>
          <w:tcPr>
            <w:tcW w:w="1067" w:type="pct"/>
            <w:tcBorders>
              <w:top w:val="nil"/>
              <w:left w:val="single" w:sz="8" w:space="0" w:color="000000"/>
              <w:bottom w:val="single" w:sz="12" w:space="0" w:color="000000"/>
              <w:right w:val="nil"/>
            </w:tcBorders>
            <w:vAlign w:val="center"/>
            <w:hideMark/>
          </w:tcPr>
          <w:p w14:paraId="2F30BF8A"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28 A1, 8 A1/A2, 4 C1, 7 C1/C2</w:t>
            </w:r>
          </w:p>
        </w:tc>
        <w:tc>
          <w:tcPr>
            <w:tcW w:w="657" w:type="pct"/>
            <w:tcBorders>
              <w:top w:val="nil"/>
              <w:left w:val="single" w:sz="8" w:space="0" w:color="000000"/>
              <w:bottom w:val="single" w:sz="12" w:space="0" w:color="000000"/>
              <w:right w:val="nil"/>
            </w:tcBorders>
            <w:vAlign w:val="center"/>
            <w:hideMark/>
          </w:tcPr>
          <w:p w14:paraId="7C30E4E6" w14:textId="77777777" w:rsidR="003B28A6" w:rsidRDefault="003B28A6">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36</w:t>
            </w:r>
          </w:p>
        </w:tc>
        <w:tc>
          <w:tcPr>
            <w:tcW w:w="728" w:type="pct"/>
            <w:tcBorders>
              <w:top w:val="nil"/>
              <w:left w:val="single" w:sz="8" w:space="0" w:color="000000"/>
              <w:bottom w:val="single" w:sz="12" w:space="0" w:color="000000"/>
              <w:right w:val="single" w:sz="12" w:space="0" w:color="000000"/>
            </w:tcBorders>
            <w:vAlign w:val="center"/>
            <w:hideMark/>
          </w:tcPr>
          <w:p w14:paraId="7ACA4E9A"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 A1, 1 A1/A2, 1 C1, 3 C1/C2</w:t>
            </w:r>
          </w:p>
        </w:tc>
        <w:tc>
          <w:tcPr>
            <w:tcW w:w="93" w:type="pct"/>
            <w:vAlign w:val="center"/>
            <w:hideMark/>
          </w:tcPr>
          <w:p w14:paraId="3E365E4F" w14:textId="77777777" w:rsidR="003B28A6" w:rsidRDefault="003B28A6">
            <w:pPr>
              <w:rPr>
                <w:rFonts w:ascii="Arial" w:eastAsia="Times New Roman" w:hAnsi="Arial" w:cs="Arial"/>
                <w:color w:val="000000"/>
                <w:sz w:val="18"/>
                <w:szCs w:val="18"/>
                <w:lang w:eastAsia="es-ES"/>
              </w:rPr>
            </w:pPr>
          </w:p>
        </w:tc>
      </w:tr>
    </w:tbl>
    <w:p w14:paraId="3BD377DB" w14:textId="77777777" w:rsidR="003B28A6" w:rsidRDefault="003B28A6" w:rsidP="003B28A6">
      <w:pPr>
        <w:spacing w:after="240" w:line="276" w:lineRule="auto"/>
        <w:jc w:val="both"/>
        <w:rPr>
          <w:rFonts w:ascii="Arial" w:eastAsia="Droid Sans Fallback" w:hAnsi="Arial" w:cs="Arial"/>
          <w:kern w:val="3"/>
          <w:sz w:val="14"/>
          <w:szCs w:val="14"/>
          <w:lang w:eastAsia="zh-CN" w:bidi="hi-IN"/>
        </w:rPr>
      </w:pPr>
    </w:p>
    <w:p w14:paraId="3AA9E832" w14:textId="77777777" w:rsidR="003B28A6" w:rsidRDefault="003B28A6" w:rsidP="00B22DC2">
      <w:pPr>
        <w:spacing w:after="240" w:line="276" w:lineRule="auto"/>
        <w:jc w:val="both"/>
        <w:rPr>
          <w:rFonts w:ascii="Arial" w:eastAsia="Droid Sans Fallback" w:hAnsi="Arial" w:cs="Arial"/>
          <w:kern w:val="3"/>
          <w:sz w:val="21"/>
          <w:szCs w:val="21"/>
          <w:lang w:eastAsia="zh-CN" w:bidi="hi-IN"/>
        </w:rPr>
      </w:pPr>
      <w:r>
        <w:rPr>
          <w:rFonts w:ascii="Arial" w:eastAsia="Droid Sans Fallback" w:hAnsi="Arial" w:cs="Arial"/>
          <w:kern w:val="3"/>
          <w:sz w:val="21"/>
          <w:szCs w:val="21"/>
          <w:lang w:eastAsia="zh-CN" w:bidi="hi-IN"/>
        </w:rPr>
        <w:t>Los datos permiten ofrecer los siguientes gráficos indicativos del número de puestos atendiendo a su clasificación según subgrupo y del porcentaje del grado de ocupación de los puestos de trabajo de la Agencia según puestos de trabajo, así como las vacantes.</w:t>
      </w:r>
    </w:p>
    <w:p w14:paraId="591E9EA4" w14:textId="77777777" w:rsidR="00B22DC2" w:rsidRDefault="003B28A6" w:rsidP="00B22DC2">
      <w:pPr>
        <w:keepNext/>
        <w:jc w:val="both"/>
      </w:pPr>
      <w:r>
        <w:rPr>
          <w:rFonts w:ascii="Arial" w:hAnsi="Arial" w:cs="Arial"/>
          <w:noProof/>
        </w:rPr>
        <w:drawing>
          <wp:inline distT="0" distB="0" distL="0" distR="0" wp14:anchorId="1387C47D" wp14:editId="17986923">
            <wp:extent cx="5400675" cy="3575714"/>
            <wp:effectExtent l="0" t="0" r="0" b="5715"/>
            <wp:docPr id="42" name="Gráfico 42">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233DA5A0" w14:textId="6B9A796A" w:rsidR="003B28A6" w:rsidRPr="00B22DC2" w:rsidRDefault="00B22DC2" w:rsidP="00B22DC2">
      <w:pPr>
        <w:pStyle w:val="Descripcin"/>
        <w:jc w:val="center"/>
        <w:rPr>
          <w:rFonts w:ascii="Arial" w:hAnsi="Arial" w:cs="Arial"/>
          <w:smallCaps w:val="0"/>
          <w:sz w:val="16"/>
        </w:rPr>
      </w:pPr>
      <w:bookmarkStart w:id="310" w:name="_Toc67646422"/>
      <w:r w:rsidRPr="00B22DC2">
        <w:rPr>
          <w:rFonts w:ascii="Arial" w:hAnsi="Arial" w:cs="Arial"/>
          <w:smallCaps w:val="0"/>
          <w:color w:val="9D2235" w:themeColor="accent1"/>
          <w:sz w:val="16"/>
        </w:rPr>
        <w:t xml:space="preserve">Gráfico </w:t>
      </w:r>
      <w:r w:rsidRPr="00B22DC2">
        <w:rPr>
          <w:rFonts w:ascii="Arial" w:hAnsi="Arial" w:cs="Arial"/>
          <w:smallCaps w:val="0"/>
          <w:color w:val="9D2235" w:themeColor="accent1"/>
          <w:sz w:val="16"/>
        </w:rPr>
        <w:fldChar w:fldCharType="begin"/>
      </w:r>
      <w:r w:rsidRPr="00B22DC2">
        <w:rPr>
          <w:rFonts w:ascii="Arial" w:hAnsi="Arial" w:cs="Arial"/>
          <w:smallCaps w:val="0"/>
          <w:color w:val="9D2235" w:themeColor="accent1"/>
          <w:sz w:val="16"/>
        </w:rPr>
        <w:instrText xml:space="preserve"> SEQ Gráfico \* ARABIC </w:instrText>
      </w:r>
      <w:r w:rsidRPr="00B22DC2">
        <w:rPr>
          <w:rFonts w:ascii="Arial" w:hAnsi="Arial" w:cs="Arial"/>
          <w:smallCaps w:val="0"/>
          <w:color w:val="9D2235" w:themeColor="accent1"/>
          <w:sz w:val="16"/>
        </w:rPr>
        <w:fldChar w:fldCharType="separate"/>
      </w:r>
      <w:r w:rsidR="00000D1F">
        <w:rPr>
          <w:rFonts w:ascii="Arial" w:hAnsi="Arial" w:cs="Arial"/>
          <w:smallCaps w:val="0"/>
          <w:noProof/>
          <w:color w:val="9D2235" w:themeColor="accent1"/>
          <w:sz w:val="16"/>
        </w:rPr>
        <w:t>26</w:t>
      </w:r>
      <w:r w:rsidRPr="00B22DC2">
        <w:rPr>
          <w:rFonts w:ascii="Arial" w:hAnsi="Arial" w:cs="Arial"/>
          <w:smallCaps w:val="0"/>
          <w:color w:val="9D2235" w:themeColor="accent1"/>
          <w:sz w:val="16"/>
        </w:rPr>
        <w:fldChar w:fldCharType="end"/>
      </w:r>
      <w:r w:rsidRPr="00B22DC2">
        <w:rPr>
          <w:rFonts w:ascii="Arial" w:hAnsi="Arial" w:cs="Arial"/>
          <w:smallCaps w:val="0"/>
          <w:sz w:val="16"/>
        </w:rPr>
        <w:t>. Clasificación y número de puestos de trabajo por subgrupo</w:t>
      </w:r>
      <w:bookmarkEnd w:id="310"/>
    </w:p>
    <w:p w14:paraId="3AC36F31" w14:textId="3B701291" w:rsidR="003B28A6" w:rsidRDefault="003B28A6" w:rsidP="003B28A6">
      <w:pPr>
        <w:keepNext/>
        <w:jc w:val="both"/>
      </w:pPr>
      <w:r>
        <w:rPr>
          <w:rFonts w:ascii="Arial" w:hAnsi="Arial" w:cs="Arial"/>
          <w:noProof/>
        </w:rPr>
        <w:drawing>
          <wp:inline distT="0" distB="0" distL="0" distR="0" wp14:anchorId="5A89A488" wp14:editId="38AD760A">
            <wp:extent cx="5410200" cy="3645725"/>
            <wp:effectExtent l="0" t="0" r="0" b="12065"/>
            <wp:docPr id="41" name="Gráfico 41">
              <a:extLst xmlns:a="http://schemas.openxmlformats.org/drawingml/2006/main">
                <a:ext uri="{FF2B5EF4-FFF2-40B4-BE49-F238E27FC236}">
                  <a16:creationId xmlns:a16="http://schemas.microsoft.com/office/drawing/2014/main" id="{A92268EF-C287-4435-BDF3-896C39C3F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768D6BE9" w14:textId="19CCD011" w:rsidR="003B28A6" w:rsidRPr="00B22DC2" w:rsidRDefault="003B28A6" w:rsidP="003B28A6">
      <w:pPr>
        <w:pStyle w:val="Descripcin"/>
        <w:jc w:val="center"/>
        <w:rPr>
          <w:rFonts w:ascii="Arial" w:hAnsi="Arial" w:cs="Arial"/>
          <w:smallCaps w:val="0"/>
          <w:sz w:val="16"/>
        </w:rPr>
      </w:pPr>
      <w:bookmarkStart w:id="311" w:name="_Toc66443908"/>
      <w:bookmarkStart w:id="312" w:name="_Toc67646423"/>
      <w:r w:rsidRPr="00B22DC2">
        <w:rPr>
          <w:rFonts w:ascii="Arial" w:hAnsi="Arial" w:cs="Arial"/>
          <w:smallCaps w:val="0"/>
          <w:color w:val="9D2235" w:themeColor="accent1"/>
          <w:sz w:val="16"/>
        </w:rPr>
        <w:t xml:space="preserve">Gráfico </w:t>
      </w:r>
      <w:r w:rsidRPr="00B22DC2">
        <w:rPr>
          <w:rFonts w:ascii="Arial" w:hAnsi="Arial" w:cs="Arial"/>
          <w:smallCaps w:val="0"/>
          <w:sz w:val="16"/>
        </w:rPr>
        <w:fldChar w:fldCharType="begin"/>
      </w:r>
      <w:r w:rsidRPr="00B22DC2">
        <w:rPr>
          <w:rFonts w:ascii="Arial" w:hAnsi="Arial" w:cs="Arial"/>
          <w:smallCaps w:val="0"/>
          <w:color w:val="9D2235" w:themeColor="accent1"/>
          <w:sz w:val="16"/>
        </w:rPr>
        <w:instrText xml:space="preserve"> SEQ Gráfico \* ARABIC </w:instrText>
      </w:r>
      <w:r w:rsidRPr="00B22DC2">
        <w:rPr>
          <w:rFonts w:ascii="Arial" w:hAnsi="Arial" w:cs="Arial"/>
          <w:smallCaps w:val="0"/>
          <w:sz w:val="16"/>
        </w:rPr>
        <w:fldChar w:fldCharType="separate"/>
      </w:r>
      <w:r w:rsidR="00000D1F">
        <w:rPr>
          <w:rFonts w:ascii="Arial" w:hAnsi="Arial" w:cs="Arial"/>
          <w:smallCaps w:val="0"/>
          <w:noProof/>
          <w:color w:val="9D2235" w:themeColor="accent1"/>
          <w:sz w:val="16"/>
        </w:rPr>
        <w:t>27</w:t>
      </w:r>
      <w:r w:rsidRPr="00B22DC2">
        <w:rPr>
          <w:rFonts w:ascii="Arial" w:hAnsi="Arial" w:cs="Arial"/>
          <w:smallCaps w:val="0"/>
          <w:sz w:val="16"/>
        </w:rPr>
        <w:fldChar w:fldCharType="end"/>
      </w:r>
      <w:r w:rsidRPr="00B22DC2">
        <w:rPr>
          <w:rFonts w:ascii="Arial" w:hAnsi="Arial" w:cs="Arial"/>
          <w:smallCaps w:val="0"/>
          <w:color w:val="9D2235" w:themeColor="accent1"/>
          <w:sz w:val="16"/>
        </w:rPr>
        <w:t xml:space="preserve">: </w:t>
      </w:r>
      <w:r w:rsidRPr="00B22DC2">
        <w:rPr>
          <w:rFonts w:ascii="Arial" w:hAnsi="Arial" w:cs="Arial"/>
          <w:smallCaps w:val="0"/>
          <w:sz w:val="16"/>
        </w:rPr>
        <w:t>Grado de ocupación de los puestos de trabajo de la Agencia a 31/12/2017</w:t>
      </w:r>
      <w:bookmarkEnd w:id="311"/>
      <w:bookmarkEnd w:id="312"/>
    </w:p>
    <w:p w14:paraId="2A71C3EE" w14:textId="77777777" w:rsidR="003B28A6" w:rsidRDefault="003B28A6" w:rsidP="003B28A6"/>
    <w:p w14:paraId="697645B8" w14:textId="630DC2E7" w:rsidR="003B28A6" w:rsidRDefault="003B28A6" w:rsidP="003B28A6">
      <w:pPr>
        <w:keepNext/>
        <w:jc w:val="both"/>
      </w:pPr>
      <w:r>
        <w:rPr>
          <w:noProof/>
        </w:rPr>
        <w:drawing>
          <wp:inline distT="0" distB="0" distL="0" distR="0" wp14:anchorId="6D79ED4A" wp14:editId="04133AEA">
            <wp:extent cx="5410200" cy="3752603"/>
            <wp:effectExtent l="0" t="0" r="0" b="635"/>
            <wp:docPr id="40" name="Gráfico 40">
              <a:extLst xmlns:a="http://schemas.openxmlformats.org/drawingml/2006/main">
                <a:ext uri="{FF2B5EF4-FFF2-40B4-BE49-F238E27FC236}">
                  <a16:creationId xmlns:a16="http://schemas.microsoft.com/office/drawing/2014/main" id="{BC65A17C-C2DB-47D5-894C-B8E399166B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795D8FE3" w14:textId="1624921B" w:rsidR="003B28A6" w:rsidRPr="003B0C74" w:rsidRDefault="003B28A6" w:rsidP="003B28A6">
      <w:pPr>
        <w:pStyle w:val="Descripcin"/>
        <w:jc w:val="center"/>
        <w:rPr>
          <w:rFonts w:ascii="Arial" w:eastAsia="Droid Sans Fallback" w:hAnsi="Arial" w:cs="Arial"/>
          <w:smallCaps w:val="0"/>
          <w:kern w:val="3"/>
          <w:sz w:val="16"/>
          <w:szCs w:val="16"/>
          <w:lang w:eastAsia="zh-CN" w:bidi="hi-IN"/>
        </w:rPr>
      </w:pPr>
      <w:bookmarkStart w:id="313" w:name="_Toc66443909"/>
      <w:bookmarkStart w:id="314" w:name="_Toc67646424"/>
      <w:r w:rsidRPr="003B0C74">
        <w:rPr>
          <w:rFonts w:ascii="Arial" w:hAnsi="Arial" w:cs="Arial"/>
          <w:smallCaps w:val="0"/>
          <w:color w:val="9D2235" w:themeColor="accent1"/>
          <w:sz w:val="16"/>
          <w:szCs w:val="16"/>
        </w:rPr>
        <w:t xml:space="preserve">Gráfico </w:t>
      </w:r>
      <w:r w:rsidRPr="003B0C74">
        <w:rPr>
          <w:rFonts w:ascii="Arial" w:hAnsi="Arial" w:cs="Arial"/>
          <w:smallCaps w:val="0"/>
          <w:sz w:val="16"/>
        </w:rPr>
        <w:fldChar w:fldCharType="begin"/>
      </w:r>
      <w:r w:rsidRPr="003B0C74">
        <w:rPr>
          <w:rFonts w:ascii="Arial" w:hAnsi="Arial" w:cs="Arial"/>
          <w:smallCaps w:val="0"/>
          <w:color w:val="9D2235" w:themeColor="accent1"/>
          <w:sz w:val="16"/>
          <w:szCs w:val="16"/>
        </w:rPr>
        <w:instrText xml:space="preserve"> SEQ Gráfico \* ARABIC </w:instrText>
      </w:r>
      <w:r w:rsidRPr="003B0C74">
        <w:rPr>
          <w:rFonts w:ascii="Arial" w:hAnsi="Arial" w:cs="Arial"/>
          <w:smallCaps w:val="0"/>
          <w:sz w:val="16"/>
        </w:rPr>
        <w:fldChar w:fldCharType="separate"/>
      </w:r>
      <w:r w:rsidR="00000D1F">
        <w:rPr>
          <w:rFonts w:ascii="Arial" w:hAnsi="Arial" w:cs="Arial"/>
          <w:smallCaps w:val="0"/>
          <w:noProof/>
          <w:color w:val="9D2235" w:themeColor="accent1"/>
          <w:sz w:val="16"/>
          <w:szCs w:val="16"/>
        </w:rPr>
        <w:t>28</w:t>
      </w:r>
      <w:r w:rsidRPr="003B0C74">
        <w:rPr>
          <w:rFonts w:ascii="Arial" w:hAnsi="Arial" w:cs="Arial"/>
          <w:smallCaps w:val="0"/>
          <w:sz w:val="16"/>
        </w:rPr>
        <w:fldChar w:fldCharType="end"/>
      </w:r>
      <w:r w:rsidRPr="003B0C74">
        <w:rPr>
          <w:rFonts w:ascii="Arial" w:hAnsi="Arial" w:cs="Arial"/>
          <w:smallCaps w:val="0"/>
          <w:color w:val="9D2235" w:themeColor="accent1"/>
          <w:sz w:val="16"/>
          <w:szCs w:val="16"/>
        </w:rPr>
        <w:t xml:space="preserve">: </w:t>
      </w:r>
      <w:r w:rsidRPr="003B0C74">
        <w:rPr>
          <w:rFonts w:ascii="Arial" w:hAnsi="Arial" w:cs="Arial"/>
          <w:smallCaps w:val="0"/>
          <w:sz w:val="16"/>
          <w:szCs w:val="16"/>
        </w:rPr>
        <w:t>Grado de ocupación de los puestos de trabajo de la Agencia a 31/12/2018</w:t>
      </w:r>
      <w:bookmarkEnd w:id="313"/>
      <w:bookmarkEnd w:id="314"/>
    </w:p>
    <w:p w14:paraId="1565F4D3" w14:textId="76327228" w:rsidR="003B28A6" w:rsidRDefault="003B28A6" w:rsidP="003B28A6">
      <w:pPr>
        <w:keepNext/>
        <w:jc w:val="both"/>
      </w:pPr>
      <w:r>
        <w:rPr>
          <w:noProof/>
        </w:rPr>
        <w:drawing>
          <wp:inline distT="0" distB="0" distL="0" distR="0" wp14:anchorId="799121B2" wp14:editId="153BA576">
            <wp:extent cx="5295900" cy="3667125"/>
            <wp:effectExtent l="0" t="0" r="0" b="9525"/>
            <wp:docPr id="39" name="Gráfico 39">
              <a:extLst xmlns:a="http://schemas.openxmlformats.org/drawingml/2006/main">
                <a:ext uri="{FF2B5EF4-FFF2-40B4-BE49-F238E27FC236}">
                  <a16:creationId xmlns:a16="http://schemas.microsoft.com/office/drawing/2014/main" id="{FA87E57C-47A2-472F-9F45-F35CE2DF13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036DF1C9" w14:textId="516025E1" w:rsidR="003B28A6" w:rsidRPr="003B0C74" w:rsidRDefault="003B28A6" w:rsidP="003B28A6">
      <w:pPr>
        <w:pStyle w:val="Descripcin"/>
        <w:jc w:val="center"/>
        <w:rPr>
          <w:rFonts w:ascii="Arial" w:hAnsi="Arial" w:cs="Arial"/>
          <w:smallCaps w:val="0"/>
          <w:sz w:val="16"/>
        </w:rPr>
      </w:pPr>
      <w:bookmarkStart w:id="315" w:name="_Toc66443910"/>
      <w:bookmarkStart w:id="316" w:name="_Toc67646425"/>
      <w:r w:rsidRPr="003B0C74">
        <w:rPr>
          <w:rFonts w:ascii="Arial" w:hAnsi="Arial" w:cs="Arial"/>
          <w:smallCaps w:val="0"/>
          <w:color w:val="9D2235" w:themeColor="accent1"/>
          <w:sz w:val="16"/>
        </w:rPr>
        <w:t xml:space="preserve">Gráfico </w:t>
      </w:r>
      <w:r w:rsidRPr="003B0C74">
        <w:rPr>
          <w:rFonts w:ascii="Arial" w:hAnsi="Arial" w:cs="Arial"/>
          <w:smallCaps w:val="0"/>
          <w:sz w:val="16"/>
        </w:rPr>
        <w:fldChar w:fldCharType="begin"/>
      </w:r>
      <w:r w:rsidRPr="003B0C74">
        <w:rPr>
          <w:rFonts w:ascii="Arial" w:hAnsi="Arial" w:cs="Arial"/>
          <w:smallCaps w:val="0"/>
          <w:color w:val="9D2235" w:themeColor="accent1"/>
          <w:sz w:val="16"/>
        </w:rPr>
        <w:instrText xml:space="preserve"> SEQ Gráfico \* ARABIC </w:instrText>
      </w:r>
      <w:r w:rsidRPr="003B0C74">
        <w:rPr>
          <w:rFonts w:ascii="Arial" w:hAnsi="Arial" w:cs="Arial"/>
          <w:smallCaps w:val="0"/>
          <w:sz w:val="16"/>
        </w:rPr>
        <w:fldChar w:fldCharType="separate"/>
      </w:r>
      <w:r w:rsidR="00000D1F">
        <w:rPr>
          <w:rFonts w:ascii="Arial" w:hAnsi="Arial" w:cs="Arial"/>
          <w:smallCaps w:val="0"/>
          <w:noProof/>
          <w:color w:val="9D2235" w:themeColor="accent1"/>
          <w:sz w:val="16"/>
        </w:rPr>
        <w:t>29</w:t>
      </w:r>
      <w:r w:rsidRPr="003B0C74">
        <w:rPr>
          <w:rFonts w:ascii="Arial" w:hAnsi="Arial" w:cs="Arial"/>
          <w:smallCaps w:val="0"/>
          <w:sz w:val="16"/>
        </w:rPr>
        <w:fldChar w:fldCharType="end"/>
      </w:r>
      <w:r w:rsidRPr="003B0C74">
        <w:rPr>
          <w:rFonts w:ascii="Arial" w:hAnsi="Arial" w:cs="Arial"/>
          <w:smallCaps w:val="0"/>
          <w:sz w:val="16"/>
        </w:rPr>
        <w:t>: Grado de ocupación de los puestos de trabajo de la Agencia a 31/12/2019</w:t>
      </w:r>
      <w:bookmarkEnd w:id="315"/>
      <w:bookmarkEnd w:id="316"/>
    </w:p>
    <w:p w14:paraId="2BE1692A" w14:textId="77777777" w:rsidR="003B28A6" w:rsidRDefault="003B28A6" w:rsidP="003B28A6"/>
    <w:p w14:paraId="018C2C21" w14:textId="276797F5" w:rsidR="003B28A6" w:rsidRDefault="003B28A6" w:rsidP="003B28A6">
      <w:pPr>
        <w:keepNext/>
        <w:jc w:val="both"/>
      </w:pPr>
      <w:r>
        <w:rPr>
          <w:noProof/>
        </w:rPr>
        <w:drawing>
          <wp:inline distT="0" distB="0" distL="0" distR="0" wp14:anchorId="4FC6A692" wp14:editId="2C476387">
            <wp:extent cx="5410200" cy="3733800"/>
            <wp:effectExtent l="0" t="0" r="0" b="0"/>
            <wp:docPr id="38" name="Gráfico 38">
              <a:extLst xmlns:a="http://schemas.openxmlformats.org/drawingml/2006/main">
                <a:ext uri="{FF2B5EF4-FFF2-40B4-BE49-F238E27FC236}">
                  <a16:creationId xmlns:a16="http://schemas.microsoft.com/office/drawing/2014/main" id="{3878D751-0991-48EA-A802-68BBB2190C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7985A67B" w14:textId="2F33ECCE" w:rsidR="003B28A6" w:rsidRPr="003B0C74" w:rsidRDefault="003B28A6" w:rsidP="003B28A6">
      <w:pPr>
        <w:pStyle w:val="Descripcin"/>
        <w:jc w:val="center"/>
        <w:rPr>
          <w:rFonts w:ascii="Arial" w:eastAsia="Droid Sans Fallback" w:hAnsi="Arial" w:cs="Arial"/>
          <w:smallCaps w:val="0"/>
          <w:kern w:val="3"/>
          <w:sz w:val="16"/>
          <w:szCs w:val="16"/>
          <w:lang w:eastAsia="zh-CN" w:bidi="hi-IN"/>
        </w:rPr>
      </w:pPr>
      <w:bookmarkStart w:id="317" w:name="_Toc66443911"/>
      <w:bookmarkStart w:id="318" w:name="_Toc67646426"/>
      <w:r w:rsidRPr="003B0C74">
        <w:rPr>
          <w:rFonts w:ascii="Arial" w:hAnsi="Arial" w:cs="Arial"/>
          <w:smallCaps w:val="0"/>
          <w:color w:val="9D2235" w:themeColor="accent1"/>
          <w:sz w:val="16"/>
          <w:szCs w:val="16"/>
        </w:rPr>
        <w:t xml:space="preserve">Gráfico </w:t>
      </w:r>
      <w:r w:rsidRPr="003B0C74">
        <w:rPr>
          <w:rFonts w:ascii="Arial" w:hAnsi="Arial" w:cs="Arial"/>
          <w:smallCaps w:val="0"/>
          <w:sz w:val="16"/>
        </w:rPr>
        <w:fldChar w:fldCharType="begin"/>
      </w:r>
      <w:r w:rsidRPr="003B0C74">
        <w:rPr>
          <w:rFonts w:ascii="Arial" w:hAnsi="Arial" w:cs="Arial"/>
          <w:smallCaps w:val="0"/>
          <w:color w:val="9D2235" w:themeColor="accent1"/>
          <w:sz w:val="16"/>
          <w:szCs w:val="16"/>
        </w:rPr>
        <w:instrText xml:space="preserve"> SEQ Gráfico \* ARABIC </w:instrText>
      </w:r>
      <w:r w:rsidRPr="003B0C74">
        <w:rPr>
          <w:rFonts w:ascii="Arial" w:hAnsi="Arial" w:cs="Arial"/>
          <w:smallCaps w:val="0"/>
          <w:sz w:val="16"/>
        </w:rPr>
        <w:fldChar w:fldCharType="separate"/>
      </w:r>
      <w:r w:rsidR="00000D1F">
        <w:rPr>
          <w:rFonts w:ascii="Arial" w:hAnsi="Arial" w:cs="Arial"/>
          <w:smallCaps w:val="0"/>
          <w:noProof/>
          <w:color w:val="9D2235" w:themeColor="accent1"/>
          <w:sz w:val="16"/>
          <w:szCs w:val="16"/>
        </w:rPr>
        <w:t>30</w:t>
      </w:r>
      <w:r w:rsidRPr="003B0C74">
        <w:rPr>
          <w:rFonts w:ascii="Arial" w:hAnsi="Arial" w:cs="Arial"/>
          <w:smallCaps w:val="0"/>
          <w:sz w:val="16"/>
        </w:rPr>
        <w:fldChar w:fldCharType="end"/>
      </w:r>
      <w:r w:rsidRPr="003B0C74">
        <w:rPr>
          <w:rFonts w:ascii="Arial" w:hAnsi="Arial" w:cs="Arial"/>
          <w:smallCaps w:val="0"/>
          <w:sz w:val="16"/>
          <w:szCs w:val="16"/>
        </w:rPr>
        <w:t>: Grado de ocupación de los puestos de trabajo de la Agencia a 31/12/2020</w:t>
      </w:r>
      <w:bookmarkEnd w:id="317"/>
      <w:bookmarkEnd w:id="318"/>
    </w:p>
    <w:p w14:paraId="1750BB3E" w14:textId="77777777" w:rsidR="003B28A6" w:rsidRDefault="003B28A6" w:rsidP="003B28A6">
      <w:pPr>
        <w:jc w:val="both"/>
        <w:rPr>
          <w:rFonts w:ascii="Arial" w:eastAsia="Droid Sans Fallback" w:hAnsi="Arial" w:cs="Arial"/>
          <w:kern w:val="3"/>
          <w:sz w:val="21"/>
          <w:szCs w:val="21"/>
          <w:lang w:eastAsia="zh-CN" w:bidi="hi-IN"/>
        </w:rPr>
      </w:pPr>
    </w:p>
    <w:p w14:paraId="0F2BF099" w14:textId="13A3C451" w:rsidR="003B28A6" w:rsidRDefault="003B28A6" w:rsidP="003B28A6">
      <w:pPr>
        <w:keepNext/>
        <w:jc w:val="both"/>
      </w:pPr>
      <w:r>
        <w:rPr>
          <w:rFonts w:ascii="Arial" w:hAnsi="Arial" w:cs="Arial"/>
          <w:noProof/>
        </w:rPr>
        <w:drawing>
          <wp:inline distT="0" distB="0" distL="0" distR="0" wp14:anchorId="12F10117" wp14:editId="49C20CB5">
            <wp:extent cx="5410200" cy="3381375"/>
            <wp:effectExtent l="0" t="0" r="0" b="9525"/>
            <wp:docPr id="37" name="Gráfico 3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14:paraId="23B9E477" w14:textId="2D4C91A7" w:rsidR="003B28A6" w:rsidRPr="003B0C74" w:rsidRDefault="003B28A6" w:rsidP="003B28A6">
      <w:pPr>
        <w:pStyle w:val="Descripcin"/>
        <w:jc w:val="center"/>
        <w:rPr>
          <w:rFonts w:ascii="Arial" w:eastAsia="Droid Sans Fallback" w:hAnsi="Arial" w:cs="Arial"/>
          <w:smallCaps w:val="0"/>
          <w:kern w:val="3"/>
          <w:sz w:val="16"/>
          <w:szCs w:val="16"/>
          <w:lang w:eastAsia="zh-CN" w:bidi="hi-IN"/>
        </w:rPr>
      </w:pPr>
      <w:bookmarkStart w:id="319" w:name="_Toc66443912"/>
      <w:bookmarkStart w:id="320" w:name="_Toc67646427"/>
      <w:r w:rsidRPr="003B0C74">
        <w:rPr>
          <w:rFonts w:ascii="Arial" w:hAnsi="Arial" w:cs="Arial"/>
          <w:smallCaps w:val="0"/>
          <w:color w:val="9D2235" w:themeColor="accent1"/>
          <w:sz w:val="16"/>
          <w:szCs w:val="16"/>
        </w:rPr>
        <w:t xml:space="preserve">Gráfico </w:t>
      </w:r>
      <w:r w:rsidRPr="003B0C74">
        <w:rPr>
          <w:rFonts w:ascii="Arial" w:hAnsi="Arial" w:cs="Arial"/>
          <w:smallCaps w:val="0"/>
          <w:sz w:val="16"/>
        </w:rPr>
        <w:fldChar w:fldCharType="begin"/>
      </w:r>
      <w:r w:rsidRPr="003B0C74">
        <w:rPr>
          <w:rFonts w:ascii="Arial" w:hAnsi="Arial" w:cs="Arial"/>
          <w:smallCaps w:val="0"/>
          <w:color w:val="9D2235" w:themeColor="accent1"/>
          <w:sz w:val="16"/>
          <w:szCs w:val="16"/>
        </w:rPr>
        <w:instrText xml:space="preserve"> SEQ Gráfico \* ARABIC </w:instrText>
      </w:r>
      <w:r w:rsidRPr="003B0C74">
        <w:rPr>
          <w:rFonts w:ascii="Arial" w:hAnsi="Arial" w:cs="Arial"/>
          <w:smallCaps w:val="0"/>
          <w:sz w:val="16"/>
        </w:rPr>
        <w:fldChar w:fldCharType="separate"/>
      </w:r>
      <w:r w:rsidR="00000D1F">
        <w:rPr>
          <w:rFonts w:ascii="Arial" w:hAnsi="Arial" w:cs="Arial"/>
          <w:smallCaps w:val="0"/>
          <w:noProof/>
          <w:color w:val="9D2235" w:themeColor="accent1"/>
          <w:sz w:val="16"/>
          <w:szCs w:val="16"/>
        </w:rPr>
        <w:t>31</w:t>
      </w:r>
      <w:r w:rsidRPr="003B0C74">
        <w:rPr>
          <w:rFonts w:ascii="Arial" w:hAnsi="Arial" w:cs="Arial"/>
          <w:smallCaps w:val="0"/>
          <w:sz w:val="16"/>
        </w:rPr>
        <w:fldChar w:fldCharType="end"/>
      </w:r>
      <w:r w:rsidRPr="003B0C74">
        <w:rPr>
          <w:rFonts w:ascii="Arial" w:hAnsi="Arial" w:cs="Arial"/>
          <w:smallCaps w:val="0"/>
          <w:sz w:val="16"/>
          <w:szCs w:val="16"/>
        </w:rPr>
        <w:t>: Comparativa ocupación de los puestos de trabajo de la Agencia a 31/12/2020. Ejercicios 2017, 2018, 2019 y 2020</w:t>
      </w:r>
      <w:bookmarkEnd w:id="319"/>
      <w:bookmarkEnd w:id="320"/>
    </w:p>
    <w:p w14:paraId="2D7E7CA1" w14:textId="77777777" w:rsidR="003B28A6" w:rsidRDefault="003B28A6" w:rsidP="003B28A6">
      <w:pPr>
        <w:jc w:val="both"/>
        <w:rPr>
          <w:rFonts w:ascii="Arial" w:eastAsia="Droid Sans Fallback" w:hAnsi="Arial" w:cs="Arial"/>
          <w:kern w:val="3"/>
          <w:sz w:val="21"/>
          <w:szCs w:val="21"/>
          <w:lang w:eastAsia="zh-CN" w:bidi="hi-IN"/>
        </w:rPr>
      </w:pPr>
    </w:p>
    <w:p w14:paraId="687FE655" w14:textId="4C353A89" w:rsidR="003B28A6" w:rsidRDefault="003B28A6" w:rsidP="003B28A6">
      <w:pPr>
        <w:jc w:val="both"/>
        <w:rPr>
          <w:rFonts w:ascii="Arial" w:eastAsia="Droid Sans Fallback" w:hAnsi="Arial" w:cs="Arial"/>
          <w:kern w:val="3"/>
          <w:sz w:val="21"/>
          <w:szCs w:val="21"/>
          <w:lang w:eastAsia="zh-CN" w:bidi="hi-IN"/>
        </w:rPr>
      </w:pPr>
      <w:r>
        <w:rPr>
          <w:rFonts w:ascii="Arial" w:eastAsia="Droid Sans Fallback" w:hAnsi="Arial" w:cs="Arial"/>
          <w:kern w:val="3"/>
          <w:sz w:val="21"/>
          <w:szCs w:val="21"/>
          <w:lang w:eastAsia="zh-CN" w:bidi="hi-IN"/>
        </w:rPr>
        <w:t xml:space="preserve">Asimismo, teniendo en cuenta que uno de los rasgos singulares de esta Agencia, en cuanto a su personal, es </w:t>
      </w:r>
      <w:r w:rsidRPr="00F41DFF">
        <w:rPr>
          <w:rFonts w:ascii="Arial" w:eastAsia="Droid Sans Fallback" w:hAnsi="Arial" w:cs="Arial"/>
          <w:kern w:val="3"/>
          <w:sz w:val="21"/>
          <w:szCs w:val="21"/>
          <w:lang w:eastAsia="zh-CN" w:bidi="hi-IN"/>
        </w:rPr>
        <w:t xml:space="preserve">que a </w:t>
      </w:r>
      <w:r w:rsidR="00A928E2" w:rsidRPr="00F41DFF">
        <w:rPr>
          <w:rFonts w:ascii="Arial" w:eastAsia="Droid Sans Fallback" w:hAnsi="Arial" w:cs="Arial"/>
          <w:kern w:val="3"/>
          <w:sz w:val="21"/>
          <w:szCs w:val="21"/>
          <w:lang w:eastAsia="zh-CN" w:bidi="hi-IN"/>
        </w:rPr>
        <w:t>e</w:t>
      </w:r>
      <w:r w:rsidRPr="00F41DFF">
        <w:rPr>
          <w:rFonts w:ascii="Arial" w:eastAsia="Droid Sans Fallback" w:hAnsi="Arial" w:cs="Arial"/>
          <w:kern w:val="3"/>
          <w:sz w:val="21"/>
          <w:szCs w:val="21"/>
          <w:lang w:eastAsia="zh-CN" w:bidi="hi-IN"/>
        </w:rPr>
        <w:t>sta acced</w:t>
      </w:r>
      <w:r>
        <w:rPr>
          <w:rFonts w:ascii="Arial" w:eastAsia="Droid Sans Fallback" w:hAnsi="Arial" w:cs="Arial"/>
          <w:kern w:val="3"/>
          <w:sz w:val="21"/>
          <w:szCs w:val="21"/>
          <w:lang w:eastAsia="zh-CN" w:bidi="hi-IN"/>
        </w:rPr>
        <w:t>en funcionarios y funcionarias de carrera de otras administraciones públicas, interesa destacar la procedencia de los que a 31/12/2020 forman parte de la AVAF, tal y como se describe en el cuadro siguiente:</w:t>
      </w:r>
    </w:p>
    <w:p w14:paraId="0DB42D6A" w14:textId="05A49A66" w:rsidR="003B28A6" w:rsidRPr="003B0C74" w:rsidRDefault="003B28A6" w:rsidP="003B28A6">
      <w:pPr>
        <w:pStyle w:val="Descripcin"/>
        <w:keepNext/>
        <w:rPr>
          <w:rFonts w:ascii="Arial" w:hAnsi="Arial" w:cs="Arial"/>
          <w:smallCaps w:val="0"/>
          <w:sz w:val="18"/>
          <w:szCs w:val="18"/>
        </w:rPr>
      </w:pPr>
      <w:bookmarkStart w:id="321" w:name="_Toc66443894"/>
      <w:bookmarkStart w:id="322" w:name="_Toc67646363"/>
      <w:r w:rsidRPr="003B0C74">
        <w:rPr>
          <w:rFonts w:ascii="Arial" w:hAnsi="Arial" w:cs="Arial"/>
          <w:smallCaps w:val="0"/>
          <w:color w:val="9D2235" w:themeColor="accent1"/>
          <w:sz w:val="18"/>
          <w:szCs w:val="18"/>
        </w:rPr>
        <w:t xml:space="preserve">Tabla </w:t>
      </w:r>
      <w:r w:rsidRPr="003B0C74">
        <w:rPr>
          <w:rFonts w:ascii="Arial" w:hAnsi="Arial" w:cs="Arial"/>
          <w:smallCaps w:val="0"/>
          <w:sz w:val="18"/>
        </w:rPr>
        <w:fldChar w:fldCharType="begin"/>
      </w:r>
      <w:r w:rsidRPr="003B0C74">
        <w:rPr>
          <w:rFonts w:ascii="Arial" w:hAnsi="Arial" w:cs="Arial"/>
          <w:smallCaps w:val="0"/>
          <w:color w:val="9D2235" w:themeColor="accent1"/>
          <w:sz w:val="18"/>
          <w:szCs w:val="18"/>
        </w:rPr>
        <w:instrText xml:space="preserve"> SEQ Tabla \* ARABIC </w:instrText>
      </w:r>
      <w:r w:rsidRPr="003B0C74">
        <w:rPr>
          <w:rFonts w:ascii="Arial" w:hAnsi="Arial" w:cs="Arial"/>
          <w:smallCaps w:val="0"/>
          <w:sz w:val="18"/>
        </w:rPr>
        <w:fldChar w:fldCharType="separate"/>
      </w:r>
      <w:r w:rsidR="00ED7F0D">
        <w:rPr>
          <w:rFonts w:ascii="Arial" w:hAnsi="Arial" w:cs="Arial"/>
          <w:smallCaps w:val="0"/>
          <w:noProof/>
          <w:color w:val="9D2235" w:themeColor="accent1"/>
          <w:sz w:val="18"/>
          <w:szCs w:val="18"/>
        </w:rPr>
        <w:t>26</w:t>
      </w:r>
      <w:r w:rsidRPr="003B0C74">
        <w:rPr>
          <w:rFonts w:ascii="Arial" w:hAnsi="Arial" w:cs="Arial"/>
          <w:smallCaps w:val="0"/>
          <w:sz w:val="18"/>
        </w:rPr>
        <w:fldChar w:fldCharType="end"/>
      </w:r>
      <w:r w:rsidRPr="003B0C74">
        <w:rPr>
          <w:rFonts w:ascii="Arial" w:hAnsi="Arial" w:cs="Arial"/>
          <w:smallCaps w:val="0"/>
          <w:color w:val="9D2235" w:themeColor="accent1"/>
          <w:sz w:val="18"/>
          <w:szCs w:val="18"/>
        </w:rPr>
        <w:t xml:space="preserve">: </w:t>
      </w:r>
      <w:r w:rsidRPr="003B0C74">
        <w:rPr>
          <w:rFonts w:ascii="Arial" w:hAnsi="Arial" w:cs="Arial"/>
          <w:smallCaps w:val="0"/>
          <w:sz w:val="18"/>
          <w:szCs w:val="18"/>
        </w:rPr>
        <w:t>Administración de origen de los funcionarios de la Agencia, según procedencia.</w:t>
      </w:r>
      <w:bookmarkEnd w:id="321"/>
      <w:bookmarkEnd w:id="322"/>
    </w:p>
    <w:tbl>
      <w:tblPr>
        <w:tblW w:w="4914" w:type="pct"/>
        <w:tblCellMar>
          <w:left w:w="70" w:type="dxa"/>
          <w:right w:w="70" w:type="dxa"/>
        </w:tblCellMar>
        <w:tblLook w:val="04A0" w:firstRow="1" w:lastRow="0" w:firstColumn="1" w:lastColumn="0" w:noHBand="0" w:noVBand="1"/>
      </w:tblPr>
      <w:tblGrid>
        <w:gridCol w:w="1227"/>
        <w:gridCol w:w="1162"/>
        <w:gridCol w:w="722"/>
        <w:gridCol w:w="722"/>
        <w:gridCol w:w="727"/>
        <w:gridCol w:w="727"/>
        <w:gridCol w:w="727"/>
        <w:gridCol w:w="727"/>
        <w:gridCol w:w="727"/>
        <w:gridCol w:w="724"/>
        <w:gridCol w:w="146"/>
      </w:tblGrid>
      <w:tr w:rsidR="003B28A6" w14:paraId="202705C2" w14:textId="77777777" w:rsidTr="003B28A6">
        <w:trPr>
          <w:gridAfter w:val="1"/>
          <w:trHeight w:val="1955"/>
        </w:trPr>
        <w:tc>
          <w:tcPr>
            <w:tcW w:w="1456" w:type="pct"/>
            <w:gridSpan w:val="2"/>
            <w:tcBorders>
              <w:top w:val="single" w:sz="8" w:space="0" w:color="000000"/>
              <w:left w:val="single" w:sz="8" w:space="0" w:color="000000"/>
              <w:bottom w:val="single" w:sz="8" w:space="0" w:color="000000"/>
              <w:right w:val="single" w:sz="8" w:space="0" w:color="000000"/>
            </w:tcBorders>
            <w:shd w:val="clear" w:color="auto" w:fill="9D2235"/>
            <w:vAlign w:val="center"/>
            <w:hideMark/>
          </w:tcPr>
          <w:p w14:paraId="543EE983" w14:textId="77777777" w:rsidR="003B28A6" w:rsidRDefault="003B28A6">
            <w:pPr>
              <w:spacing w:after="0" w:line="240" w:lineRule="auto"/>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ADMINISTRACIÓN DE ORIGEN</w:t>
            </w:r>
          </w:p>
        </w:tc>
        <w:tc>
          <w:tcPr>
            <w:tcW w:w="441" w:type="pct"/>
            <w:tcBorders>
              <w:top w:val="single" w:sz="8" w:space="0" w:color="000000"/>
              <w:left w:val="nil"/>
              <w:bottom w:val="single" w:sz="8" w:space="0" w:color="000000"/>
              <w:right w:val="nil"/>
            </w:tcBorders>
            <w:shd w:val="clear" w:color="auto" w:fill="9D2235"/>
            <w:textDirection w:val="btLr"/>
            <w:vAlign w:val="center"/>
            <w:hideMark/>
          </w:tcPr>
          <w:p w14:paraId="0C9134AA" w14:textId="77777777" w:rsidR="003B28A6" w:rsidRDefault="003B28A6">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DIRECTOR/A Y JEFE/A DE ÁREA</w:t>
            </w:r>
          </w:p>
        </w:tc>
        <w:tc>
          <w:tcPr>
            <w:tcW w:w="441" w:type="pct"/>
            <w:tcBorders>
              <w:top w:val="single" w:sz="8" w:space="0" w:color="000000"/>
              <w:left w:val="single" w:sz="8" w:space="0" w:color="000000"/>
              <w:bottom w:val="single" w:sz="8" w:space="0" w:color="000000"/>
              <w:right w:val="nil"/>
            </w:tcBorders>
            <w:shd w:val="clear" w:color="auto" w:fill="9D2235"/>
            <w:textDirection w:val="btLr"/>
            <w:vAlign w:val="center"/>
            <w:hideMark/>
          </w:tcPr>
          <w:p w14:paraId="399E0AB7" w14:textId="77777777" w:rsidR="003B28A6" w:rsidRDefault="003B28A6">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JEFE/A DE SERVICIO Y LETRADO/A</w:t>
            </w:r>
          </w:p>
        </w:tc>
        <w:tc>
          <w:tcPr>
            <w:tcW w:w="444" w:type="pct"/>
            <w:tcBorders>
              <w:top w:val="single" w:sz="8" w:space="0" w:color="000000"/>
              <w:left w:val="single" w:sz="8" w:space="0" w:color="000000"/>
              <w:bottom w:val="single" w:sz="8" w:space="0" w:color="000000"/>
              <w:right w:val="nil"/>
            </w:tcBorders>
            <w:shd w:val="clear" w:color="auto" w:fill="9D2235"/>
            <w:textDirection w:val="btLr"/>
            <w:vAlign w:val="center"/>
            <w:hideMark/>
          </w:tcPr>
          <w:p w14:paraId="7F0DE7B7" w14:textId="77777777" w:rsidR="003B28A6" w:rsidRDefault="003B28A6">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 xml:space="preserve">JEFE/A DE UNIDAD </w:t>
            </w:r>
          </w:p>
        </w:tc>
        <w:tc>
          <w:tcPr>
            <w:tcW w:w="444" w:type="pct"/>
            <w:tcBorders>
              <w:top w:val="single" w:sz="8" w:space="0" w:color="000000"/>
              <w:left w:val="single" w:sz="8" w:space="0" w:color="000000"/>
              <w:bottom w:val="single" w:sz="8" w:space="0" w:color="000000"/>
              <w:right w:val="nil"/>
            </w:tcBorders>
            <w:shd w:val="clear" w:color="auto" w:fill="9D2235"/>
            <w:textDirection w:val="btLr"/>
            <w:vAlign w:val="center"/>
            <w:hideMark/>
          </w:tcPr>
          <w:p w14:paraId="537F647F" w14:textId="77777777" w:rsidR="003B28A6" w:rsidRDefault="003B28A6">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INVESTIGADOR/A Y TÉCNICO/A</w:t>
            </w:r>
          </w:p>
        </w:tc>
        <w:tc>
          <w:tcPr>
            <w:tcW w:w="444" w:type="pct"/>
            <w:tcBorders>
              <w:top w:val="single" w:sz="8" w:space="0" w:color="000000"/>
              <w:left w:val="single" w:sz="8" w:space="0" w:color="000000"/>
              <w:bottom w:val="single" w:sz="8" w:space="0" w:color="000000"/>
              <w:right w:val="nil"/>
            </w:tcBorders>
            <w:shd w:val="clear" w:color="auto" w:fill="9D2235"/>
            <w:textDirection w:val="btLr"/>
            <w:vAlign w:val="center"/>
            <w:hideMark/>
          </w:tcPr>
          <w:p w14:paraId="593F3048" w14:textId="77777777" w:rsidR="003B28A6" w:rsidRDefault="003B28A6">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JEFE/A DE EQUIPO</w:t>
            </w:r>
          </w:p>
        </w:tc>
        <w:tc>
          <w:tcPr>
            <w:tcW w:w="444" w:type="pct"/>
            <w:tcBorders>
              <w:top w:val="single" w:sz="8" w:space="0" w:color="000000"/>
              <w:left w:val="single" w:sz="8" w:space="0" w:color="000000"/>
              <w:bottom w:val="single" w:sz="8" w:space="0" w:color="000000"/>
              <w:right w:val="nil"/>
            </w:tcBorders>
            <w:shd w:val="clear" w:color="auto" w:fill="9D2235"/>
            <w:textDirection w:val="btLr"/>
            <w:vAlign w:val="center"/>
            <w:hideMark/>
          </w:tcPr>
          <w:p w14:paraId="682C1352" w14:textId="77777777" w:rsidR="003B28A6" w:rsidRDefault="003B28A6">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JEFE/AS DE NEGOCIADO</w:t>
            </w:r>
          </w:p>
        </w:tc>
        <w:tc>
          <w:tcPr>
            <w:tcW w:w="444" w:type="pct"/>
            <w:tcBorders>
              <w:top w:val="single" w:sz="8" w:space="0" w:color="000000"/>
              <w:left w:val="single" w:sz="8" w:space="0" w:color="000000"/>
              <w:bottom w:val="single" w:sz="8" w:space="0" w:color="000000"/>
              <w:right w:val="nil"/>
            </w:tcBorders>
            <w:shd w:val="clear" w:color="auto" w:fill="9D2235"/>
            <w:textDirection w:val="btLr"/>
            <w:vAlign w:val="center"/>
            <w:hideMark/>
          </w:tcPr>
          <w:p w14:paraId="7DEE1078" w14:textId="77777777" w:rsidR="003B28A6" w:rsidRDefault="003B28A6">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SECRETARIO/A DIRECCIÓN</w:t>
            </w:r>
          </w:p>
        </w:tc>
        <w:tc>
          <w:tcPr>
            <w:tcW w:w="443" w:type="pct"/>
            <w:tcBorders>
              <w:top w:val="single" w:sz="8" w:space="0" w:color="000000"/>
              <w:left w:val="single" w:sz="8" w:space="0" w:color="000000"/>
              <w:bottom w:val="single" w:sz="8" w:space="0" w:color="000000"/>
              <w:right w:val="single" w:sz="8" w:space="0" w:color="000000"/>
            </w:tcBorders>
            <w:shd w:val="clear" w:color="auto" w:fill="9D2235"/>
            <w:textDirection w:val="btLr"/>
            <w:vAlign w:val="center"/>
            <w:hideMark/>
          </w:tcPr>
          <w:p w14:paraId="30FACA13" w14:textId="77777777" w:rsidR="003B28A6" w:rsidRDefault="003B28A6">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TOTAL</w:t>
            </w:r>
          </w:p>
        </w:tc>
      </w:tr>
      <w:tr w:rsidR="003B28A6" w14:paraId="7073E071" w14:textId="77777777" w:rsidTr="003B28A6">
        <w:trPr>
          <w:gridAfter w:val="1"/>
          <w:trHeight w:val="540"/>
        </w:trPr>
        <w:tc>
          <w:tcPr>
            <w:tcW w:w="1456" w:type="pct"/>
            <w:gridSpan w:val="2"/>
            <w:tcBorders>
              <w:top w:val="single" w:sz="8" w:space="0" w:color="000000"/>
              <w:left w:val="single" w:sz="8" w:space="0" w:color="000000"/>
              <w:bottom w:val="single" w:sz="8" w:space="0" w:color="000000"/>
              <w:right w:val="single" w:sz="8" w:space="0" w:color="000000"/>
            </w:tcBorders>
            <w:vAlign w:val="center"/>
            <w:hideMark/>
          </w:tcPr>
          <w:p w14:paraId="1414A890" w14:textId="77777777" w:rsidR="003B28A6" w:rsidRDefault="003B28A6">
            <w:pPr>
              <w:spacing w:after="0" w:line="240" w:lineRule="auto"/>
              <w:jc w:val="both"/>
              <w:rPr>
                <w:rFonts w:ascii="Arial" w:eastAsia="Times New Roman" w:hAnsi="Arial" w:cs="Arial"/>
                <w:color w:val="00000A"/>
                <w:sz w:val="18"/>
                <w:szCs w:val="18"/>
                <w:lang w:eastAsia="es-ES"/>
              </w:rPr>
            </w:pPr>
            <w:r>
              <w:rPr>
                <w:rFonts w:ascii="Arial" w:eastAsia="Times New Roman" w:hAnsi="Arial" w:cs="Arial"/>
                <w:color w:val="00000A"/>
                <w:sz w:val="18"/>
                <w:szCs w:val="18"/>
                <w:lang w:eastAsia="es-ES"/>
              </w:rPr>
              <w:t>Administración del Estado</w:t>
            </w:r>
          </w:p>
        </w:tc>
        <w:tc>
          <w:tcPr>
            <w:tcW w:w="441" w:type="pct"/>
            <w:tcBorders>
              <w:top w:val="nil"/>
              <w:left w:val="nil"/>
              <w:bottom w:val="single" w:sz="8" w:space="0" w:color="000000"/>
              <w:right w:val="nil"/>
            </w:tcBorders>
            <w:vAlign w:val="center"/>
            <w:hideMark/>
          </w:tcPr>
          <w:p w14:paraId="779361EB" w14:textId="77777777" w:rsidR="003B28A6" w:rsidRDefault="003B28A6">
            <w:pPr>
              <w:spacing w:after="0" w:line="240" w:lineRule="auto"/>
              <w:jc w:val="both"/>
              <w:rPr>
                <w:rFonts w:ascii="Arial" w:eastAsia="Times New Roman" w:hAnsi="Arial" w:cs="Arial"/>
                <w:color w:val="FF0000"/>
                <w:sz w:val="18"/>
                <w:szCs w:val="18"/>
                <w:lang w:eastAsia="es-ES"/>
              </w:rPr>
            </w:pPr>
            <w:r>
              <w:rPr>
                <w:rFonts w:ascii="Arial" w:eastAsia="Times New Roman" w:hAnsi="Arial" w:cs="Arial"/>
                <w:color w:val="FF0000"/>
                <w:sz w:val="18"/>
                <w:szCs w:val="18"/>
                <w:lang w:eastAsia="es-ES"/>
              </w:rPr>
              <w:t> </w:t>
            </w:r>
          </w:p>
        </w:tc>
        <w:tc>
          <w:tcPr>
            <w:tcW w:w="441" w:type="pct"/>
            <w:tcBorders>
              <w:top w:val="nil"/>
              <w:left w:val="single" w:sz="8" w:space="0" w:color="000000"/>
              <w:bottom w:val="single" w:sz="8" w:space="0" w:color="000000"/>
              <w:right w:val="nil"/>
            </w:tcBorders>
            <w:vAlign w:val="center"/>
            <w:hideMark/>
          </w:tcPr>
          <w:p w14:paraId="6C206AC1"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444" w:type="pct"/>
            <w:tcBorders>
              <w:top w:val="nil"/>
              <w:left w:val="single" w:sz="8" w:space="0" w:color="000000"/>
              <w:bottom w:val="single" w:sz="8" w:space="0" w:color="000000"/>
              <w:right w:val="nil"/>
            </w:tcBorders>
            <w:vAlign w:val="center"/>
            <w:hideMark/>
          </w:tcPr>
          <w:p w14:paraId="32AC6E04" w14:textId="77777777" w:rsidR="003B28A6" w:rsidRDefault="003B28A6">
            <w:pPr>
              <w:spacing w:after="0" w:line="240" w:lineRule="auto"/>
              <w:jc w:val="both"/>
              <w:rPr>
                <w:rFonts w:ascii="Arial" w:eastAsia="Times New Roman" w:hAnsi="Arial" w:cs="Arial"/>
                <w:color w:val="FF0000"/>
                <w:sz w:val="18"/>
                <w:szCs w:val="18"/>
                <w:lang w:eastAsia="es-ES"/>
              </w:rPr>
            </w:pPr>
            <w:r>
              <w:rPr>
                <w:rFonts w:ascii="Arial" w:eastAsia="Times New Roman" w:hAnsi="Arial" w:cs="Arial"/>
                <w:color w:val="FF0000"/>
                <w:sz w:val="18"/>
                <w:szCs w:val="18"/>
                <w:lang w:eastAsia="es-ES"/>
              </w:rPr>
              <w:t> </w:t>
            </w:r>
          </w:p>
        </w:tc>
        <w:tc>
          <w:tcPr>
            <w:tcW w:w="444" w:type="pct"/>
            <w:tcBorders>
              <w:top w:val="nil"/>
              <w:left w:val="single" w:sz="8" w:space="0" w:color="000000"/>
              <w:bottom w:val="single" w:sz="8" w:space="0" w:color="000000"/>
              <w:right w:val="nil"/>
            </w:tcBorders>
            <w:vAlign w:val="center"/>
            <w:hideMark/>
          </w:tcPr>
          <w:p w14:paraId="1C056BB1" w14:textId="77777777" w:rsidR="003B28A6" w:rsidRDefault="003B28A6">
            <w:pPr>
              <w:spacing w:after="0" w:line="240" w:lineRule="auto"/>
              <w:jc w:val="both"/>
              <w:rPr>
                <w:rFonts w:ascii="Arial" w:eastAsia="Times New Roman" w:hAnsi="Arial" w:cs="Arial"/>
                <w:color w:val="FF0000"/>
                <w:sz w:val="18"/>
                <w:szCs w:val="18"/>
                <w:lang w:eastAsia="es-ES"/>
              </w:rPr>
            </w:pPr>
            <w:r>
              <w:rPr>
                <w:rFonts w:ascii="Arial" w:eastAsia="Times New Roman" w:hAnsi="Arial" w:cs="Arial"/>
                <w:color w:val="FF0000"/>
                <w:sz w:val="18"/>
                <w:szCs w:val="18"/>
                <w:lang w:eastAsia="es-ES"/>
              </w:rPr>
              <w:t> </w:t>
            </w:r>
          </w:p>
        </w:tc>
        <w:tc>
          <w:tcPr>
            <w:tcW w:w="444" w:type="pct"/>
            <w:tcBorders>
              <w:top w:val="nil"/>
              <w:left w:val="single" w:sz="8" w:space="0" w:color="000000"/>
              <w:bottom w:val="single" w:sz="8" w:space="0" w:color="000000"/>
              <w:right w:val="nil"/>
            </w:tcBorders>
            <w:vAlign w:val="center"/>
            <w:hideMark/>
          </w:tcPr>
          <w:p w14:paraId="17012FC8" w14:textId="77777777" w:rsidR="003B28A6" w:rsidRDefault="003B28A6">
            <w:pPr>
              <w:spacing w:after="0" w:line="240" w:lineRule="auto"/>
              <w:jc w:val="both"/>
              <w:rPr>
                <w:rFonts w:ascii="Arial" w:eastAsia="Times New Roman" w:hAnsi="Arial" w:cs="Arial"/>
                <w:color w:val="FF0000"/>
                <w:sz w:val="18"/>
                <w:szCs w:val="18"/>
                <w:lang w:eastAsia="es-ES"/>
              </w:rPr>
            </w:pPr>
            <w:r>
              <w:rPr>
                <w:rFonts w:ascii="Arial" w:eastAsia="Times New Roman" w:hAnsi="Arial" w:cs="Arial"/>
                <w:color w:val="FF0000"/>
                <w:sz w:val="18"/>
                <w:szCs w:val="18"/>
                <w:lang w:eastAsia="es-ES"/>
              </w:rPr>
              <w:t> </w:t>
            </w:r>
          </w:p>
        </w:tc>
        <w:tc>
          <w:tcPr>
            <w:tcW w:w="444" w:type="pct"/>
            <w:tcBorders>
              <w:top w:val="nil"/>
              <w:left w:val="single" w:sz="8" w:space="0" w:color="000000"/>
              <w:bottom w:val="single" w:sz="8" w:space="0" w:color="000000"/>
              <w:right w:val="nil"/>
            </w:tcBorders>
            <w:vAlign w:val="center"/>
            <w:hideMark/>
          </w:tcPr>
          <w:p w14:paraId="2392D444" w14:textId="77777777" w:rsidR="003B28A6" w:rsidRDefault="003B28A6">
            <w:pPr>
              <w:spacing w:after="0" w:line="240" w:lineRule="auto"/>
              <w:jc w:val="both"/>
              <w:rPr>
                <w:rFonts w:ascii="Arial" w:eastAsia="Times New Roman" w:hAnsi="Arial" w:cs="Arial"/>
                <w:color w:val="FF0000"/>
                <w:sz w:val="18"/>
                <w:szCs w:val="18"/>
                <w:lang w:eastAsia="es-ES"/>
              </w:rPr>
            </w:pPr>
            <w:r>
              <w:rPr>
                <w:rFonts w:ascii="Arial" w:eastAsia="Times New Roman" w:hAnsi="Arial" w:cs="Arial"/>
                <w:color w:val="FF0000"/>
                <w:sz w:val="18"/>
                <w:szCs w:val="18"/>
                <w:lang w:eastAsia="es-ES"/>
              </w:rPr>
              <w:t> </w:t>
            </w:r>
          </w:p>
        </w:tc>
        <w:tc>
          <w:tcPr>
            <w:tcW w:w="444" w:type="pct"/>
            <w:tcBorders>
              <w:top w:val="nil"/>
              <w:left w:val="single" w:sz="8" w:space="0" w:color="000000"/>
              <w:bottom w:val="single" w:sz="8" w:space="0" w:color="000000"/>
              <w:right w:val="nil"/>
            </w:tcBorders>
            <w:vAlign w:val="center"/>
            <w:hideMark/>
          </w:tcPr>
          <w:p w14:paraId="52E5E88D"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443" w:type="pct"/>
            <w:tcBorders>
              <w:top w:val="nil"/>
              <w:left w:val="single" w:sz="8" w:space="0" w:color="000000"/>
              <w:bottom w:val="single" w:sz="8" w:space="0" w:color="000000"/>
              <w:right w:val="single" w:sz="8" w:space="0" w:color="000000"/>
            </w:tcBorders>
            <w:vAlign w:val="center"/>
            <w:hideMark/>
          </w:tcPr>
          <w:p w14:paraId="59175DBC"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w:t>
            </w:r>
          </w:p>
        </w:tc>
      </w:tr>
      <w:tr w:rsidR="003B28A6" w14:paraId="05EC4861" w14:textId="77777777" w:rsidTr="003B28A6">
        <w:trPr>
          <w:gridAfter w:val="1"/>
          <w:trHeight w:val="450"/>
        </w:trPr>
        <w:tc>
          <w:tcPr>
            <w:tcW w:w="748" w:type="pct"/>
            <w:vMerge w:val="restart"/>
            <w:tcBorders>
              <w:top w:val="nil"/>
              <w:left w:val="single" w:sz="8" w:space="0" w:color="000000"/>
              <w:bottom w:val="single" w:sz="8" w:space="0" w:color="000000"/>
              <w:right w:val="single" w:sz="8" w:space="0" w:color="000000"/>
            </w:tcBorders>
            <w:vAlign w:val="center"/>
            <w:hideMark/>
          </w:tcPr>
          <w:p w14:paraId="28764584" w14:textId="77777777" w:rsidR="003B28A6" w:rsidRDefault="003B28A6">
            <w:pPr>
              <w:spacing w:after="0" w:line="240" w:lineRule="auto"/>
              <w:jc w:val="both"/>
              <w:rPr>
                <w:rFonts w:ascii="Arial" w:eastAsia="Times New Roman" w:hAnsi="Arial" w:cs="Arial"/>
                <w:color w:val="00000A"/>
                <w:sz w:val="18"/>
                <w:szCs w:val="18"/>
                <w:lang w:eastAsia="es-ES"/>
              </w:rPr>
            </w:pPr>
            <w:r>
              <w:rPr>
                <w:rFonts w:ascii="Arial" w:eastAsia="Times New Roman" w:hAnsi="Arial" w:cs="Arial"/>
                <w:color w:val="00000A"/>
                <w:sz w:val="18"/>
                <w:szCs w:val="18"/>
                <w:lang w:eastAsia="es-ES"/>
              </w:rPr>
              <w:t>Admón.  Autonómica</w:t>
            </w:r>
          </w:p>
        </w:tc>
        <w:tc>
          <w:tcPr>
            <w:tcW w:w="708" w:type="pct"/>
            <w:vMerge w:val="restart"/>
            <w:tcBorders>
              <w:top w:val="nil"/>
              <w:left w:val="single" w:sz="8" w:space="0" w:color="000000"/>
              <w:bottom w:val="single" w:sz="8" w:space="0" w:color="000000"/>
              <w:right w:val="single" w:sz="8" w:space="0" w:color="000000"/>
            </w:tcBorders>
            <w:vAlign w:val="center"/>
            <w:hideMark/>
          </w:tcPr>
          <w:p w14:paraId="5C55932C" w14:textId="77777777" w:rsidR="003B28A6" w:rsidRDefault="003B28A6">
            <w:pPr>
              <w:spacing w:after="0" w:line="240" w:lineRule="auto"/>
              <w:jc w:val="both"/>
              <w:rPr>
                <w:rFonts w:ascii="Arial" w:eastAsia="Times New Roman" w:hAnsi="Arial" w:cs="Arial"/>
                <w:color w:val="00000A"/>
                <w:sz w:val="18"/>
                <w:szCs w:val="18"/>
                <w:lang w:eastAsia="es-ES"/>
              </w:rPr>
            </w:pPr>
            <w:r>
              <w:rPr>
                <w:rFonts w:ascii="Arial" w:eastAsia="Times New Roman" w:hAnsi="Arial" w:cs="Arial"/>
                <w:color w:val="00000A"/>
                <w:sz w:val="18"/>
                <w:szCs w:val="18"/>
                <w:lang w:eastAsia="es-ES"/>
              </w:rPr>
              <w:t xml:space="preserve">Valenciana </w:t>
            </w:r>
          </w:p>
        </w:tc>
        <w:tc>
          <w:tcPr>
            <w:tcW w:w="441" w:type="pct"/>
            <w:vMerge w:val="restart"/>
            <w:tcBorders>
              <w:top w:val="nil"/>
              <w:left w:val="single" w:sz="8" w:space="0" w:color="000000"/>
              <w:bottom w:val="single" w:sz="8" w:space="0" w:color="000000"/>
              <w:right w:val="single" w:sz="8" w:space="0" w:color="000000"/>
            </w:tcBorders>
            <w:vAlign w:val="center"/>
            <w:hideMark/>
          </w:tcPr>
          <w:p w14:paraId="59FBDDFE"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441" w:type="pct"/>
            <w:vMerge w:val="restart"/>
            <w:tcBorders>
              <w:top w:val="nil"/>
              <w:left w:val="single" w:sz="8" w:space="0" w:color="000000"/>
              <w:bottom w:val="single" w:sz="8" w:space="0" w:color="000000"/>
              <w:right w:val="single" w:sz="8" w:space="0" w:color="000000"/>
            </w:tcBorders>
            <w:vAlign w:val="center"/>
            <w:hideMark/>
          </w:tcPr>
          <w:p w14:paraId="2E803F67"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w:t>
            </w:r>
          </w:p>
        </w:tc>
        <w:tc>
          <w:tcPr>
            <w:tcW w:w="444" w:type="pct"/>
            <w:vMerge w:val="restart"/>
            <w:tcBorders>
              <w:top w:val="nil"/>
              <w:left w:val="single" w:sz="8" w:space="0" w:color="000000"/>
              <w:bottom w:val="single" w:sz="8" w:space="0" w:color="000000"/>
              <w:right w:val="single" w:sz="8" w:space="0" w:color="000000"/>
            </w:tcBorders>
            <w:vAlign w:val="center"/>
            <w:hideMark/>
          </w:tcPr>
          <w:p w14:paraId="090D1C00"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444" w:type="pct"/>
            <w:vMerge w:val="restart"/>
            <w:tcBorders>
              <w:top w:val="nil"/>
              <w:left w:val="single" w:sz="8" w:space="0" w:color="000000"/>
              <w:bottom w:val="single" w:sz="8" w:space="0" w:color="000000"/>
              <w:right w:val="single" w:sz="8" w:space="0" w:color="000000"/>
            </w:tcBorders>
            <w:vAlign w:val="center"/>
            <w:hideMark/>
          </w:tcPr>
          <w:p w14:paraId="56F7EDB6"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444" w:type="pct"/>
            <w:vMerge w:val="restart"/>
            <w:tcBorders>
              <w:top w:val="nil"/>
              <w:left w:val="single" w:sz="8" w:space="0" w:color="000000"/>
              <w:bottom w:val="single" w:sz="8" w:space="0" w:color="000000"/>
              <w:right w:val="single" w:sz="8" w:space="0" w:color="000000"/>
            </w:tcBorders>
            <w:vAlign w:val="center"/>
            <w:hideMark/>
          </w:tcPr>
          <w:p w14:paraId="0067446D" w14:textId="77777777" w:rsidR="003B28A6" w:rsidRDefault="003B28A6">
            <w:pPr>
              <w:spacing w:after="0" w:line="240" w:lineRule="auto"/>
              <w:jc w:val="both"/>
              <w:rPr>
                <w:rFonts w:ascii="Arial" w:eastAsia="Times New Roman" w:hAnsi="Arial" w:cs="Arial"/>
                <w:color w:val="FF0000"/>
                <w:sz w:val="18"/>
                <w:szCs w:val="18"/>
                <w:lang w:eastAsia="es-ES"/>
              </w:rPr>
            </w:pPr>
            <w:r>
              <w:rPr>
                <w:rFonts w:ascii="Arial" w:eastAsia="Times New Roman" w:hAnsi="Arial" w:cs="Arial"/>
                <w:color w:val="FF0000"/>
                <w:sz w:val="18"/>
                <w:szCs w:val="18"/>
                <w:lang w:eastAsia="es-ES"/>
              </w:rPr>
              <w:t> </w:t>
            </w:r>
          </w:p>
        </w:tc>
        <w:tc>
          <w:tcPr>
            <w:tcW w:w="444" w:type="pct"/>
            <w:vMerge w:val="restart"/>
            <w:tcBorders>
              <w:top w:val="nil"/>
              <w:left w:val="single" w:sz="8" w:space="0" w:color="000000"/>
              <w:bottom w:val="single" w:sz="8" w:space="0" w:color="000000"/>
              <w:right w:val="single" w:sz="8" w:space="0" w:color="000000"/>
            </w:tcBorders>
            <w:vAlign w:val="center"/>
            <w:hideMark/>
          </w:tcPr>
          <w:p w14:paraId="14B8ACE4" w14:textId="77777777" w:rsidR="003B28A6" w:rsidRDefault="003B28A6">
            <w:pPr>
              <w:spacing w:after="0" w:line="240" w:lineRule="auto"/>
              <w:jc w:val="both"/>
              <w:rPr>
                <w:rFonts w:ascii="Arial" w:eastAsia="Times New Roman" w:hAnsi="Arial" w:cs="Arial"/>
                <w:color w:val="FF0000"/>
                <w:sz w:val="18"/>
                <w:szCs w:val="18"/>
                <w:lang w:eastAsia="es-ES"/>
              </w:rPr>
            </w:pPr>
            <w:r>
              <w:rPr>
                <w:rFonts w:ascii="Arial" w:eastAsia="Times New Roman" w:hAnsi="Arial" w:cs="Arial"/>
                <w:color w:val="FF0000"/>
                <w:sz w:val="18"/>
                <w:szCs w:val="18"/>
                <w:lang w:eastAsia="es-ES"/>
              </w:rPr>
              <w:t> </w:t>
            </w:r>
          </w:p>
        </w:tc>
        <w:tc>
          <w:tcPr>
            <w:tcW w:w="444" w:type="pct"/>
            <w:vMerge w:val="restart"/>
            <w:tcBorders>
              <w:top w:val="nil"/>
              <w:left w:val="single" w:sz="8" w:space="0" w:color="000000"/>
              <w:bottom w:val="single" w:sz="8" w:space="0" w:color="000000"/>
              <w:right w:val="single" w:sz="8" w:space="0" w:color="000000"/>
            </w:tcBorders>
            <w:vAlign w:val="center"/>
            <w:hideMark/>
          </w:tcPr>
          <w:p w14:paraId="0BCD6F83"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w:t>
            </w:r>
          </w:p>
        </w:tc>
        <w:tc>
          <w:tcPr>
            <w:tcW w:w="443" w:type="pct"/>
            <w:vMerge w:val="restart"/>
            <w:tcBorders>
              <w:top w:val="nil"/>
              <w:left w:val="single" w:sz="8" w:space="0" w:color="000000"/>
              <w:bottom w:val="single" w:sz="8" w:space="0" w:color="000000"/>
              <w:right w:val="single" w:sz="8" w:space="0" w:color="000000"/>
            </w:tcBorders>
            <w:vAlign w:val="center"/>
            <w:hideMark/>
          </w:tcPr>
          <w:p w14:paraId="633BBDC6"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7</w:t>
            </w:r>
          </w:p>
        </w:tc>
      </w:tr>
      <w:tr w:rsidR="003B28A6" w14:paraId="1A6D7334" w14:textId="77777777" w:rsidTr="003B28A6">
        <w:trPr>
          <w:trHeight w:val="450"/>
        </w:trPr>
        <w:tc>
          <w:tcPr>
            <w:tcW w:w="0" w:type="auto"/>
            <w:vMerge/>
            <w:tcBorders>
              <w:top w:val="nil"/>
              <w:left w:val="single" w:sz="8" w:space="0" w:color="000000"/>
              <w:bottom w:val="single" w:sz="8" w:space="0" w:color="000000"/>
              <w:right w:val="single" w:sz="8" w:space="0" w:color="000000"/>
            </w:tcBorders>
            <w:vAlign w:val="center"/>
            <w:hideMark/>
          </w:tcPr>
          <w:p w14:paraId="54A1690F" w14:textId="77777777" w:rsidR="003B28A6" w:rsidRDefault="003B28A6">
            <w:pPr>
              <w:spacing w:after="0"/>
              <w:rPr>
                <w:rFonts w:ascii="Arial" w:eastAsia="Times New Roman" w:hAnsi="Arial" w:cs="Arial"/>
                <w:color w:val="00000A"/>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4F484AA7" w14:textId="77777777" w:rsidR="003B28A6" w:rsidRDefault="003B28A6">
            <w:pPr>
              <w:spacing w:after="0"/>
              <w:rPr>
                <w:rFonts w:ascii="Arial" w:eastAsia="Times New Roman" w:hAnsi="Arial" w:cs="Arial"/>
                <w:color w:val="00000A"/>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2364B938"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6A2256EF"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426DF481"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0F49BF00"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1B311714" w14:textId="77777777" w:rsidR="003B28A6" w:rsidRDefault="003B28A6">
            <w:pPr>
              <w:spacing w:after="0"/>
              <w:rPr>
                <w:rFonts w:ascii="Arial" w:eastAsia="Times New Roman" w:hAnsi="Arial" w:cs="Arial"/>
                <w:color w:val="FF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454F16F5" w14:textId="77777777" w:rsidR="003B28A6" w:rsidRDefault="003B28A6">
            <w:pPr>
              <w:spacing w:after="0"/>
              <w:rPr>
                <w:rFonts w:ascii="Arial" w:eastAsia="Times New Roman" w:hAnsi="Arial" w:cs="Arial"/>
                <w:color w:val="FF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063093CB" w14:textId="77777777" w:rsidR="003B28A6" w:rsidRDefault="003B28A6">
            <w:pPr>
              <w:spacing w:after="0"/>
              <w:rPr>
                <w:rFonts w:ascii="Arial" w:eastAsia="Times New Roman" w:hAnsi="Arial" w:cs="Arial"/>
                <w:color w:val="000000"/>
                <w:sz w:val="18"/>
                <w:szCs w:val="18"/>
                <w:lang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10A27D9C" w14:textId="77777777" w:rsidR="003B28A6" w:rsidRDefault="003B28A6">
            <w:pPr>
              <w:spacing w:after="0"/>
              <w:rPr>
                <w:rFonts w:ascii="Arial" w:eastAsia="Times New Roman" w:hAnsi="Arial" w:cs="Arial"/>
                <w:color w:val="000000"/>
                <w:sz w:val="18"/>
                <w:szCs w:val="18"/>
                <w:lang w:eastAsia="es-ES"/>
              </w:rPr>
            </w:pPr>
          </w:p>
        </w:tc>
        <w:tc>
          <w:tcPr>
            <w:tcW w:w="0" w:type="auto"/>
            <w:vAlign w:val="center"/>
            <w:hideMark/>
          </w:tcPr>
          <w:p w14:paraId="44B97940" w14:textId="77777777" w:rsidR="003B28A6" w:rsidRDefault="003B28A6">
            <w:pPr>
              <w:rPr>
                <w:rFonts w:ascii="Arial" w:eastAsia="Times New Roman" w:hAnsi="Arial" w:cs="Arial"/>
                <w:color w:val="000000"/>
                <w:sz w:val="18"/>
                <w:szCs w:val="18"/>
                <w:lang w:eastAsia="es-ES"/>
              </w:rPr>
            </w:pPr>
          </w:p>
        </w:tc>
      </w:tr>
      <w:tr w:rsidR="003B28A6" w14:paraId="51D2D736" w14:textId="77777777" w:rsidTr="003B28A6">
        <w:trPr>
          <w:trHeight w:val="315"/>
        </w:trPr>
        <w:tc>
          <w:tcPr>
            <w:tcW w:w="0" w:type="auto"/>
            <w:vMerge/>
            <w:tcBorders>
              <w:top w:val="nil"/>
              <w:left w:val="single" w:sz="8" w:space="0" w:color="000000"/>
              <w:bottom w:val="single" w:sz="8" w:space="0" w:color="000000"/>
              <w:right w:val="single" w:sz="8" w:space="0" w:color="000000"/>
            </w:tcBorders>
            <w:vAlign w:val="center"/>
            <w:hideMark/>
          </w:tcPr>
          <w:p w14:paraId="73E95B64" w14:textId="77777777" w:rsidR="003B28A6" w:rsidRDefault="003B28A6">
            <w:pPr>
              <w:spacing w:after="0"/>
              <w:rPr>
                <w:rFonts w:ascii="Arial" w:eastAsia="Times New Roman" w:hAnsi="Arial" w:cs="Arial"/>
                <w:color w:val="00000A"/>
                <w:sz w:val="18"/>
                <w:szCs w:val="18"/>
                <w:lang w:eastAsia="es-ES"/>
              </w:rPr>
            </w:pPr>
          </w:p>
        </w:tc>
        <w:tc>
          <w:tcPr>
            <w:tcW w:w="708" w:type="pct"/>
            <w:tcBorders>
              <w:top w:val="nil"/>
              <w:left w:val="nil"/>
              <w:bottom w:val="single" w:sz="8" w:space="0" w:color="000000"/>
              <w:right w:val="nil"/>
            </w:tcBorders>
            <w:vAlign w:val="center"/>
            <w:hideMark/>
          </w:tcPr>
          <w:p w14:paraId="5A6412CC" w14:textId="77777777" w:rsidR="003B28A6" w:rsidRDefault="003B28A6">
            <w:pPr>
              <w:spacing w:after="0" w:line="240" w:lineRule="auto"/>
              <w:jc w:val="both"/>
              <w:rPr>
                <w:rFonts w:ascii="Arial" w:eastAsia="Times New Roman" w:hAnsi="Arial" w:cs="Arial"/>
                <w:color w:val="00000A"/>
                <w:sz w:val="18"/>
                <w:szCs w:val="18"/>
                <w:lang w:eastAsia="es-ES"/>
              </w:rPr>
            </w:pPr>
            <w:r>
              <w:rPr>
                <w:rFonts w:ascii="Arial" w:eastAsia="Times New Roman" w:hAnsi="Arial" w:cs="Arial"/>
                <w:color w:val="00000A"/>
                <w:sz w:val="18"/>
                <w:szCs w:val="18"/>
                <w:lang w:eastAsia="es-ES"/>
              </w:rPr>
              <w:t>Otras</w:t>
            </w:r>
          </w:p>
        </w:tc>
        <w:tc>
          <w:tcPr>
            <w:tcW w:w="441" w:type="pct"/>
            <w:tcBorders>
              <w:top w:val="nil"/>
              <w:left w:val="single" w:sz="8" w:space="0" w:color="000000"/>
              <w:bottom w:val="single" w:sz="8" w:space="0" w:color="000000"/>
              <w:right w:val="nil"/>
            </w:tcBorders>
            <w:vAlign w:val="center"/>
            <w:hideMark/>
          </w:tcPr>
          <w:p w14:paraId="4C320588"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w:t>
            </w:r>
          </w:p>
        </w:tc>
        <w:tc>
          <w:tcPr>
            <w:tcW w:w="441" w:type="pct"/>
            <w:tcBorders>
              <w:top w:val="nil"/>
              <w:left w:val="single" w:sz="8" w:space="0" w:color="000000"/>
              <w:bottom w:val="single" w:sz="8" w:space="0" w:color="000000"/>
              <w:right w:val="nil"/>
            </w:tcBorders>
            <w:vAlign w:val="center"/>
            <w:hideMark/>
          </w:tcPr>
          <w:p w14:paraId="360B220D"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w:t>
            </w:r>
          </w:p>
        </w:tc>
        <w:tc>
          <w:tcPr>
            <w:tcW w:w="444" w:type="pct"/>
            <w:tcBorders>
              <w:top w:val="nil"/>
              <w:left w:val="single" w:sz="8" w:space="0" w:color="000000"/>
              <w:bottom w:val="single" w:sz="8" w:space="0" w:color="000000"/>
              <w:right w:val="nil"/>
            </w:tcBorders>
            <w:vAlign w:val="center"/>
            <w:hideMark/>
          </w:tcPr>
          <w:p w14:paraId="642618EC"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w:t>
            </w:r>
          </w:p>
        </w:tc>
        <w:tc>
          <w:tcPr>
            <w:tcW w:w="444" w:type="pct"/>
            <w:tcBorders>
              <w:top w:val="nil"/>
              <w:left w:val="single" w:sz="8" w:space="0" w:color="000000"/>
              <w:bottom w:val="single" w:sz="8" w:space="0" w:color="000000"/>
              <w:right w:val="nil"/>
            </w:tcBorders>
            <w:vAlign w:val="center"/>
            <w:hideMark/>
          </w:tcPr>
          <w:p w14:paraId="24970B86"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444" w:type="pct"/>
            <w:tcBorders>
              <w:top w:val="nil"/>
              <w:left w:val="single" w:sz="8" w:space="0" w:color="000000"/>
              <w:bottom w:val="single" w:sz="8" w:space="0" w:color="000000"/>
              <w:right w:val="nil"/>
            </w:tcBorders>
            <w:vAlign w:val="center"/>
            <w:hideMark/>
          </w:tcPr>
          <w:p w14:paraId="51A1DBD6"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444" w:type="pct"/>
            <w:tcBorders>
              <w:top w:val="nil"/>
              <w:left w:val="single" w:sz="8" w:space="0" w:color="000000"/>
              <w:bottom w:val="single" w:sz="8" w:space="0" w:color="000000"/>
              <w:right w:val="nil"/>
            </w:tcBorders>
            <w:vAlign w:val="center"/>
            <w:hideMark/>
          </w:tcPr>
          <w:p w14:paraId="497B7782" w14:textId="77777777" w:rsidR="003B28A6" w:rsidRDefault="003B28A6">
            <w:pPr>
              <w:spacing w:after="0" w:line="240" w:lineRule="auto"/>
              <w:jc w:val="both"/>
              <w:rPr>
                <w:rFonts w:ascii="Arial" w:eastAsia="Times New Roman" w:hAnsi="Arial" w:cs="Arial"/>
                <w:color w:val="FF0000"/>
                <w:sz w:val="18"/>
                <w:szCs w:val="18"/>
                <w:lang w:eastAsia="es-ES"/>
              </w:rPr>
            </w:pPr>
            <w:r>
              <w:rPr>
                <w:rFonts w:ascii="Arial" w:eastAsia="Times New Roman" w:hAnsi="Arial" w:cs="Arial"/>
                <w:color w:val="FF0000"/>
                <w:sz w:val="18"/>
                <w:szCs w:val="18"/>
                <w:lang w:eastAsia="es-ES"/>
              </w:rPr>
              <w:t> </w:t>
            </w:r>
          </w:p>
        </w:tc>
        <w:tc>
          <w:tcPr>
            <w:tcW w:w="444" w:type="pct"/>
            <w:tcBorders>
              <w:top w:val="nil"/>
              <w:left w:val="single" w:sz="8" w:space="0" w:color="000000"/>
              <w:bottom w:val="single" w:sz="8" w:space="0" w:color="000000"/>
              <w:right w:val="nil"/>
            </w:tcBorders>
            <w:vAlign w:val="center"/>
            <w:hideMark/>
          </w:tcPr>
          <w:p w14:paraId="20A49D1B"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w:t>
            </w:r>
          </w:p>
        </w:tc>
        <w:tc>
          <w:tcPr>
            <w:tcW w:w="443" w:type="pct"/>
            <w:tcBorders>
              <w:top w:val="nil"/>
              <w:left w:val="single" w:sz="8" w:space="0" w:color="000000"/>
              <w:bottom w:val="single" w:sz="8" w:space="0" w:color="000000"/>
              <w:right w:val="single" w:sz="8" w:space="0" w:color="000000"/>
            </w:tcBorders>
            <w:vAlign w:val="center"/>
            <w:hideMark/>
          </w:tcPr>
          <w:p w14:paraId="662BD758"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w:t>
            </w:r>
          </w:p>
        </w:tc>
        <w:tc>
          <w:tcPr>
            <w:tcW w:w="0" w:type="auto"/>
            <w:vAlign w:val="center"/>
            <w:hideMark/>
          </w:tcPr>
          <w:p w14:paraId="3AF13033" w14:textId="77777777" w:rsidR="003B28A6" w:rsidRDefault="003B28A6">
            <w:pPr>
              <w:spacing w:after="0"/>
              <w:rPr>
                <w:sz w:val="20"/>
                <w:szCs w:val="20"/>
                <w:lang w:eastAsia="es-ES"/>
              </w:rPr>
            </w:pPr>
          </w:p>
        </w:tc>
      </w:tr>
      <w:tr w:rsidR="003B28A6" w14:paraId="5A322826" w14:textId="77777777" w:rsidTr="003B28A6">
        <w:trPr>
          <w:trHeight w:val="315"/>
        </w:trPr>
        <w:tc>
          <w:tcPr>
            <w:tcW w:w="1456" w:type="pct"/>
            <w:gridSpan w:val="2"/>
            <w:tcBorders>
              <w:top w:val="single" w:sz="8" w:space="0" w:color="000000"/>
              <w:left w:val="single" w:sz="8" w:space="0" w:color="000000"/>
              <w:bottom w:val="single" w:sz="8" w:space="0" w:color="000000"/>
              <w:right w:val="single" w:sz="8" w:space="0" w:color="000000"/>
            </w:tcBorders>
            <w:vAlign w:val="center"/>
            <w:hideMark/>
          </w:tcPr>
          <w:p w14:paraId="209725C9" w14:textId="77777777" w:rsidR="003B28A6" w:rsidRDefault="003B28A6">
            <w:pPr>
              <w:spacing w:after="0" w:line="240" w:lineRule="auto"/>
              <w:jc w:val="both"/>
              <w:rPr>
                <w:rFonts w:ascii="Arial" w:eastAsia="Times New Roman" w:hAnsi="Arial" w:cs="Arial"/>
                <w:color w:val="00000A"/>
                <w:sz w:val="18"/>
                <w:szCs w:val="18"/>
                <w:lang w:eastAsia="es-ES"/>
              </w:rPr>
            </w:pPr>
            <w:r>
              <w:rPr>
                <w:rFonts w:ascii="Arial" w:eastAsia="Times New Roman" w:hAnsi="Arial" w:cs="Arial"/>
                <w:color w:val="00000A"/>
                <w:sz w:val="18"/>
                <w:szCs w:val="18"/>
                <w:lang w:eastAsia="es-ES"/>
              </w:rPr>
              <w:t>Administración Local</w:t>
            </w:r>
          </w:p>
        </w:tc>
        <w:tc>
          <w:tcPr>
            <w:tcW w:w="441" w:type="pct"/>
            <w:tcBorders>
              <w:top w:val="nil"/>
              <w:left w:val="nil"/>
              <w:bottom w:val="single" w:sz="8" w:space="0" w:color="000000"/>
              <w:right w:val="nil"/>
            </w:tcBorders>
            <w:vAlign w:val="center"/>
            <w:hideMark/>
          </w:tcPr>
          <w:p w14:paraId="61914A76"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w:t>
            </w:r>
          </w:p>
        </w:tc>
        <w:tc>
          <w:tcPr>
            <w:tcW w:w="441" w:type="pct"/>
            <w:tcBorders>
              <w:top w:val="nil"/>
              <w:left w:val="single" w:sz="8" w:space="0" w:color="000000"/>
              <w:bottom w:val="single" w:sz="8" w:space="0" w:color="000000"/>
              <w:right w:val="nil"/>
            </w:tcBorders>
            <w:vAlign w:val="center"/>
            <w:hideMark/>
          </w:tcPr>
          <w:p w14:paraId="1DE284C9"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w:t>
            </w:r>
          </w:p>
        </w:tc>
        <w:tc>
          <w:tcPr>
            <w:tcW w:w="444" w:type="pct"/>
            <w:tcBorders>
              <w:top w:val="nil"/>
              <w:left w:val="single" w:sz="8" w:space="0" w:color="000000"/>
              <w:bottom w:val="single" w:sz="8" w:space="0" w:color="000000"/>
              <w:right w:val="nil"/>
            </w:tcBorders>
            <w:vAlign w:val="center"/>
            <w:hideMark/>
          </w:tcPr>
          <w:p w14:paraId="160CC66C"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w:t>
            </w:r>
          </w:p>
        </w:tc>
        <w:tc>
          <w:tcPr>
            <w:tcW w:w="444" w:type="pct"/>
            <w:tcBorders>
              <w:top w:val="nil"/>
              <w:left w:val="single" w:sz="8" w:space="0" w:color="000000"/>
              <w:bottom w:val="single" w:sz="8" w:space="0" w:color="000000"/>
              <w:right w:val="nil"/>
            </w:tcBorders>
            <w:vAlign w:val="center"/>
            <w:hideMark/>
          </w:tcPr>
          <w:p w14:paraId="0324E7F1"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w:t>
            </w:r>
          </w:p>
        </w:tc>
        <w:tc>
          <w:tcPr>
            <w:tcW w:w="444" w:type="pct"/>
            <w:tcBorders>
              <w:top w:val="nil"/>
              <w:left w:val="single" w:sz="8" w:space="0" w:color="000000"/>
              <w:bottom w:val="single" w:sz="8" w:space="0" w:color="000000"/>
              <w:right w:val="nil"/>
            </w:tcBorders>
            <w:vAlign w:val="center"/>
            <w:hideMark/>
          </w:tcPr>
          <w:p w14:paraId="39E2BFB3"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444" w:type="pct"/>
            <w:tcBorders>
              <w:top w:val="nil"/>
              <w:left w:val="single" w:sz="8" w:space="0" w:color="000000"/>
              <w:bottom w:val="single" w:sz="8" w:space="0" w:color="000000"/>
              <w:right w:val="nil"/>
            </w:tcBorders>
            <w:vAlign w:val="center"/>
            <w:hideMark/>
          </w:tcPr>
          <w:p w14:paraId="4AE103E1"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w:t>
            </w:r>
          </w:p>
        </w:tc>
        <w:tc>
          <w:tcPr>
            <w:tcW w:w="444" w:type="pct"/>
            <w:tcBorders>
              <w:top w:val="nil"/>
              <w:left w:val="single" w:sz="8" w:space="0" w:color="000000"/>
              <w:bottom w:val="single" w:sz="8" w:space="0" w:color="000000"/>
              <w:right w:val="nil"/>
            </w:tcBorders>
            <w:vAlign w:val="center"/>
            <w:hideMark/>
          </w:tcPr>
          <w:p w14:paraId="355EB504"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w:t>
            </w:r>
          </w:p>
        </w:tc>
        <w:tc>
          <w:tcPr>
            <w:tcW w:w="443" w:type="pct"/>
            <w:tcBorders>
              <w:top w:val="nil"/>
              <w:left w:val="single" w:sz="8" w:space="0" w:color="000000"/>
              <w:bottom w:val="single" w:sz="8" w:space="0" w:color="000000"/>
              <w:right w:val="single" w:sz="8" w:space="0" w:color="000000"/>
            </w:tcBorders>
            <w:vAlign w:val="center"/>
            <w:hideMark/>
          </w:tcPr>
          <w:p w14:paraId="0D5331F9"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24</w:t>
            </w:r>
          </w:p>
        </w:tc>
        <w:tc>
          <w:tcPr>
            <w:tcW w:w="0" w:type="auto"/>
            <w:vAlign w:val="center"/>
            <w:hideMark/>
          </w:tcPr>
          <w:p w14:paraId="4BB0D6ED" w14:textId="77777777" w:rsidR="003B28A6" w:rsidRDefault="003B28A6">
            <w:pPr>
              <w:spacing w:after="0"/>
              <w:rPr>
                <w:sz w:val="20"/>
                <w:szCs w:val="20"/>
                <w:lang w:eastAsia="es-ES"/>
              </w:rPr>
            </w:pPr>
          </w:p>
        </w:tc>
      </w:tr>
      <w:tr w:rsidR="003B28A6" w14:paraId="4D0033C1" w14:textId="77777777" w:rsidTr="003B28A6">
        <w:trPr>
          <w:trHeight w:val="540"/>
        </w:trPr>
        <w:tc>
          <w:tcPr>
            <w:tcW w:w="1456" w:type="pct"/>
            <w:gridSpan w:val="2"/>
            <w:tcBorders>
              <w:top w:val="single" w:sz="8" w:space="0" w:color="000000"/>
              <w:left w:val="single" w:sz="8" w:space="0" w:color="000000"/>
              <w:bottom w:val="single" w:sz="8" w:space="0" w:color="000000"/>
              <w:right w:val="single" w:sz="8" w:space="0" w:color="000000"/>
            </w:tcBorders>
            <w:vAlign w:val="center"/>
            <w:hideMark/>
          </w:tcPr>
          <w:p w14:paraId="513B22C7"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Puestos vacantes a 31/12/2020</w:t>
            </w:r>
          </w:p>
        </w:tc>
        <w:tc>
          <w:tcPr>
            <w:tcW w:w="441" w:type="pct"/>
            <w:tcBorders>
              <w:top w:val="nil"/>
              <w:left w:val="nil"/>
              <w:bottom w:val="single" w:sz="8" w:space="0" w:color="000000"/>
              <w:right w:val="nil"/>
            </w:tcBorders>
            <w:vAlign w:val="center"/>
            <w:hideMark/>
          </w:tcPr>
          <w:p w14:paraId="64B2187D"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441" w:type="pct"/>
            <w:tcBorders>
              <w:top w:val="nil"/>
              <w:left w:val="single" w:sz="8" w:space="0" w:color="000000"/>
              <w:bottom w:val="single" w:sz="8" w:space="0" w:color="000000"/>
              <w:right w:val="nil"/>
            </w:tcBorders>
            <w:vAlign w:val="center"/>
            <w:hideMark/>
          </w:tcPr>
          <w:p w14:paraId="1F625857"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w:t>
            </w:r>
          </w:p>
        </w:tc>
        <w:tc>
          <w:tcPr>
            <w:tcW w:w="444" w:type="pct"/>
            <w:tcBorders>
              <w:top w:val="nil"/>
              <w:left w:val="single" w:sz="8" w:space="0" w:color="000000"/>
              <w:bottom w:val="single" w:sz="8" w:space="0" w:color="000000"/>
              <w:right w:val="nil"/>
            </w:tcBorders>
            <w:vAlign w:val="center"/>
            <w:hideMark/>
          </w:tcPr>
          <w:p w14:paraId="1AE3CEC9"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444" w:type="pct"/>
            <w:tcBorders>
              <w:top w:val="nil"/>
              <w:left w:val="single" w:sz="8" w:space="0" w:color="000000"/>
              <w:bottom w:val="single" w:sz="8" w:space="0" w:color="000000"/>
              <w:right w:val="nil"/>
            </w:tcBorders>
            <w:vAlign w:val="center"/>
            <w:hideMark/>
          </w:tcPr>
          <w:p w14:paraId="3080ABF1"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w:t>
            </w:r>
          </w:p>
        </w:tc>
        <w:tc>
          <w:tcPr>
            <w:tcW w:w="444" w:type="pct"/>
            <w:tcBorders>
              <w:top w:val="nil"/>
              <w:left w:val="single" w:sz="8" w:space="0" w:color="000000"/>
              <w:bottom w:val="single" w:sz="8" w:space="0" w:color="000000"/>
              <w:right w:val="nil"/>
            </w:tcBorders>
            <w:vAlign w:val="center"/>
            <w:hideMark/>
          </w:tcPr>
          <w:p w14:paraId="53511BDC"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444" w:type="pct"/>
            <w:tcBorders>
              <w:top w:val="nil"/>
              <w:left w:val="single" w:sz="8" w:space="0" w:color="000000"/>
              <w:bottom w:val="single" w:sz="8" w:space="0" w:color="000000"/>
              <w:right w:val="nil"/>
            </w:tcBorders>
            <w:vAlign w:val="center"/>
            <w:hideMark/>
          </w:tcPr>
          <w:p w14:paraId="69A6A28F"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w:t>
            </w:r>
          </w:p>
        </w:tc>
        <w:tc>
          <w:tcPr>
            <w:tcW w:w="444" w:type="pct"/>
            <w:tcBorders>
              <w:top w:val="nil"/>
              <w:left w:val="single" w:sz="8" w:space="0" w:color="000000"/>
              <w:bottom w:val="single" w:sz="8" w:space="0" w:color="000000"/>
              <w:right w:val="nil"/>
            </w:tcBorders>
            <w:vAlign w:val="center"/>
            <w:hideMark/>
          </w:tcPr>
          <w:p w14:paraId="38B72769"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w:t>
            </w:r>
          </w:p>
        </w:tc>
        <w:tc>
          <w:tcPr>
            <w:tcW w:w="443" w:type="pct"/>
            <w:tcBorders>
              <w:top w:val="nil"/>
              <w:left w:val="single" w:sz="8" w:space="0" w:color="000000"/>
              <w:bottom w:val="single" w:sz="8" w:space="0" w:color="000000"/>
              <w:right w:val="single" w:sz="8" w:space="0" w:color="000000"/>
            </w:tcBorders>
            <w:vAlign w:val="center"/>
            <w:hideMark/>
          </w:tcPr>
          <w:p w14:paraId="656FAA5A" w14:textId="77777777" w:rsidR="003B28A6" w:rsidRDefault="003B28A6">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11</w:t>
            </w:r>
          </w:p>
        </w:tc>
        <w:tc>
          <w:tcPr>
            <w:tcW w:w="0" w:type="auto"/>
            <w:vAlign w:val="center"/>
            <w:hideMark/>
          </w:tcPr>
          <w:p w14:paraId="07E73C47" w14:textId="77777777" w:rsidR="003B28A6" w:rsidRDefault="003B28A6">
            <w:pPr>
              <w:spacing w:after="0"/>
              <w:rPr>
                <w:sz w:val="20"/>
                <w:szCs w:val="20"/>
                <w:lang w:eastAsia="es-ES"/>
              </w:rPr>
            </w:pPr>
          </w:p>
        </w:tc>
      </w:tr>
    </w:tbl>
    <w:p w14:paraId="1BCE434A" w14:textId="77777777" w:rsidR="003B28A6" w:rsidRDefault="003B28A6" w:rsidP="003B28A6">
      <w:pPr>
        <w:jc w:val="both"/>
        <w:rPr>
          <w:rFonts w:ascii="Arial" w:eastAsia="Droid Sans Fallback" w:hAnsi="Arial" w:cs="Arial"/>
          <w:kern w:val="3"/>
          <w:sz w:val="21"/>
          <w:szCs w:val="21"/>
          <w:lang w:eastAsia="zh-CN" w:bidi="hi-IN"/>
        </w:rPr>
      </w:pPr>
    </w:p>
    <w:p w14:paraId="52F82EFF" w14:textId="77777777" w:rsidR="003B28A6" w:rsidRDefault="003B28A6" w:rsidP="003B28A6">
      <w:pPr>
        <w:jc w:val="both"/>
        <w:rPr>
          <w:rFonts w:ascii="Arial" w:eastAsia="Droid Sans Fallback" w:hAnsi="Arial" w:cs="Arial"/>
          <w:kern w:val="3"/>
          <w:sz w:val="21"/>
          <w:szCs w:val="21"/>
          <w:lang w:eastAsia="zh-CN" w:bidi="hi-IN"/>
        </w:rPr>
      </w:pPr>
    </w:p>
    <w:p w14:paraId="162FC08F" w14:textId="451505F4" w:rsidR="003B28A6" w:rsidRDefault="003B28A6" w:rsidP="003B28A6">
      <w:pPr>
        <w:keepNext/>
        <w:jc w:val="both"/>
      </w:pPr>
      <w:r>
        <w:rPr>
          <w:noProof/>
        </w:rPr>
        <w:drawing>
          <wp:inline distT="0" distB="0" distL="0" distR="0" wp14:anchorId="42C37EDC" wp14:editId="7560D1AE">
            <wp:extent cx="5324475" cy="3133725"/>
            <wp:effectExtent l="0" t="0" r="9525" b="9525"/>
            <wp:docPr id="36" name="Gráfico 36">
              <a:extLst xmlns:a="http://schemas.openxmlformats.org/drawingml/2006/main">
                <a:ext uri="{FF2B5EF4-FFF2-40B4-BE49-F238E27FC236}">
                  <a16:creationId xmlns:a16="http://schemas.microsoft.com/office/drawing/2014/main" id="{00000000-0008-0000-07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40FAF236" w14:textId="64A39D2F" w:rsidR="003B28A6" w:rsidRPr="003B0C74" w:rsidRDefault="003B28A6" w:rsidP="003B28A6">
      <w:pPr>
        <w:pStyle w:val="Descripcin"/>
        <w:jc w:val="center"/>
        <w:rPr>
          <w:rFonts w:ascii="Arial" w:eastAsia="Droid Sans Fallback" w:hAnsi="Arial" w:cs="Arial"/>
          <w:smallCaps w:val="0"/>
          <w:kern w:val="3"/>
          <w:sz w:val="16"/>
          <w:szCs w:val="16"/>
          <w:lang w:eastAsia="zh-CN" w:bidi="hi-IN"/>
        </w:rPr>
      </w:pPr>
      <w:bookmarkStart w:id="323" w:name="_Toc66443913"/>
      <w:bookmarkStart w:id="324" w:name="_Toc67646428"/>
      <w:r w:rsidRPr="003B0C74">
        <w:rPr>
          <w:rFonts w:ascii="Arial" w:hAnsi="Arial" w:cs="Arial"/>
          <w:smallCaps w:val="0"/>
          <w:color w:val="9D2235" w:themeColor="accent1"/>
          <w:sz w:val="16"/>
          <w:szCs w:val="16"/>
        </w:rPr>
        <w:t xml:space="preserve">Gráfico </w:t>
      </w:r>
      <w:r w:rsidRPr="003B0C74">
        <w:rPr>
          <w:rFonts w:ascii="Arial" w:hAnsi="Arial" w:cs="Arial"/>
          <w:smallCaps w:val="0"/>
          <w:sz w:val="16"/>
        </w:rPr>
        <w:fldChar w:fldCharType="begin"/>
      </w:r>
      <w:r w:rsidRPr="003B0C74">
        <w:rPr>
          <w:rFonts w:ascii="Arial" w:hAnsi="Arial" w:cs="Arial"/>
          <w:smallCaps w:val="0"/>
          <w:color w:val="9D2235" w:themeColor="accent1"/>
          <w:sz w:val="16"/>
          <w:szCs w:val="16"/>
        </w:rPr>
        <w:instrText xml:space="preserve"> SEQ Gráfico \* ARABIC </w:instrText>
      </w:r>
      <w:r w:rsidRPr="003B0C74">
        <w:rPr>
          <w:rFonts w:ascii="Arial" w:hAnsi="Arial" w:cs="Arial"/>
          <w:smallCaps w:val="0"/>
          <w:sz w:val="16"/>
        </w:rPr>
        <w:fldChar w:fldCharType="separate"/>
      </w:r>
      <w:r w:rsidR="00000D1F">
        <w:rPr>
          <w:rFonts w:ascii="Arial" w:hAnsi="Arial" w:cs="Arial"/>
          <w:smallCaps w:val="0"/>
          <w:noProof/>
          <w:color w:val="9D2235" w:themeColor="accent1"/>
          <w:sz w:val="16"/>
          <w:szCs w:val="16"/>
        </w:rPr>
        <w:t>32</w:t>
      </w:r>
      <w:r w:rsidRPr="003B0C74">
        <w:rPr>
          <w:rFonts w:ascii="Arial" w:hAnsi="Arial" w:cs="Arial"/>
          <w:smallCaps w:val="0"/>
          <w:sz w:val="16"/>
        </w:rPr>
        <w:fldChar w:fldCharType="end"/>
      </w:r>
      <w:r w:rsidRPr="003B0C74">
        <w:rPr>
          <w:rFonts w:ascii="Arial" w:hAnsi="Arial" w:cs="Arial"/>
          <w:smallCaps w:val="0"/>
          <w:color w:val="9D2235" w:themeColor="accent1"/>
          <w:sz w:val="16"/>
          <w:szCs w:val="16"/>
        </w:rPr>
        <w:t xml:space="preserve">: </w:t>
      </w:r>
      <w:r w:rsidRPr="003B0C74">
        <w:rPr>
          <w:rFonts w:ascii="Arial" w:hAnsi="Arial" w:cs="Arial"/>
          <w:smallCaps w:val="0"/>
          <w:sz w:val="16"/>
          <w:szCs w:val="16"/>
        </w:rPr>
        <w:t>Administración de procedencia del personal funcionario de la Agencia 31/12/2020.</w:t>
      </w:r>
      <w:bookmarkEnd w:id="323"/>
      <w:bookmarkEnd w:id="324"/>
    </w:p>
    <w:p w14:paraId="762AC74C" w14:textId="77777777" w:rsidR="003B28A6" w:rsidRDefault="003B28A6" w:rsidP="003B28A6">
      <w:pPr>
        <w:jc w:val="both"/>
        <w:rPr>
          <w:rFonts w:ascii="Arial" w:eastAsia="Droid Sans Fallback" w:hAnsi="Arial" w:cs="Arial"/>
          <w:kern w:val="3"/>
          <w:sz w:val="21"/>
          <w:szCs w:val="21"/>
          <w:lang w:eastAsia="zh-CN" w:bidi="hi-IN"/>
        </w:rPr>
      </w:pPr>
    </w:p>
    <w:p w14:paraId="622CABF6" w14:textId="77777777" w:rsidR="003B28A6" w:rsidRDefault="003B28A6" w:rsidP="003B28A6">
      <w:pPr>
        <w:jc w:val="both"/>
        <w:rPr>
          <w:rFonts w:ascii="Arial" w:eastAsia="Droid Sans Fallback" w:hAnsi="Arial" w:cs="Arial"/>
          <w:kern w:val="3"/>
          <w:sz w:val="21"/>
          <w:szCs w:val="21"/>
          <w:lang w:eastAsia="zh-CN" w:bidi="hi-IN"/>
        </w:rPr>
      </w:pPr>
      <w:r>
        <w:rPr>
          <w:rFonts w:ascii="Arial" w:eastAsia="Droid Sans Fallback" w:hAnsi="Arial" w:cs="Arial"/>
          <w:kern w:val="3"/>
          <w:sz w:val="21"/>
          <w:szCs w:val="21"/>
          <w:lang w:eastAsia="zh-CN" w:bidi="hi-IN"/>
        </w:rPr>
        <w:t>Por último, con carácter meramente indicativo, pero sin restar valor en cuanto que puede ser uno de los indicadores de la política de personal a adoptar por esta Agencia, se muestra, gráficamente y en términos porcentuales, la ocupación de los puestos de trabajo por edad y género a finales de este año 2020.</w:t>
      </w:r>
    </w:p>
    <w:p w14:paraId="66CDF839" w14:textId="43E44C01" w:rsidR="003B28A6" w:rsidRDefault="003B28A6" w:rsidP="003B28A6">
      <w:pPr>
        <w:keepNext/>
        <w:jc w:val="both"/>
      </w:pPr>
      <w:r>
        <w:rPr>
          <w:noProof/>
        </w:rPr>
        <w:drawing>
          <wp:inline distT="0" distB="0" distL="0" distR="0" wp14:anchorId="60E69DE7" wp14:editId="13439EAC">
            <wp:extent cx="5343525" cy="3114675"/>
            <wp:effectExtent l="0" t="0" r="9525" b="9525"/>
            <wp:docPr id="35" name="Gráfico 35">
              <a:extLst xmlns:a="http://schemas.openxmlformats.org/drawingml/2006/main">
                <a:ext uri="{FF2B5EF4-FFF2-40B4-BE49-F238E27FC236}">
                  <a16:creationId xmlns:a16="http://schemas.microsoft.com/office/drawing/2014/main" id="{0AFE54D7-4788-4424-9081-3493D7DC1E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06B88637" w14:textId="7CB1D568" w:rsidR="003B28A6" w:rsidRPr="003B0C74" w:rsidRDefault="003B28A6" w:rsidP="003B28A6">
      <w:pPr>
        <w:pStyle w:val="Descripcin"/>
        <w:jc w:val="center"/>
        <w:rPr>
          <w:rFonts w:ascii="Arial" w:eastAsia="Droid Sans Fallback" w:hAnsi="Arial" w:cs="Arial"/>
          <w:smallCaps w:val="0"/>
          <w:kern w:val="3"/>
          <w:sz w:val="16"/>
          <w:szCs w:val="16"/>
          <w:lang w:eastAsia="zh-CN" w:bidi="hi-IN"/>
        </w:rPr>
      </w:pPr>
      <w:bookmarkStart w:id="325" w:name="_Toc66443914"/>
      <w:bookmarkStart w:id="326" w:name="_Toc67646429"/>
      <w:r w:rsidRPr="003B0C74">
        <w:rPr>
          <w:rFonts w:ascii="Arial" w:hAnsi="Arial" w:cs="Arial"/>
          <w:smallCaps w:val="0"/>
          <w:color w:val="9D2235" w:themeColor="accent1"/>
          <w:sz w:val="16"/>
          <w:szCs w:val="16"/>
        </w:rPr>
        <w:t xml:space="preserve">Gráfico </w:t>
      </w:r>
      <w:r w:rsidRPr="003B0C74">
        <w:rPr>
          <w:rFonts w:ascii="Arial" w:hAnsi="Arial" w:cs="Arial"/>
          <w:smallCaps w:val="0"/>
          <w:sz w:val="16"/>
        </w:rPr>
        <w:fldChar w:fldCharType="begin"/>
      </w:r>
      <w:r w:rsidRPr="003B0C74">
        <w:rPr>
          <w:rFonts w:ascii="Arial" w:hAnsi="Arial" w:cs="Arial"/>
          <w:smallCaps w:val="0"/>
          <w:color w:val="9D2235" w:themeColor="accent1"/>
          <w:sz w:val="16"/>
          <w:szCs w:val="16"/>
        </w:rPr>
        <w:instrText xml:space="preserve"> SEQ Gráfico \* ARABIC </w:instrText>
      </w:r>
      <w:r w:rsidRPr="003B0C74">
        <w:rPr>
          <w:rFonts w:ascii="Arial" w:hAnsi="Arial" w:cs="Arial"/>
          <w:smallCaps w:val="0"/>
          <w:sz w:val="16"/>
        </w:rPr>
        <w:fldChar w:fldCharType="separate"/>
      </w:r>
      <w:r w:rsidR="00000D1F">
        <w:rPr>
          <w:rFonts w:ascii="Arial" w:hAnsi="Arial" w:cs="Arial"/>
          <w:smallCaps w:val="0"/>
          <w:noProof/>
          <w:color w:val="9D2235" w:themeColor="accent1"/>
          <w:sz w:val="16"/>
          <w:szCs w:val="16"/>
        </w:rPr>
        <w:t>33</w:t>
      </w:r>
      <w:r w:rsidRPr="003B0C74">
        <w:rPr>
          <w:rFonts w:ascii="Arial" w:hAnsi="Arial" w:cs="Arial"/>
          <w:smallCaps w:val="0"/>
          <w:sz w:val="16"/>
        </w:rPr>
        <w:fldChar w:fldCharType="end"/>
      </w:r>
      <w:r w:rsidRPr="003B0C74">
        <w:rPr>
          <w:rFonts w:ascii="Arial" w:hAnsi="Arial" w:cs="Arial"/>
          <w:smallCaps w:val="0"/>
          <w:color w:val="9D2235" w:themeColor="accent1"/>
          <w:sz w:val="16"/>
          <w:szCs w:val="16"/>
        </w:rPr>
        <w:t xml:space="preserve">: </w:t>
      </w:r>
      <w:r w:rsidRPr="003B0C74">
        <w:rPr>
          <w:rFonts w:ascii="Arial" w:hAnsi="Arial" w:cs="Arial"/>
          <w:smallCaps w:val="0"/>
          <w:sz w:val="16"/>
          <w:szCs w:val="16"/>
        </w:rPr>
        <w:t>Ocupación de puestos de trabajo por edad a 31/12/2020</w:t>
      </w:r>
      <w:bookmarkEnd w:id="325"/>
      <w:bookmarkEnd w:id="326"/>
    </w:p>
    <w:p w14:paraId="7001A7D8" w14:textId="1E9C7FA0" w:rsidR="003B28A6" w:rsidRDefault="003B28A6" w:rsidP="003B28A6">
      <w:pPr>
        <w:keepNext/>
        <w:jc w:val="both"/>
      </w:pPr>
      <w:r>
        <w:rPr>
          <w:noProof/>
        </w:rPr>
        <w:drawing>
          <wp:inline distT="0" distB="0" distL="0" distR="0" wp14:anchorId="0A449AE9" wp14:editId="54B7339B">
            <wp:extent cx="5400675" cy="3276600"/>
            <wp:effectExtent l="0" t="0" r="9525" b="0"/>
            <wp:docPr id="32" name="Gráfico 32">
              <a:extLst xmlns:a="http://schemas.openxmlformats.org/drawingml/2006/main">
                <a:ext uri="{FF2B5EF4-FFF2-40B4-BE49-F238E27FC236}">
                  <a16:creationId xmlns:a16="http://schemas.microsoft.com/office/drawing/2014/main" id="{F0525490-11CE-41BD-9028-4E197B780D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79ED74A3" w14:textId="57AC6D76" w:rsidR="003B28A6" w:rsidRPr="003B0C74" w:rsidRDefault="003B28A6" w:rsidP="003B0C74">
      <w:pPr>
        <w:pStyle w:val="Descripcin"/>
        <w:jc w:val="center"/>
        <w:rPr>
          <w:rFonts w:ascii="Arial" w:eastAsia="Droid Sans Fallback" w:hAnsi="Arial" w:cs="Arial"/>
          <w:smallCaps w:val="0"/>
          <w:kern w:val="3"/>
          <w:sz w:val="16"/>
          <w:szCs w:val="21"/>
          <w:lang w:eastAsia="zh-CN" w:bidi="hi-IN"/>
        </w:rPr>
      </w:pPr>
      <w:bookmarkStart w:id="327" w:name="_Toc66443915"/>
      <w:bookmarkStart w:id="328" w:name="_Toc67646430"/>
      <w:r w:rsidRPr="003B0C74">
        <w:rPr>
          <w:rFonts w:ascii="Arial" w:hAnsi="Arial" w:cs="Arial"/>
          <w:smallCaps w:val="0"/>
          <w:color w:val="9D2235" w:themeColor="accent1"/>
          <w:sz w:val="16"/>
        </w:rPr>
        <w:t xml:space="preserve">Gráfico </w:t>
      </w:r>
      <w:r w:rsidRPr="003B0C74">
        <w:rPr>
          <w:rFonts w:ascii="Arial" w:hAnsi="Arial" w:cs="Arial"/>
          <w:smallCaps w:val="0"/>
          <w:sz w:val="16"/>
        </w:rPr>
        <w:fldChar w:fldCharType="begin"/>
      </w:r>
      <w:r w:rsidRPr="003B0C74">
        <w:rPr>
          <w:rFonts w:ascii="Arial" w:hAnsi="Arial" w:cs="Arial"/>
          <w:smallCaps w:val="0"/>
          <w:color w:val="9D2235" w:themeColor="accent1"/>
          <w:sz w:val="16"/>
        </w:rPr>
        <w:instrText xml:space="preserve"> SEQ Gráfico \* ARABIC </w:instrText>
      </w:r>
      <w:r w:rsidRPr="003B0C74">
        <w:rPr>
          <w:rFonts w:ascii="Arial" w:hAnsi="Arial" w:cs="Arial"/>
          <w:smallCaps w:val="0"/>
          <w:sz w:val="16"/>
        </w:rPr>
        <w:fldChar w:fldCharType="separate"/>
      </w:r>
      <w:r w:rsidR="00000D1F">
        <w:rPr>
          <w:rFonts w:ascii="Arial" w:hAnsi="Arial" w:cs="Arial"/>
          <w:smallCaps w:val="0"/>
          <w:noProof/>
          <w:color w:val="9D2235" w:themeColor="accent1"/>
          <w:sz w:val="16"/>
        </w:rPr>
        <w:t>34</w:t>
      </w:r>
      <w:r w:rsidRPr="003B0C74">
        <w:rPr>
          <w:rFonts w:ascii="Arial" w:hAnsi="Arial" w:cs="Arial"/>
          <w:smallCaps w:val="0"/>
          <w:sz w:val="16"/>
        </w:rPr>
        <w:fldChar w:fldCharType="end"/>
      </w:r>
      <w:r w:rsidRPr="003B0C74">
        <w:rPr>
          <w:rFonts w:ascii="Arial" w:hAnsi="Arial" w:cs="Arial"/>
          <w:smallCaps w:val="0"/>
          <w:color w:val="9D2235" w:themeColor="accent1"/>
          <w:sz w:val="16"/>
        </w:rPr>
        <w:t xml:space="preserve">: </w:t>
      </w:r>
      <w:r w:rsidRPr="003B0C74">
        <w:rPr>
          <w:rFonts w:ascii="Arial" w:hAnsi="Arial" w:cs="Arial"/>
          <w:smallCaps w:val="0"/>
          <w:sz w:val="16"/>
        </w:rPr>
        <w:t>Ocupación de puestos de trabajo por género a 31/12/2020</w:t>
      </w:r>
      <w:bookmarkEnd w:id="327"/>
      <w:bookmarkEnd w:id="328"/>
    </w:p>
    <w:p w14:paraId="25A09757" w14:textId="77777777" w:rsidR="003B28A6" w:rsidRPr="00837C34" w:rsidRDefault="003B28A6" w:rsidP="00837C34">
      <w:pPr>
        <w:pStyle w:val="Ttulo2"/>
        <w:numPr>
          <w:ilvl w:val="1"/>
          <w:numId w:val="57"/>
        </w:numPr>
        <w:spacing w:before="360" w:after="240" w:line="276" w:lineRule="auto"/>
        <w:ind w:left="851" w:hanging="851"/>
        <w:rPr>
          <w:rFonts w:ascii="Arial" w:hAnsi="Arial" w:cs="Arial"/>
          <w:b/>
          <w:bCs/>
          <w:color w:val="9D2235" w:themeColor="accent1"/>
        </w:rPr>
      </w:pPr>
      <w:bookmarkStart w:id="329" w:name="_Toc66438653"/>
      <w:bookmarkStart w:id="330" w:name="_Toc67646328"/>
      <w:r w:rsidRPr="00837C34">
        <w:rPr>
          <w:rFonts w:ascii="Arial" w:hAnsi="Arial" w:cs="Arial"/>
          <w:b/>
          <w:bCs/>
          <w:color w:val="9D2235" w:themeColor="accent1"/>
        </w:rPr>
        <w:t>Gestión económica y contratación de la Agencia</w:t>
      </w:r>
      <w:bookmarkEnd w:id="329"/>
      <w:bookmarkEnd w:id="330"/>
    </w:p>
    <w:p w14:paraId="1CDA9D7B" w14:textId="77777777" w:rsidR="003B28A6" w:rsidRDefault="003B28A6" w:rsidP="003B28A6">
      <w:pPr>
        <w:spacing w:after="240" w:line="276" w:lineRule="auto"/>
        <w:jc w:val="both"/>
        <w:rPr>
          <w:rFonts w:ascii="Arial" w:eastAsia="Droid Sans Fallback" w:hAnsi="Arial" w:cs="Arial"/>
          <w:kern w:val="3"/>
          <w:sz w:val="21"/>
          <w:szCs w:val="21"/>
          <w:lang w:eastAsia="zh-CN" w:bidi="hi-IN"/>
        </w:rPr>
      </w:pPr>
      <w:r>
        <w:rPr>
          <w:rFonts w:ascii="Arial" w:eastAsia="Droid Sans Fallback" w:hAnsi="Arial" w:cs="Arial"/>
          <w:kern w:val="3"/>
          <w:sz w:val="21"/>
          <w:szCs w:val="21"/>
          <w:lang w:eastAsia="zh-CN" w:bidi="hi-IN"/>
        </w:rPr>
        <w:t>La gestión económica, tanto la vinculada a la ejecución del presupuesto de la AVAF como a su actividad contractual, ha estado marcada por la situación extraordinaria y excepcional derivada de la pandemia provocada por la Covid-19. En el ámbito de la Administración de la Agencia, considerada en su conjunto, ello ha significado la implementación de un modo de trabajo no presencial, lo que implicó trasladar los esfuerzos presupuestarios y humanos a procurar los medios y tecnologías adecuadas al personal funcionario para que desplegaran sus actividades con la misma eficacia que hasta el momento. Esto, paralelamente, se ha traducido en la imposibilidad de implementar el anexo de contratación que acompañó al proyecto de presupuestos de la Agencia, aprobado por la Ley 10/2019, de 27 de diciembre, de presupuestos de la Generalitat para el ejercicio 2020.</w:t>
      </w:r>
    </w:p>
    <w:p w14:paraId="09D825FE" w14:textId="77777777" w:rsidR="003B28A6" w:rsidRDefault="003B28A6" w:rsidP="003B28A6">
      <w:pPr>
        <w:spacing w:after="240" w:line="276" w:lineRule="auto"/>
        <w:jc w:val="both"/>
        <w:rPr>
          <w:rFonts w:ascii="Arial" w:eastAsia="Droid Sans Fallback" w:hAnsi="Arial" w:cs="Arial"/>
          <w:kern w:val="3"/>
          <w:sz w:val="21"/>
          <w:szCs w:val="21"/>
          <w:lang w:eastAsia="zh-CN" w:bidi="hi-IN"/>
        </w:rPr>
      </w:pPr>
      <w:bookmarkStart w:id="331" w:name="_Hlk66354008"/>
      <w:r>
        <w:rPr>
          <w:rFonts w:ascii="Arial" w:eastAsia="Droid Sans Fallback" w:hAnsi="Arial" w:cs="Arial"/>
          <w:kern w:val="3"/>
          <w:sz w:val="21"/>
          <w:szCs w:val="21"/>
          <w:lang w:eastAsia="zh-CN" w:bidi="hi-IN"/>
        </w:rPr>
        <w:t>De acuerdo con el artículo 30 de la Ley 11/2016, de 28 de noviembre, la Agencia tiene que disponer de los recursos económicos necesarios y adecuados para el cumplimiento eficaz de las funciones asignadas. Es por ello que el mismo precepto establece que la dotación económica necesaria para el funcionamiento de la Agencia constituirá una partida independiente en los presupuestos generales de las Corts Valencianes y que la dirección de la Agencia elaborará y aprobará el proyecto de presupuesto de funcionamiento remitiéndolo a la Mesa de las Corts a los efectos oportunos, para que sea integrado con la debida independencia en el proyecto de presupuestos de la Generalitat, de acuerdo con la normativa reguladora en materia presupuestaría.</w:t>
      </w:r>
    </w:p>
    <w:p w14:paraId="44363E7D" w14:textId="77777777" w:rsidR="003B28A6" w:rsidRDefault="003B28A6" w:rsidP="003B28A6">
      <w:pPr>
        <w:spacing w:after="240" w:line="276" w:lineRule="auto"/>
        <w:jc w:val="both"/>
        <w:rPr>
          <w:rFonts w:ascii="Arial" w:eastAsia="Droid Sans Fallback" w:hAnsi="Arial" w:cs="Arial"/>
          <w:kern w:val="3"/>
          <w:sz w:val="21"/>
          <w:szCs w:val="21"/>
          <w:lang w:eastAsia="zh-CN" w:bidi="hi-IN"/>
        </w:rPr>
      </w:pPr>
      <w:r>
        <w:rPr>
          <w:rFonts w:ascii="Arial" w:eastAsia="Droid Sans Fallback" w:hAnsi="Arial" w:cs="Arial"/>
          <w:kern w:val="3"/>
          <w:sz w:val="21"/>
          <w:szCs w:val="21"/>
          <w:lang w:eastAsia="zh-CN" w:bidi="hi-IN"/>
        </w:rPr>
        <w:t>Cumpliendo esta previsión, el director de la Agencia presentó en fecha 16 de octubre de 2019, a la Mesa de las Corts, el Proyecto de presupuesto de la Agencia para el ejercicio 2020, aprobado mediante Resolución del director, de fecha 15 de octubre de 2019 (proyecto publicado en BOCV número 41 de fecha 22 de noviembre de 2019). Este proyecto de presupuesto fue aprobado por el Consell, mediante la Ley 10/2019, de 27 de diciembre, de presupuestos de la Generalitat para el ejercicio 2020 (DOGV 8708/31.12.2019), como partida independiente en los presupuestos de las Corts Valencianes.</w:t>
      </w:r>
      <w:bookmarkStart w:id="332" w:name="_Toc65746445"/>
      <w:bookmarkStart w:id="333" w:name="_Toc65746566"/>
      <w:bookmarkStart w:id="334" w:name="_Toc65746730"/>
      <w:bookmarkStart w:id="335" w:name="_Toc65749214"/>
      <w:bookmarkStart w:id="336" w:name="_Toc65750458"/>
      <w:bookmarkStart w:id="337" w:name="_Toc65746446"/>
      <w:bookmarkStart w:id="338" w:name="_Toc65746567"/>
      <w:bookmarkStart w:id="339" w:name="_Toc65746731"/>
      <w:bookmarkStart w:id="340" w:name="_Toc65749215"/>
      <w:bookmarkStart w:id="341" w:name="_Toc65750459"/>
      <w:bookmarkEnd w:id="331"/>
      <w:bookmarkEnd w:id="332"/>
      <w:bookmarkEnd w:id="333"/>
      <w:bookmarkEnd w:id="334"/>
      <w:bookmarkEnd w:id="335"/>
      <w:bookmarkEnd w:id="336"/>
      <w:bookmarkEnd w:id="337"/>
      <w:bookmarkEnd w:id="338"/>
      <w:bookmarkEnd w:id="339"/>
      <w:bookmarkEnd w:id="340"/>
      <w:bookmarkEnd w:id="341"/>
    </w:p>
    <w:p w14:paraId="70082A9B" w14:textId="77777777" w:rsidR="003B28A6" w:rsidRPr="00837C34" w:rsidRDefault="003B28A6" w:rsidP="00837C34">
      <w:pPr>
        <w:pStyle w:val="Ttulo3"/>
        <w:numPr>
          <w:ilvl w:val="2"/>
          <w:numId w:val="57"/>
        </w:numPr>
        <w:spacing w:before="360" w:after="240" w:line="276" w:lineRule="auto"/>
        <w:ind w:left="1134" w:hanging="1134"/>
        <w:rPr>
          <w:rFonts w:ascii="Arial" w:hAnsi="Arial" w:cs="Arial"/>
          <w:b/>
          <w:bCs/>
          <w:color w:val="9D2235" w:themeColor="accent1"/>
        </w:rPr>
      </w:pPr>
      <w:bookmarkStart w:id="342" w:name="_Toc66438654"/>
      <w:bookmarkStart w:id="343" w:name="_Toc67646329"/>
      <w:r w:rsidRPr="00837C34">
        <w:rPr>
          <w:rFonts w:ascii="Arial" w:hAnsi="Arial" w:cs="Arial"/>
          <w:b/>
          <w:bCs/>
          <w:color w:val="9D2235" w:themeColor="accent1"/>
        </w:rPr>
        <w:t>Ejecución presupuestaria 2020</w:t>
      </w:r>
      <w:bookmarkEnd w:id="342"/>
      <w:bookmarkEnd w:id="343"/>
    </w:p>
    <w:p w14:paraId="04577D6A" w14:textId="77777777" w:rsidR="003B28A6" w:rsidRDefault="003B28A6" w:rsidP="003B28A6">
      <w:pPr>
        <w:pStyle w:val="Standard"/>
        <w:spacing w:line="276" w:lineRule="auto"/>
        <w:jc w:val="both"/>
      </w:pPr>
      <w:r>
        <w:rPr>
          <w:rFonts w:ascii="Arial" w:hAnsi="Arial" w:cs="TimesNewRomanPSMT"/>
          <w:sz w:val="21"/>
          <w:szCs w:val="21"/>
        </w:rPr>
        <w:t xml:space="preserve">El presupuesto de la Agencia para el ejercicio 2020 ascendió a </w:t>
      </w:r>
      <w:r>
        <w:rPr>
          <w:rFonts w:ascii="Arial" w:eastAsia="Times New Roman" w:hAnsi="Arial"/>
          <w:b/>
          <w:color w:val="000000"/>
          <w:sz w:val="21"/>
          <w:szCs w:val="21"/>
          <w:lang w:eastAsia="es-ES"/>
        </w:rPr>
        <w:t xml:space="preserve">4.469.875,74 </w:t>
      </w:r>
      <w:r>
        <w:rPr>
          <w:rFonts w:ascii="Arial" w:hAnsi="Arial" w:cs="TimesNewRomanPSMT"/>
          <w:color w:val="000000"/>
          <w:sz w:val="21"/>
          <w:szCs w:val="21"/>
        </w:rPr>
        <w:t>e</w:t>
      </w:r>
      <w:r>
        <w:rPr>
          <w:rFonts w:ascii="Arial" w:hAnsi="Arial" w:cs="TimesNewRomanPSMT"/>
          <w:sz w:val="21"/>
          <w:szCs w:val="21"/>
        </w:rPr>
        <w:t>uros, de acuerdo con el detalle por capítulo de gastos que a continuación se ofrece:</w:t>
      </w:r>
    </w:p>
    <w:p w14:paraId="2B72FDC9" w14:textId="77777777" w:rsidR="003B28A6" w:rsidRDefault="003B28A6" w:rsidP="003B28A6">
      <w:pPr>
        <w:spacing w:line="276" w:lineRule="auto"/>
        <w:rPr>
          <w:rFonts w:ascii="ArialMT" w:eastAsia="Calibri" w:hAnsi="ArialMT" w:cs="ArialMT"/>
          <w:b/>
          <w:bCs/>
          <w:color w:val="CA211E"/>
          <w:sz w:val="21"/>
          <w:szCs w:val="21"/>
        </w:rPr>
      </w:pPr>
    </w:p>
    <w:p w14:paraId="757EDD49" w14:textId="72621C3A" w:rsidR="003B28A6" w:rsidRPr="003B0C74" w:rsidRDefault="003B28A6" w:rsidP="003B28A6">
      <w:pPr>
        <w:pStyle w:val="Descripcin"/>
        <w:keepNext/>
        <w:rPr>
          <w:rFonts w:ascii="Arial" w:hAnsi="Arial" w:cs="Arial"/>
          <w:smallCaps w:val="0"/>
          <w:sz w:val="18"/>
        </w:rPr>
      </w:pPr>
      <w:bookmarkStart w:id="344" w:name="_Toc66443895"/>
      <w:bookmarkStart w:id="345" w:name="_Toc67646364"/>
      <w:r w:rsidRPr="003B0C74">
        <w:rPr>
          <w:rFonts w:ascii="Arial" w:hAnsi="Arial" w:cs="Arial"/>
          <w:smallCaps w:val="0"/>
          <w:color w:val="9D2235" w:themeColor="accent1"/>
          <w:sz w:val="18"/>
        </w:rPr>
        <w:t xml:space="preserve">Tabla </w:t>
      </w:r>
      <w:r w:rsidRPr="003B0C74">
        <w:rPr>
          <w:rFonts w:ascii="Arial" w:hAnsi="Arial" w:cs="Arial"/>
          <w:smallCaps w:val="0"/>
          <w:sz w:val="18"/>
        </w:rPr>
        <w:fldChar w:fldCharType="begin"/>
      </w:r>
      <w:r w:rsidRPr="003B0C74">
        <w:rPr>
          <w:rFonts w:ascii="Arial" w:hAnsi="Arial" w:cs="Arial"/>
          <w:smallCaps w:val="0"/>
          <w:color w:val="9D2235" w:themeColor="accent1"/>
          <w:sz w:val="18"/>
        </w:rPr>
        <w:instrText xml:space="preserve"> SEQ Tabla \* ARABIC </w:instrText>
      </w:r>
      <w:r w:rsidRPr="003B0C74">
        <w:rPr>
          <w:rFonts w:ascii="Arial" w:hAnsi="Arial" w:cs="Arial"/>
          <w:smallCaps w:val="0"/>
          <w:sz w:val="18"/>
        </w:rPr>
        <w:fldChar w:fldCharType="separate"/>
      </w:r>
      <w:r w:rsidR="00ED7F0D">
        <w:rPr>
          <w:rFonts w:ascii="Arial" w:hAnsi="Arial" w:cs="Arial"/>
          <w:smallCaps w:val="0"/>
          <w:noProof/>
          <w:color w:val="9D2235" w:themeColor="accent1"/>
          <w:sz w:val="18"/>
        </w:rPr>
        <w:t>27</w:t>
      </w:r>
      <w:r w:rsidRPr="003B0C74">
        <w:rPr>
          <w:rFonts w:ascii="Arial" w:hAnsi="Arial" w:cs="Arial"/>
          <w:smallCaps w:val="0"/>
          <w:sz w:val="18"/>
        </w:rPr>
        <w:fldChar w:fldCharType="end"/>
      </w:r>
      <w:r w:rsidRPr="003B0C74">
        <w:rPr>
          <w:rFonts w:ascii="Arial" w:hAnsi="Arial" w:cs="Arial"/>
          <w:smallCaps w:val="0"/>
          <w:color w:val="9D2235" w:themeColor="accent1"/>
          <w:sz w:val="18"/>
        </w:rPr>
        <w:t xml:space="preserve">. </w:t>
      </w:r>
      <w:r w:rsidRPr="003B0C74">
        <w:rPr>
          <w:rFonts w:ascii="Arial" w:hAnsi="Arial" w:cs="Arial"/>
          <w:smallCaps w:val="0"/>
          <w:sz w:val="18"/>
        </w:rPr>
        <w:t>Presupuesto de gastos ejercicio 2020</w:t>
      </w:r>
      <w:bookmarkEnd w:id="344"/>
      <w:bookmarkEnd w:id="345"/>
    </w:p>
    <w:tbl>
      <w:tblPr>
        <w:tblW w:w="5889" w:type="dxa"/>
        <w:jc w:val="center"/>
        <w:tblCellMar>
          <w:left w:w="43" w:type="dxa"/>
        </w:tblCellMar>
        <w:tblLook w:val="04A0" w:firstRow="1" w:lastRow="0" w:firstColumn="1" w:lastColumn="0" w:noHBand="0" w:noVBand="1"/>
      </w:tblPr>
      <w:tblGrid>
        <w:gridCol w:w="3062"/>
        <w:gridCol w:w="2827"/>
      </w:tblGrid>
      <w:tr w:rsidR="003B28A6" w14:paraId="4B90135A" w14:textId="77777777" w:rsidTr="003B28A6">
        <w:trPr>
          <w:trHeight w:val="492"/>
          <w:jc w:val="center"/>
        </w:trPr>
        <w:tc>
          <w:tcPr>
            <w:tcW w:w="5889" w:type="dxa"/>
            <w:gridSpan w:val="2"/>
            <w:tcBorders>
              <w:top w:val="single" w:sz="18" w:space="0" w:color="FFFFFF"/>
              <w:left w:val="single" w:sz="18" w:space="0" w:color="FFFFFF"/>
              <w:bottom w:val="nil"/>
              <w:right w:val="single" w:sz="18" w:space="0" w:color="FFFFFF"/>
            </w:tcBorders>
            <w:shd w:val="clear" w:color="auto" w:fill="9D2235"/>
            <w:vAlign w:val="center"/>
            <w:hideMark/>
          </w:tcPr>
          <w:p w14:paraId="1EFC2E7C" w14:textId="77777777" w:rsidR="003B28A6" w:rsidRDefault="003B28A6">
            <w:pPr>
              <w:pStyle w:val="Standard"/>
              <w:spacing w:line="276" w:lineRule="auto"/>
              <w:jc w:val="both"/>
              <w:rPr>
                <w:rFonts w:ascii="Arial" w:hAnsi="Arial"/>
                <w:b/>
                <w:bCs/>
                <w:color w:val="FFFFFF"/>
                <w:sz w:val="18"/>
                <w:szCs w:val="18"/>
                <w:lang w:eastAsia="es-ES"/>
              </w:rPr>
            </w:pPr>
            <w:r>
              <w:rPr>
                <w:rFonts w:ascii="Arial" w:hAnsi="Arial"/>
                <w:b/>
                <w:bCs/>
                <w:color w:val="FFFFFF"/>
                <w:sz w:val="18"/>
                <w:szCs w:val="18"/>
                <w:lang w:eastAsia="es-ES"/>
              </w:rPr>
              <w:t>PRESUPUESTO GASTOS 2020</w:t>
            </w:r>
          </w:p>
        </w:tc>
      </w:tr>
      <w:tr w:rsidR="003B28A6" w14:paraId="7426FCA9" w14:textId="77777777" w:rsidTr="003B28A6">
        <w:trPr>
          <w:jc w:val="center"/>
        </w:trPr>
        <w:tc>
          <w:tcPr>
            <w:tcW w:w="3062" w:type="dxa"/>
            <w:tcBorders>
              <w:top w:val="nil"/>
              <w:left w:val="nil"/>
              <w:bottom w:val="single" w:sz="4" w:space="0" w:color="993333"/>
              <w:right w:val="nil"/>
            </w:tcBorders>
            <w:shd w:val="clear" w:color="auto" w:fill="FFFFFF"/>
            <w:hideMark/>
          </w:tcPr>
          <w:p w14:paraId="71434865" w14:textId="77777777" w:rsidR="003B28A6" w:rsidRDefault="003B28A6">
            <w:pPr>
              <w:pStyle w:val="Standard"/>
              <w:spacing w:line="276" w:lineRule="auto"/>
              <w:jc w:val="both"/>
              <w:rPr>
                <w:rFonts w:ascii="Arial" w:hAnsi="Arial"/>
                <w:sz w:val="18"/>
                <w:szCs w:val="18"/>
                <w:lang w:eastAsia="es-ES"/>
              </w:rPr>
            </w:pPr>
            <w:r>
              <w:rPr>
                <w:rFonts w:ascii="Arial" w:hAnsi="Arial"/>
                <w:sz w:val="18"/>
                <w:szCs w:val="18"/>
                <w:lang w:eastAsia="es-ES"/>
              </w:rPr>
              <w:t xml:space="preserve">     CAP. I</w:t>
            </w:r>
          </w:p>
        </w:tc>
        <w:tc>
          <w:tcPr>
            <w:tcW w:w="2827" w:type="dxa"/>
            <w:tcBorders>
              <w:top w:val="nil"/>
              <w:left w:val="nil"/>
              <w:bottom w:val="single" w:sz="4" w:space="0" w:color="993333"/>
              <w:right w:val="nil"/>
            </w:tcBorders>
            <w:shd w:val="clear" w:color="auto" w:fill="FFFFFF"/>
            <w:hideMark/>
          </w:tcPr>
          <w:p w14:paraId="3D3D4FB1" w14:textId="77777777" w:rsidR="003B28A6" w:rsidRDefault="003B28A6">
            <w:pPr>
              <w:pStyle w:val="Standard"/>
              <w:spacing w:line="276" w:lineRule="auto"/>
              <w:jc w:val="right"/>
              <w:rPr>
                <w:rFonts w:ascii="Arial" w:eastAsia="Times New Roman" w:hAnsi="Arial"/>
                <w:color w:val="000000"/>
                <w:sz w:val="18"/>
                <w:szCs w:val="18"/>
                <w:lang w:eastAsia="es-ES"/>
              </w:rPr>
            </w:pPr>
            <w:r>
              <w:rPr>
                <w:rFonts w:ascii="Arial" w:eastAsia="Times New Roman" w:hAnsi="Arial"/>
                <w:color w:val="000000"/>
                <w:sz w:val="18"/>
                <w:szCs w:val="18"/>
                <w:lang w:eastAsia="es-ES"/>
              </w:rPr>
              <w:t>3.456.767,80</w:t>
            </w:r>
          </w:p>
        </w:tc>
      </w:tr>
      <w:tr w:rsidR="003B28A6" w14:paraId="3B287E37" w14:textId="77777777" w:rsidTr="003B28A6">
        <w:trPr>
          <w:jc w:val="center"/>
        </w:trPr>
        <w:tc>
          <w:tcPr>
            <w:tcW w:w="3062" w:type="dxa"/>
            <w:tcBorders>
              <w:top w:val="single" w:sz="4" w:space="0" w:color="993333"/>
              <w:left w:val="nil"/>
              <w:bottom w:val="single" w:sz="4" w:space="0" w:color="993333"/>
              <w:right w:val="nil"/>
            </w:tcBorders>
            <w:shd w:val="clear" w:color="auto" w:fill="FFFFFF"/>
            <w:hideMark/>
          </w:tcPr>
          <w:p w14:paraId="16B7C48D" w14:textId="77777777" w:rsidR="003B28A6" w:rsidRDefault="003B28A6">
            <w:pPr>
              <w:pStyle w:val="Standard"/>
              <w:spacing w:line="276" w:lineRule="auto"/>
              <w:jc w:val="both"/>
              <w:rPr>
                <w:rFonts w:ascii="Arial" w:hAnsi="Arial"/>
                <w:sz w:val="18"/>
                <w:szCs w:val="18"/>
                <w:lang w:eastAsia="es-ES"/>
              </w:rPr>
            </w:pPr>
            <w:r>
              <w:rPr>
                <w:rFonts w:ascii="Arial" w:hAnsi="Arial"/>
                <w:sz w:val="18"/>
                <w:szCs w:val="18"/>
                <w:lang w:eastAsia="es-ES"/>
              </w:rPr>
              <w:t xml:space="preserve">     CAP. II</w:t>
            </w:r>
          </w:p>
        </w:tc>
        <w:tc>
          <w:tcPr>
            <w:tcW w:w="2827" w:type="dxa"/>
            <w:tcBorders>
              <w:top w:val="single" w:sz="4" w:space="0" w:color="993333"/>
              <w:left w:val="nil"/>
              <w:bottom w:val="single" w:sz="4" w:space="0" w:color="993333"/>
              <w:right w:val="nil"/>
            </w:tcBorders>
            <w:shd w:val="clear" w:color="auto" w:fill="FFFFFF"/>
            <w:hideMark/>
          </w:tcPr>
          <w:p w14:paraId="22FC1118" w14:textId="77777777" w:rsidR="003B28A6" w:rsidRDefault="003B28A6">
            <w:pPr>
              <w:pStyle w:val="Standard"/>
              <w:spacing w:line="276" w:lineRule="auto"/>
              <w:jc w:val="right"/>
              <w:rPr>
                <w:rFonts w:ascii="Arial" w:eastAsia="Times New Roman" w:hAnsi="Arial"/>
                <w:color w:val="000000"/>
                <w:sz w:val="18"/>
                <w:szCs w:val="18"/>
                <w:lang w:eastAsia="es-ES"/>
              </w:rPr>
            </w:pPr>
            <w:r>
              <w:rPr>
                <w:rFonts w:ascii="Arial" w:eastAsia="Times New Roman" w:hAnsi="Arial"/>
                <w:color w:val="000000"/>
                <w:sz w:val="18"/>
                <w:szCs w:val="18"/>
                <w:lang w:eastAsia="es-ES"/>
              </w:rPr>
              <w:t>770.661,99</w:t>
            </w:r>
          </w:p>
        </w:tc>
      </w:tr>
      <w:tr w:rsidR="003B28A6" w14:paraId="35D5A72A" w14:textId="77777777" w:rsidTr="003B28A6">
        <w:trPr>
          <w:jc w:val="center"/>
        </w:trPr>
        <w:tc>
          <w:tcPr>
            <w:tcW w:w="3062" w:type="dxa"/>
            <w:tcBorders>
              <w:top w:val="single" w:sz="4" w:space="0" w:color="993333"/>
              <w:left w:val="nil"/>
              <w:bottom w:val="single" w:sz="4" w:space="0" w:color="993333"/>
              <w:right w:val="nil"/>
            </w:tcBorders>
            <w:shd w:val="clear" w:color="auto" w:fill="FFFFFF"/>
            <w:hideMark/>
          </w:tcPr>
          <w:p w14:paraId="1B7EDC2C" w14:textId="77777777" w:rsidR="003B28A6" w:rsidRDefault="003B28A6">
            <w:pPr>
              <w:pStyle w:val="Standard"/>
              <w:spacing w:line="276" w:lineRule="auto"/>
              <w:jc w:val="both"/>
              <w:rPr>
                <w:rFonts w:ascii="Arial" w:hAnsi="Arial"/>
                <w:sz w:val="18"/>
                <w:szCs w:val="18"/>
                <w:lang w:eastAsia="es-ES"/>
              </w:rPr>
            </w:pPr>
            <w:r>
              <w:rPr>
                <w:rFonts w:ascii="Arial" w:hAnsi="Arial"/>
                <w:sz w:val="18"/>
                <w:szCs w:val="18"/>
                <w:lang w:eastAsia="es-ES"/>
              </w:rPr>
              <w:t xml:space="preserve">     CAP. VI</w:t>
            </w:r>
          </w:p>
        </w:tc>
        <w:tc>
          <w:tcPr>
            <w:tcW w:w="2827" w:type="dxa"/>
            <w:tcBorders>
              <w:top w:val="single" w:sz="4" w:space="0" w:color="993333"/>
              <w:left w:val="nil"/>
              <w:bottom w:val="single" w:sz="4" w:space="0" w:color="993333"/>
              <w:right w:val="nil"/>
            </w:tcBorders>
            <w:shd w:val="clear" w:color="auto" w:fill="FFFFFF"/>
            <w:hideMark/>
          </w:tcPr>
          <w:p w14:paraId="6CD155CE" w14:textId="77777777" w:rsidR="003B28A6" w:rsidRDefault="003B28A6">
            <w:pPr>
              <w:pStyle w:val="Standard"/>
              <w:spacing w:line="276" w:lineRule="auto"/>
              <w:jc w:val="right"/>
              <w:rPr>
                <w:rFonts w:ascii="Arial" w:eastAsia="Times New Roman" w:hAnsi="Arial"/>
                <w:color w:val="000000"/>
                <w:sz w:val="18"/>
                <w:szCs w:val="18"/>
                <w:lang w:eastAsia="es-ES"/>
              </w:rPr>
            </w:pPr>
            <w:r>
              <w:rPr>
                <w:rFonts w:ascii="Arial" w:eastAsia="Times New Roman" w:hAnsi="Arial"/>
                <w:color w:val="000000"/>
                <w:sz w:val="18"/>
                <w:szCs w:val="18"/>
                <w:lang w:eastAsia="es-ES"/>
              </w:rPr>
              <w:t>242.445,95</w:t>
            </w:r>
          </w:p>
        </w:tc>
      </w:tr>
      <w:tr w:rsidR="003B28A6" w14:paraId="48EE325E" w14:textId="77777777" w:rsidTr="003B28A6">
        <w:trPr>
          <w:jc w:val="center"/>
        </w:trPr>
        <w:tc>
          <w:tcPr>
            <w:tcW w:w="3062" w:type="dxa"/>
            <w:tcBorders>
              <w:top w:val="single" w:sz="4" w:space="0" w:color="993333"/>
              <w:left w:val="nil"/>
              <w:bottom w:val="single" w:sz="4" w:space="0" w:color="993333"/>
              <w:right w:val="nil"/>
            </w:tcBorders>
            <w:shd w:val="clear" w:color="auto" w:fill="EEEEEE"/>
            <w:hideMark/>
          </w:tcPr>
          <w:p w14:paraId="607ABC50" w14:textId="77777777" w:rsidR="003B28A6" w:rsidRDefault="003B28A6">
            <w:pPr>
              <w:pStyle w:val="Standard"/>
              <w:spacing w:line="276" w:lineRule="auto"/>
              <w:jc w:val="both"/>
              <w:rPr>
                <w:rFonts w:ascii="Arial" w:hAnsi="Arial"/>
                <w:b/>
                <w:bCs/>
                <w:sz w:val="18"/>
                <w:szCs w:val="18"/>
                <w:lang w:eastAsia="es-ES"/>
              </w:rPr>
            </w:pPr>
            <w:r>
              <w:rPr>
                <w:rFonts w:ascii="Arial" w:hAnsi="Arial"/>
                <w:b/>
                <w:bCs/>
                <w:sz w:val="18"/>
                <w:szCs w:val="18"/>
                <w:lang w:eastAsia="es-ES"/>
              </w:rPr>
              <w:t xml:space="preserve">    TOTAL PRESUPUESTO</w:t>
            </w:r>
          </w:p>
        </w:tc>
        <w:tc>
          <w:tcPr>
            <w:tcW w:w="2827" w:type="dxa"/>
            <w:tcBorders>
              <w:top w:val="single" w:sz="4" w:space="0" w:color="993333"/>
              <w:left w:val="nil"/>
              <w:bottom w:val="single" w:sz="4" w:space="0" w:color="993333"/>
              <w:right w:val="nil"/>
            </w:tcBorders>
            <w:shd w:val="clear" w:color="auto" w:fill="EEEEEE"/>
            <w:hideMark/>
          </w:tcPr>
          <w:p w14:paraId="5F9742E5" w14:textId="77777777" w:rsidR="003B28A6" w:rsidRDefault="003B28A6">
            <w:pPr>
              <w:pStyle w:val="Standard"/>
              <w:spacing w:line="276" w:lineRule="auto"/>
              <w:jc w:val="right"/>
              <w:rPr>
                <w:rFonts w:ascii="Arial" w:eastAsia="Times New Roman" w:hAnsi="Arial"/>
                <w:b/>
                <w:bCs/>
                <w:color w:val="000000"/>
                <w:sz w:val="18"/>
                <w:szCs w:val="18"/>
                <w:lang w:eastAsia="es-ES"/>
              </w:rPr>
            </w:pPr>
            <w:r>
              <w:rPr>
                <w:rFonts w:ascii="Arial" w:eastAsia="Times New Roman" w:hAnsi="Arial"/>
                <w:b/>
                <w:bCs/>
                <w:color w:val="000000"/>
                <w:sz w:val="18"/>
                <w:szCs w:val="18"/>
                <w:lang w:eastAsia="es-ES"/>
              </w:rPr>
              <w:t>4.469.875,74</w:t>
            </w:r>
          </w:p>
        </w:tc>
      </w:tr>
    </w:tbl>
    <w:p w14:paraId="750F1E8E" w14:textId="77777777" w:rsidR="003B28A6" w:rsidRDefault="003B28A6" w:rsidP="003B28A6">
      <w:pPr>
        <w:pStyle w:val="Standard"/>
        <w:tabs>
          <w:tab w:val="left" w:pos="283"/>
        </w:tabs>
        <w:spacing w:line="276" w:lineRule="auto"/>
        <w:jc w:val="both"/>
        <w:rPr>
          <w:rFonts w:ascii="Arial" w:hAnsi="Arial" w:cs="TimesNewRomanPSMT"/>
          <w:color w:val="94070A"/>
          <w:sz w:val="21"/>
          <w:szCs w:val="22"/>
        </w:rPr>
      </w:pPr>
    </w:p>
    <w:p w14:paraId="601428B1" w14:textId="77777777" w:rsidR="003B28A6" w:rsidRDefault="003B28A6" w:rsidP="003B28A6">
      <w:pPr>
        <w:pStyle w:val="Standard"/>
        <w:spacing w:line="276" w:lineRule="auto"/>
        <w:jc w:val="both"/>
        <w:rPr>
          <w:rFonts w:ascii="Arial" w:hAnsi="Arial" w:cs="TimesNewRomanPSMT"/>
          <w:sz w:val="21"/>
          <w:szCs w:val="21"/>
        </w:rPr>
      </w:pPr>
      <w:r>
        <w:rPr>
          <w:rFonts w:ascii="Arial" w:hAnsi="Arial" w:cs="TimesNewRomanPSMT"/>
          <w:sz w:val="21"/>
          <w:szCs w:val="21"/>
        </w:rPr>
        <w:t>La financiación prevista de los créditos contemplados en el presupuesto de gastos de la Agencia para 2020 procede íntegramente de transferencias de la Generalitat Valenciana, según la siguiente distribución:</w:t>
      </w:r>
    </w:p>
    <w:p w14:paraId="0069F8EE" w14:textId="77777777" w:rsidR="003B28A6" w:rsidRDefault="003B28A6" w:rsidP="003B28A6">
      <w:pPr>
        <w:pStyle w:val="Standard"/>
        <w:spacing w:line="276" w:lineRule="auto"/>
        <w:jc w:val="both"/>
        <w:rPr>
          <w:rFonts w:ascii="Arial" w:hAnsi="Arial" w:cs="TimesNewRomanPSMT"/>
          <w:sz w:val="21"/>
          <w:szCs w:val="21"/>
        </w:rPr>
      </w:pPr>
    </w:p>
    <w:p w14:paraId="7C7F61C7" w14:textId="7CDD7194" w:rsidR="003B28A6" w:rsidRPr="003B0C74" w:rsidRDefault="003B28A6" w:rsidP="003B28A6">
      <w:pPr>
        <w:pStyle w:val="Descripcin"/>
        <w:keepNext/>
        <w:rPr>
          <w:rFonts w:ascii="Arial" w:hAnsi="Arial" w:cs="Arial"/>
          <w:smallCaps w:val="0"/>
          <w:sz w:val="18"/>
        </w:rPr>
      </w:pPr>
      <w:bookmarkStart w:id="346" w:name="_Toc66443896"/>
      <w:bookmarkStart w:id="347" w:name="_Toc67646365"/>
      <w:r w:rsidRPr="003B0C74">
        <w:rPr>
          <w:rFonts w:ascii="Arial" w:hAnsi="Arial" w:cs="Arial"/>
          <w:smallCaps w:val="0"/>
          <w:color w:val="9D2235" w:themeColor="accent1"/>
          <w:sz w:val="18"/>
        </w:rPr>
        <w:t xml:space="preserve">Tabla </w:t>
      </w:r>
      <w:r w:rsidRPr="003B0C74">
        <w:rPr>
          <w:rFonts w:ascii="Arial" w:hAnsi="Arial" w:cs="Arial"/>
          <w:smallCaps w:val="0"/>
          <w:sz w:val="18"/>
        </w:rPr>
        <w:fldChar w:fldCharType="begin"/>
      </w:r>
      <w:r w:rsidRPr="003B0C74">
        <w:rPr>
          <w:rFonts w:ascii="Arial" w:hAnsi="Arial" w:cs="Arial"/>
          <w:smallCaps w:val="0"/>
          <w:color w:val="9D2235" w:themeColor="accent1"/>
          <w:sz w:val="18"/>
        </w:rPr>
        <w:instrText xml:space="preserve"> SEQ Tabla \* ARABIC </w:instrText>
      </w:r>
      <w:r w:rsidRPr="003B0C74">
        <w:rPr>
          <w:rFonts w:ascii="Arial" w:hAnsi="Arial" w:cs="Arial"/>
          <w:smallCaps w:val="0"/>
          <w:sz w:val="18"/>
        </w:rPr>
        <w:fldChar w:fldCharType="separate"/>
      </w:r>
      <w:r w:rsidR="00ED7F0D">
        <w:rPr>
          <w:rFonts w:ascii="Arial" w:hAnsi="Arial" w:cs="Arial"/>
          <w:smallCaps w:val="0"/>
          <w:noProof/>
          <w:color w:val="9D2235" w:themeColor="accent1"/>
          <w:sz w:val="18"/>
        </w:rPr>
        <w:t>28</w:t>
      </w:r>
      <w:r w:rsidRPr="003B0C74">
        <w:rPr>
          <w:rFonts w:ascii="Arial" w:hAnsi="Arial" w:cs="Arial"/>
          <w:smallCaps w:val="0"/>
          <w:sz w:val="18"/>
        </w:rPr>
        <w:fldChar w:fldCharType="end"/>
      </w:r>
      <w:r w:rsidRPr="003B0C74">
        <w:rPr>
          <w:rFonts w:ascii="Arial" w:hAnsi="Arial" w:cs="Arial"/>
          <w:smallCaps w:val="0"/>
          <w:color w:val="9D2235" w:themeColor="accent1"/>
          <w:sz w:val="18"/>
        </w:rPr>
        <w:t xml:space="preserve">. </w:t>
      </w:r>
      <w:r w:rsidRPr="003B0C74">
        <w:rPr>
          <w:rFonts w:ascii="Arial" w:hAnsi="Arial" w:cs="Arial"/>
          <w:smallCaps w:val="0"/>
          <w:sz w:val="18"/>
        </w:rPr>
        <w:t>Presupuesto de ingresos ejercicio 2020</w:t>
      </w:r>
      <w:bookmarkEnd w:id="346"/>
      <w:bookmarkEnd w:id="347"/>
    </w:p>
    <w:tbl>
      <w:tblPr>
        <w:tblW w:w="5842" w:type="dxa"/>
        <w:jc w:val="center"/>
        <w:tblCellMar>
          <w:left w:w="43" w:type="dxa"/>
        </w:tblCellMar>
        <w:tblLook w:val="04A0" w:firstRow="1" w:lastRow="0" w:firstColumn="1" w:lastColumn="0" w:noHBand="0" w:noVBand="1"/>
      </w:tblPr>
      <w:tblGrid>
        <w:gridCol w:w="3062"/>
        <w:gridCol w:w="2780"/>
      </w:tblGrid>
      <w:tr w:rsidR="003B28A6" w14:paraId="7E0D202E" w14:textId="77777777" w:rsidTr="003B28A6">
        <w:trPr>
          <w:trHeight w:val="401"/>
          <w:jc w:val="center"/>
        </w:trPr>
        <w:tc>
          <w:tcPr>
            <w:tcW w:w="5842" w:type="dxa"/>
            <w:gridSpan w:val="2"/>
            <w:tcBorders>
              <w:top w:val="single" w:sz="18" w:space="0" w:color="FFFFFF"/>
              <w:left w:val="single" w:sz="18" w:space="0" w:color="FFFFFF"/>
              <w:bottom w:val="nil"/>
              <w:right w:val="single" w:sz="18" w:space="0" w:color="FFFFFF"/>
            </w:tcBorders>
            <w:shd w:val="clear" w:color="auto" w:fill="9D2235"/>
            <w:vAlign w:val="center"/>
            <w:hideMark/>
          </w:tcPr>
          <w:p w14:paraId="3DD70CA6" w14:textId="77777777" w:rsidR="003B28A6" w:rsidRDefault="003B28A6">
            <w:pPr>
              <w:pStyle w:val="Standard"/>
              <w:spacing w:line="276" w:lineRule="auto"/>
              <w:jc w:val="both"/>
              <w:rPr>
                <w:rFonts w:ascii="Arial" w:hAnsi="Arial"/>
                <w:b/>
                <w:bCs/>
                <w:color w:val="FFFFFF"/>
                <w:sz w:val="18"/>
                <w:szCs w:val="18"/>
                <w:lang w:eastAsia="es-ES"/>
              </w:rPr>
            </w:pPr>
            <w:r>
              <w:rPr>
                <w:rFonts w:ascii="Arial" w:hAnsi="Arial"/>
                <w:b/>
                <w:bCs/>
                <w:color w:val="FFFFFF"/>
                <w:sz w:val="18"/>
                <w:szCs w:val="18"/>
                <w:lang w:eastAsia="es-ES"/>
              </w:rPr>
              <w:t>PRESUPUESTO INGRESOS 2020</w:t>
            </w:r>
          </w:p>
        </w:tc>
      </w:tr>
      <w:tr w:rsidR="003B28A6" w14:paraId="3C2C8D7E" w14:textId="77777777" w:rsidTr="003B28A6">
        <w:trPr>
          <w:jc w:val="center"/>
        </w:trPr>
        <w:tc>
          <w:tcPr>
            <w:tcW w:w="3062" w:type="dxa"/>
            <w:tcBorders>
              <w:top w:val="nil"/>
              <w:left w:val="nil"/>
              <w:bottom w:val="single" w:sz="4" w:space="0" w:color="993333"/>
              <w:right w:val="nil"/>
            </w:tcBorders>
            <w:shd w:val="clear" w:color="auto" w:fill="FFFFFF"/>
            <w:hideMark/>
          </w:tcPr>
          <w:p w14:paraId="589889C8" w14:textId="77777777" w:rsidR="003B28A6" w:rsidRDefault="003B28A6">
            <w:pPr>
              <w:pStyle w:val="Standard"/>
              <w:spacing w:line="276" w:lineRule="auto"/>
              <w:jc w:val="both"/>
              <w:rPr>
                <w:rFonts w:ascii="Arial" w:hAnsi="Arial"/>
                <w:sz w:val="18"/>
                <w:szCs w:val="18"/>
                <w:lang w:eastAsia="es-ES"/>
              </w:rPr>
            </w:pPr>
            <w:r>
              <w:rPr>
                <w:rFonts w:ascii="Arial" w:hAnsi="Arial"/>
                <w:sz w:val="18"/>
                <w:szCs w:val="18"/>
                <w:lang w:eastAsia="es-ES"/>
              </w:rPr>
              <w:t xml:space="preserve">     CAP. IV</w:t>
            </w:r>
          </w:p>
        </w:tc>
        <w:tc>
          <w:tcPr>
            <w:tcW w:w="2780" w:type="dxa"/>
            <w:tcBorders>
              <w:top w:val="nil"/>
              <w:left w:val="nil"/>
              <w:bottom w:val="single" w:sz="4" w:space="0" w:color="993333"/>
              <w:right w:val="nil"/>
            </w:tcBorders>
            <w:shd w:val="clear" w:color="auto" w:fill="FFFFFF"/>
            <w:hideMark/>
          </w:tcPr>
          <w:p w14:paraId="6EEAAE45" w14:textId="77777777" w:rsidR="003B28A6" w:rsidRDefault="003B28A6">
            <w:pPr>
              <w:pStyle w:val="Standard"/>
              <w:spacing w:line="276" w:lineRule="auto"/>
              <w:jc w:val="right"/>
              <w:rPr>
                <w:rFonts w:ascii="Arial" w:eastAsia="Times New Roman" w:hAnsi="Arial"/>
                <w:color w:val="000000"/>
                <w:sz w:val="18"/>
                <w:szCs w:val="18"/>
                <w:lang w:eastAsia="es-ES"/>
              </w:rPr>
            </w:pPr>
            <w:r>
              <w:rPr>
                <w:rFonts w:ascii="Arial" w:eastAsia="Times New Roman" w:hAnsi="Arial"/>
                <w:color w:val="000000"/>
                <w:sz w:val="18"/>
                <w:szCs w:val="18"/>
                <w:lang w:eastAsia="es-ES"/>
              </w:rPr>
              <w:t>4.227.429,79</w:t>
            </w:r>
          </w:p>
        </w:tc>
      </w:tr>
      <w:tr w:rsidR="003B28A6" w14:paraId="63BAAA56" w14:textId="77777777" w:rsidTr="003B28A6">
        <w:trPr>
          <w:jc w:val="center"/>
        </w:trPr>
        <w:tc>
          <w:tcPr>
            <w:tcW w:w="3062" w:type="dxa"/>
            <w:tcBorders>
              <w:top w:val="single" w:sz="4" w:space="0" w:color="993333"/>
              <w:left w:val="nil"/>
              <w:bottom w:val="single" w:sz="4" w:space="0" w:color="993333"/>
              <w:right w:val="nil"/>
            </w:tcBorders>
            <w:shd w:val="clear" w:color="auto" w:fill="FFFFFF"/>
            <w:hideMark/>
          </w:tcPr>
          <w:p w14:paraId="143D0181" w14:textId="77777777" w:rsidR="003B28A6" w:rsidRDefault="003B28A6">
            <w:pPr>
              <w:pStyle w:val="Standard"/>
              <w:spacing w:line="276" w:lineRule="auto"/>
              <w:jc w:val="both"/>
              <w:rPr>
                <w:rFonts w:ascii="Arial" w:hAnsi="Arial"/>
                <w:sz w:val="18"/>
                <w:szCs w:val="18"/>
                <w:lang w:eastAsia="es-ES"/>
              </w:rPr>
            </w:pPr>
            <w:r>
              <w:rPr>
                <w:rFonts w:ascii="Arial" w:hAnsi="Arial"/>
                <w:sz w:val="18"/>
                <w:szCs w:val="18"/>
                <w:lang w:eastAsia="es-ES"/>
              </w:rPr>
              <w:t xml:space="preserve">     CAP. VII</w:t>
            </w:r>
          </w:p>
        </w:tc>
        <w:tc>
          <w:tcPr>
            <w:tcW w:w="2780" w:type="dxa"/>
            <w:tcBorders>
              <w:top w:val="single" w:sz="4" w:space="0" w:color="993333"/>
              <w:left w:val="nil"/>
              <w:bottom w:val="single" w:sz="4" w:space="0" w:color="993333"/>
              <w:right w:val="nil"/>
            </w:tcBorders>
            <w:shd w:val="clear" w:color="auto" w:fill="FFFFFF"/>
            <w:hideMark/>
          </w:tcPr>
          <w:p w14:paraId="036F6678" w14:textId="77777777" w:rsidR="003B28A6" w:rsidRDefault="003B28A6">
            <w:pPr>
              <w:pStyle w:val="Standard"/>
              <w:spacing w:line="276" w:lineRule="auto"/>
              <w:jc w:val="right"/>
              <w:rPr>
                <w:rFonts w:ascii="Arial" w:eastAsia="Times New Roman" w:hAnsi="Arial"/>
                <w:color w:val="000000"/>
                <w:sz w:val="18"/>
                <w:szCs w:val="18"/>
                <w:lang w:eastAsia="es-ES"/>
              </w:rPr>
            </w:pPr>
            <w:r>
              <w:rPr>
                <w:rFonts w:ascii="Arial" w:eastAsia="Times New Roman" w:hAnsi="Arial"/>
                <w:color w:val="000000"/>
                <w:sz w:val="18"/>
                <w:szCs w:val="18"/>
                <w:lang w:eastAsia="es-ES"/>
              </w:rPr>
              <w:t>242.445,95</w:t>
            </w:r>
          </w:p>
        </w:tc>
      </w:tr>
      <w:tr w:rsidR="003B28A6" w14:paraId="21D8AA43" w14:textId="77777777" w:rsidTr="003B28A6">
        <w:trPr>
          <w:jc w:val="center"/>
        </w:trPr>
        <w:tc>
          <w:tcPr>
            <w:tcW w:w="3062" w:type="dxa"/>
            <w:tcBorders>
              <w:top w:val="single" w:sz="4" w:space="0" w:color="993333"/>
              <w:left w:val="nil"/>
              <w:bottom w:val="single" w:sz="4" w:space="0" w:color="993333"/>
              <w:right w:val="nil"/>
            </w:tcBorders>
            <w:shd w:val="clear" w:color="auto" w:fill="EEEEEE"/>
            <w:hideMark/>
          </w:tcPr>
          <w:p w14:paraId="0B258D8C" w14:textId="77777777" w:rsidR="003B28A6" w:rsidRDefault="003B28A6">
            <w:pPr>
              <w:pStyle w:val="Standard"/>
              <w:spacing w:line="276" w:lineRule="auto"/>
              <w:jc w:val="both"/>
              <w:rPr>
                <w:rFonts w:ascii="Arial" w:hAnsi="Arial"/>
                <w:b/>
                <w:bCs/>
                <w:sz w:val="18"/>
                <w:szCs w:val="18"/>
                <w:lang w:eastAsia="es-ES"/>
              </w:rPr>
            </w:pPr>
            <w:r>
              <w:rPr>
                <w:rFonts w:ascii="Arial" w:hAnsi="Arial"/>
                <w:b/>
                <w:bCs/>
                <w:sz w:val="18"/>
                <w:szCs w:val="18"/>
                <w:lang w:eastAsia="es-ES"/>
              </w:rPr>
              <w:t xml:space="preserve">    TOTAL PRESUPUESTO</w:t>
            </w:r>
          </w:p>
        </w:tc>
        <w:tc>
          <w:tcPr>
            <w:tcW w:w="2780" w:type="dxa"/>
            <w:tcBorders>
              <w:top w:val="single" w:sz="4" w:space="0" w:color="993333"/>
              <w:left w:val="nil"/>
              <w:bottom w:val="single" w:sz="4" w:space="0" w:color="993333"/>
              <w:right w:val="nil"/>
            </w:tcBorders>
            <w:shd w:val="clear" w:color="auto" w:fill="EEEEEE"/>
            <w:hideMark/>
          </w:tcPr>
          <w:p w14:paraId="3AB3E157" w14:textId="77777777" w:rsidR="003B28A6" w:rsidRDefault="003B28A6">
            <w:pPr>
              <w:pStyle w:val="Standard"/>
              <w:spacing w:line="276" w:lineRule="auto"/>
              <w:jc w:val="right"/>
              <w:rPr>
                <w:rFonts w:ascii="Arial" w:eastAsia="Times New Roman" w:hAnsi="Arial"/>
                <w:b/>
                <w:bCs/>
                <w:color w:val="000000"/>
                <w:sz w:val="18"/>
                <w:szCs w:val="18"/>
                <w:lang w:eastAsia="es-ES"/>
              </w:rPr>
            </w:pPr>
            <w:r>
              <w:rPr>
                <w:rFonts w:ascii="Arial" w:eastAsia="Times New Roman" w:hAnsi="Arial"/>
                <w:b/>
                <w:bCs/>
                <w:color w:val="000000"/>
                <w:sz w:val="18"/>
                <w:szCs w:val="18"/>
                <w:lang w:eastAsia="es-ES"/>
              </w:rPr>
              <w:t>4.469.875,74</w:t>
            </w:r>
          </w:p>
        </w:tc>
      </w:tr>
    </w:tbl>
    <w:p w14:paraId="10089626" w14:textId="77777777" w:rsidR="003B28A6" w:rsidRDefault="003B28A6" w:rsidP="003B28A6">
      <w:pPr>
        <w:pStyle w:val="Standard"/>
        <w:spacing w:before="360" w:after="240" w:line="276" w:lineRule="auto"/>
        <w:jc w:val="both"/>
      </w:pPr>
      <w:r>
        <w:rPr>
          <w:rFonts w:ascii="Arial" w:hAnsi="Arial" w:cs="MillerText-Roman"/>
          <w:b/>
          <w:bCs/>
          <w:color w:val="94070A"/>
          <w:sz w:val="21"/>
          <w:szCs w:val="21"/>
        </w:rPr>
        <w:t>Presupuesto de ingresos</w:t>
      </w:r>
      <w:r>
        <w:rPr>
          <w:rFonts w:ascii="Arial" w:hAnsi="Arial" w:cs="MillerText-Roman"/>
          <w:color w:val="94070A"/>
          <w:sz w:val="21"/>
          <w:szCs w:val="21"/>
        </w:rPr>
        <w:t>:</w:t>
      </w:r>
    </w:p>
    <w:p w14:paraId="3474E00F" w14:textId="77777777" w:rsidR="003B28A6" w:rsidRDefault="003B28A6" w:rsidP="003B28A6">
      <w:pPr>
        <w:pStyle w:val="Standard"/>
        <w:spacing w:after="120" w:line="276" w:lineRule="auto"/>
        <w:jc w:val="both"/>
        <w:rPr>
          <w:rFonts w:ascii="Arial" w:hAnsi="Arial" w:cs="MillerText-Roman"/>
          <w:sz w:val="21"/>
        </w:rPr>
      </w:pPr>
      <w:r>
        <w:rPr>
          <w:rFonts w:ascii="Arial" w:hAnsi="Arial" w:cs="MillerText-Roman"/>
          <w:sz w:val="21"/>
        </w:rPr>
        <w:t>Se han hecho efectivas transferencias corrientes por un importe de 1.409.141,32 euros y transferencias de capital por importe de 242.450,00 euros, lo que hace un total de 1.651.591,32 euros.</w:t>
      </w:r>
    </w:p>
    <w:p w14:paraId="02C47865" w14:textId="77777777" w:rsidR="003B28A6" w:rsidRDefault="003B28A6" w:rsidP="003B28A6">
      <w:pPr>
        <w:pStyle w:val="Standard"/>
        <w:spacing w:after="120" w:line="276" w:lineRule="auto"/>
        <w:jc w:val="both"/>
      </w:pPr>
      <w:r>
        <w:rPr>
          <w:rFonts w:ascii="Arial" w:hAnsi="Arial" w:cs="MillerText-Roman"/>
          <w:color w:val="000000"/>
          <w:sz w:val="21"/>
          <w:szCs w:val="21"/>
        </w:rPr>
        <w:t xml:space="preserve">Está pendiente de liquidar </w:t>
      </w:r>
      <w:r>
        <w:rPr>
          <w:rFonts w:ascii="Arial" w:hAnsi="Arial"/>
          <w:sz w:val="21"/>
        </w:rPr>
        <w:t xml:space="preserve">el reintegro de los derechos reconocidos en concepto de transferencias a la Agencia no aplicados al cumplimiento de obligaciones, en cumplimiento del Decreto 204/1990, de 26 de diciembre, del Consell de la Generalitat Valenciana, sobre reintegro de transferencias corrientes y de capital. La Generalitat, mediante Acuerdo del Consell, de 19 de octubre de 2018, aprobó el reintegro correspondiente al ejercicio 2017, pero están pendiente las liquidaciones de los ejercicios 2018, 2019 y 2020. </w:t>
      </w:r>
    </w:p>
    <w:p w14:paraId="464B5F1B" w14:textId="77777777" w:rsidR="003B28A6" w:rsidRDefault="003B28A6" w:rsidP="003B28A6">
      <w:pPr>
        <w:spacing w:after="120" w:line="276" w:lineRule="auto"/>
        <w:jc w:val="both"/>
        <w:rPr>
          <w:rFonts w:ascii="Arial" w:hAnsi="Arial"/>
          <w:sz w:val="21"/>
        </w:rPr>
      </w:pPr>
      <w:r>
        <w:rPr>
          <w:rFonts w:ascii="Arial" w:hAnsi="Arial"/>
          <w:sz w:val="21"/>
        </w:rPr>
        <w:t>En las siguientes tablas se muestra la ejecución del Presupuesto de ingresos durante el ejercicio 2020, así como la comparativa del grado de ejecución respecto del ejercicio 2019:</w:t>
      </w:r>
    </w:p>
    <w:p w14:paraId="548C734A" w14:textId="77777777" w:rsidR="003B28A6" w:rsidRDefault="003B28A6" w:rsidP="003B28A6">
      <w:pPr>
        <w:spacing w:after="0" w:line="276" w:lineRule="auto"/>
        <w:rPr>
          <w:rFonts w:ascii="Arial" w:hAnsi="Arial"/>
          <w:sz w:val="21"/>
        </w:rPr>
        <w:sectPr w:rsidR="003B28A6" w:rsidSect="00DD0CB6">
          <w:pgSz w:w="11906" w:h="16838"/>
          <w:pgMar w:top="1134" w:right="1701" w:bottom="1985" w:left="1701" w:header="567" w:footer="567" w:gutter="0"/>
          <w:cols w:space="720"/>
        </w:sectPr>
      </w:pPr>
    </w:p>
    <w:p w14:paraId="2B2FBE9E" w14:textId="77777777" w:rsidR="003B28A6" w:rsidRDefault="003B28A6" w:rsidP="003B28A6">
      <w:pPr>
        <w:spacing w:after="0" w:line="276" w:lineRule="auto"/>
        <w:rPr>
          <w:rFonts w:ascii="Arial" w:hAnsi="Arial" w:cs="MillerText-Roman"/>
          <w:b/>
          <w:bCs/>
          <w:color w:val="9D2235"/>
          <w:sz w:val="18"/>
          <w:szCs w:val="18"/>
        </w:rPr>
        <w:sectPr w:rsidR="003B28A6" w:rsidSect="00DD0CB6">
          <w:headerReference w:type="default" r:id="rId233"/>
          <w:pgSz w:w="16838" w:h="11906" w:orient="landscape"/>
          <w:pgMar w:top="1134" w:right="1701" w:bottom="1985" w:left="1701" w:header="567" w:footer="567" w:gutter="0"/>
          <w:cols w:space="720"/>
          <w:formProt w:val="0"/>
        </w:sectPr>
      </w:pPr>
    </w:p>
    <w:p w14:paraId="61B079FB" w14:textId="4855E784" w:rsidR="003B28A6" w:rsidRPr="003B0C74" w:rsidRDefault="003B28A6" w:rsidP="003B28A6">
      <w:pPr>
        <w:pStyle w:val="Descripcin"/>
        <w:keepNext/>
        <w:rPr>
          <w:rFonts w:ascii="Arial" w:hAnsi="Arial" w:cs="Arial"/>
          <w:smallCaps w:val="0"/>
          <w:sz w:val="18"/>
        </w:rPr>
      </w:pPr>
      <w:bookmarkStart w:id="348" w:name="_Toc66443897"/>
      <w:bookmarkStart w:id="349" w:name="_Toc67646366"/>
      <w:r w:rsidRPr="003B0C74">
        <w:rPr>
          <w:rFonts w:ascii="Arial" w:hAnsi="Arial" w:cs="Arial"/>
          <w:smallCaps w:val="0"/>
          <w:color w:val="9D2235" w:themeColor="accent1"/>
          <w:sz w:val="18"/>
        </w:rPr>
        <w:t xml:space="preserve">Tabla </w:t>
      </w:r>
      <w:r w:rsidRPr="003B0C74">
        <w:rPr>
          <w:rFonts w:ascii="Arial" w:hAnsi="Arial" w:cs="Arial"/>
          <w:smallCaps w:val="0"/>
          <w:sz w:val="18"/>
        </w:rPr>
        <w:fldChar w:fldCharType="begin"/>
      </w:r>
      <w:r w:rsidRPr="003B0C74">
        <w:rPr>
          <w:rFonts w:ascii="Arial" w:hAnsi="Arial" w:cs="Arial"/>
          <w:smallCaps w:val="0"/>
          <w:color w:val="9D2235" w:themeColor="accent1"/>
          <w:sz w:val="18"/>
        </w:rPr>
        <w:instrText xml:space="preserve"> SEQ Tabla \* ARABIC </w:instrText>
      </w:r>
      <w:r w:rsidRPr="003B0C74">
        <w:rPr>
          <w:rFonts w:ascii="Arial" w:hAnsi="Arial" w:cs="Arial"/>
          <w:smallCaps w:val="0"/>
          <w:sz w:val="18"/>
        </w:rPr>
        <w:fldChar w:fldCharType="separate"/>
      </w:r>
      <w:r w:rsidR="00ED7F0D">
        <w:rPr>
          <w:rFonts w:ascii="Arial" w:hAnsi="Arial" w:cs="Arial"/>
          <w:smallCaps w:val="0"/>
          <w:noProof/>
          <w:color w:val="9D2235" w:themeColor="accent1"/>
          <w:sz w:val="18"/>
        </w:rPr>
        <w:t>29</w:t>
      </w:r>
      <w:r w:rsidRPr="003B0C74">
        <w:rPr>
          <w:rFonts w:ascii="Arial" w:hAnsi="Arial" w:cs="Arial"/>
          <w:smallCaps w:val="0"/>
          <w:sz w:val="18"/>
        </w:rPr>
        <w:fldChar w:fldCharType="end"/>
      </w:r>
      <w:r w:rsidRPr="003B0C74">
        <w:rPr>
          <w:rFonts w:ascii="Arial" w:hAnsi="Arial" w:cs="Arial"/>
          <w:smallCaps w:val="0"/>
          <w:color w:val="9D2235" w:themeColor="accent1"/>
          <w:sz w:val="18"/>
        </w:rPr>
        <w:t xml:space="preserve">. </w:t>
      </w:r>
      <w:r w:rsidRPr="003B0C74">
        <w:rPr>
          <w:rFonts w:ascii="Arial" w:hAnsi="Arial" w:cs="Arial"/>
          <w:smallCaps w:val="0"/>
          <w:sz w:val="18"/>
        </w:rPr>
        <w:t>Ejecución del presupuesto de ingresos ejercicio 2020</w:t>
      </w:r>
      <w:bookmarkEnd w:id="348"/>
      <w:bookmarkEnd w:id="349"/>
    </w:p>
    <w:tbl>
      <w:tblPr>
        <w:tblW w:w="4864" w:type="pct"/>
        <w:tblInd w:w="284" w:type="dxa"/>
        <w:tblCellMar>
          <w:top w:w="55" w:type="dxa"/>
          <w:left w:w="55" w:type="dxa"/>
          <w:bottom w:w="55" w:type="dxa"/>
          <w:right w:w="55" w:type="dxa"/>
        </w:tblCellMar>
        <w:tblLook w:val="04A0" w:firstRow="1" w:lastRow="0" w:firstColumn="1" w:lastColumn="0" w:noHBand="0" w:noVBand="1"/>
      </w:tblPr>
      <w:tblGrid>
        <w:gridCol w:w="1592"/>
        <w:gridCol w:w="1516"/>
        <w:gridCol w:w="1600"/>
        <w:gridCol w:w="1589"/>
        <w:gridCol w:w="2120"/>
        <w:gridCol w:w="1812"/>
        <w:gridCol w:w="1532"/>
        <w:gridCol w:w="1310"/>
      </w:tblGrid>
      <w:tr w:rsidR="003B28A6" w14:paraId="49E63D48" w14:textId="77777777" w:rsidTr="003B28A6">
        <w:tc>
          <w:tcPr>
            <w:tcW w:w="609" w:type="pct"/>
            <w:shd w:val="clear" w:color="auto" w:fill="9D2235"/>
            <w:hideMark/>
          </w:tcPr>
          <w:p w14:paraId="4A447012" w14:textId="77777777" w:rsidR="003B28A6" w:rsidRDefault="003B28A6">
            <w:pPr>
              <w:pStyle w:val="Standard"/>
              <w:spacing w:line="276" w:lineRule="auto"/>
              <w:jc w:val="center"/>
              <w:rPr>
                <w:rFonts w:ascii="Arial" w:hAnsi="Arial"/>
                <w:b/>
                <w:bCs/>
                <w:color w:val="FFFFFF"/>
                <w:sz w:val="16"/>
                <w:szCs w:val="16"/>
              </w:rPr>
            </w:pPr>
            <w:r>
              <w:rPr>
                <w:rFonts w:ascii="Arial" w:hAnsi="Arial"/>
                <w:b/>
                <w:bCs/>
                <w:color w:val="FFFFFF"/>
                <w:sz w:val="16"/>
                <w:szCs w:val="16"/>
              </w:rPr>
              <w:t>Capítulos</w:t>
            </w:r>
          </w:p>
        </w:tc>
        <w:tc>
          <w:tcPr>
            <w:tcW w:w="580" w:type="pct"/>
            <w:shd w:val="clear" w:color="auto" w:fill="9D2235"/>
            <w:hideMark/>
          </w:tcPr>
          <w:p w14:paraId="3E8C2CDE" w14:textId="77777777" w:rsidR="003B28A6" w:rsidRDefault="003B28A6">
            <w:pPr>
              <w:pStyle w:val="Standard"/>
              <w:spacing w:line="276" w:lineRule="auto"/>
              <w:jc w:val="center"/>
              <w:rPr>
                <w:rFonts w:ascii="Arial" w:hAnsi="Arial" w:cs="MillerText-Roman"/>
                <w:b/>
                <w:bCs/>
                <w:color w:val="FFFFFF"/>
                <w:sz w:val="16"/>
                <w:szCs w:val="16"/>
              </w:rPr>
            </w:pPr>
            <w:r>
              <w:rPr>
                <w:rFonts w:ascii="Arial" w:hAnsi="Arial" w:cs="MillerText-Roman"/>
                <w:b/>
                <w:bCs/>
                <w:color w:val="FFFFFF"/>
                <w:sz w:val="16"/>
                <w:szCs w:val="16"/>
              </w:rPr>
              <w:t>Previsiones  totales</w:t>
            </w:r>
          </w:p>
        </w:tc>
        <w:tc>
          <w:tcPr>
            <w:tcW w:w="612" w:type="pct"/>
            <w:shd w:val="clear" w:color="auto" w:fill="9D2235"/>
            <w:hideMark/>
          </w:tcPr>
          <w:p w14:paraId="22A221AF" w14:textId="77777777" w:rsidR="003B28A6" w:rsidRDefault="003B28A6">
            <w:pPr>
              <w:pStyle w:val="Standard"/>
              <w:spacing w:line="276" w:lineRule="auto"/>
              <w:jc w:val="center"/>
              <w:rPr>
                <w:rFonts w:ascii="Arial" w:hAnsi="Arial" w:cs="MillerText-Roman"/>
                <w:b/>
                <w:bCs/>
                <w:color w:val="FFFFFF"/>
                <w:sz w:val="16"/>
                <w:szCs w:val="16"/>
              </w:rPr>
            </w:pPr>
            <w:r>
              <w:rPr>
                <w:rFonts w:ascii="Arial" w:hAnsi="Arial" w:cs="MillerText-Roman"/>
                <w:b/>
                <w:bCs/>
                <w:color w:val="FFFFFF"/>
                <w:sz w:val="16"/>
                <w:szCs w:val="16"/>
              </w:rPr>
              <w:t>Derechos reconocidos netos</w:t>
            </w:r>
          </w:p>
        </w:tc>
        <w:tc>
          <w:tcPr>
            <w:tcW w:w="608" w:type="pct"/>
            <w:shd w:val="clear" w:color="auto" w:fill="9D2235"/>
            <w:hideMark/>
          </w:tcPr>
          <w:p w14:paraId="40F2F2AB" w14:textId="77777777" w:rsidR="003B28A6" w:rsidRDefault="003B28A6">
            <w:pPr>
              <w:pStyle w:val="Standard"/>
              <w:spacing w:line="276" w:lineRule="auto"/>
              <w:jc w:val="center"/>
              <w:rPr>
                <w:rFonts w:ascii="Arial" w:hAnsi="Arial" w:cs="MillerText-Roman"/>
                <w:b/>
                <w:bCs/>
                <w:color w:val="FFFFFF"/>
                <w:sz w:val="16"/>
                <w:szCs w:val="16"/>
              </w:rPr>
            </w:pPr>
            <w:r>
              <w:rPr>
                <w:rFonts w:ascii="Arial" w:hAnsi="Arial" w:cs="MillerText-Roman"/>
                <w:b/>
                <w:bCs/>
                <w:color w:val="FFFFFF"/>
                <w:sz w:val="16"/>
                <w:szCs w:val="16"/>
              </w:rPr>
              <w:t>Ingresos realizados</w:t>
            </w:r>
          </w:p>
        </w:tc>
        <w:tc>
          <w:tcPr>
            <w:tcW w:w="811" w:type="pct"/>
            <w:shd w:val="clear" w:color="auto" w:fill="9D2235"/>
            <w:hideMark/>
          </w:tcPr>
          <w:p w14:paraId="43545786" w14:textId="77777777" w:rsidR="003B28A6" w:rsidRDefault="003B28A6">
            <w:pPr>
              <w:pStyle w:val="Standard"/>
              <w:spacing w:line="276" w:lineRule="auto"/>
              <w:jc w:val="center"/>
              <w:rPr>
                <w:rFonts w:ascii="Arial" w:hAnsi="Arial" w:cs="MillerText-Roman"/>
                <w:b/>
                <w:bCs/>
                <w:color w:val="FFFFFF"/>
                <w:sz w:val="16"/>
                <w:szCs w:val="16"/>
              </w:rPr>
            </w:pPr>
            <w:r>
              <w:rPr>
                <w:rFonts w:ascii="Arial" w:hAnsi="Arial" w:cs="MillerText-Roman"/>
                <w:b/>
                <w:bCs/>
                <w:color w:val="FFFFFF"/>
                <w:sz w:val="16"/>
                <w:szCs w:val="16"/>
              </w:rPr>
              <w:t>Devoluciones de ingresos</w:t>
            </w:r>
          </w:p>
        </w:tc>
        <w:tc>
          <w:tcPr>
            <w:tcW w:w="693" w:type="pct"/>
            <w:shd w:val="clear" w:color="auto" w:fill="9D2235"/>
            <w:hideMark/>
          </w:tcPr>
          <w:p w14:paraId="15AE7B83" w14:textId="77777777" w:rsidR="003B28A6" w:rsidRDefault="003B28A6">
            <w:pPr>
              <w:pStyle w:val="Standard"/>
              <w:spacing w:line="276" w:lineRule="auto"/>
              <w:jc w:val="center"/>
              <w:rPr>
                <w:rFonts w:ascii="Arial" w:hAnsi="Arial" w:cs="MillerText-Roman"/>
                <w:b/>
                <w:bCs/>
                <w:color w:val="FFFFFF"/>
                <w:sz w:val="16"/>
                <w:szCs w:val="16"/>
              </w:rPr>
            </w:pPr>
            <w:r>
              <w:rPr>
                <w:rFonts w:ascii="Arial" w:hAnsi="Arial" w:cs="MillerText-Roman"/>
                <w:b/>
                <w:bCs/>
                <w:color w:val="FFFFFF"/>
                <w:sz w:val="16"/>
                <w:szCs w:val="16"/>
              </w:rPr>
              <w:t>Recaudación líquida</w:t>
            </w:r>
          </w:p>
        </w:tc>
        <w:tc>
          <w:tcPr>
            <w:tcW w:w="586" w:type="pct"/>
            <w:shd w:val="clear" w:color="auto" w:fill="9D2235"/>
            <w:hideMark/>
          </w:tcPr>
          <w:p w14:paraId="61C4FD2C" w14:textId="77777777" w:rsidR="003B28A6" w:rsidRDefault="003B28A6">
            <w:pPr>
              <w:pStyle w:val="Standard"/>
              <w:spacing w:line="276" w:lineRule="auto"/>
              <w:jc w:val="center"/>
              <w:rPr>
                <w:rFonts w:ascii="Arial" w:hAnsi="Arial" w:cs="MillerText-Roman"/>
                <w:b/>
                <w:bCs/>
                <w:color w:val="FFFFFF"/>
                <w:sz w:val="16"/>
                <w:szCs w:val="16"/>
              </w:rPr>
            </w:pPr>
            <w:r>
              <w:rPr>
                <w:rFonts w:ascii="Arial" w:hAnsi="Arial" w:cs="MillerText-Roman"/>
                <w:b/>
                <w:bCs/>
                <w:color w:val="FFFFFF"/>
                <w:sz w:val="16"/>
                <w:szCs w:val="16"/>
              </w:rPr>
              <w:t>Pendiente de cobro</w:t>
            </w:r>
          </w:p>
        </w:tc>
        <w:tc>
          <w:tcPr>
            <w:tcW w:w="501" w:type="pct"/>
            <w:shd w:val="clear" w:color="auto" w:fill="9D2235"/>
            <w:hideMark/>
          </w:tcPr>
          <w:p w14:paraId="5D315DBF" w14:textId="77777777" w:rsidR="003B28A6" w:rsidRDefault="003B28A6">
            <w:pPr>
              <w:pStyle w:val="Standard"/>
              <w:spacing w:line="276" w:lineRule="auto"/>
              <w:jc w:val="center"/>
              <w:rPr>
                <w:rFonts w:ascii="Arial" w:hAnsi="Arial" w:cs="MillerText-Roman"/>
                <w:b/>
                <w:bCs/>
                <w:color w:val="FFFFFF"/>
                <w:sz w:val="16"/>
                <w:szCs w:val="16"/>
              </w:rPr>
            </w:pPr>
            <w:r>
              <w:rPr>
                <w:rFonts w:ascii="Arial" w:hAnsi="Arial" w:cs="MillerText-Roman"/>
                <w:b/>
                <w:bCs/>
                <w:color w:val="FFFFFF"/>
                <w:sz w:val="16"/>
                <w:szCs w:val="16"/>
              </w:rPr>
              <w:t>Estado de ejecución</w:t>
            </w:r>
          </w:p>
        </w:tc>
      </w:tr>
      <w:tr w:rsidR="003B28A6" w14:paraId="29455353" w14:textId="77777777" w:rsidTr="003B28A6">
        <w:tc>
          <w:tcPr>
            <w:tcW w:w="609" w:type="pct"/>
            <w:tcBorders>
              <w:top w:val="nil"/>
              <w:left w:val="nil"/>
              <w:bottom w:val="single" w:sz="4" w:space="0" w:color="993333"/>
              <w:right w:val="nil"/>
            </w:tcBorders>
            <w:shd w:val="clear" w:color="auto" w:fill="FFFFFF"/>
            <w:vAlign w:val="center"/>
            <w:hideMark/>
          </w:tcPr>
          <w:p w14:paraId="20C9C548" w14:textId="77777777" w:rsidR="003B28A6" w:rsidRDefault="003B28A6">
            <w:pPr>
              <w:pStyle w:val="Standard"/>
              <w:spacing w:line="276" w:lineRule="auto"/>
              <w:jc w:val="center"/>
              <w:rPr>
                <w:rFonts w:ascii="Arial" w:hAnsi="Arial"/>
                <w:b/>
                <w:bCs/>
                <w:color w:val="000000"/>
                <w:sz w:val="16"/>
                <w:szCs w:val="16"/>
              </w:rPr>
            </w:pPr>
            <w:r>
              <w:rPr>
                <w:rFonts w:ascii="Arial" w:hAnsi="Arial"/>
                <w:b/>
                <w:bCs/>
                <w:color w:val="000000"/>
                <w:sz w:val="16"/>
                <w:szCs w:val="16"/>
              </w:rPr>
              <w:t>III</w:t>
            </w:r>
          </w:p>
        </w:tc>
        <w:tc>
          <w:tcPr>
            <w:tcW w:w="580" w:type="pct"/>
            <w:tcBorders>
              <w:top w:val="nil"/>
              <w:left w:val="nil"/>
              <w:bottom w:val="single" w:sz="4" w:space="0" w:color="993333"/>
              <w:right w:val="nil"/>
            </w:tcBorders>
            <w:shd w:val="clear" w:color="auto" w:fill="FFFFFF"/>
            <w:vAlign w:val="center"/>
            <w:hideMark/>
          </w:tcPr>
          <w:p w14:paraId="77A211A0" w14:textId="77777777" w:rsidR="003B28A6" w:rsidRDefault="003B28A6">
            <w:pPr>
              <w:pStyle w:val="Standard"/>
              <w:spacing w:line="276" w:lineRule="auto"/>
              <w:jc w:val="right"/>
              <w:rPr>
                <w:rFonts w:ascii="Arial" w:hAnsi="Arial"/>
                <w:color w:val="000000"/>
                <w:sz w:val="16"/>
                <w:szCs w:val="16"/>
              </w:rPr>
            </w:pPr>
            <w:r>
              <w:rPr>
                <w:rFonts w:ascii="Arial" w:hAnsi="Arial"/>
                <w:color w:val="000000"/>
                <w:sz w:val="16"/>
                <w:szCs w:val="16"/>
              </w:rPr>
              <w:t>0,00</w:t>
            </w:r>
          </w:p>
        </w:tc>
        <w:tc>
          <w:tcPr>
            <w:tcW w:w="612" w:type="pct"/>
            <w:tcBorders>
              <w:top w:val="nil"/>
              <w:left w:val="nil"/>
              <w:bottom w:val="single" w:sz="4" w:space="0" w:color="993333"/>
              <w:right w:val="nil"/>
            </w:tcBorders>
            <w:shd w:val="clear" w:color="auto" w:fill="FFFFFF"/>
            <w:vAlign w:val="center"/>
            <w:hideMark/>
          </w:tcPr>
          <w:p w14:paraId="1F8B295A" w14:textId="77777777" w:rsidR="003B28A6" w:rsidRDefault="003B28A6">
            <w:pPr>
              <w:pStyle w:val="Standard"/>
              <w:spacing w:line="276" w:lineRule="auto"/>
              <w:jc w:val="right"/>
              <w:rPr>
                <w:rFonts w:ascii="Arial" w:hAnsi="Arial"/>
                <w:color w:val="000000"/>
                <w:sz w:val="16"/>
                <w:szCs w:val="16"/>
              </w:rPr>
            </w:pPr>
            <w:r>
              <w:rPr>
                <w:rFonts w:ascii="Arial" w:hAnsi="Arial"/>
                <w:color w:val="000000"/>
                <w:sz w:val="16"/>
                <w:szCs w:val="16"/>
              </w:rPr>
              <w:t>0,00</w:t>
            </w:r>
          </w:p>
        </w:tc>
        <w:tc>
          <w:tcPr>
            <w:tcW w:w="608" w:type="pct"/>
            <w:tcBorders>
              <w:top w:val="nil"/>
              <w:left w:val="nil"/>
              <w:bottom w:val="single" w:sz="4" w:space="0" w:color="993333"/>
              <w:right w:val="nil"/>
            </w:tcBorders>
            <w:shd w:val="clear" w:color="auto" w:fill="FFFFFF"/>
            <w:vAlign w:val="center"/>
            <w:hideMark/>
          </w:tcPr>
          <w:p w14:paraId="38BE2FD9" w14:textId="77777777" w:rsidR="003B28A6" w:rsidRDefault="003B28A6">
            <w:pPr>
              <w:pStyle w:val="Standard"/>
              <w:spacing w:line="276" w:lineRule="auto"/>
              <w:jc w:val="right"/>
              <w:rPr>
                <w:rFonts w:ascii="Arial" w:hAnsi="Arial"/>
                <w:color w:val="000000"/>
                <w:sz w:val="16"/>
                <w:szCs w:val="16"/>
              </w:rPr>
            </w:pPr>
            <w:r>
              <w:rPr>
                <w:rFonts w:ascii="Arial" w:hAnsi="Arial"/>
                <w:color w:val="000000"/>
                <w:sz w:val="16"/>
                <w:szCs w:val="16"/>
              </w:rPr>
              <w:t>0,00</w:t>
            </w:r>
          </w:p>
        </w:tc>
        <w:tc>
          <w:tcPr>
            <w:tcW w:w="811" w:type="pct"/>
            <w:tcBorders>
              <w:top w:val="nil"/>
              <w:left w:val="nil"/>
              <w:bottom w:val="single" w:sz="4" w:space="0" w:color="993333"/>
              <w:right w:val="nil"/>
            </w:tcBorders>
            <w:shd w:val="clear" w:color="auto" w:fill="FFFFFF"/>
            <w:vAlign w:val="center"/>
            <w:hideMark/>
          </w:tcPr>
          <w:p w14:paraId="733E5C9D" w14:textId="77777777" w:rsidR="003B28A6" w:rsidRDefault="003B28A6">
            <w:pPr>
              <w:pStyle w:val="Standard"/>
              <w:spacing w:line="276" w:lineRule="auto"/>
              <w:jc w:val="right"/>
              <w:rPr>
                <w:rFonts w:ascii="Arial" w:hAnsi="Arial"/>
                <w:color w:val="000000"/>
                <w:sz w:val="16"/>
                <w:szCs w:val="16"/>
              </w:rPr>
            </w:pPr>
            <w:r>
              <w:rPr>
                <w:rFonts w:ascii="Arial" w:hAnsi="Arial"/>
                <w:color w:val="000000"/>
                <w:sz w:val="16"/>
                <w:szCs w:val="16"/>
              </w:rPr>
              <w:t>0,00</w:t>
            </w:r>
          </w:p>
        </w:tc>
        <w:tc>
          <w:tcPr>
            <w:tcW w:w="693" w:type="pct"/>
            <w:tcBorders>
              <w:top w:val="nil"/>
              <w:left w:val="nil"/>
              <w:bottom w:val="single" w:sz="4" w:space="0" w:color="993333"/>
              <w:right w:val="nil"/>
            </w:tcBorders>
            <w:shd w:val="clear" w:color="auto" w:fill="FFFFFF"/>
            <w:vAlign w:val="center"/>
            <w:hideMark/>
          </w:tcPr>
          <w:p w14:paraId="3A73E97F" w14:textId="77777777" w:rsidR="003B28A6" w:rsidRDefault="003B28A6">
            <w:pPr>
              <w:pStyle w:val="Standard"/>
              <w:spacing w:line="276" w:lineRule="auto"/>
              <w:jc w:val="right"/>
              <w:rPr>
                <w:rFonts w:ascii="Arial" w:hAnsi="Arial"/>
                <w:color w:val="000000"/>
                <w:sz w:val="16"/>
                <w:szCs w:val="16"/>
              </w:rPr>
            </w:pPr>
            <w:r>
              <w:rPr>
                <w:rFonts w:ascii="Arial" w:hAnsi="Arial"/>
                <w:color w:val="000000"/>
                <w:sz w:val="16"/>
                <w:szCs w:val="16"/>
              </w:rPr>
              <w:t>0,00</w:t>
            </w:r>
          </w:p>
        </w:tc>
        <w:tc>
          <w:tcPr>
            <w:tcW w:w="586" w:type="pct"/>
            <w:tcBorders>
              <w:top w:val="nil"/>
              <w:left w:val="nil"/>
              <w:bottom w:val="single" w:sz="4" w:space="0" w:color="993333"/>
              <w:right w:val="nil"/>
            </w:tcBorders>
            <w:shd w:val="clear" w:color="auto" w:fill="FFFFFF"/>
            <w:vAlign w:val="center"/>
            <w:hideMark/>
          </w:tcPr>
          <w:p w14:paraId="0BD18DB9" w14:textId="77777777" w:rsidR="003B28A6" w:rsidRDefault="003B28A6">
            <w:pPr>
              <w:pStyle w:val="Standard"/>
              <w:spacing w:line="276" w:lineRule="auto"/>
              <w:jc w:val="right"/>
              <w:rPr>
                <w:rFonts w:ascii="Arial" w:hAnsi="Arial"/>
                <w:color w:val="000000"/>
                <w:sz w:val="16"/>
                <w:szCs w:val="16"/>
              </w:rPr>
            </w:pPr>
            <w:r>
              <w:rPr>
                <w:rFonts w:ascii="Arial" w:hAnsi="Arial"/>
                <w:color w:val="000000"/>
                <w:sz w:val="16"/>
                <w:szCs w:val="16"/>
              </w:rPr>
              <w:t>0,00</w:t>
            </w:r>
          </w:p>
        </w:tc>
        <w:tc>
          <w:tcPr>
            <w:tcW w:w="501" w:type="pct"/>
            <w:tcBorders>
              <w:top w:val="nil"/>
              <w:left w:val="nil"/>
              <w:bottom w:val="single" w:sz="4" w:space="0" w:color="993333"/>
              <w:right w:val="nil"/>
            </w:tcBorders>
            <w:shd w:val="clear" w:color="auto" w:fill="FFFFFF"/>
            <w:vAlign w:val="center"/>
            <w:hideMark/>
          </w:tcPr>
          <w:p w14:paraId="0136AADB" w14:textId="77777777" w:rsidR="003B28A6" w:rsidRDefault="003B28A6">
            <w:pPr>
              <w:pStyle w:val="Standard"/>
              <w:spacing w:line="276" w:lineRule="auto"/>
              <w:jc w:val="right"/>
              <w:rPr>
                <w:rFonts w:ascii="Arial" w:hAnsi="Arial"/>
                <w:color w:val="000000"/>
                <w:sz w:val="16"/>
                <w:szCs w:val="16"/>
              </w:rPr>
            </w:pPr>
            <w:r>
              <w:rPr>
                <w:rFonts w:ascii="Arial" w:hAnsi="Arial"/>
                <w:color w:val="000000"/>
                <w:sz w:val="16"/>
                <w:szCs w:val="16"/>
              </w:rPr>
              <w:t>0,00</w:t>
            </w:r>
          </w:p>
        </w:tc>
      </w:tr>
      <w:tr w:rsidR="003B28A6" w14:paraId="4481E9D0" w14:textId="77777777" w:rsidTr="003B28A6">
        <w:tc>
          <w:tcPr>
            <w:tcW w:w="609" w:type="pct"/>
            <w:tcBorders>
              <w:top w:val="nil"/>
              <w:left w:val="nil"/>
              <w:bottom w:val="single" w:sz="4" w:space="0" w:color="993333"/>
              <w:right w:val="nil"/>
            </w:tcBorders>
            <w:shd w:val="clear" w:color="auto" w:fill="FFFFFF"/>
            <w:vAlign w:val="center"/>
            <w:hideMark/>
          </w:tcPr>
          <w:p w14:paraId="639A60BB" w14:textId="77777777" w:rsidR="003B28A6" w:rsidRDefault="003B28A6">
            <w:pPr>
              <w:pStyle w:val="Standard"/>
              <w:spacing w:line="276" w:lineRule="auto"/>
              <w:jc w:val="center"/>
              <w:rPr>
                <w:rFonts w:ascii="Arial" w:hAnsi="Arial"/>
                <w:b/>
                <w:bCs/>
                <w:color w:val="000000"/>
                <w:sz w:val="16"/>
                <w:szCs w:val="16"/>
              </w:rPr>
            </w:pPr>
            <w:r>
              <w:rPr>
                <w:rFonts w:ascii="Arial" w:hAnsi="Arial"/>
                <w:b/>
                <w:bCs/>
                <w:color w:val="000000"/>
                <w:sz w:val="16"/>
                <w:szCs w:val="16"/>
              </w:rPr>
              <w:t>IV</w:t>
            </w:r>
          </w:p>
        </w:tc>
        <w:tc>
          <w:tcPr>
            <w:tcW w:w="580" w:type="pct"/>
            <w:tcBorders>
              <w:top w:val="nil"/>
              <w:left w:val="nil"/>
              <w:bottom w:val="single" w:sz="4" w:space="0" w:color="993333"/>
              <w:right w:val="nil"/>
            </w:tcBorders>
            <w:shd w:val="clear" w:color="auto" w:fill="FFFFFF"/>
            <w:vAlign w:val="center"/>
            <w:hideMark/>
          </w:tcPr>
          <w:p w14:paraId="347DD983" w14:textId="77777777" w:rsidR="003B28A6" w:rsidRDefault="003B28A6">
            <w:pPr>
              <w:pStyle w:val="Standard"/>
              <w:spacing w:line="276" w:lineRule="auto"/>
              <w:jc w:val="right"/>
              <w:rPr>
                <w:rFonts w:ascii="Arial" w:hAnsi="Arial"/>
                <w:color w:val="000000"/>
                <w:sz w:val="16"/>
                <w:szCs w:val="16"/>
              </w:rPr>
            </w:pPr>
            <w:r>
              <w:rPr>
                <w:rFonts w:ascii="Arial" w:hAnsi="Arial"/>
                <w:color w:val="000000"/>
                <w:sz w:val="16"/>
                <w:szCs w:val="16"/>
              </w:rPr>
              <w:t>4.227.429,79</w:t>
            </w:r>
          </w:p>
        </w:tc>
        <w:tc>
          <w:tcPr>
            <w:tcW w:w="612" w:type="pct"/>
            <w:tcBorders>
              <w:top w:val="nil"/>
              <w:left w:val="nil"/>
              <w:bottom w:val="single" w:sz="4" w:space="0" w:color="993333"/>
              <w:right w:val="nil"/>
            </w:tcBorders>
            <w:shd w:val="clear" w:color="auto" w:fill="FFFFFF"/>
            <w:vAlign w:val="center"/>
            <w:hideMark/>
          </w:tcPr>
          <w:p w14:paraId="5B0E4437" w14:textId="77777777" w:rsidR="003B28A6" w:rsidRDefault="003B28A6">
            <w:pPr>
              <w:pStyle w:val="Standard"/>
              <w:spacing w:line="276" w:lineRule="auto"/>
              <w:jc w:val="right"/>
              <w:rPr>
                <w:rFonts w:ascii="Arial" w:hAnsi="Arial"/>
                <w:color w:val="000000"/>
                <w:sz w:val="16"/>
                <w:szCs w:val="16"/>
              </w:rPr>
            </w:pPr>
            <w:r>
              <w:rPr>
                <w:rFonts w:ascii="Arial" w:hAnsi="Arial"/>
                <w:color w:val="000000"/>
                <w:sz w:val="16"/>
                <w:szCs w:val="16"/>
              </w:rPr>
              <w:t>4.227.430,00</w:t>
            </w:r>
          </w:p>
        </w:tc>
        <w:tc>
          <w:tcPr>
            <w:tcW w:w="608" w:type="pct"/>
            <w:tcBorders>
              <w:top w:val="nil"/>
              <w:left w:val="nil"/>
              <w:bottom w:val="single" w:sz="4" w:space="0" w:color="993333"/>
              <w:right w:val="nil"/>
            </w:tcBorders>
            <w:shd w:val="clear" w:color="auto" w:fill="FFFFFF"/>
            <w:vAlign w:val="center"/>
            <w:hideMark/>
          </w:tcPr>
          <w:p w14:paraId="4D5BD2B6" w14:textId="77777777" w:rsidR="003B28A6" w:rsidRDefault="003B28A6">
            <w:pPr>
              <w:pStyle w:val="Standard"/>
              <w:spacing w:line="276" w:lineRule="auto"/>
              <w:jc w:val="right"/>
              <w:rPr>
                <w:rFonts w:ascii="Arial" w:hAnsi="Arial"/>
                <w:color w:val="000000"/>
                <w:sz w:val="16"/>
                <w:szCs w:val="16"/>
              </w:rPr>
            </w:pPr>
            <w:r>
              <w:rPr>
                <w:rFonts w:ascii="Arial" w:hAnsi="Arial"/>
                <w:color w:val="000000"/>
                <w:sz w:val="16"/>
                <w:szCs w:val="16"/>
              </w:rPr>
              <w:t>1.409.141,32</w:t>
            </w:r>
          </w:p>
        </w:tc>
        <w:tc>
          <w:tcPr>
            <w:tcW w:w="811" w:type="pct"/>
            <w:tcBorders>
              <w:top w:val="nil"/>
              <w:left w:val="nil"/>
              <w:bottom w:val="single" w:sz="4" w:space="0" w:color="993333"/>
              <w:right w:val="nil"/>
            </w:tcBorders>
            <w:shd w:val="clear" w:color="auto" w:fill="FFFFFF"/>
            <w:vAlign w:val="center"/>
            <w:hideMark/>
          </w:tcPr>
          <w:p w14:paraId="56AF7D10" w14:textId="77777777" w:rsidR="003B28A6" w:rsidRDefault="003B28A6">
            <w:pPr>
              <w:pStyle w:val="Standard"/>
              <w:spacing w:line="276" w:lineRule="auto"/>
              <w:jc w:val="right"/>
              <w:rPr>
                <w:rFonts w:ascii="Arial" w:hAnsi="Arial"/>
                <w:color w:val="000000"/>
                <w:sz w:val="16"/>
                <w:szCs w:val="16"/>
              </w:rPr>
            </w:pPr>
            <w:r>
              <w:rPr>
                <w:rFonts w:ascii="Arial" w:hAnsi="Arial"/>
                <w:color w:val="000000"/>
                <w:sz w:val="16"/>
                <w:szCs w:val="16"/>
              </w:rPr>
              <w:t>0,00</w:t>
            </w:r>
          </w:p>
        </w:tc>
        <w:tc>
          <w:tcPr>
            <w:tcW w:w="693" w:type="pct"/>
            <w:tcBorders>
              <w:top w:val="nil"/>
              <w:left w:val="nil"/>
              <w:bottom w:val="single" w:sz="4" w:space="0" w:color="993333"/>
              <w:right w:val="nil"/>
            </w:tcBorders>
            <w:shd w:val="clear" w:color="auto" w:fill="FFFFFF"/>
            <w:vAlign w:val="center"/>
            <w:hideMark/>
          </w:tcPr>
          <w:p w14:paraId="255DACB3" w14:textId="77777777" w:rsidR="003B28A6" w:rsidRDefault="003B28A6">
            <w:pPr>
              <w:pStyle w:val="Standard"/>
              <w:spacing w:line="276" w:lineRule="auto"/>
              <w:jc w:val="right"/>
              <w:rPr>
                <w:rFonts w:ascii="Arial" w:hAnsi="Arial"/>
                <w:color w:val="000000"/>
                <w:sz w:val="16"/>
                <w:szCs w:val="16"/>
              </w:rPr>
            </w:pPr>
            <w:r>
              <w:rPr>
                <w:rFonts w:ascii="Arial" w:hAnsi="Arial"/>
                <w:color w:val="000000"/>
                <w:sz w:val="16"/>
                <w:szCs w:val="16"/>
              </w:rPr>
              <w:t>1.409.141,32</w:t>
            </w:r>
          </w:p>
        </w:tc>
        <w:tc>
          <w:tcPr>
            <w:tcW w:w="586" w:type="pct"/>
            <w:tcBorders>
              <w:top w:val="nil"/>
              <w:left w:val="nil"/>
              <w:bottom w:val="single" w:sz="4" w:space="0" w:color="993333"/>
              <w:right w:val="nil"/>
            </w:tcBorders>
            <w:shd w:val="clear" w:color="auto" w:fill="FFFFFF"/>
            <w:vAlign w:val="center"/>
            <w:hideMark/>
          </w:tcPr>
          <w:p w14:paraId="15B7195C" w14:textId="77777777" w:rsidR="003B28A6" w:rsidRDefault="003B28A6">
            <w:pPr>
              <w:pStyle w:val="Standard"/>
              <w:spacing w:line="276" w:lineRule="auto"/>
              <w:jc w:val="right"/>
              <w:rPr>
                <w:rFonts w:ascii="Arial" w:hAnsi="Arial"/>
                <w:color w:val="000000"/>
                <w:sz w:val="16"/>
                <w:szCs w:val="16"/>
              </w:rPr>
            </w:pPr>
            <w:r>
              <w:rPr>
                <w:rFonts w:ascii="Arial" w:hAnsi="Arial"/>
                <w:color w:val="000000"/>
                <w:sz w:val="16"/>
                <w:szCs w:val="16"/>
              </w:rPr>
              <w:t>2.818.288,32</w:t>
            </w:r>
          </w:p>
        </w:tc>
        <w:tc>
          <w:tcPr>
            <w:tcW w:w="501" w:type="pct"/>
            <w:tcBorders>
              <w:top w:val="nil"/>
              <w:left w:val="nil"/>
              <w:bottom w:val="single" w:sz="4" w:space="0" w:color="993333"/>
              <w:right w:val="nil"/>
            </w:tcBorders>
            <w:shd w:val="clear" w:color="auto" w:fill="FFFFFF"/>
            <w:vAlign w:val="center"/>
            <w:hideMark/>
          </w:tcPr>
          <w:p w14:paraId="2C549918" w14:textId="77777777" w:rsidR="003B28A6" w:rsidRDefault="003B28A6">
            <w:pPr>
              <w:pStyle w:val="Standard"/>
              <w:spacing w:line="276" w:lineRule="auto"/>
              <w:jc w:val="right"/>
              <w:rPr>
                <w:rFonts w:ascii="Arial" w:hAnsi="Arial"/>
                <w:color w:val="000000"/>
                <w:sz w:val="16"/>
                <w:szCs w:val="16"/>
              </w:rPr>
            </w:pPr>
            <w:r>
              <w:rPr>
                <w:rFonts w:ascii="Arial" w:hAnsi="Arial"/>
                <w:color w:val="000000"/>
                <w:sz w:val="16"/>
                <w:szCs w:val="16"/>
              </w:rPr>
              <w:t>33,33</w:t>
            </w:r>
          </w:p>
        </w:tc>
      </w:tr>
      <w:tr w:rsidR="003B28A6" w14:paraId="39DA6630" w14:textId="77777777" w:rsidTr="003B28A6">
        <w:trPr>
          <w:trHeight w:val="395"/>
        </w:trPr>
        <w:tc>
          <w:tcPr>
            <w:tcW w:w="609" w:type="pct"/>
            <w:tcBorders>
              <w:top w:val="nil"/>
              <w:left w:val="nil"/>
              <w:bottom w:val="single" w:sz="4" w:space="0" w:color="993333"/>
              <w:right w:val="nil"/>
            </w:tcBorders>
            <w:shd w:val="clear" w:color="auto" w:fill="EEEEEE"/>
            <w:vAlign w:val="center"/>
            <w:hideMark/>
          </w:tcPr>
          <w:p w14:paraId="46F39DF7" w14:textId="77777777" w:rsidR="003B28A6" w:rsidRDefault="003B28A6">
            <w:pPr>
              <w:pStyle w:val="Standard"/>
              <w:spacing w:line="276" w:lineRule="auto"/>
              <w:jc w:val="center"/>
              <w:rPr>
                <w:rFonts w:ascii="Arial" w:hAnsi="Arial"/>
                <w:b/>
                <w:bCs/>
                <w:color w:val="000000"/>
                <w:sz w:val="16"/>
                <w:szCs w:val="16"/>
              </w:rPr>
            </w:pPr>
            <w:r>
              <w:rPr>
                <w:rFonts w:ascii="Arial" w:hAnsi="Arial"/>
                <w:b/>
                <w:bCs/>
                <w:color w:val="000000"/>
                <w:sz w:val="16"/>
                <w:szCs w:val="16"/>
              </w:rPr>
              <w:t>TOTAL ops corrientes</w:t>
            </w:r>
          </w:p>
        </w:tc>
        <w:tc>
          <w:tcPr>
            <w:tcW w:w="580" w:type="pct"/>
            <w:tcBorders>
              <w:top w:val="nil"/>
              <w:left w:val="nil"/>
              <w:bottom w:val="single" w:sz="4" w:space="0" w:color="993333"/>
              <w:right w:val="nil"/>
            </w:tcBorders>
            <w:shd w:val="clear" w:color="auto" w:fill="EEEEEE"/>
          </w:tcPr>
          <w:p w14:paraId="0AFFD890" w14:textId="77777777" w:rsidR="003B28A6" w:rsidRDefault="003B28A6">
            <w:pPr>
              <w:pStyle w:val="Standard"/>
              <w:spacing w:line="276" w:lineRule="auto"/>
              <w:jc w:val="right"/>
              <w:rPr>
                <w:rFonts w:ascii="Arial" w:hAnsi="Arial"/>
                <w:sz w:val="16"/>
                <w:szCs w:val="16"/>
              </w:rPr>
            </w:pPr>
          </w:p>
          <w:p w14:paraId="1423B8E6" w14:textId="77777777" w:rsidR="003B28A6" w:rsidRDefault="003B28A6">
            <w:pPr>
              <w:pStyle w:val="Standard"/>
              <w:spacing w:line="276" w:lineRule="auto"/>
              <w:jc w:val="right"/>
              <w:rPr>
                <w:rFonts w:ascii="Arial" w:hAnsi="Arial"/>
                <w:sz w:val="16"/>
                <w:szCs w:val="16"/>
              </w:rPr>
            </w:pPr>
            <w:r>
              <w:rPr>
                <w:rFonts w:ascii="Arial" w:hAnsi="Arial"/>
                <w:sz w:val="16"/>
                <w:szCs w:val="16"/>
              </w:rPr>
              <w:t>4.227.429,79</w:t>
            </w:r>
          </w:p>
        </w:tc>
        <w:tc>
          <w:tcPr>
            <w:tcW w:w="612" w:type="pct"/>
            <w:tcBorders>
              <w:top w:val="nil"/>
              <w:left w:val="nil"/>
              <w:bottom w:val="single" w:sz="4" w:space="0" w:color="993333"/>
              <w:right w:val="nil"/>
            </w:tcBorders>
            <w:shd w:val="clear" w:color="auto" w:fill="EEEEEE"/>
          </w:tcPr>
          <w:p w14:paraId="397905F4" w14:textId="77777777" w:rsidR="003B28A6" w:rsidRDefault="003B28A6">
            <w:pPr>
              <w:pStyle w:val="Standard"/>
              <w:spacing w:line="276" w:lineRule="auto"/>
              <w:jc w:val="right"/>
              <w:rPr>
                <w:rFonts w:ascii="Arial" w:hAnsi="Arial"/>
                <w:sz w:val="16"/>
                <w:szCs w:val="16"/>
              </w:rPr>
            </w:pPr>
          </w:p>
          <w:p w14:paraId="72E63688" w14:textId="77777777" w:rsidR="003B28A6" w:rsidRDefault="003B28A6">
            <w:pPr>
              <w:pStyle w:val="Standard"/>
              <w:spacing w:line="276" w:lineRule="auto"/>
              <w:jc w:val="right"/>
              <w:rPr>
                <w:rFonts w:ascii="Arial" w:hAnsi="Arial"/>
                <w:sz w:val="16"/>
                <w:szCs w:val="16"/>
              </w:rPr>
            </w:pPr>
            <w:r>
              <w:rPr>
                <w:rFonts w:ascii="Arial" w:hAnsi="Arial"/>
                <w:sz w:val="16"/>
                <w:szCs w:val="16"/>
              </w:rPr>
              <w:t>4.227.430,00</w:t>
            </w:r>
          </w:p>
        </w:tc>
        <w:tc>
          <w:tcPr>
            <w:tcW w:w="608" w:type="pct"/>
            <w:tcBorders>
              <w:top w:val="nil"/>
              <w:left w:val="nil"/>
              <w:bottom w:val="single" w:sz="4" w:space="0" w:color="993333"/>
              <w:right w:val="nil"/>
            </w:tcBorders>
            <w:shd w:val="clear" w:color="auto" w:fill="EEEEEE"/>
          </w:tcPr>
          <w:p w14:paraId="04C6F7E5" w14:textId="77777777" w:rsidR="003B28A6" w:rsidRDefault="003B28A6">
            <w:pPr>
              <w:pStyle w:val="Standard"/>
              <w:spacing w:line="276" w:lineRule="auto"/>
              <w:jc w:val="right"/>
              <w:rPr>
                <w:rFonts w:ascii="Arial" w:hAnsi="Arial"/>
                <w:sz w:val="16"/>
                <w:szCs w:val="16"/>
              </w:rPr>
            </w:pPr>
          </w:p>
          <w:p w14:paraId="6020C2AA" w14:textId="77777777" w:rsidR="003B28A6" w:rsidRDefault="003B28A6">
            <w:pPr>
              <w:pStyle w:val="Standard"/>
              <w:spacing w:line="276" w:lineRule="auto"/>
              <w:jc w:val="right"/>
              <w:rPr>
                <w:rFonts w:ascii="Arial" w:hAnsi="Arial"/>
                <w:sz w:val="16"/>
                <w:szCs w:val="16"/>
              </w:rPr>
            </w:pPr>
            <w:r>
              <w:rPr>
                <w:rFonts w:ascii="Arial" w:hAnsi="Arial"/>
                <w:sz w:val="16"/>
                <w:szCs w:val="16"/>
              </w:rPr>
              <w:t>1.409.141,32</w:t>
            </w:r>
          </w:p>
        </w:tc>
        <w:tc>
          <w:tcPr>
            <w:tcW w:w="811" w:type="pct"/>
            <w:tcBorders>
              <w:top w:val="nil"/>
              <w:left w:val="nil"/>
              <w:bottom w:val="single" w:sz="4" w:space="0" w:color="993333"/>
              <w:right w:val="nil"/>
            </w:tcBorders>
            <w:shd w:val="clear" w:color="auto" w:fill="EEEEEE"/>
          </w:tcPr>
          <w:p w14:paraId="63D8CF9E" w14:textId="77777777" w:rsidR="003B28A6" w:rsidRDefault="003B28A6">
            <w:pPr>
              <w:pStyle w:val="Standard"/>
              <w:spacing w:line="276" w:lineRule="auto"/>
              <w:jc w:val="right"/>
              <w:rPr>
                <w:rFonts w:ascii="Arial" w:hAnsi="Arial"/>
                <w:sz w:val="16"/>
                <w:szCs w:val="16"/>
              </w:rPr>
            </w:pPr>
          </w:p>
          <w:p w14:paraId="0FA1D4C4" w14:textId="77777777" w:rsidR="003B28A6" w:rsidRDefault="003B28A6">
            <w:pPr>
              <w:pStyle w:val="Standard"/>
              <w:spacing w:line="276" w:lineRule="auto"/>
              <w:jc w:val="right"/>
              <w:rPr>
                <w:rFonts w:ascii="Arial" w:hAnsi="Arial"/>
                <w:sz w:val="16"/>
                <w:szCs w:val="16"/>
              </w:rPr>
            </w:pPr>
            <w:r>
              <w:rPr>
                <w:rFonts w:ascii="Arial" w:hAnsi="Arial"/>
                <w:sz w:val="16"/>
                <w:szCs w:val="16"/>
              </w:rPr>
              <w:t>0,00</w:t>
            </w:r>
          </w:p>
        </w:tc>
        <w:tc>
          <w:tcPr>
            <w:tcW w:w="693" w:type="pct"/>
            <w:tcBorders>
              <w:top w:val="nil"/>
              <w:left w:val="nil"/>
              <w:bottom w:val="single" w:sz="4" w:space="0" w:color="993333"/>
              <w:right w:val="nil"/>
            </w:tcBorders>
            <w:shd w:val="clear" w:color="auto" w:fill="EEEEEE"/>
          </w:tcPr>
          <w:p w14:paraId="4E6C1A0D" w14:textId="77777777" w:rsidR="003B28A6" w:rsidRDefault="003B28A6">
            <w:pPr>
              <w:pStyle w:val="Standard"/>
              <w:spacing w:line="276" w:lineRule="auto"/>
              <w:jc w:val="right"/>
              <w:rPr>
                <w:rFonts w:ascii="Arial" w:hAnsi="Arial"/>
                <w:sz w:val="16"/>
                <w:szCs w:val="16"/>
              </w:rPr>
            </w:pPr>
          </w:p>
          <w:p w14:paraId="24303D11" w14:textId="77777777" w:rsidR="003B28A6" w:rsidRDefault="003B28A6">
            <w:pPr>
              <w:pStyle w:val="Standard"/>
              <w:spacing w:line="276" w:lineRule="auto"/>
              <w:jc w:val="right"/>
              <w:rPr>
                <w:rFonts w:ascii="Arial" w:hAnsi="Arial"/>
                <w:sz w:val="16"/>
                <w:szCs w:val="16"/>
              </w:rPr>
            </w:pPr>
            <w:r>
              <w:rPr>
                <w:rFonts w:ascii="Arial" w:hAnsi="Arial"/>
                <w:sz w:val="16"/>
                <w:szCs w:val="16"/>
              </w:rPr>
              <w:t>1.409.141,32</w:t>
            </w:r>
          </w:p>
        </w:tc>
        <w:tc>
          <w:tcPr>
            <w:tcW w:w="586" w:type="pct"/>
            <w:tcBorders>
              <w:top w:val="nil"/>
              <w:left w:val="nil"/>
              <w:bottom w:val="single" w:sz="4" w:space="0" w:color="993333"/>
              <w:right w:val="nil"/>
            </w:tcBorders>
            <w:shd w:val="clear" w:color="auto" w:fill="EEEEEE"/>
          </w:tcPr>
          <w:p w14:paraId="69A36E92" w14:textId="77777777" w:rsidR="003B28A6" w:rsidRDefault="003B28A6">
            <w:pPr>
              <w:pStyle w:val="Standard"/>
              <w:spacing w:line="276" w:lineRule="auto"/>
              <w:jc w:val="right"/>
              <w:rPr>
                <w:rFonts w:ascii="Arial" w:hAnsi="Arial"/>
                <w:sz w:val="16"/>
                <w:szCs w:val="16"/>
              </w:rPr>
            </w:pPr>
          </w:p>
          <w:p w14:paraId="3DD5B620" w14:textId="77777777" w:rsidR="003B28A6" w:rsidRDefault="003B28A6">
            <w:pPr>
              <w:pStyle w:val="Standard"/>
              <w:spacing w:line="276" w:lineRule="auto"/>
              <w:jc w:val="right"/>
              <w:rPr>
                <w:rFonts w:ascii="Arial" w:hAnsi="Arial"/>
                <w:sz w:val="16"/>
                <w:szCs w:val="16"/>
              </w:rPr>
            </w:pPr>
            <w:r>
              <w:rPr>
                <w:rFonts w:ascii="Arial" w:hAnsi="Arial"/>
                <w:sz w:val="16"/>
                <w:szCs w:val="16"/>
              </w:rPr>
              <w:t>2.818.288,32</w:t>
            </w:r>
          </w:p>
        </w:tc>
        <w:tc>
          <w:tcPr>
            <w:tcW w:w="501" w:type="pct"/>
            <w:tcBorders>
              <w:top w:val="nil"/>
              <w:left w:val="nil"/>
              <w:bottom w:val="single" w:sz="4" w:space="0" w:color="993333"/>
              <w:right w:val="nil"/>
            </w:tcBorders>
            <w:shd w:val="clear" w:color="auto" w:fill="EEEEEE"/>
          </w:tcPr>
          <w:p w14:paraId="4AB8B05B" w14:textId="77777777" w:rsidR="003B28A6" w:rsidRDefault="003B28A6">
            <w:pPr>
              <w:pStyle w:val="Standard"/>
              <w:spacing w:line="276" w:lineRule="auto"/>
              <w:jc w:val="right"/>
              <w:rPr>
                <w:rFonts w:ascii="Arial" w:hAnsi="Arial"/>
                <w:sz w:val="16"/>
                <w:szCs w:val="16"/>
              </w:rPr>
            </w:pPr>
          </w:p>
          <w:p w14:paraId="2A527EE2" w14:textId="77777777" w:rsidR="003B28A6" w:rsidRDefault="003B28A6">
            <w:pPr>
              <w:pStyle w:val="Standard"/>
              <w:spacing w:line="276" w:lineRule="auto"/>
              <w:jc w:val="right"/>
              <w:rPr>
                <w:rFonts w:ascii="Arial" w:hAnsi="Arial"/>
                <w:sz w:val="16"/>
                <w:szCs w:val="16"/>
              </w:rPr>
            </w:pPr>
            <w:r>
              <w:rPr>
                <w:rFonts w:ascii="Arial" w:hAnsi="Arial"/>
                <w:sz w:val="16"/>
                <w:szCs w:val="16"/>
              </w:rPr>
              <w:t>33,33</w:t>
            </w:r>
          </w:p>
        </w:tc>
      </w:tr>
      <w:tr w:rsidR="003B28A6" w14:paraId="4883B8A5" w14:textId="77777777" w:rsidTr="003B28A6">
        <w:tc>
          <w:tcPr>
            <w:tcW w:w="609" w:type="pct"/>
            <w:tcBorders>
              <w:top w:val="nil"/>
              <w:left w:val="nil"/>
              <w:bottom w:val="single" w:sz="4" w:space="0" w:color="993333"/>
              <w:right w:val="nil"/>
            </w:tcBorders>
            <w:shd w:val="clear" w:color="auto" w:fill="FFFFFF"/>
            <w:vAlign w:val="center"/>
            <w:hideMark/>
          </w:tcPr>
          <w:p w14:paraId="0A8F2139" w14:textId="77777777" w:rsidR="003B28A6" w:rsidRDefault="003B28A6">
            <w:pPr>
              <w:pStyle w:val="Standard"/>
              <w:spacing w:line="276" w:lineRule="auto"/>
              <w:jc w:val="center"/>
              <w:rPr>
                <w:rFonts w:ascii="Arial" w:hAnsi="Arial"/>
                <w:b/>
                <w:bCs/>
                <w:sz w:val="16"/>
                <w:szCs w:val="16"/>
              </w:rPr>
            </w:pPr>
            <w:r>
              <w:rPr>
                <w:rFonts w:ascii="Arial" w:hAnsi="Arial"/>
                <w:b/>
                <w:bCs/>
                <w:sz w:val="16"/>
                <w:szCs w:val="16"/>
              </w:rPr>
              <w:t>VII</w:t>
            </w:r>
          </w:p>
        </w:tc>
        <w:tc>
          <w:tcPr>
            <w:tcW w:w="580" w:type="pct"/>
            <w:tcBorders>
              <w:top w:val="nil"/>
              <w:left w:val="nil"/>
              <w:bottom w:val="single" w:sz="4" w:space="0" w:color="993333"/>
              <w:right w:val="nil"/>
            </w:tcBorders>
            <w:shd w:val="clear" w:color="auto" w:fill="FFFFFF"/>
            <w:vAlign w:val="center"/>
            <w:hideMark/>
          </w:tcPr>
          <w:p w14:paraId="2FFA3CC2" w14:textId="77777777" w:rsidR="003B28A6" w:rsidRDefault="003B28A6">
            <w:pPr>
              <w:pStyle w:val="Standard"/>
              <w:spacing w:line="276" w:lineRule="auto"/>
              <w:jc w:val="right"/>
              <w:rPr>
                <w:rFonts w:ascii="Arial" w:hAnsi="Arial"/>
                <w:sz w:val="16"/>
                <w:szCs w:val="16"/>
              </w:rPr>
            </w:pPr>
            <w:r>
              <w:rPr>
                <w:rFonts w:ascii="Arial" w:hAnsi="Arial"/>
                <w:sz w:val="16"/>
                <w:szCs w:val="16"/>
              </w:rPr>
              <w:t>242.445,95</w:t>
            </w:r>
          </w:p>
        </w:tc>
        <w:tc>
          <w:tcPr>
            <w:tcW w:w="612" w:type="pct"/>
            <w:tcBorders>
              <w:top w:val="nil"/>
              <w:left w:val="nil"/>
              <w:bottom w:val="single" w:sz="4" w:space="0" w:color="993333"/>
              <w:right w:val="nil"/>
            </w:tcBorders>
            <w:shd w:val="clear" w:color="auto" w:fill="FFFFFF"/>
            <w:hideMark/>
          </w:tcPr>
          <w:p w14:paraId="2DF9A908" w14:textId="77777777" w:rsidR="003B28A6" w:rsidRDefault="003B28A6">
            <w:pPr>
              <w:pStyle w:val="Standard"/>
              <w:spacing w:line="276" w:lineRule="auto"/>
              <w:jc w:val="right"/>
              <w:rPr>
                <w:rFonts w:ascii="Arial" w:hAnsi="Arial"/>
                <w:sz w:val="16"/>
                <w:szCs w:val="16"/>
              </w:rPr>
            </w:pPr>
            <w:r>
              <w:rPr>
                <w:rFonts w:ascii="Arial" w:hAnsi="Arial"/>
                <w:sz w:val="16"/>
                <w:szCs w:val="16"/>
              </w:rPr>
              <w:t>242.445,95</w:t>
            </w:r>
          </w:p>
        </w:tc>
        <w:tc>
          <w:tcPr>
            <w:tcW w:w="608" w:type="pct"/>
            <w:tcBorders>
              <w:top w:val="nil"/>
              <w:left w:val="nil"/>
              <w:bottom w:val="single" w:sz="4" w:space="0" w:color="993333"/>
              <w:right w:val="nil"/>
            </w:tcBorders>
            <w:shd w:val="clear" w:color="auto" w:fill="FFFFFF"/>
            <w:hideMark/>
          </w:tcPr>
          <w:p w14:paraId="5DD6677B" w14:textId="77777777" w:rsidR="003B28A6" w:rsidRDefault="003B28A6">
            <w:pPr>
              <w:pStyle w:val="Standard"/>
              <w:spacing w:line="276" w:lineRule="auto"/>
              <w:jc w:val="right"/>
              <w:rPr>
                <w:rFonts w:ascii="Arial" w:hAnsi="Arial"/>
                <w:sz w:val="16"/>
                <w:szCs w:val="16"/>
              </w:rPr>
            </w:pPr>
            <w:r>
              <w:rPr>
                <w:rFonts w:ascii="Arial" w:hAnsi="Arial"/>
                <w:sz w:val="16"/>
                <w:szCs w:val="16"/>
              </w:rPr>
              <w:t>242.445,95</w:t>
            </w:r>
          </w:p>
        </w:tc>
        <w:tc>
          <w:tcPr>
            <w:tcW w:w="811" w:type="pct"/>
            <w:tcBorders>
              <w:top w:val="nil"/>
              <w:left w:val="nil"/>
              <w:bottom w:val="single" w:sz="4" w:space="0" w:color="993333"/>
              <w:right w:val="nil"/>
            </w:tcBorders>
            <w:shd w:val="clear" w:color="auto" w:fill="FFFFFF"/>
            <w:vAlign w:val="center"/>
            <w:hideMark/>
          </w:tcPr>
          <w:p w14:paraId="054CAFC8" w14:textId="77777777" w:rsidR="003B28A6" w:rsidRDefault="003B28A6">
            <w:pPr>
              <w:pStyle w:val="Standard"/>
              <w:spacing w:line="276" w:lineRule="auto"/>
              <w:jc w:val="right"/>
              <w:rPr>
                <w:rFonts w:ascii="Arial" w:hAnsi="Arial"/>
                <w:sz w:val="16"/>
                <w:szCs w:val="16"/>
              </w:rPr>
            </w:pPr>
            <w:r>
              <w:rPr>
                <w:rFonts w:ascii="Arial" w:hAnsi="Arial"/>
                <w:sz w:val="16"/>
                <w:szCs w:val="16"/>
              </w:rPr>
              <w:t>0,00</w:t>
            </w:r>
          </w:p>
        </w:tc>
        <w:tc>
          <w:tcPr>
            <w:tcW w:w="693" w:type="pct"/>
            <w:tcBorders>
              <w:top w:val="nil"/>
              <w:left w:val="nil"/>
              <w:bottom w:val="single" w:sz="4" w:space="0" w:color="993333"/>
              <w:right w:val="nil"/>
            </w:tcBorders>
            <w:shd w:val="clear" w:color="auto" w:fill="FFFFFF"/>
            <w:hideMark/>
          </w:tcPr>
          <w:p w14:paraId="6A0033D1" w14:textId="77777777" w:rsidR="003B28A6" w:rsidRDefault="003B28A6">
            <w:pPr>
              <w:pStyle w:val="Standard"/>
              <w:spacing w:line="276" w:lineRule="auto"/>
              <w:jc w:val="right"/>
              <w:rPr>
                <w:rFonts w:ascii="Arial" w:hAnsi="Arial"/>
                <w:sz w:val="16"/>
                <w:szCs w:val="16"/>
              </w:rPr>
            </w:pPr>
            <w:r>
              <w:rPr>
                <w:rFonts w:ascii="Arial" w:hAnsi="Arial"/>
                <w:sz w:val="16"/>
                <w:szCs w:val="16"/>
              </w:rPr>
              <w:t>242.445,95</w:t>
            </w:r>
          </w:p>
        </w:tc>
        <w:tc>
          <w:tcPr>
            <w:tcW w:w="586" w:type="pct"/>
            <w:tcBorders>
              <w:top w:val="nil"/>
              <w:left w:val="nil"/>
              <w:bottom w:val="single" w:sz="4" w:space="0" w:color="993333"/>
              <w:right w:val="nil"/>
            </w:tcBorders>
            <w:shd w:val="clear" w:color="auto" w:fill="FFFFFF"/>
            <w:hideMark/>
          </w:tcPr>
          <w:p w14:paraId="24D0C08E" w14:textId="77777777" w:rsidR="003B28A6" w:rsidRDefault="003B28A6">
            <w:pPr>
              <w:pStyle w:val="Standard"/>
              <w:spacing w:line="276" w:lineRule="auto"/>
              <w:jc w:val="right"/>
              <w:rPr>
                <w:rFonts w:ascii="Arial" w:hAnsi="Arial"/>
                <w:sz w:val="16"/>
                <w:szCs w:val="16"/>
              </w:rPr>
            </w:pPr>
            <w:r>
              <w:rPr>
                <w:rFonts w:ascii="Arial" w:hAnsi="Arial"/>
                <w:sz w:val="16"/>
                <w:szCs w:val="16"/>
              </w:rPr>
              <w:t>242.445,95</w:t>
            </w:r>
          </w:p>
        </w:tc>
        <w:tc>
          <w:tcPr>
            <w:tcW w:w="501" w:type="pct"/>
            <w:tcBorders>
              <w:top w:val="nil"/>
              <w:left w:val="nil"/>
              <w:bottom w:val="single" w:sz="4" w:space="0" w:color="993333"/>
              <w:right w:val="nil"/>
            </w:tcBorders>
            <w:shd w:val="clear" w:color="auto" w:fill="FFFFFF"/>
            <w:vAlign w:val="center"/>
            <w:hideMark/>
          </w:tcPr>
          <w:p w14:paraId="7777C313" w14:textId="77777777" w:rsidR="003B28A6" w:rsidRDefault="003B28A6">
            <w:pPr>
              <w:pStyle w:val="Standard"/>
              <w:spacing w:line="276" w:lineRule="auto"/>
              <w:jc w:val="right"/>
              <w:rPr>
                <w:rFonts w:ascii="Arial" w:hAnsi="Arial"/>
                <w:sz w:val="16"/>
                <w:szCs w:val="16"/>
              </w:rPr>
            </w:pPr>
            <w:r>
              <w:rPr>
                <w:rFonts w:ascii="Arial" w:hAnsi="Arial"/>
                <w:sz w:val="16"/>
                <w:szCs w:val="16"/>
              </w:rPr>
              <w:t>100,00</w:t>
            </w:r>
          </w:p>
        </w:tc>
      </w:tr>
      <w:tr w:rsidR="003B28A6" w14:paraId="27DCB220" w14:textId="77777777" w:rsidTr="003B28A6">
        <w:tc>
          <w:tcPr>
            <w:tcW w:w="609" w:type="pct"/>
            <w:tcBorders>
              <w:top w:val="nil"/>
              <w:left w:val="nil"/>
              <w:bottom w:val="single" w:sz="4" w:space="0" w:color="993333"/>
              <w:right w:val="nil"/>
            </w:tcBorders>
            <w:shd w:val="clear" w:color="auto" w:fill="EEEEEE"/>
            <w:vAlign w:val="center"/>
            <w:hideMark/>
          </w:tcPr>
          <w:p w14:paraId="004F7ED1" w14:textId="77777777" w:rsidR="003B28A6" w:rsidRDefault="003B28A6">
            <w:pPr>
              <w:pStyle w:val="Standard"/>
              <w:spacing w:line="276" w:lineRule="auto"/>
              <w:jc w:val="center"/>
              <w:rPr>
                <w:rFonts w:ascii="Arial" w:hAnsi="Arial"/>
                <w:b/>
                <w:bCs/>
                <w:sz w:val="16"/>
                <w:szCs w:val="16"/>
              </w:rPr>
            </w:pPr>
            <w:r>
              <w:rPr>
                <w:rFonts w:ascii="Arial" w:hAnsi="Arial"/>
                <w:b/>
                <w:bCs/>
                <w:sz w:val="16"/>
                <w:szCs w:val="16"/>
              </w:rPr>
              <w:t>TOTAL ops capital</w:t>
            </w:r>
          </w:p>
        </w:tc>
        <w:tc>
          <w:tcPr>
            <w:tcW w:w="580" w:type="pct"/>
            <w:tcBorders>
              <w:top w:val="nil"/>
              <w:left w:val="nil"/>
              <w:bottom w:val="single" w:sz="4" w:space="0" w:color="993333"/>
              <w:right w:val="nil"/>
            </w:tcBorders>
            <w:shd w:val="clear" w:color="auto" w:fill="EEEEEE"/>
          </w:tcPr>
          <w:p w14:paraId="04C0C87C" w14:textId="77777777" w:rsidR="003B28A6" w:rsidRDefault="003B28A6">
            <w:pPr>
              <w:pStyle w:val="Standard"/>
              <w:spacing w:line="276" w:lineRule="auto"/>
              <w:jc w:val="right"/>
              <w:rPr>
                <w:rFonts w:ascii="Arial" w:hAnsi="Arial"/>
                <w:sz w:val="16"/>
                <w:szCs w:val="16"/>
              </w:rPr>
            </w:pPr>
          </w:p>
          <w:p w14:paraId="72D7E522" w14:textId="77777777" w:rsidR="003B28A6" w:rsidRDefault="003B28A6">
            <w:pPr>
              <w:pStyle w:val="Standard"/>
              <w:spacing w:line="276" w:lineRule="auto"/>
              <w:jc w:val="right"/>
              <w:rPr>
                <w:rFonts w:ascii="Arial" w:hAnsi="Arial"/>
                <w:sz w:val="16"/>
                <w:szCs w:val="16"/>
              </w:rPr>
            </w:pPr>
            <w:r>
              <w:rPr>
                <w:rFonts w:ascii="Arial" w:hAnsi="Arial"/>
                <w:sz w:val="16"/>
                <w:szCs w:val="16"/>
              </w:rPr>
              <w:t>242.445,95</w:t>
            </w:r>
          </w:p>
        </w:tc>
        <w:tc>
          <w:tcPr>
            <w:tcW w:w="612" w:type="pct"/>
            <w:tcBorders>
              <w:top w:val="nil"/>
              <w:left w:val="nil"/>
              <w:bottom w:val="single" w:sz="4" w:space="0" w:color="993333"/>
              <w:right w:val="nil"/>
            </w:tcBorders>
            <w:shd w:val="clear" w:color="auto" w:fill="EEEEEE"/>
          </w:tcPr>
          <w:p w14:paraId="5F7E3861" w14:textId="77777777" w:rsidR="003B28A6" w:rsidRDefault="003B28A6">
            <w:pPr>
              <w:pStyle w:val="Standard"/>
              <w:spacing w:line="276" w:lineRule="auto"/>
              <w:jc w:val="right"/>
              <w:rPr>
                <w:rFonts w:ascii="Arial" w:hAnsi="Arial"/>
                <w:sz w:val="16"/>
                <w:szCs w:val="16"/>
              </w:rPr>
            </w:pPr>
          </w:p>
          <w:p w14:paraId="0845D202" w14:textId="77777777" w:rsidR="003B28A6" w:rsidRDefault="003B28A6">
            <w:pPr>
              <w:pStyle w:val="Standard"/>
              <w:spacing w:line="276" w:lineRule="auto"/>
              <w:jc w:val="right"/>
              <w:rPr>
                <w:rFonts w:ascii="Arial" w:hAnsi="Arial"/>
                <w:sz w:val="16"/>
                <w:szCs w:val="16"/>
              </w:rPr>
            </w:pPr>
            <w:r>
              <w:rPr>
                <w:rFonts w:ascii="Arial" w:hAnsi="Arial"/>
                <w:sz w:val="16"/>
                <w:szCs w:val="16"/>
              </w:rPr>
              <w:t>242.445,95</w:t>
            </w:r>
          </w:p>
        </w:tc>
        <w:tc>
          <w:tcPr>
            <w:tcW w:w="608" w:type="pct"/>
            <w:tcBorders>
              <w:top w:val="nil"/>
              <w:left w:val="nil"/>
              <w:bottom w:val="single" w:sz="4" w:space="0" w:color="993333"/>
              <w:right w:val="nil"/>
            </w:tcBorders>
            <w:shd w:val="clear" w:color="auto" w:fill="EEEEEE"/>
          </w:tcPr>
          <w:p w14:paraId="7996585C" w14:textId="77777777" w:rsidR="003B28A6" w:rsidRDefault="003B28A6">
            <w:pPr>
              <w:pStyle w:val="Standard"/>
              <w:spacing w:line="276" w:lineRule="auto"/>
              <w:jc w:val="right"/>
              <w:rPr>
                <w:rFonts w:ascii="Arial" w:hAnsi="Arial"/>
                <w:sz w:val="16"/>
                <w:szCs w:val="16"/>
              </w:rPr>
            </w:pPr>
          </w:p>
          <w:p w14:paraId="17C8C61F" w14:textId="77777777" w:rsidR="003B28A6" w:rsidRDefault="003B28A6">
            <w:pPr>
              <w:pStyle w:val="Standard"/>
              <w:spacing w:line="276" w:lineRule="auto"/>
              <w:jc w:val="right"/>
              <w:rPr>
                <w:rFonts w:ascii="Arial" w:hAnsi="Arial"/>
                <w:sz w:val="16"/>
                <w:szCs w:val="16"/>
              </w:rPr>
            </w:pPr>
            <w:r>
              <w:rPr>
                <w:rFonts w:ascii="Arial" w:hAnsi="Arial"/>
                <w:sz w:val="16"/>
                <w:szCs w:val="16"/>
              </w:rPr>
              <w:t>242.445,95</w:t>
            </w:r>
          </w:p>
        </w:tc>
        <w:tc>
          <w:tcPr>
            <w:tcW w:w="811" w:type="pct"/>
            <w:tcBorders>
              <w:top w:val="nil"/>
              <w:left w:val="nil"/>
              <w:bottom w:val="single" w:sz="4" w:space="0" w:color="993333"/>
              <w:right w:val="nil"/>
            </w:tcBorders>
            <w:shd w:val="clear" w:color="auto" w:fill="EEEEEE"/>
          </w:tcPr>
          <w:p w14:paraId="0C65611E" w14:textId="77777777" w:rsidR="003B28A6" w:rsidRDefault="003B28A6">
            <w:pPr>
              <w:pStyle w:val="Standard"/>
              <w:spacing w:line="276" w:lineRule="auto"/>
              <w:jc w:val="right"/>
              <w:rPr>
                <w:rFonts w:ascii="Arial" w:hAnsi="Arial"/>
                <w:sz w:val="16"/>
                <w:szCs w:val="16"/>
              </w:rPr>
            </w:pPr>
          </w:p>
          <w:p w14:paraId="284B64D0" w14:textId="77777777" w:rsidR="003B28A6" w:rsidRDefault="003B28A6">
            <w:pPr>
              <w:pStyle w:val="Standard"/>
              <w:spacing w:line="276" w:lineRule="auto"/>
              <w:jc w:val="right"/>
              <w:rPr>
                <w:rFonts w:ascii="Arial" w:hAnsi="Arial"/>
                <w:sz w:val="16"/>
                <w:szCs w:val="16"/>
              </w:rPr>
            </w:pPr>
            <w:r>
              <w:rPr>
                <w:rFonts w:ascii="Arial" w:hAnsi="Arial"/>
                <w:sz w:val="16"/>
                <w:szCs w:val="16"/>
              </w:rPr>
              <w:t>0,00</w:t>
            </w:r>
          </w:p>
        </w:tc>
        <w:tc>
          <w:tcPr>
            <w:tcW w:w="693" w:type="pct"/>
            <w:tcBorders>
              <w:top w:val="nil"/>
              <w:left w:val="nil"/>
              <w:bottom w:val="single" w:sz="4" w:space="0" w:color="993333"/>
              <w:right w:val="nil"/>
            </w:tcBorders>
            <w:shd w:val="clear" w:color="auto" w:fill="EEEEEE"/>
          </w:tcPr>
          <w:p w14:paraId="6F6739C7" w14:textId="77777777" w:rsidR="003B28A6" w:rsidRDefault="003B28A6">
            <w:pPr>
              <w:pStyle w:val="Standard"/>
              <w:spacing w:line="276" w:lineRule="auto"/>
              <w:jc w:val="right"/>
              <w:rPr>
                <w:rFonts w:ascii="Arial" w:hAnsi="Arial"/>
                <w:sz w:val="16"/>
                <w:szCs w:val="16"/>
              </w:rPr>
            </w:pPr>
          </w:p>
          <w:p w14:paraId="66208CAA" w14:textId="77777777" w:rsidR="003B28A6" w:rsidRDefault="003B28A6">
            <w:pPr>
              <w:pStyle w:val="Standard"/>
              <w:spacing w:line="276" w:lineRule="auto"/>
              <w:jc w:val="right"/>
              <w:rPr>
                <w:rFonts w:ascii="Arial" w:hAnsi="Arial"/>
                <w:sz w:val="16"/>
                <w:szCs w:val="16"/>
              </w:rPr>
            </w:pPr>
            <w:r>
              <w:rPr>
                <w:rFonts w:ascii="Arial" w:hAnsi="Arial"/>
                <w:sz w:val="16"/>
                <w:szCs w:val="16"/>
              </w:rPr>
              <w:t>242.445,95</w:t>
            </w:r>
          </w:p>
        </w:tc>
        <w:tc>
          <w:tcPr>
            <w:tcW w:w="586" w:type="pct"/>
            <w:tcBorders>
              <w:top w:val="nil"/>
              <w:left w:val="nil"/>
              <w:bottom w:val="single" w:sz="4" w:space="0" w:color="993333"/>
              <w:right w:val="nil"/>
            </w:tcBorders>
            <w:shd w:val="clear" w:color="auto" w:fill="EEEEEE"/>
          </w:tcPr>
          <w:p w14:paraId="09C13BE4" w14:textId="77777777" w:rsidR="003B28A6" w:rsidRDefault="003B28A6">
            <w:pPr>
              <w:pStyle w:val="Standard"/>
              <w:spacing w:line="276" w:lineRule="auto"/>
              <w:jc w:val="right"/>
              <w:rPr>
                <w:rFonts w:ascii="Arial" w:hAnsi="Arial"/>
                <w:sz w:val="16"/>
                <w:szCs w:val="16"/>
              </w:rPr>
            </w:pPr>
          </w:p>
          <w:p w14:paraId="55233D0B" w14:textId="77777777" w:rsidR="003B28A6" w:rsidRDefault="003B28A6">
            <w:pPr>
              <w:pStyle w:val="Standard"/>
              <w:spacing w:line="276" w:lineRule="auto"/>
              <w:jc w:val="right"/>
              <w:rPr>
                <w:rFonts w:ascii="Arial" w:hAnsi="Arial"/>
                <w:sz w:val="16"/>
                <w:szCs w:val="16"/>
              </w:rPr>
            </w:pPr>
            <w:r>
              <w:rPr>
                <w:rFonts w:ascii="Arial" w:hAnsi="Arial"/>
                <w:sz w:val="16"/>
                <w:szCs w:val="16"/>
              </w:rPr>
              <w:t>0,00</w:t>
            </w:r>
          </w:p>
        </w:tc>
        <w:tc>
          <w:tcPr>
            <w:tcW w:w="501" w:type="pct"/>
            <w:tcBorders>
              <w:top w:val="nil"/>
              <w:left w:val="nil"/>
              <w:bottom w:val="single" w:sz="4" w:space="0" w:color="993333"/>
              <w:right w:val="nil"/>
            </w:tcBorders>
            <w:shd w:val="clear" w:color="auto" w:fill="EEEEEE"/>
          </w:tcPr>
          <w:p w14:paraId="43E9B712" w14:textId="77777777" w:rsidR="003B28A6" w:rsidRDefault="003B28A6">
            <w:pPr>
              <w:pStyle w:val="Standard"/>
              <w:spacing w:line="276" w:lineRule="auto"/>
              <w:jc w:val="right"/>
              <w:rPr>
                <w:rFonts w:ascii="Arial" w:hAnsi="Arial"/>
                <w:sz w:val="16"/>
                <w:szCs w:val="16"/>
              </w:rPr>
            </w:pPr>
          </w:p>
          <w:p w14:paraId="782112D7" w14:textId="77777777" w:rsidR="003B28A6" w:rsidRDefault="003B28A6">
            <w:pPr>
              <w:pStyle w:val="Standard"/>
              <w:spacing w:line="276" w:lineRule="auto"/>
              <w:jc w:val="right"/>
              <w:rPr>
                <w:rFonts w:ascii="Arial" w:hAnsi="Arial"/>
                <w:sz w:val="16"/>
                <w:szCs w:val="16"/>
              </w:rPr>
            </w:pPr>
            <w:r>
              <w:rPr>
                <w:rFonts w:ascii="Arial" w:hAnsi="Arial"/>
                <w:sz w:val="16"/>
                <w:szCs w:val="16"/>
              </w:rPr>
              <w:t>100,00</w:t>
            </w:r>
          </w:p>
        </w:tc>
      </w:tr>
      <w:tr w:rsidR="003B28A6" w14:paraId="17625025" w14:textId="77777777" w:rsidTr="003B28A6">
        <w:tc>
          <w:tcPr>
            <w:tcW w:w="609" w:type="pct"/>
            <w:tcBorders>
              <w:top w:val="nil"/>
              <w:left w:val="nil"/>
              <w:bottom w:val="single" w:sz="4" w:space="0" w:color="993333"/>
              <w:right w:val="nil"/>
            </w:tcBorders>
            <w:shd w:val="clear" w:color="auto" w:fill="FFFFFF"/>
            <w:vAlign w:val="center"/>
            <w:hideMark/>
          </w:tcPr>
          <w:p w14:paraId="58AA3E61" w14:textId="77777777" w:rsidR="003B28A6" w:rsidRDefault="003B28A6">
            <w:pPr>
              <w:pStyle w:val="Standard"/>
              <w:spacing w:line="276" w:lineRule="auto"/>
              <w:jc w:val="center"/>
              <w:rPr>
                <w:rFonts w:ascii="Arial" w:hAnsi="Arial"/>
                <w:b/>
                <w:bCs/>
                <w:sz w:val="16"/>
                <w:szCs w:val="16"/>
              </w:rPr>
            </w:pPr>
            <w:r>
              <w:rPr>
                <w:rFonts w:ascii="Arial" w:hAnsi="Arial"/>
                <w:b/>
                <w:bCs/>
                <w:sz w:val="16"/>
                <w:szCs w:val="16"/>
              </w:rPr>
              <w:t>TOTAL</w:t>
            </w:r>
          </w:p>
        </w:tc>
        <w:tc>
          <w:tcPr>
            <w:tcW w:w="580" w:type="pct"/>
            <w:tcBorders>
              <w:top w:val="nil"/>
              <w:left w:val="nil"/>
              <w:bottom w:val="single" w:sz="4" w:space="0" w:color="993333"/>
              <w:right w:val="nil"/>
            </w:tcBorders>
            <w:shd w:val="clear" w:color="auto" w:fill="FFFFFF"/>
            <w:vAlign w:val="center"/>
            <w:hideMark/>
          </w:tcPr>
          <w:p w14:paraId="1627F764" w14:textId="77777777" w:rsidR="003B28A6" w:rsidRDefault="003B28A6">
            <w:pPr>
              <w:pStyle w:val="Standard"/>
              <w:spacing w:line="276" w:lineRule="auto"/>
              <w:jc w:val="right"/>
              <w:rPr>
                <w:rFonts w:ascii="Arial" w:hAnsi="Arial"/>
                <w:b/>
                <w:bCs/>
                <w:sz w:val="16"/>
                <w:szCs w:val="16"/>
              </w:rPr>
            </w:pPr>
            <w:r>
              <w:rPr>
                <w:rFonts w:ascii="Arial" w:hAnsi="Arial"/>
                <w:b/>
                <w:bCs/>
                <w:sz w:val="16"/>
                <w:szCs w:val="16"/>
              </w:rPr>
              <w:t>4.469.875,74</w:t>
            </w:r>
          </w:p>
        </w:tc>
        <w:tc>
          <w:tcPr>
            <w:tcW w:w="612" w:type="pct"/>
            <w:tcBorders>
              <w:top w:val="nil"/>
              <w:left w:val="nil"/>
              <w:bottom w:val="single" w:sz="4" w:space="0" w:color="993333"/>
              <w:right w:val="nil"/>
            </w:tcBorders>
            <w:shd w:val="clear" w:color="auto" w:fill="FFFFFF"/>
            <w:vAlign w:val="center"/>
            <w:hideMark/>
          </w:tcPr>
          <w:p w14:paraId="164A7D3D" w14:textId="77777777" w:rsidR="003B28A6" w:rsidRDefault="003B28A6">
            <w:pPr>
              <w:pStyle w:val="Standard"/>
              <w:spacing w:line="276" w:lineRule="auto"/>
              <w:jc w:val="right"/>
              <w:rPr>
                <w:rFonts w:ascii="Arial" w:hAnsi="Arial"/>
                <w:b/>
                <w:bCs/>
                <w:sz w:val="16"/>
                <w:szCs w:val="16"/>
              </w:rPr>
            </w:pPr>
            <w:r>
              <w:rPr>
                <w:rFonts w:ascii="Arial" w:hAnsi="Arial"/>
                <w:b/>
                <w:bCs/>
                <w:sz w:val="16"/>
                <w:szCs w:val="16"/>
              </w:rPr>
              <w:t>4.469.880,00</w:t>
            </w:r>
          </w:p>
        </w:tc>
        <w:tc>
          <w:tcPr>
            <w:tcW w:w="608" w:type="pct"/>
            <w:tcBorders>
              <w:top w:val="nil"/>
              <w:left w:val="nil"/>
              <w:bottom w:val="single" w:sz="4" w:space="0" w:color="993333"/>
              <w:right w:val="nil"/>
            </w:tcBorders>
            <w:shd w:val="clear" w:color="auto" w:fill="FFFFFF"/>
            <w:vAlign w:val="center"/>
            <w:hideMark/>
          </w:tcPr>
          <w:p w14:paraId="42B352B2" w14:textId="77777777" w:rsidR="003B28A6" w:rsidRDefault="003B28A6">
            <w:pPr>
              <w:pStyle w:val="Standard"/>
              <w:spacing w:line="276" w:lineRule="auto"/>
              <w:jc w:val="right"/>
              <w:rPr>
                <w:rFonts w:ascii="Arial" w:hAnsi="Arial"/>
                <w:b/>
                <w:bCs/>
                <w:sz w:val="16"/>
                <w:szCs w:val="16"/>
              </w:rPr>
            </w:pPr>
            <w:r>
              <w:rPr>
                <w:rFonts w:ascii="Arial" w:hAnsi="Arial"/>
                <w:b/>
                <w:bCs/>
                <w:sz w:val="16"/>
                <w:szCs w:val="16"/>
              </w:rPr>
              <w:t>1.651.591,32</w:t>
            </w:r>
          </w:p>
        </w:tc>
        <w:tc>
          <w:tcPr>
            <w:tcW w:w="811" w:type="pct"/>
            <w:tcBorders>
              <w:top w:val="nil"/>
              <w:left w:val="nil"/>
              <w:bottom w:val="single" w:sz="4" w:space="0" w:color="993333"/>
              <w:right w:val="nil"/>
            </w:tcBorders>
            <w:shd w:val="clear" w:color="auto" w:fill="FFFFFF"/>
            <w:vAlign w:val="center"/>
            <w:hideMark/>
          </w:tcPr>
          <w:p w14:paraId="74783FB7" w14:textId="77777777" w:rsidR="003B28A6" w:rsidRDefault="003B28A6">
            <w:pPr>
              <w:pStyle w:val="Standard"/>
              <w:spacing w:line="276" w:lineRule="auto"/>
              <w:jc w:val="right"/>
              <w:rPr>
                <w:rFonts w:ascii="Arial" w:hAnsi="Arial"/>
                <w:b/>
                <w:bCs/>
                <w:sz w:val="16"/>
                <w:szCs w:val="16"/>
              </w:rPr>
            </w:pPr>
            <w:r>
              <w:rPr>
                <w:rFonts w:ascii="Arial" w:hAnsi="Arial"/>
                <w:b/>
                <w:bCs/>
                <w:sz w:val="16"/>
                <w:szCs w:val="16"/>
              </w:rPr>
              <w:t>0,00</w:t>
            </w:r>
          </w:p>
        </w:tc>
        <w:tc>
          <w:tcPr>
            <w:tcW w:w="693" w:type="pct"/>
            <w:tcBorders>
              <w:top w:val="nil"/>
              <w:left w:val="nil"/>
              <w:bottom w:val="single" w:sz="4" w:space="0" w:color="993333"/>
              <w:right w:val="nil"/>
            </w:tcBorders>
            <w:shd w:val="clear" w:color="auto" w:fill="FFFFFF"/>
            <w:vAlign w:val="center"/>
            <w:hideMark/>
          </w:tcPr>
          <w:p w14:paraId="44315381" w14:textId="77777777" w:rsidR="003B28A6" w:rsidRDefault="003B28A6">
            <w:pPr>
              <w:pStyle w:val="Standard"/>
              <w:spacing w:line="276" w:lineRule="auto"/>
              <w:jc w:val="right"/>
              <w:rPr>
                <w:rFonts w:ascii="Arial" w:hAnsi="Arial"/>
                <w:b/>
                <w:bCs/>
                <w:sz w:val="16"/>
                <w:szCs w:val="16"/>
              </w:rPr>
            </w:pPr>
            <w:r>
              <w:rPr>
                <w:rFonts w:ascii="Arial" w:hAnsi="Arial"/>
                <w:b/>
                <w:bCs/>
                <w:sz w:val="16"/>
                <w:szCs w:val="16"/>
              </w:rPr>
              <w:t>1.651.591,32</w:t>
            </w:r>
          </w:p>
        </w:tc>
        <w:tc>
          <w:tcPr>
            <w:tcW w:w="586" w:type="pct"/>
            <w:tcBorders>
              <w:top w:val="nil"/>
              <w:left w:val="nil"/>
              <w:bottom w:val="single" w:sz="4" w:space="0" w:color="993333"/>
              <w:right w:val="nil"/>
            </w:tcBorders>
            <w:shd w:val="clear" w:color="auto" w:fill="FFFFFF"/>
            <w:vAlign w:val="center"/>
            <w:hideMark/>
          </w:tcPr>
          <w:p w14:paraId="335D57CD" w14:textId="77777777" w:rsidR="003B28A6" w:rsidRDefault="003B28A6">
            <w:pPr>
              <w:pStyle w:val="Standard"/>
              <w:spacing w:line="276" w:lineRule="auto"/>
              <w:jc w:val="right"/>
              <w:rPr>
                <w:rFonts w:ascii="Arial" w:hAnsi="Arial"/>
                <w:b/>
                <w:bCs/>
                <w:sz w:val="16"/>
                <w:szCs w:val="16"/>
              </w:rPr>
            </w:pPr>
            <w:r>
              <w:rPr>
                <w:rFonts w:ascii="Arial" w:hAnsi="Arial"/>
                <w:b/>
                <w:bCs/>
                <w:sz w:val="16"/>
                <w:szCs w:val="16"/>
              </w:rPr>
              <w:t>2.818.288,68</w:t>
            </w:r>
          </w:p>
        </w:tc>
        <w:tc>
          <w:tcPr>
            <w:tcW w:w="501" w:type="pct"/>
            <w:tcBorders>
              <w:top w:val="nil"/>
              <w:left w:val="nil"/>
              <w:bottom w:val="single" w:sz="4" w:space="0" w:color="993333"/>
              <w:right w:val="nil"/>
            </w:tcBorders>
            <w:shd w:val="clear" w:color="auto" w:fill="FFFFFF"/>
            <w:vAlign w:val="center"/>
            <w:hideMark/>
          </w:tcPr>
          <w:p w14:paraId="1EFE2872" w14:textId="77777777" w:rsidR="003B28A6" w:rsidRDefault="003B28A6">
            <w:pPr>
              <w:pStyle w:val="Standard"/>
              <w:spacing w:line="276" w:lineRule="auto"/>
              <w:jc w:val="right"/>
              <w:rPr>
                <w:rFonts w:ascii="Arial" w:hAnsi="Arial"/>
                <w:b/>
                <w:bCs/>
                <w:color w:val="000000"/>
                <w:sz w:val="16"/>
                <w:szCs w:val="16"/>
              </w:rPr>
            </w:pPr>
            <w:r>
              <w:rPr>
                <w:rFonts w:ascii="Arial" w:hAnsi="Arial"/>
                <w:b/>
                <w:bCs/>
                <w:color w:val="000000"/>
                <w:sz w:val="16"/>
                <w:szCs w:val="16"/>
              </w:rPr>
              <w:t>36,95</w:t>
            </w:r>
          </w:p>
        </w:tc>
      </w:tr>
    </w:tbl>
    <w:p w14:paraId="31A94DCB" w14:textId="77777777" w:rsidR="003B28A6" w:rsidRDefault="003B28A6" w:rsidP="003B28A6">
      <w:pPr>
        <w:pStyle w:val="Standard"/>
        <w:spacing w:line="276" w:lineRule="auto"/>
        <w:jc w:val="both"/>
        <w:rPr>
          <w:rFonts w:ascii="Arial" w:hAnsi="Arial" w:cs="MillerText-Roman"/>
          <w:b/>
          <w:bCs/>
          <w:color w:val="94070A"/>
          <w:sz w:val="16"/>
          <w:szCs w:val="16"/>
        </w:rPr>
      </w:pPr>
    </w:p>
    <w:p w14:paraId="471A40FC" w14:textId="4317FB8A" w:rsidR="003B28A6" w:rsidRPr="00F8714B" w:rsidRDefault="003B28A6" w:rsidP="003B28A6">
      <w:pPr>
        <w:pStyle w:val="Descripcin"/>
        <w:keepNext/>
        <w:rPr>
          <w:rFonts w:ascii="Arial" w:hAnsi="Arial" w:cs="Arial"/>
          <w:smallCaps w:val="0"/>
          <w:sz w:val="18"/>
        </w:rPr>
      </w:pPr>
      <w:bookmarkStart w:id="350" w:name="_Toc66443898"/>
      <w:bookmarkStart w:id="351" w:name="_Toc67646367"/>
      <w:r w:rsidRPr="00F8714B">
        <w:rPr>
          <w:rFonts w:ascii="Arial" w:hAnsi="Arial" w:cs="Arial"/>
          <w:smallCaps w:val="0"/>
          <w:color w:val="9D2235" w:themeColor="accent1"/>
          <w:sz w:val="18"/>
        </w:rPr>
        <w:t xml:space="preserve">Tabla </w:t>
      </w:r>
      <w:r w:rsidRPr="00F8714B">
        <w:rPr>
          <w:rFonts w:ascii="Arial" w:hAnsi="Arial" w:cs="Arial"/>
          <w:smallCaps w:val="0"/>
          <w:sz w:val="18"/>
        </w:rPr>
        <w:fldChar w:fldCharType="begin"/>
      </w:r>
      <w:r w:rsidRPr="00F8714B">
        <w:rPr>
          <w:rFonts w:ascii="Arial" w:hAnsi="Arial" w:cs="Arial"/>
          <w:smallCaps w:val="0"/>
          <w:color w:val="9D2235" w:themeColor="accent1"/>
          <w:sz w:val="18"/>
        </w:rPr>
        <w:instrText xml:space="preserve"> SEQ Tabla \* ARABIC </w:instrText>
      </w:r>
      <w:r w:rsidRPr="00F8714B">
        <w:rPr>
          <w:rFonts w:ascii="Arial" w:hAnsi="Arial" w:cs="Arial"/>
          <w:smallCaps w:val="0"/>
          <w:sz w:val="18"/>
        </w:rPr>
        <w:fldChar w:fldCharType="separate"/>
      </w:r>
      <w:r w:rsidR="00ED7F0D">
        <w:rPr>
          <w:rFonts w:ascii="Arial" w:hAnsi="Arial" w:cs="Arial"/>
          <w:smallCaps w:val="0"/>
          <w:noProof/>
          <w:color w:val="9D2235" w:themeColor="accent1"/>
          <w:sz w:val="18"/>
        </w:rPr>
        <w:t>30</w:t>
      </w:r>
      <w:r w:rsidRPr="00F8714B">
        <w:rPr>
          <w:rFonts w:ascii="Arial" w:hAnsi="Arial" w:cs="Arial"/>
          <w:smallCaps w:val="0"/>
          <w:sz w:val="18"/>
        </w:rPr>
        <w:fldChar w:fldCharType="end"/>
      </w:r>
      <w:r w:rsidRPr="00F8714B">
        <w:rPr>
          <w:rFonts w:ascii="Arial" w:hAnsi="Arial" w:cs="Arial"/>
          <w:smallCaps w:val="0"/>
          <w:color w:val="9D2235" w:themeColor="accent1"/>
          <w:sz w:val="18"/>
        </w:rPr>
        <w:t xml:space="preserve">. </w:t>
      </w:r>
      <w:r w:rsidRPr="00F8714B">
        <w:rPr>
          <w:rFonts w:ascii="Arial" w:hAnsi="Arial" w:cs="Arial"/>
          <w:smallCaps w:val="0"/>
          <w:sz w:val="18"/>
        </w:rPr>
        <w:t>Comparativa estado ejecución a 31/12 del estado de ingresos correspondiente a los ejercicios 2020 y 2019</w:t>
      </w:r>
      <w:bookmarkEnd w:id="350"/>
      <w:bookmarkEnd w:id="351"/>
    </w:p>
    <w:tbl>
      <w:tblPr>
        <w:tblW w:w="4904" w:type="pct"/>
        <w:tblInd w:w="279" w:type="dxa"/>
        <w:tblCellMar>
          <w:left w:w="70" w:type="dxa"/>
          <w:right w:w="70" w:type="dxa"/>
        </w:tblCellMar>
        <w:tblLook w:val="04A0" w:firstRow="1" w:lastRow="0" w:firstColumn="1" w:lastColumn="0" w:noHBand="0" w:noVBand="1"/>
      </w:tblPr>
      <w:tblGrid>
        <w:gridCol w:w="958"/>
        <w:gridCol w:w="1226"/>
        <w:gridCol w:w="1349"/>
        <w:gridCol w:w="1347"/>
        <w:gridCol w:w="1225"/>
        <w:gridCol w:w="1349"/>
        <w:gridCol w:w="1340"/>
        <w:gridCol w:w="772"/>
        <w:gridCol w:w="550"/>
        <w:gridCol w:w="550"/>
        <w:gridCol w:w="469"/>
        <w:gridCol w:w="541"/>
        <w:gridCol w:w="541"/>
        <w:gridCol w:w="951"/>
      </w:tblGrid>
      <w:tr w:rsidR="003B28A6" w14:paraId="5EC309D6" w14:textId="77777777" w:rsidTr="003B28A6">
        <w:trPr>
          <w:trHeight w:val="285"/>
        </w:trPr>
        <w:tc>
          <w:tcPr>
            <w:tcW w:w="364" w:type="pct"/>
            <w:vMerge w:val="restart"/>
            <w:tcBorders>
              <w:top w:val="single" w:sz="4" w:space="0" w:color="000000"/>
              <w:left w:val="single" w:sz="4" w:space="0" w:color="000000"/>
              <w:bottom w:val="single" w:sz="4" w:space="0" w:color="000000"/>
              <w:right w:val="single" w:sz="4" w:space="0" w:color="000000"/>
            </w:tcBorders>
            <w:shd w:val="clear" w:color="auto" w:fill="9D2235"/>
            <w:vAlign w:val="center"/>
            <w:hideMark/>
          </w:tcPr>
          <w:p w14:paraId="553BCE06"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CAPÍTULO</w:t>
            </w:r>
          </w:p>
        </w:tc>
        <w:tc>
          <w:tcPr>
            <w:tcW w:w="1490" w:type="pct"/>
            <w:gridSpan w:val="3"/>
            <w:vMerge w:val="restart"/>
            <w:tcBorders>
              <w:top w:val="single" w:sz="4" w:space="0" w:color="000000"/>
              <w:left w:val="single" w:sz="4" w:space="0" w:color="000000"/>
              <w:bottom w:val="single" w:sz="4" w:space="0" w:color="000000"/>
              <w:right w:val="single" w:sz="4" w:space="0" w:color="000000"/>
            </w:tcBorders>
            <w:shd w:val="clear" w:color="auto" w:fill="9D2235"/>
            <w:vAlign w:val="center"/>
            <w:hideMark/>
          </w:tcPr>
          <w:p w14:paraId="725BAB25"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2020</w:t>
            </w:r>
          </w:p>
        </w:tc>
        <w:tc>
          <w:tcPr>
            <w:tcW w:w="1486" w:type="pct"/>
            <w:gridSpan w:val="3"/>
            <w:vMerge w:val="restart"/>
            <w:tcBorders>
              <w:top w:val="single" w:sz="4" w:space="0" w:color="000000"/>
              <w:left w:val="single" w:sz="4" w:space="0" w:color="000000"/>
              <w:bottom w:val="single" w:sz="4" w:space="0" w:color="000000"/>
              <w:right w:val="single" w:sz="4" w:space="0" w:color="000000"/>
            </w:tcBorders>
            <w:shd w:val="clear" w:color="auto" w:fill="9D2235"/>
            <w:vAlign w:val="center"/>
            <w:hideMark/>
          </w:tcPr>
          <w:p w14:paraId="41C1AB05"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2019</w:t>
            </w:r>
          </w:p>
        </w:tc>
        <w:tc>
          <w:tcPr>
            <w:tcW w:w="889" w:type="pct"/>
            <w:gridSpan w:val="4"/>
            <w:tcBorders>
              <w:top w:val="single" w:sz="4" w:space="0" w:color="000000"/>
              <w:left w:val="nil"/>
              <w:bottom w:val="single" w:sz="4" w:space="0" w:color="000000"/>
              <w:right w:val="single" w:sz="4" w:space="0" w:color="000000"/>
            </w:tcBorders>
            <w:shd w:val="clear" w:color="auto" w:fill="9D2235"/>
            <w:vAlign w:val="center"/>
            <w:hideMark/>
          </w:tcPr>
          <w:p w14:paraId="3DCAACF8"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 DE REALIZACIÓN</w:t>
            </w:r>
          </w:p>
        </w:tc>
        <w:tc>
          <w:tcPr>
            <w:tcW w:w="772" w:type="pct"/>
            <w:gridSpan w:val="3"/>
            <w:tcBorders>
              <w:top w:val="single" w:sz="4" w:space="0" w:color="000000"/>
              <w:left w:val="single" w:sz="4" w:space="0" w:color="000000"/>
              <w:bottom w:val="single" w:sz="4" w:space="0" w:color="000000"/>
              <w:right w:val="single" w:sz="4" w:space="0" w:color="000000"/>
            </w:tcBorders>
            <w:shd w:val="clear" w:color="auto" w:fill="9D2235"/>
            <w:vAlign w:val="center"/>
            <w:hideMark/>
          </w:tcPr>
          <w:p w14:paraId="235A6AE1"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TASAS DE VARIACIÓN</w:t>
            </w:r>
          </w:p>
        </w:tc>
      </w:tr>
      <w:tr w:rsidR="003B28A6" w14:paraId="16334FB2" w14:textId="77777777" w:rsidTr="003B28A6">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5D373F" w14:textId="77777777" w:rsidR="003B28A6" w:rsidRDefault="003B28A6">
            <w:pPr>
              <w:spacing w:after="0"/>
              <w:rPr>
                <w:rFonts w:ascii="Arial" w:eastAsia="Times New Roman" w:hAnsi="Arial" w:cs="Arial"/>
                <w:b/>
                <w:bCs/>
                <w:color w:val="FFFFFF"/>
                <w:sz w:val="16"/>
                <w:szCs w:val="16"/>
                <w:lang w:eastAsia="es-E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21D6A4A" w14:textId="77777777" w:rsidR="003B28A6" w:rsidRDefault="003B28A6">
            <w:pPr>
              <w:spacing w:after="0"/>
              <w:rPr>
                <w:rFonts w:ascii="Arial" w:eastAsia="Times New Roman" w:hAnsi="Arial" w:cs="Arial"/>
                <w:b/>
                <w:bCs/>
                <w:color w:val="FFFFFF"/>
                <w:sz w:val="16"/>
                <w:szCs w:val="16"/>
                <w:lang w:eastAsia="es-E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D838334" w14:textId="77777777" w:rsidR="003B28A6" w:rsidRDefault="003B28A6">
            <w:pPr>
              <w:spacing w:after="0"/>
              <w:rPr>
                <w:rFonts w:ascii="Arial" w:eastAsia="Times New Roman" w:hAnsi="Arial" w:cs="Arial"/>
                <w:b/>
                <w:bCs/>
                <w:color w:val="FFFFFF"/>
                <w:sz w:val="16"/>
                <w:szCs w:val="16"/>
                <w:lang w:eastAsia="es-ES"/>
              </w:rPr>
            </w:pPr>
          </w:p>
        </w:tc>
        <w:tc>
          <w:tcPr>
            <w:tcW w:w="293" w:type="pct"/>
            <w:tcBorders>
              <w:top w:val="single" w:sz="4" w:space="0" w:color="000000"/>
              <w:left w:val="nil"/>
              <w:bottom w:val="single" w:sz="4" w:space="0" w:color="000000"/>
              <w:right w:val="single" w:sz="4" w:space="0" w:color="000000"/>
            </w:tcBorders>
            <w:shd w:val="clear" w:color="auto" w:fill="9D2235"/>
            <w:vAlign w:val="center"/>
            <w:hideMark/>
          </w:tcPr>
          <w:p w14:paraId="394D586E"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2020</w:t>
            </w:r>
          </w:p>
        </w:tc>
        <w:tc>
          <w:tcPr>
            <w:tcW w:w="596" w:type="pct"/>
            <w:gridSpan w:val="3"/>
            <w:tcBorders>
              <w:top w:val="single" w:sz="4" w:space="0" w:color="000000"/>
              <w:left w:val="nil"/>
              <w:bottom w:val="single" w:sz="4" w:space="0" w:color="000000"/>
              <w:right w:val="single" w:sz="4" w:space="0" w:color="000000"/>
            </w:tcBorders>
            <w:shd w:val="clear" w:color="auto" w:fill="9D2235"/>
            <w:vAlign w:val="center"/>
            <w:hideMark/>
          </w:tcPr>
          <w:p w14:paraId="67463539"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2019</w:t>
            </w:r>
          </w:p>
        </w:tc>
        <w:tc>
          <w:tcPr>
            <w:tcW w:w="772" w:type="pct"/>
            <w:gridSpan w:val="3"/>
            <w:tcBorders>
              <w:top w:val="single" w:sz="4" w:space="0" w:color="000000"/>
              <w:left w:val="single" w:sz="4" w:space="0" w:color="000000"/>
              <w:bottom w:val="single" w:sz="4" w:space="0" w:color="000000"/>
              <w:right w:val="single" w:sz="4" w:space="0" w:color="000000"/>
            </w:tcBorders>
            <w:shd w:val="clear" w:color="auto" w:fill="9D2235"/>
            <w:vAlign w:val="center"/>
          </w:tcPr>
          <w:p w14:paraId="0B74AD91" w14:textId="77777777" w:rsidR="003B28A6" w:rsidRDefault="003B28A6">
            <w:pPr>
              <w:rPr>
                <w:rFonts w:ascii="Arial" w:eastAsia="Times New Roman" w:hAnsi="Arial" w:cs="Arial"/>
                <w:b/>
                <w:bCs/>
                <w:color w:val="FFFFFF"/>
                <w:sz w:val="16"/>
                <w:szCs w:val="16"/>
                <w:lang w:eastAsia="es-ES"/>
              </w:rPr>
            </w:pPr>
          </w:p>
        </w:tc>
      </w:tr>
      <w:tr w:rsidR="003B28A6" w14:paraId="11ACFD91" w14:textId="77777777" w:rsidTr="003B28A6">
        <w:trPr>
          <w:trHeight w:val="6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852619" w14:textId="77777777" w:rsidR="003B28A6" w:rsidRDefault="003B28A6">
            <w:pPr>
              <w:spacing w:after="0"/>
              <w:rPr>
                <w:rFonts w:ascii="Arial" w:eastAsia="Times New Roman" w:hAnsi="Arial" w:cs="Arial"/>
                <w:b/>
                <w:bCs/>
                <w:color w:val="FFFFFF"/>
                <w:sz w:val="16"/>
                <w:szCs w:val="16"/>
                <w:lang w:eastAsia="es-ES"/>
              </w:rPr>
            </w:pPr>
          </w:p>
        </w:tc>
        <w:tc>
          <w:tcPr>
            <w:tcW w:w="466" w:type="pct"/>
            <w:tcBorders>
              <w:top w:val="nil"/>
              <w:left w:val="nil"/>
              <w:bottom w:val="single" w:sz="4" w:space="0" w:color="000000"/>
              <w:right w:val="single" w:sz="4" w:space="0" w:color="000000"/>
            </w:tcBorders>
            <w:shd w:val="clear" w:color="auto" w:fill="9D2235"/>
            <w:vAlign w:val="center"/>
            <w:hideMark/>
          </w:tcPr>
          <w:p w14:paraId="14135D09"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PREVISIONES TOTALES</w:t>
            </w:r>
            <w:r>
              <w:rPr>
                <w:rFonts w:ascii="Arial" w:eastAsia="Times New Roman" w:hAnsi="Arial" w:cs="Arial"/>
                <w:b/>
                <w:bCs/>
                <w:color w:val="FFFFFF"/>
                <w:sz w:val="16"/>
                <w:szCs w:val="16"/>
                <w:lang w:eastAsia="es-ES"/>
              </w:rPr>
              <w:br/>
              <w:t>(1)</w:t>
            </w:r>
          </w:p>
        </w:tc>
        <w:tc>
          <w:tcPr>
            <w:tcW w:w="512" w:type="pct"/>
            <w:tcBorders>
              <w:top w:val="nil"/>
              <w:left w:val="nil"/>
              <w:bottom w:val="single" w:sz="4" w:space="0" w:color="000000"/>
              <w:right w:val="single" w:sz="4" w:space="0" w:color="000000"/>
            </w:tcBorders>
            <w:shd w:val="clear" w:color="auto" w:fill="9D2235"/>
            <w:vAlign w:val="center"/>
            <w:hideMark/>
          </w:tcPr>
          <w:p w14:paraId="45E4CE7A"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DERECHOS RECONOCIDOS NETOS</w:t>
            </w:r>
            <w:r>
              <w:rPr>
                <w:rFonts w:ascii="Arial" w:eastAsia="Times New Roman" w:hAnsi="Arial" w:cs="Arial"/>
                <w:b/>
                <w:bCs/>
                <w:color w:val="FFFFFF"/>
                <w:sz w:val="16"/>
                <w:szCs w:val="16"/>
                <w:lang w:eastAsia="es-ES"/>
              </w:rPr>
              <w:br/>
              <w:t>(2)</w:t>
            </w:r>
          </w:p>
        </w:tc>
        <w:tc>
          <w:tcPr>
            <w:tcW w:w="511" w:type="pct"/>
            <w:tcBorders>
              <w:top w:val="nil"/>
              <w:left w:val="nil"/>
              <w:bottom w:val="single" w:sz="4" w:space="0" w:color="000000"/>
              <w:right w:val="single" w:sz="4" w:space="0" w:color="000000"/>
            </w:tcBorders>
            <w:shd w:val="clear" w:color="auto" w:fill="9D2235"/>
            <w:vAlign w:val="center"/>
            <w:hideMark/>
          </w:tcPr>
          <w:p w14:paraId="75D1FE9A"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RECAUDACIÓN LÍQUIDA</w:t>
            </w:r>
            <w:r>
              <w:rPr>
                <w:rFonts w:ascii="Arial" w:eastAsia="Times New Roman" w:hAnsi="Arial" w:cs="Arial"/>
                <w:b/>
                <w:bCs/>
                <w:color w:val="FFFFFF"/>
                <w:sz w:val="16"/>
                <w:szCs w:val="16"/>
                <w:lang w:eastAsia="es-ES"/>
              </w:rPr>
              <w:br/>
              <w:t>(3)</w:t>
            </w:r>
          </w:p>
        </w:tc>
        <w:tc>
          <w:tcPr>
            <w:tcW w:w="465" w:type="pct"/>
            <w:tcBorders>
              <w:top w:val="nil"/>
              <w:left w:val="nil"/>
              <w:bottom w:val="single" w:sz="4" w:space="0" w:color="000000"/>
              <w:right w:val="single" w:sz="4" w:space="0" w:color="000000"/>
            </w:tcBorders>
            <w:shd w:val="clear" w:color="auto" w:fill="9D2235"/>
            <w:vAlign w:val="center"/>
            <w:hideMark/>
          </w:tcPr>
          <w:p w14:paraId="14214373"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PREVISIONES TOTALES</w:t>
            </w:r>
            <w:r>
              <w:rPr>
                <w:rFonts w:ascii="Arial" w:eastAsia="Times New Roman" w:hAnsi="Arial" w:cs="Arial"/>
                <w:b/>
                <w:bCs/>
                <w:color w:val="FFFFFF"/>
                <w:sz w:val="16"/>
                <w:szCs w:val="16"/>
                <w:lang w:eastAsia="es-ES"/>
              </w:rPr>
              <w:br/>
              <w:t>(4)</w:t>
            </w:r>
          </w:p>
        </w:tc>
        <w:tc>
          <w:tcPr>
            <w:tcW w:w="512" w:type="pct"/>
            <w:tcBorders>
              <w:top w:val="nil"/>
              <w:left w:val="nil"/>
              <w:bottom w:val="single" w:sz="4" w:space="0" w:color="000000"/>
              <w:right w:val="single" w:sz="4" w:space="0" w:color="000000"/>
            </w:tcBorders>
            <w:shd w:val="clear" w:color="auto" w:fill="9D2235"/>
            <w:vAlign w:val="center"/>
            <w:hideMark/>
          </w:tcPr>
          <w:p w14:paraId="5B253CA9"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DERECHOS RECONOCIDOS NETOS</w:t>
            </w:r>
            <w:r>
              <w:rPr>
                <w:rFonts w:ascii="Arial" w:eastAsia="Times New Roman" w:hAnsi="Arial" w:cs="Arial"/>
                <w:b/>
                <w:bCs/>
                <w:color w:val="FFFFFF"/>
                <w:sz w:val="16"/>
                <w:szCs w:val="16"/>
                <w:lang w:eastAsia="es-ES"/>
              </w:rPr>
              <w:br/>
              <w:t>(5)</w:t>
            </w:r>
          </w:p>
        </w:tc>
        <w:tc>
          <w:tcPr>
            <w:tcW w:w="509" w:type="pct"/>
            <w:tcBorders>
              <w:top w:val="nil"/>
              <w:left w:val="nil"/>
              <w:bottom w:val="single" w:sz="4" w:space="0" w:color="000000"/>
              <w:right w:val="single" w:sz="4" w:space="0" w:color="000000"/>
            </w:tcBorders>
            <w:shd w:val="clear" w:color="auto" w:fill="9D2235"/>
            <w:vAlign w:val="center"/>
            <w:hideMark/>
          </w:tcPr>
          <w:p w14:paraId="3E950DD7"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RECAUDACIÓN LÍQUIDA</w:t>
            </w:r>
            <w:r>
              <w:rPr>
                <w:rFonts w:ascii="Arial" w:eastAsia="Times New Roman" w:hAnsi="Arial" w:cs="Arial"/>
                <w:b/>
                <w:bCs/>
                <w:color w:val="FFFFFF"/>
                <w:sz w:val="16"/>
                <w:szCs w:val="16"/>
                <w:lang w:eastAsia="es-ES"/>
              </w:rPr>
              <w:br/>
              <w:t>(7)</w:t>
            </w:r>
          </w:p>
        </w:tc>
        <w:tc>
          <w:tcPr>
            <w:tcW w:w="293" w:type="pct"/>
            <w:tcBorders>
              <w:top w:val="nil"/>
              <w:left w:val="nil"/>
              <w:bottom w:val="single" w:sz="4" w:space="0" w:color="000000"/>
              <w:right w:val="single" w:sz="4" w:space="0" w:color="000000"/>
            </w:tcBorders>
            <w:shd w:val="clear" w:color="auto" w:fill="9D2235"/>
            <w:vAlign w:val="center"/>
            <w:hideMark/>
          </w:tcPr>
          <w:p w14:paraId="7740C0E7"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2/1</w:t>
            </w:r>
          </w:p>
        </w:tc>
        <w:tc>
          <w:tcPr>
            <w:tcW w:w="209" w:type="pct"/>
            <w:tcBorders>
              <w:top w:val="nil"/>
              <w:left w:val="nil"/>
              <w:bottom w:val="single" w:sz="4" w:space="0" w:color="000000"/>
              <w:right w:val="single" w:sz="4" w:space="0" w:color="000000"/>
            </w:tcBorders>
            <w:shd w:val="clear" w:color="auto" w:fill="9D2235"/>
            <w:vAlign w:val="center"/>
            <w:hideMark/>
          </w:tcPr>
          <w:p w14:paraId="0A3548EB"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3/2</w:t>
            </w:r>
          </w:p>
        </w:tc>
        <w:tc>
          <w:tcPr>
            <w:tcW w:w="209" w:type="pct"/>
            <w:tcBorders>
              <w:top w:val="nil"/>
              <w:left w:val="nil"/>
              <w:bottom w:val="single" w:sz="4" w:space="0" w:color="000000"/>
              <w:right w:val="single" w:sz="4" w:space="0" w:color="000000"/>
            </w:tcBorders>
            <w:shd w:val="clear" w:color="auto" w:fill="9D2235"/>
            <w:vAlign w:val="center"/>
            <w:hideMark/>
          </w:tcPr>
          <w:p w14:paraId="393B2189"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5/4</w:t>
            </w:r>
          </w:p>
        </w:tc>
        <w:tc>
          <w:tcPr>
            <w:tcW w:w="178" w:type="pct"/>
            <w:tcBorders>
              <w:top w:val="nil"/>
              <w:left w:val="nil"/>
              <w:bottom w:val="single" w:sz="4" w:space="0" w:color="000000"/>
              <w:right w:val="single" w:sz="4" w:space="0" w:color="000000"/>
            </w:tcBorders>
            <w:shd w:val="clear" w:color="auto" w:fill="9D2235"/>
            <w:vAlign w:val="center"/>
            <w:hideMark/>
          </w:tcPr>
          <w:p w14:paraId="2C824728"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7/5</w:t>
            </w:r>
          </w:p>
        </w:tc>
        <w:tc>
          <w:tcPr>
            <w:tcW w:w="205" w:type="pct"/>
            <w:tcBorders>
              <w:top w:val="nil"/>
              <w:left w:val="nil"/>
              <w:bottom w:val="single" w:sz="4" w:space="0" w:color="000000"/>
              <w:right w:val="single" w:sz="4" w:space="0" w:color="000000"/>
            </w:tcBorders>
            <w:shd w:val="clear" w:color="auto" w:fill="9D2235"/>
            <w:vAlign w:val="center"/>
            <w:hideMark/>
          </w:tcPr>
          <w:p w14:paraId="1CF0A0D3"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1/4</w:t>
            </w:r>
          </w:p>
        </w:tc>
        <w:tc>
          <w:tcPr>
            <w:tcW w:w="205" w:type="pct"/>
            <w:tcBorders>
              <w:top w:val="nil"/>
              <w:left w:val="nil"/>
              <w:bottom w:val="single" w:sz="4" w:space="0" w:color="000000"/>
              <w:right w:val="single" w:sz="4" w:space="0" w:color="000000"/>
            </w:tcBorders>
            <w:shd w:val="clear" w:color="auto" w:fill="9D2235"/>
            <w:vAlign w:val="center"/>
            <w:hideMark/>
          </w:tcPr>
          <w:p w14:paraId="56568994"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2/5</w:t>
            </w:r>
          </w:p>
        </w:tc>
        <w:tc>
          <w:tcPr>
            <w:tcW w:w="361" w:type="pct"/>
            <w:tcBorders>
              <w:top w:val="nil"/>
              <w:left w:val="nil"/>
              <w:bottom w:val="single" w:sz="4" w:space="0" w:color="000000"/>
              <w:right w:val="single" w:sz="4" w:space="0" w:color="000000"/>
            </w:tcBorders>
            <w:shd w:val="clear" w:color="auto" w:fill="9D2235"/>
            <w:vAlign w:val="center"/>
            <w:hideMark/>
          </w:tcPr>
          <w:p w14:paraId="50E8E52E" w14:textId="77777777" w:rsidR="003B28A6" w:rsidRDefault="003B28A6">
            <w:pPr>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3/7</w:t>
            </w:r>
          </w:p>
        </w:tc>
      </w:tr>
      <w:tr w:rsidR="003B28A6" w14:paraId="4246F9EB" w14:textId="77777777" w:rsidTr="003B28A6">
        <w:trPr>
          <w:trHeight w:val="357"/>
        </w:trPr>
        <w:tc>
          <w:tcPr>
            <w:tcW w:w="364" w:type="pct"/>
            <w:tcBorders>
              <w:top w:val="nil"/>
              <w:left w:val="single" w:sz="4" w:space="0" w:color="000000"/>
              <w:bottom w:val="single" w:sz="4" w:space="0" w:color="000000"/>
              <w:right w:val="single" w:sz="4" w:space="0" w:color="000000"/>
            </w:tcBorders>
            <w:vAlign w:val="center"/>
            <w:hideMark/>
          </w:tcPr>
          <w:p w14:paraId="34884DB6" w14:textId="77777777" w:rsidR="003B28A6" w:rsidRDefault="003B28A6">
            <w:pPr>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III</w:t>
            </w:r>
          </w:p>
        </w:tc>
        <w:tc>
          <w:tcPr>
            <w:tcW w:w="466" w:type="pct"/>
            <w:tcBorders>
              <w:top w:val="nil"/>
              <w:left w:val="nil"/>
              <w:bottom w:val="single" w:sz="4" w:space="0" w:color="000000"/>
              <w:right w:val="single" w:sz="4" w:space="0" w:color="000000"/>
            </w:tcBorders>
            <w:vAlign w:val="center"/>
            <w:hideMark/>
          </w:tcPr>
          <w:p w14:paraId="6C1A1522"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0,00</w:t>
            </w:r>
          </w:p>
        </w:tc>
        <w:tc>
          <w:tcPr>
            <w:tcW w:w="512" w:type="pct"/>
            <w:tcBorders>
              <w:top w:val="nil"/>
              <w:left w:val="nil"/>
              <w:bottom w:val="single" w:sz="4" w:space="0" w:color="000000"/>
              <w:right w:val="single" w:sz="4" w:space="0" w:color="000000"/>
            </w:tcBorders>
            <w:vAlign w:val="center"/>
            <w:hideMark/>
          </w:tcPr>
          <w:p w14:paraId="3FA9A746"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0,00</w:t>
            </w:r>
          </w:p>
        </w:tc>
        <w:tc>
          <w:tcPr>
            <w:tcW w:w="511" w:type="pct"/>
            <w:tcBorders>
              <w:top w:val="nil"/>
              <w:left w:val="nil"/>
              <w:bottom w:val="single" w:sz="4" w:space="0" w:color="000000"/>
              <w:right w:val="single" w:sz="4" w:space="0" w:color="000000"/>
            </w:tcBorders>
            <w:vAlign w:val="center"/>
            <w:hideMark/>
          </w:tcPr>
          <w:p w14:paraId="6A82EDE3"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0,00</w:t>
            </w:r>
          </w:p>
        </w:tc>
        <w:tc>
          <w:tcPr>
            <w:tcW w:w="465" w:type="pct"/>
            <w:tcBorders>
              <w:top w:val="nil"/>
              <w:left w:val="nil"/>
              <w:bottom w:val="single" w:sz="4" w:space="0" w:color="000000"/>
              <w:right w:val="single" w:sz="4" w:space="0" w:color="000000"/>
            </w:tcBorders>
            <w:shd w:val="clear" w:color="auto" w:fill="D9D9D9"/>
            <w:vAlign w:val="center"/>
            <w:hideMark/>
          </w:tcPr>
          <w:p w14:paraId="3BED05EA"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0,00</w:t>
            </w:r>
          </w:p>
        </w:tc>
        <w:tc>
          <w:tcPr>
            <w:tcW w:w="512" w:type="pct"/>
            <w:tcBorders>
              <w:top w:val="nil"/>
              <w:left w:val="nil"/>
              <w:bottom w:val="single" w:sz="4" w:space="0" w:color="000000"/>
              <w:right w:val="single" w:sz="4" w:space="0" w:color="000000"/>
            </w:tcBorders>
            <w:shd w:val="clear" w:color="auto" w:fill="D9D9D9"/>
            <w:vAlign w:val="center"/>
            <w:hideMark/>
          </w:tcPr>
          <w:p w14:paraId="0F08C3CB"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560,11</w:t>
            </w:r>
          </w:p>
        </w:tc>
        <w:tc>
          <w:tcPr>
            <w:tcW w:w="509" w:type="pct"/>
            <w:tcBorders>
              <w:top w:val="nil"/>
              <w:left w:val="nil"/>
              <w:bottom w:val="single" w:sz="4" w:space="0" w:color="000000"/>
              <w:right w:val="single" w:sz="4" w:space="0" w:color="000000"/>
            </w:tcBorders>
            <w:shd w:val="clear" w:color="auto" w:fill="D9D9D9"/>
            <w:vAlign w:val="center"/>
            <w:hideMark/>
          </w:tcPr>
          <w:p w14:paraId="5E4BF7CB"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560,11</w:t>
            </w:r>
          </w:p>
        </w:tc>
        <w:tc>
          <w:tcPr>
            <w:tcW w:w="293" w:type="pct"/>
            <w:tcBorders>
              <w:top w:val="nil"/>
              <w:left w:val="nil"/>
              <w:bottom w:val="single" w:sz="4" w:space="0" w:color="000000"/>
              <w:right w:val="single" w:sz="4" w:space="0" w:color="000000"/>
            </w:tcBorders>
            <w:vAlign w:val="center"/>
            <w:hideMark/>
          </w:tcPr>
          <w:p w14:paraId="236E17AA"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0%</w:t>
            </w:r>
          </w:p>
        </w:tc>
        <w:tc>
          <w:tcPr>
            <w:tcW w:w="209" w:type="pct"/>
            <w:tcBorders>
              <w:top w:val="nil"/>
              <w:left w:val="nil"/>
              <w:bottom w:val="single" w:sz="4" w:space="0" w:color="000000"/>
              <w:right w:val="single" w:sz="4" w:space="0" w:color="000000"/>
            </w:tcBorders>
            <w:vAlign w:val="center"/>
            <w:hideMark/>
          </w:tcPr>
          <w:p w14:paraId="518EA455"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0%</w:t>
            </w:r>
          </w:p>
        </w:tc>
        <w:tc>
          <w:tcPr>
            <w:tcW w:w="209" w:type="pct"/>
            <w:tcBorders>
              <w:top w:val="nil"/>
              <w:left w:val="nil"/>
              <w:bottom w:val="single" w:sz="4" w:space="0" w:color="000000"/>
              <w:right w:val="single" w:sz="4" w:space="0" w:color="000000"/>
            </w:tcBorders>
            <w:vAlign w:val="center"/>
            <w:hideMark/>
          </w:tcPr>
          <w:p w14:paraId="684326F8" w14:textId="77777777" w:rsidR="003B28A6" w:rsidRDefault="003B28A6">
            <w:pPr>
              <w:jc w:val="right"/>
              <w:rPr>
                <w:sz w:val="16"/>
                <w:szCs w:val="16"/>
              </w:rPr>
            </w:pPr>
            <w:r>
              <w:rPr>
                <w:rFonts w:ascii="Arial" w:eastAsia="Times New Roman" w:hAnsi="Arial" w:cs="Arial"/>
                <w:color w:val="000000"/>
                <w:sz w:val="16"/>
                <w:szCs w:val="16"/>
                <w:lang w:eastAsia="es-ES"/>
              </w:rPr>
              <w:t>560 %</w:t>
            </w:r>
          </w:p>
        </w:tc>
        <w:tc>
          <w:tcPr>
            <w:tcW w:w="178" w:type="pct"/>
            <w:tcBorders>
              <w:top w:val="nil"/>
              <w:left w:val="nil"/>
              <w:bottom w:val="single" w:sz="4" w:space="0" w:color="000000"/>
              <w:right w:val="single" w:sz="4" w:space="0" w:color="000000"/>
            </w:tcBorders>
            <w:vAlign w:val="center"/>
            <w:hideMark/>
          </w:tcPr>
          <w:p w14:paraId="733AECFB"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100 %</w:t>
            </w:r>
          </w:p>
        </w:tc>
        <w:tc>
          <w:tcPr>
            <w:tcW w:w="205" w:type="pct"/>
            <w:tcBorders>
              <w:top w:val="nil"/>
              <w:left w:val="nil"/>
              <w:bottom w:val="single" w:sz="4" w:space="0" w:color="000000"/>
              <w:right w:val="single" w:sz="4" w:space="0" w:color="000000"/>
            </w:tcBorders>
            <w:shd w:val="clear" w:color="auto" w:fill="EEEEEE"/>
            <w:vAlign w:val="center"/>
            <w:hideMark/>
          </w:tcPr>
          <w:p w14:paraId="36A240CF"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0,00</w:t>
            </w:r>
          </w:p>
        </w:tc>
        <w:tc>
          <w:tcPr>
            <w:tcW w:w="205" w:type="pct"/>
            <w:tcBorders>
              <w:top w:val="nil"/>
              <w:left w:val="nil"/>
              <w:bottom w:val="single" w:sz="4" w:space="0" w:color="000000"/>
              <w:right w:val="single" w:sz="4" w:space="0" w:color="000000"/>
            </w:tcBorders>
            <w:shd w:val="clear" w:color="auto" w:fill="EEEEEE"/>
            <w:vAlign w:val="center"/>
            <w:hideMark/>
          </w:tcPr>
          <w:p w14:paraId="099D2722"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-100</w:t>
            </w:r>
          </w:p>
        </w:tc>
        <w:tc>
          <w:tcPr>
            <w:tcW w:w="361" w:type="pct"/>
            <w:tcBorders>
              <w:top w:val="nil"/>
              <w:left w:val="nil"/>
              <w:bottom w:val="single" w:sz="4" w:space="0" w:color="000000"/>
              <w:right w:val="single" w:sz="4" w:space="0" w:color="000000"/>
            </w:tcBorders>
            <w:shd w:val="clear" w:color="auto" w:fill="EEEEEE"/>
            <w:vAlign w:val="center"/>
            <w:hideMark/>
          </w:tcPr>
          <w:p w14:paraId="6CF30656"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-100</w:t>
            </w:r>
          </w:p>
        </w:tc>
      </w:tr>
      <w:tr w:rsidR="003B28A6" w14:paraId="15C58504" w14:textId="77777777" w:rsidTr="003B28A6">
        <w:trPr>
          <w:trHeight w:val="437"/>
        </w:trPr>
        <w:tc>
          <w:tcPr>
            <w:tcW w:w="364" w:type="pct"/>
            <w:tcBorders>
              <w:top w:val="nil"/>
              <w:left w:val="single" w:sz="4" w:space="0" w:color="000000"/>
              <w:bottom w:val="single" w:sz="4" w:space="0" w:color="000000"/>
              <w:right w:val="single" w:sz="4" w:space="0" w:color="000000"/>
            </w:tcBorders>
            <w:vAlign w:val="bottom"/>
            <w:hideMark/>
          </w:tcPr>
          <w:p w14:paraId="37EE7CC5" w14:textId="77777777" w:rsidR="003B28A6" w:rsidRDefault="003B28A6">
            <w:pPr>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IV</w:t>
            </w:r>
          </w:p>
        </w:tc>
        <w:tc>
          <w:tcPr>
            <w:tcW w:w="466" w:type="pct"/>
            <w:tcBorders>
              <w:top w:val="nil"/>
              <w:left w:val="nil"/>
              <w:bottom w:val="single" w:sz="4" w:space="0" w:color="000000"/>
              <w:right w:val="single" w:sz="4" w:space="0" w:color="000000"/>
            </w:tcBorders>
            <w:vAlign w:val="bottom"/>
            <w:hideMark/>
          </w:tcPr>
          <w:p w14:paraId="53356795"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4.227.429,79</w:t>
            </w:r>
          </w:p>
        </w:tc>
        <w:tc>
          <w:tcPr>
            <w:tcW w:w="512" w:type="pct"/>
            <w:tcBorders>
              <w:top w:val="nil"/>
              <w:left w:val="nil"/>
              <w:bottom w:val="single" w:sz="4" w:space="0" w:color="000000"/>
              <w:right w:val="single" w:sz="4" w:space="0" w:color="000000"/>
            </w:tcBorders>
            <w:vAlign w:val="bottom"/>
            <w:hideMark/>
          </w:tcPr>
          <w:p w14:paraId="42D3AD0D"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4.227.462,00</w:t>
            </w:r>
          </w:p>
        </w:tc>
        <w:tc>
          <w:tcPr>
            <w:tcW w:w="511" w:type="pct"/>
            <w:tcBorders>
              <w:top w:val="nil"/>
              <w:left w:val="nil"/>
              <w:bottom w:val="single" w:sz="4" w:space="0" w:color="000000"/>
              <w:right w:val="single" w:sz="4" w:space="0" w:color="000000"/>
            </w:tcBorders>
            <w:vAlign w:val="bottom"/>
            <w:hideMark/>
          </w:tcPr>
          <w:p w14:paraId="4DA2911B"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1.409.141,32</w:t>
            </w:r>
          </w:p>
        </w:tc>
        <w:tc>
          <w:tcPr>
            <w:tcW w:w="465" w:type="pct"/>
            <w:tcBorders>
              <w:top w:val="nil"/>
              <w:left w:val="nil"/>
              <w:bottom w:val="single" w:sz="4" w:space="0" w:color="000000"/>
              <w:right w:val="single" w:sz="4" w:space="0" w:color="000000"/>
            </w:tcBorders>
            <w:shd w:val="clear" w:color="auto" w:fill="D9D9D9"/>
            <w:vAlign w:val="bottom"/>
            <w:hideMark/>
          </w:tcPr>
          <w:p w14:paraId="70A59A4A"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3.139.964,60</w:t>
            </w:r>
          </w:p>
        </w:tc>
        <w:tc>
          <w:tcPr>
            <w:tcW w:w="512" w:type="pct"/>
            <w:tcBorders>
              <w:top w:val="nil"/>
              <w:left w:val="nil"/>
              <w:bottom w:val="single" w:sz="4" w:space="0" w:color="000000"/>
              <w:right w:val="single" w:sz="4" w:space="0" w:color="000000"/>
            </w:tcBorders>
            <w:shd w:val="clear" w:color="auto" w:fill="D9D9D9"/>
            <w:vAlign w:val="bottom"/>
            <w:hideMark/>
          </w:tcPr>
          <w:p w14:paraId="1C1CEECA"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3.139.960,00</w:t>
            </w:r>
          </w:p>
        </w:tc>
        <w:tc>
          <w:tcPr>
            <w:tcW w:w="509" w:type="pct"/>
            <w:tcBorders>
              <w:top w:val="nil"/>
              <w:left w:val="nil"/>
              <w:bottom w:val="single" w:sz="4" w:space="0" w:color="000000"/>
              <w:right w:val="single" w:sz="4" w:space="0" w:color="000000"/>
            </w:tcBorders>
            <w:shd w:val="clear" w:color="auto" w:fill="D9D9D9"/>
            <w:vAlign w:val="bottom"/>
            <w:hideMark/>
          </w:tcPr>
          <w:p w14:paraId="1D01700F"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2.093.306,64</w:t>
            </w:r>
          </w:p>
        </w:tc>
        <w:tc>
          <w:tcPr>
            <w:tcW w:w="293" w:type="pct"/>
            <w:tcBorders>
              <w:top w:val="nil"/>
              <w:left w:val="nil"/>
              <w:bottom w:val="single" w:sz="4" w:space="0" w:color="000000"/>
              <w:right w:val="single" w:sz="4" w:space="0" w:color="000000"/>
            </w:tcBorders>
            <w:vAlign w:val="bottom"/>
            <w:hideMark/>
          </w:tcPr>
          <w:p w14:paraId="5B34BD86"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100%</w:t>
            </w:r>
          </w:p>
        </w:tc>
        <w:tc>
          <w:tcPr>
            <w:tcW w:w="209" w:type="pct"/>
            <w:tcBorders>
              <w:top w:val="nil"/>
              <w:left w:val="nil"/>
              <w:bottom w:val="single" w:sz="4" w:space="0" w:color="000000"/>
              <w:right w:val="single" w:sz="4" w:space="0" w:color="000000"/>
            </w:tcBorders>
            <w:vAlign w:val="bottom"/>
            <w:hideMark/>
          </w:tcPr>
          <w:p w14:paraId="1157A1DD"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33%</w:t>
            </w:r>
          </w:p>
        </w:tc>
        <w:tc>
          <w:tcPr>
            <w:tcW w:w="209" w:type="pct"/>
            <w:tcBorders>
              <w:top w:val="nil"/>
              <w:left w:val="nil"/>
              <w:bottom w:val="single" w:sz="4" w:space="0" w:color="000000"/>
              <w:right w:val="single" w:sz="4" w:space="0" w:color="000000"/>
            </w:tcBorders>
            <w:vAlign w:val="bottom"/>
            <w:hideMark/>
          </w:tcPr>
          <w:p w14:paraId="69E94924"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100%</w:t>
            </w:r>
          </w:p>
        </w:tc>
        <w:tc>
          <w:tcPr>
            <w:tcW w:w="178" w:type="pct"/>
            <w:tcBorders>
              <w:top w:val="nil"/>
              <w:left w:val="nil"/>
              <w:bottom w:val="single" w:sz="4" w:space="0" w:color="000000"/>
              <w:right w:val="single" w:sz="4" w:space="0" w:color="000000"/>
            </w:tcBorders>
            <w:vAlign w:val="bottom"/>
            <w:hideMark/>
          </w:tcPr>
          <w:p w14:paraId="35A7CA36"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67%</w:t>
            </w:r>
          </w:p>
        </w:tc>
        <w:tc>
          <w:tcPr>
            <w:tcW w:w="205" w:type="pct"/>
            <w:tcBorders>
              <w:top w:val="nil"/>
              <w:left w:val="nil"/>
              <w:bottom w:val="single" w:sz="4" w:space="0" w:color="000000"/>
              <w:right w:val="single" w:sz="4" w:space="0" w:color="000000"/>
            </w:tcBorders>
            <w:shd w:val="clear" w:color="auto" w:fill="EEEEEE"/>
            <w:vAlign w:val="bottom"/>
            <w:hideMark/>
          </w:tcPr>
          <w:p w14:paraId="0105552F"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34,63</w:t>
            </w:r>
          </w:p>
        </w:tc>
        <w:tc>
          <w:tcPr>
            <w:tcW w:w="205" w:type="pct"/>
            <w:tcBorders>
              <w:top w:val="nil"/>
              <w:left w:val="nil"/>
              <w:bottom w:val="single" w:sz="4" w:space="0" w:color="000000"/>
              <w:right w:val="single" w:sz="4" w:space="0" w:color="000000"/>
            </w:tcBorders>
            <w:shd w:val="clear" w:color="auto" w:fill="EEEEEE"/>
            <w:vAlign w:val="bottom"/>
            <w:hideMark/>
          </w:tcPr>
          <w:p w14:paraId="44A19E34"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34,63</w:t>
            </w:r>
          </w:p>
        </w:tc>
        <w:tc>
          <w:tcPr>
            <w:tcW w:w="361" w:type="pct"/>
            <w:tcBorders>
              <w:top w:val="nil"/>
              <w:left w:val="nil"/>
              <w:bottom w:val="single" w:sz="4" w:space="0" w:color="000000"/>
              <w:right w:val="single" w:sz="4" w:space="0" w:color="000000"/>
            </w:tcBorders>
            <w:shd w:val="clear" w:color="auto" w:fill="EEEEEE"/>
            <w:vAlign w:val="bottom"/>
            <w:hideMark/>
          </w:tcPr>
          <w:p w14:paraId="073EF83A"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-32,68</w:t>
            </w:r>
          </w:p>
        </w:tc>
      </w:tr>
      <w:tr w:rsidR="003B28A6" w14:paraId="1F112E6F" w14:textId="77777777" w:rsidTr="003B28A6">
        <w:trPr>
          <w:trHeight w:val="300"/>
        </w:trPr>
        <w:tc>
          <w:tcPr>
            <w:tcW w:w="364" w:type="pct"/>
            <w:tcBorders>
              <w:top w:val="nil"/>
              <w:left w:val="single" w:sz="4" w:space="0" w:color="000000"/>
              <w:bottom w:val="single" w:sz="4" w:space="0" w:color="000000"/>
              <w:right w:val="single" w:sz="4" w:space="0" w:color="000000"/>
            </w:tcBorders>
            <w:vAlign w:val="bottom"/>
            <w:hideMark/>
          </w:tcPr>
          <w:p w14:paraId="558CA9EB" w14:textId="77777777" w:rsidR="003B28A6" w:rsidRDefault="003B28A6">
            <w:pPr>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VII</w:t>
            </w:r>
          </w:p>
        </w:tc>
        <w:tc>
          <w:tcPr>
            <w:tcW w:w="466" w:type="pct"/>
            <w:tcBorders>
              <w:top w:val="nil"/>
              <w:left w:val="nil"/>
              <w:bottom w:val="single" w:sz="4" w:space="0" w:color="000000"/>
              <w:right w:val="single" w:sz="4" w:space="0" w:color="000000"/>
            </w:tcBorders>
            <w:vAlign w:val="bottom"/>
            <w:hideMark/>
          </w:tcPr>
          <w:p w14:paraId="105F7072"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242.445,95</w:t>
            </w:r>
          </w:p>
        </w:tc>
        <w:tc>
          <w:tcPr>
            <w:tcW w:w="512" w:type="pct"/>
            <w:tcBorders>
              <w:top w:val="nil"/>
              <w:left w:val="nil"/>
              <w:bottom w:val="single" w:sz="4" w:space="0" w:color="000000"/>
              <w:right w:val="single" w:sz="4" w:space="0" w:color="000000"/>
            </w:tcBorders>
            <w:vAlign w:val="bottom"/>
            <w:hideMark/>
          </w:tcPr>
          <w:p w14:paraId="3869713F"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242.450,00</w:t>
            </w:r>
          </w:p>
        </w:tc>
        <w:tc>
          <w:tcPr>
            <w:tcW w:w="511" w:type="pct"/>
            <w:tcBorders>
              <w:top w:val="nil"/>
              <w:left w:val="nil"/>
              <w:bottom w:val="single" w:sz="4" w:space="0" w:color="000000"/>
              <w:right w:val="single" w:sz="4" w:space="0" w:color="000000"/>
            </w:tcBorders>
            <w:vAlign w:val="bottom"/>
            <w:hideMark/>
          </w:tcPr>
          <w:p w14:paraId="402A61B1"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242.450,00</w:t>
            </w:r>
          </w:p>
        </w:tc>
        <w:tc>
          <w:tcPr>
            <w:tcW w:w="465" w:type="pct"/>
            <w:tcBorders>
              <w:top w:val="nil"/>
              <w:left w:val="nil"/>
              <w:bottom w:val="single" w:sz="4" w:space="0" w:color="000000"/>
              <w:right w:val="single" w:sz="4" w:space="0" w:color="000000"/>
            </w:tcBorders>
            <w:shd w:val="clear" w:color="auto" w:fill="D9D9D9"/>
            <w:vAlign w:val="bottom"/>
            <w:hideMark/>
          </w:tcPr>
          <w:p w14:paraId="34F29B0B"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241.500,00</w:t>
            </w:r>
          </w:p>
        </w:tc>
        <w:tc>
          <w:tcPr>
            <w:tcW w:w="512" w:type="pct"/>
            <w:tcBorders>
              <w:top w:val="nil"/>
              <w:left w:val="nil"/>
              <w:bottom w:val="single" w:sz="4" w:space="0" w:color="000000"/>
              <w:right w:val="single" w:sz="4" w:space="0" w:color="000000"/>
            </w:tcBorders>
            <w:shd w:val="clear" w:color="auto" w:fill="D9D9D9"/>
            <w:vAlign w:val="bottom"/>
            <w:hideMark/>
          </w:tcPr>
          <w:p w14:paraId="5A32C35F"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241.500,00</w:t>
            </w:r>
          </w:p>
        </w:tc>
        <w:tc>
          <w:tcPr>
            <w:tcW w:w="509" w:type="pct"/>
            <w:tcBorders>
              <w:top w:val="nil"/>
              <w:left w:val="nil"/>
              <w:bottom w:val="single" w:sz="4" w:space="0" w:color="000000"/>
              <w:right w:val="single" w:sz="4" w:space="0" w:color="000000"/>
            </w:tcBorders>
            <w:shd w:val="clear" w:color="auto" w:fill="D9D9D9"/>
            <w:vAlign w:val="bottom"/>
            <w:hideMark/>
          </w:tcPr>
          <w:p w14:paraId="687DED33"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100.625,00</w:t>
            </w:r>
          </w:p>
        </w:tc>
        <w:tc>
          <w:tcPr>
            <w:tcW w:w="293" w:type="pct"/>
            <w:tcBorders>
              <w:top w:val="nil"/>
              <w:left w:val="nil"/>
              <w:bottom w:val="single" w:sz="4" w:space="0" w:color="000000"/>
              <w:right w:val="single" w:sz="4" w:space="0" w:color="000000"/>
            </w:tcBorders>
            <w:vAlign w:val="bottom"/>
            <w:hideMark/>
          </w:tcPr>
          <w:p w14:paraId="4201A7A0"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100%</w:t>
            </w:r>
          </w:p>
        </w:tc>
        <w:tc>
          <w:tcPr>
            <w:tcW w:w="209" w:type="pct"/>
            <w:tcBorders>
              <w:top w:val="nil"/>
              <w:left w:val="nil"/>
              <w:bottom w:val="single" w:sz="4" w:space="0" w:color="000000"/>
              <w:right w:val="single" w:sz="4" w:space="0" w:color="000000"/>
            </w:tcBorders>
            <w:vAlign w:val="bottom"/>
            <w:hideMark/>
          </w:tcPr>
          <w:p w14:paraId="548886C1"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100%</w:t>
            </w:r>
          </w:p>
        </w:tc>
        <w:tc>
          <w:tcPr>
            <w:tcW w:w="209" w:type="pct"/>
            <w:tcBorders>
              <w:top w:val="nil"/>
              <w:left w:val="nil"/>
              <w:bottom w:val="single" w:sz="4" w:space="0" w:color="000000"/>
              <w:right w:val="single" w:sz="4" w:space="0" w:color="000000"/>
            </w:tcBorders>
            <w:vAlign w:val="bottom"/>
            <w:hideMark/>
          </w:tcPr>
          <w:p w14:paraId="14A68DF5"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100%</w:t>
            </w:r>
          </w:p>
        </w:tc>
        <w:tc>
          <w:tcPr>
            <w:tcW w:w="178" w:type="pct"/>
            <w:tcBorders>
              <w:top w:val="nil"/>
              <w:left w:val="nil"/>
              <w:bottom w:val="single" w:sz="4" w:space="0" w:color="000000"/>
              <w:right w:val="single" w:sz="4" w:space="0" w:color="000000"/>
            </w:tcBorders>
            <w:vAlign w:val="bottom"/>
            <w:hideMark/>
          </w:tcPr>
          <w:p w14:paraId="54A09C6F"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42%</w:t>
            </w:r>
          </w:p>
        </w:tc>
        <w:tc>
          <w:tcPr>
            <w:tcW w:w="205" w:type="pct"/>
            <w:tcBorders>
              <w:top w:val="nil"/>
              <w:left w:val="nil"/>
              <w:bottom w:val="single" w:sz="4" w:space="0" w:color="000000"/>
              <w:right w:val="single" w:sz="4" w:space="0" w:color="000000"/>
            </w:tcBorders>
            <w:shd w:val="clear" w:color="auto" w:fill="EEEEEE"/>
            <w:vAlign w:val="bottom"/>
            <w:hideMark/>
          </w:tcPr>
          <w:p w14:paraId="309E4383"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0,39</w:t>
            </w:r>
          </w:p>
        </w:tc>
        <w:tc>
          <w:tcPr>
            <w:tcW w:w="205" w:type="pct"/>
            <w:tcBorders>
              <w:top w:val="nil"/>
              <w:left w:val="nil"/>
              <w:bottom w:val="single" w:sz="4" w:space="0" w:color="000000"/>
              <w:right w:val="single" w:sz="4" w:space="0" w:color="000000"/>
            </w:tcBorders>
            <w:shd w:val="clear" w:color="auto" w:fill="EEEEEE"/>
            <w:vAlign w:val="bottom"/>
            <w:hideMark/>
          </w:tcPr>
          <w:p w14:paraId="4290D5BA"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0,39</w:t>
            </w:r>
          </w:p>
        </w:tc>
        <w:tc>
          <w:tcPr>
            <w:tcW w:w="361" w:type="pct"/>
            <w:tcBorders>
              <w:top w:val="nil"/>
              <w:left w:val="nil"/>
              <w:bottom w:val="single" w:sz="4" w:space="0" w:color="000000"/>
              <w:right w:val="single" w:sz="4" w:space="0" w:color="000000"/>
            </w:tcBorders>
            <w:shd w:val="clear" w:color="auto" w:fill="EEEEEE"/>
            <w:vAlign w:val="bottom"/>
            <w:hideMark/>
          </w:tcPr>
          <w:p w14:paraId="496411F1" w14:textId="77777777" w:rsidR="003B28A6" w:rsidRDefault="003B28A6">
            <w:pPr>
              <w:jc w:val="right"/>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140,94</w:t>
            </w:r>
          </w:p>
        </w:tc>
      </w:tr>
      <w:tr w:rsidR="003B28A6" w14:paraId="79F96920" w14:textId="77777777" w:rsidTr="003B28A6">
        <w:trPr>
          <w:trHeight w:val="315"/>
        </w:trPr>
        <w:tc>
          <w:tcPr>
            <w:tcW w:w="364" w:type="pct"/>
            <w:tcBorders>
              <w:top w:val="nil"/>
              <w:left w:val="single" w:sz="4" w:space="0" w:color="000000"/>
              <w:bottom w:val="single" w:sz="4" w:space="0" w:color="000000"/>
              <w:right w:val="single" w:sz="4" w:space="0" w:color="000000"/>
            </w:tcBorders>
            <w:vAlign w:val="bottom"/>
            <w:hideMark/>
          </w:tcPr>
          <w:p w14:paraId="712F10AB" w14:textId="77777777" w:rsidR="003B28A6" w:rsidRDefault="003B28A6">
            <w:pPr>
              <w:jc w:val="right"/>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Suma total ingresos</w:t>
            </w:r>
          </w:p>
        </w:tc>
        <w:tc>
          <w:tcPr>
            <w:tcW w:w="466" w:type="pct"/>
            <w:tcBorders>
              <w:top w:val="nil"/>
              <w:left w:val="nil"/>
              <w:bottom w:val="single" w:sz="4" w:space="0" w:color="000000"/>
              <w:right w:val="single" w:sz="4" w:space="0" w:color="000000"/>
            </w:tcBorders>
            <w:vAlign w:val="bottom"/>
            <w:hideMark/>
          </w:tcPr>
          <w:p w14:paraId="359F60BD" w14:textId="77777777" w:rsidR="003B28A6" w:rsidRDefault="003B28A6">
            <w:pPr>
              <w:jc w:val="right"/>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4.469.875,74</w:t>
            </w:r>
          </w:p>
        </w:tc>
        <w:tc>
          <w:tcPr>
            <w:tcW w:w="512" w:type="pct"/>
            <w:tcBorders>
              <w:top w:val="nil"/>
              <w:left w:val="nil"/>
              <w:bottom w:val="single" w:sz="4" w:space="0" w:color="000000"/>
              <w:right w:val="single" w:sz="4" w:space="0" w:color="000000"/>
            </w:tcBorders>
            <w:vAlign w:val="bottom"/>
            <w:hideMark/>
          </w:tcPr>
          <w:p w14:paraId="3E4F0CCD" w14:textId="77777777" w:rsidR="003B28A6" w:rsidRDefault="003B28A6">
            <w:pPr>
              <w:jc w:val="right"/>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4.469.912,00</w:t>
            </w:r>
          </w:p>
        </w:tc>
        <w:tc>
          <w:tcPr>
            <w:tcW w:w="511" w:type="pct"/>
            <w:tcBorders>
              <w:top w:val="nil"/>
              <w:left w:val="nil"/>
              <w:bottom w:val="single" w:sz="4" w:space="0" w:color="000000"/>
              <w:right w:val="single" w:sz="4" w:space="0" w:color="000000"/>
            </w:tcBorders>
            <w:vAlign w:val="bottom"/>
            <w:hideMark/>
          </w:tcPr>
          <w:p w14:paraId="79AADBA7" w14:textId="77777777" w:rsidR="003B28A6" w:rsidRDefault="003B28A6">
            <w:pPr>
              <w:jc w:val="right"/>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1.651.591,32</w:t>
            </w:r>
          </w:p>
        </w:tc>
        <w:tc>
          <w:tcPr>
            <w:tcW w:w="465" w:type="pct"/>
            <w:tcBorders>
              <w:top w:val="nil"/>
              <w:left w:val="nil"/>
              <w:bottom w:val="single" w:sz="4" w:space="0" w:color="000000"/>
              <w:right w:val="single" w:sz="4" w:space="0" w:color="000000"/>
            </w:tcBorders>
            <w:shd w:val="clear" w:color="auto" w:fill="D9D9D9"/>
            <w:vAlign w:val="bottom"/>
            <w:hideMark/>
          </w:tcPr>
          <w:p w14:paraId="2AB984F0" w14:textId="77777777" w:rsidR="003B28A6" w:rsidRDefault="003B28A6">
            <w:pPr>
              <w:jc w:val="right"/>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3.381.464,60</w:t>
            </w:r>
          </w:p>
        </w:tc>
        <w:tc>
          <w:tcPr>
            <w:tcW w:w="512" w:type="pct"/>
            <w:tcBorders>
              <w:top w:val="nil"/>
              <w:left w:val="nil"/>
              <w:bottom w:val="single" w:sz="4" w:space="0" w:color="000000"/>
              <w:right w:val="single" w:sz="4" w:space="0" w:color="000000"/>
            </w:tcBorders>
            <w:shd w:val="clear" w:color="auto" w:fill="D9D9D9"/>
            <w:vAlign w:val="bottom"/>
            <w:hideMark/>
          </w:tcPr>
          <w:p w14:paraId="2A2DBAFD" w14:textId="77777777" w:rsidR="003B28A6" w:rsidRDefault="003B28A6">
            <w:pPr>
              <w:jc w:val="right"/>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3.381.460,00</w:t>
            </w:r>
          </w:p>
        </w:tc>
        <w:tc>
          <w:tcPr>
            <w:tcW w:w="509" w:type="pct"/>
            <w:tcBorders>
              <w:top w:val="nil"/>
              <w:left w:val="nil"/>
              <w:bottom w:val="single" w:sz="4" w:space="0" w:color="000000"/>
              <w:right w:val="single" w:sz="4" w:space="0" w:color="000000"/>
            </w:tcBorders>
            <w:shd w:val="clear" w:color="auto" w:fill="D9D9D9"/>
            <w:vAlign w:val="bottom"/>
            <w:hideMark/>
          </w:tcPr>
          <w:p w14:paraId="376B408C" w14:textId="77777777" w:rsidR="003B28A6" w:rsidRDefault="003B28A6">
            <w:pPr>
              <w:jc w:val="right"/>
              <w:rPr>
                <w:sz w:val="16"/>
                <w:szCs w:val="16"/>
              </w:rPr>
            </w:pPr>
            <w:r>
              <w:rPr>
                <w:rFonts w:ascii="Arial" w:eastAsia="Times New Roman" w:hAnsi="Arial" w:cs="Arial"/>
                <w:b/>
                <w:bCs/>
                <w:color w:val="000000"/>
                <w:sz w:val="16"/>
                <w:szCs w:val="16"/>
                <w:lang w:eastAsia="es-ES"/>
              </w:rPr>
              <w:t>2.194,491,75</w:t>
            </w:r>
          </w:p>
        </w:tc>
        <w:tc>
          <w:tcPr>
            <w:tcW w:w="293" w:type="pct"/>
            <w:tcBorders>
              <w:top w:val="nil"/>
              <w:left w:val="nil"/>
              <w:bottom w:val="single" w:sz="4" w:space="0" w:color="000000"/>
              <w:right w:val="single" w:sz="4" w:space="0" w:color="000000"/>
            </w:tcBorders>
            <w:vAlign w:val="bottom"/>
            <w:hideMark/>
          </w:tcPr>
          <w:p w14:paraId="2897FD06" w14:textId="77777777" w:rsidR="003B28A6" w:rsidRDefault="003B28A6">
            <w:pPr>
              <w:jc w:val="right"/>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100,00%</w:t>
            </w:r>
          </w:p>
        </w:tc>
        <w:tc>
          <w:tcPr>
            <w:tcW w:w="209" w:type="pct"/>
            <w:tcBorders>
              <w:top w:val="nil"/>
              <w:left w:val="nil"/>
              <w:bottom w:val="single" w:sz="4" w:space="0" w:color="000000"/>
              <w:right w:val="single" w:sz="4" w:space="0" w:color="000000"/>
            </w:tcBorders>
            <w:vAlign w:val="bottom"/>
            <w:hideMark/>
          </w:tcPr>
          <w:p w14:paraId="69D29190" w14:textId="77777777" w:rsidR="003B28A6" w:rsidRDefault="003B28A6">
            <w:pPr>
              <w:jc w:val="right"/>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37%</w:t>
            </w:r>
          </w:p>
        </w:tc>
        <w:tc>
          <w:tcPr>
            <w:tcW w:w="209" w:type="pct"/>
            <w:tcBorders>
              <w:top w:val="nil"/>
              <w:left w:val="nil"/>
              <w:bottom w:val="single" w:sz="4" w:space="0" w:color="000000"/>
              <w:right w:val="single" w:sz="4" w:space="0" w:color="000000"/>
            </w:tcBorders>
            <w:vAlign w:val="bottom"/>
            <w:hideMark/>
          </w:tcPr>
          <w:p w14:paraId="4E273EF7" w14:textId="77777777" w:rsidR="003B28A6" w:rsidRDefault="003B28A6">
            <w:pPr>
              <w:jc w:val="right"/>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100%</w:t>
            </w:r>
          </w:p>
        </w:tc>
        <w:tc>
          <w:tcPr>
            <w:tcW w:w="178" w:type="pct"/>
            <w:tcBorders>
              <w:top w:val="nil"/>
              <w:left w:val="nil"/>
              <w:bottom w:val="single" w:sz="4" w:space="0" w:color="000000"/>
              <w:right w:val="single" w:sz="4" w:space="0" w:color="000000"/>
            </w:tcBorders>
            <w:vAlign w:val="bottom"/>
            <w:hideMark/>
          </w:tcPr>
          <w:p w14:paraId="52A77B05" w14:textId="77777777" w:rsidR="003B28A6" w:rsidRDefault="003B28A6">
            <w:pPr>
              <w:jc w:val="right"/>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65%</w:t>
            </w:r>
          </w:p>
        </w:tc>
        <w:tc>
          <w:tcPr>
            <w:tcW w:w="205" w:type="pct"/>
            <w:tcBorders>
              <w:top w:val="nil"/>
              <w:left w:val="nil"/>
              <w:bottom w:val="single" w:sz="4" w:space="0" w:color="000000"/>
              <w:right w:val="single" w:sz="4" w:space="0" w:color="000000"/>
            </w:tcBorders>
            <w:shd w:val="clear" w:color="auto" w:fill="EEEEEE"/>
            <w:vAlign w:val="bottom"/>
            <w:hideMark/>
          </w:tcPr>
          <w:p w14:paraId="7E27613A" w14:textId="77777777" w:rsidR="003B28A6" w:rsidRDefault="003B28A6">
            <w:pPr>
              <w:jc w:val="right"/>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32,19</w:t>
            </w:r>
          </w:p>
        </w:tc>
        <w:tc>
          <w:tcPr>
            <w:tcW w:w="205" w:type="pct"/>
            <w:tcBorders>
              <w:top w:val="nil"/>
              <w:left w:val="nil"/>
              <w:bottom w:val="single" w:sz="4" w:space="0" w:color="000000"/>
              <w:right w:val="single" w:sz="4" w:space="0" w:color="000000"/>
            </w:tcBorders>
            <w:shd w:val="clear" w:color="auto" w:fill="EEEEEE"/>
            <w:vAlign w:val="bottom"/>
            <w:hideMark/>
          </w:tcPr>
          <w:p w14:paraId="47C9FC49" w14:textId="77777777" w:rsidR="003B28A6" w:rsidRDefault="003B28A6">
            <w:pPr>
              <w:jc w:val="right"/>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32,19</w:t>
            </w:r>
          </w:p>
        </w:tc>
        <w:tc>
          <w:tcPr>
            <w:tcW w:w="361" w:type="pct"/>
            <w:tcBorders>
              <w:top w:val="nil"/>
              <w:left w:val="nil"/>
              <w:bottom w:val="single" w:sz="4" w:space="0" w:color="000000"/>
              <w:right w:val="single" w:sz="4" w:space="0" w:color="000000"/>
            </w:tcBorders>
            <w:shd w:val="clear" w:color="auto" w:fill="EEEEEE"/>
            <w:vAlign w:val="bottom"/>
            <w:hideMark/>
          </w:tcPr>
          <w:p w14:paraId="2AE04D12" w14:textId="77777777" w:rsidR="003B28A6" w:rsidRDefault="003B28A6">
            <w:pPr>
              <w:jc w:val="right"/>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-24,72</w:t>
            </w:r>
          </w:p>
        </w:tc>
      </w:tr>
    </w:tbl>
    <w:p w14:paraId="47D461FF" w14:textId="77777777" w:rsidR="003B28A6" w:rsidRDefault="003B28A6" w:rsidP="003B28A6">
      <w:pPr>
        <w:spacing w:after="0"/>
        <w:sectPr w:rsidR="003B28A6" w:rsidSect="00DD0CB6">
          <w:type w:val="continuous"/>
          <w:pgSz w:w="16838" w:h="11906" w:orient="landscape"/>
          <w:pgMar w:top="1134" w:right="1701" w:bottom="1985" w:left="1701" w:header="567" w:footer="567" w:gutter="0"/>
          <w:cols w:space="720"/>
          <w:formProt w:val="0"/>
        </w:sectPr>
      </w:pPr>
    </w:p>
    <w:p w14:paraId="2337DE2C" w14:textId="77777777" w:rsidR="003B28A6" w:rsidRDefault="003B28A6" w:rsidP="003B28A6">
      <w:pPr>
        <w:pStyle w:val="Standard"/>
        <w:spacing w:line="276" w:lineRule="auto"/>
        <w:jc w:val="both"/>
      </w:pPr>
      <w:r>
        <w:rPr>
          <w:rFonts w:ascii="Arial" w:hAnsi="Arial" w:cs="MillerText-Roman"/>
          <w:color w:val="000000"/>
          <w:sz w:val="21"/>
          <w:szCs w:val="21"/>
        </w:rPr>
        <w:t>Se ha comprometido prácticamente dos terceras partes del presupuesto definitivo (72,31%) lo que representa un porcentaje ligeramente inferior al ejecutado en el ejercicio 2019. No obstante, el grado de ejecución de los capítulos II (52,38%) y VI (30;30%) ha disminuido considerablemente, en gran medida debido a la incidencia en la actividad de la declaración del estado de alarma sanitaria mediante Real Decreto 463/2020, de 14 de marzo. De hecho, l</w:t>
      </w:r>
      <w:r>
        <w:rPr>
          <w:rFonts w:ascii="Arial" w:hAnsi="Arial" w:cs="Open Sans"/>
          <w:color w:val="000000"/>
          <w:sz w:val="21"/>
          <w:szCs w:val="21"/>
          <w:highlight w:val="white"/>
        </w:rPr>
        <w:t>a ejecución de un ambicioso plan de contratación, que acompañó al proyecto de presupuesto de 2020 se vio afectada, debiendo implementar otra serie de contrataciones prioritarias, dirigidas a garantizar la seguridad del personal e implementar, simultáneamente, el modo de trabajo no presencial en la Agencia.</w:t>
      </w:r>
    </w:p>
    <w:p w14:paraId="31530C10" w14:textId="77777777" w:rsidR="003B28A6" w:rsidRDefault="003B28A6" w:rsidP="003B28A6">
      <w:pPr>
        <w:pStyle w:val="Standard"/>
        <w:spacing w:line="276" w:lineRule="auto"/>
        <w:jc w:val="both"/>
        <w:rPr>
          <w:rFonts w:ascii="Arial" w:hAnsi="Arial" w:cs="Open Sans"/>
          <w:color w:val="000000"/>
          <w:sz w:val="21"/>
          <w:szCs w:val="21"/>
          <w:highlight w:val="white"/>
        </w:rPr>
      </w:pPr>
    </w:p>
    <w:p w14:paraId="5A027FA1" w14:textId="77777777" w:rsidR="003B28A6" w:rsidRDefault="003B28A6" w:rsidP="003B28A6">
      <w:pPr>
        <w:pStyle w:val="Standard"/>
        <w:spacing w:line="276" w:lineRule="auto"/>
        <w:jc w:val="both"/>
      </w:pPr>
      <w:r>
        <w:rPr>
          <w:rFonts w:ascii="Arial" w:hAnsi="Arial" w:cs="MillerText-Roman"/>
          <w:color w:val="000000"/>
          <w:sz w:val="21"/>
          <w:szCs w:val="21"/>
        </w:rPr>
        <w:t xml:space="preserve">El </w:t>
      </w:r>
      <w:r>
        <w:rPr>
          <w:rFonts w:ascii="Arial" w:hAnsi="Arial" w:cs="MillerText-Roman"/>
          <w:b/>
          <w:bCs/>
          <w:color w:val="000000"/>
          <w:sz w:val="21"/>
          <w:szCs w:val="21"/>
        </w:rPr>
        <w:t>RESULTADO PRESUPUESTARIO</w:t>
      </w:r>
      <w:r>
        <w:rPr>
          <w:rFonts w:ascii="Arial" w:hAnsi="Arial" w:cs="MillerText-Roman"/>
          <w:color w:val="000000"/>
          <w:sz w:val="21"/>
          <w:szCs w:val="21"/>
        </w:rPr>
        <w:t xml:space="preserve"> del ejercicio asciende a 1.733.858.05 euros, de acuerdo con el detalle que se ofrece a continuación:</w:t>
      </w:r>
    </w:p>
    <w:p w14:paraId="2CE717B6" w14:textId="77777777" w:rsidR="003B28A6" w:rsidRDefault="003B28A6" w:rsidP="003B28A6">
      <w:pPr>
        <w:pStyle w:val="Standard"/>
        <w:spacing w:line="276" w:lineRule="auto"/>
        <w:jc w:val="both"/>
        <w:rPr>
          <w:rFonts w:ascii="Arial" w:hAnsi="Arial" w:cs="MillerText-Roman"/>
          <w:color w:val="000000"/>
          <w:sz w:val="21"/>
          <w:szCs w:val="21"/>
        </w:rPr>
      </w:pPr>
    </w:p>
    <w:p w14:paraId="38855AE3" w14:textId="417BFBDD" w:rsidR="003B28A6" w:rsidRPr="00F8714B" w:rsidRDefault="003B28A6" w:rsidP="003B28A6">
      <w:pPr>
        <w:pStyle w:val="Descripcin"/>
        <w:keepNext/>
        <w:rPr>
          <w:rFonts w:ascii="Arial" w:hAnsi="Arial" w:cs="Arial"/>
          <w:smallCaps w:val="0"/>
          <w:sz w:val="18"/>
        </w:rPr>
      </w:pPr>
      <w:bookmarkStart w:id="352" w:name="_Toc66443899"/>
      <w:bookmarkStart w:id="353" w:name="_Toc67646368"/>
      <w:r w:rsidRPr="00F8714B">
        <w:rPr>
          <w:rFonts w:ascii="Arial" w:hAnsi="Arial" w:cs="Arial"/>
          <w:smallCaps w:val="0"/>
          <w:color w:val="9D2235" w:themeColor="accent1"/>
          <w:sz w:val="18"/>
        </w:rPr>
        <w:t xml:space="preserve">Tabla </w:t>
      </w:r>
      <w:r w:rsidRPr="00F8714B">
        <w:rPr>
          <w:rFonts w:ascii="Arial" w:hAnsi="Arial" w:cs="Arial"/>
          <w:smallCaps w:val="0"/>
          <w:sz w:val="18"/>
        </w:rPr>
        <w:fldChar w:fldCharType="begin"/>
      </w:r>
      <w:r w:rsidRPr="00F8714B">
        <w:rPr>
          <w:rFonts w:ascii="Arial" w:hAnsi="Arial" w:cs="Arial"/>
          <w:smallCaps w:val="0"/>
          <w:color w:val="9D2235" w:themeColor="accent1"/>
          <w:sz w:val="18"/>
        </w:rPr>
        <w:instrText xml:space="preserve"> SEQ Tabla \* ARABIC </w:instrText>
      </w:r>
      <w:r w:rsidRPr="00F8714B">
        <w:rPr>
          <w:rFonts w:ascii="Arial" w:hAnsi="Arial" w:cs="Arial"/>
          <w:smallCaps w:val="0"/>
          <w:sz w:val="18"/>
        </w:rPr>
        <w:fldChar w:fldCharType="separate"/>
      </w:r>
      <w:r w:rsidR="00ED7F0D">
        <w:rPr>
          <w:rFonts w:ascii="Arial" w:hAnsi="Arial" w:cs="Arial"/>
          <w:smallCaps w:val="0"/>
          <w:noProof/>
          <w:color w:val="9D2235" w:themeColor="accent1"/>
          <w:sz w:val="18"/>
        </w:rPr>
        <w:t>31</w:t>
      </w:r>
      <w:r w:rsidRPr="00F8714B">
        <w:rPr>
          <w:rFonts w:ascii="Arial" w:hAnsi="Arial" w:cs="Arial"/>
          <w:smallCaps w:val="0"/>
          <w:sz w:val="18"/>
        </w:rPr>
        <w:fldChar w:fldCharType="end"/>
      </w:r>
      <w:r w:rsidRPr="00F8714B">
        <w:rPr>
          <w:rFonts w:ascii="Arial" w:hAnsi="Arial" w:cs="Arial"/>
          <w:smallCaps w:val="0"/>
          <w:color w:val="9D2235" w:themeColor="accent1"/>
          <w:sz w:val="18"/>
        </w:rPr>
        <w:t xml:space="preserve">. </w:t>
      </w:r>
      <w:r w:rsidRPr="00F8714B">
        <w:rPr>
          <w:rFonts w:ascii="Arial" w:hAnsi="Arial" w:cs="Arial"/>
          <w:smallCaps w:val="0"/>
          <w:sz w:val="18"/>
        </w:rPr>
        <w:t>Resultado presupuestario 2020</w:t>
      </w:r>
      <w:bookmarkEnd w:id="352"/>
      <w:bookmarkEnd w:id="353"/>
    </w:p>
    <w:tbl>
      <w:tblPr>
        <w:tblW w:w="6946" w:type="dxa"/>
        <w:jc w:val="center"/>
        <w:tblCellMar>
          <w:top w:w="28" w:type="dxa"/>
          <w:left w:w="28" w:type="dxa"/>
          <w:bottom w:w="28" w:type="dxa"/>
          <w:right w:w="28" w:type="dxa"/>
        </w:tblCellMar>
        <w:tblLook w:val="04A0" w:firstRow="1" w:lastRow="0" w:firstColumn="1" w:lastColumn="0" w:noHBand="0" w:noVBand="1"/>
      </w:tblPr>
      <w:tblGrid>
        <w:gridCol w:w="4878"/>
        <w:gridCol w:w="2068"/>
      </w:tblGrid>
      <w:tr w:rsidR="003B28A6" w14:paraId="0930F3AE" w14:textId="77777777" w:rsidTr="00837C34">
        <w:trPr>
          <w:trHeight w:hRule="exact" w:val="397"/>
          <w:jc w:val="center"/>
        </w:trPr>
        <w:tc>
          <w:tcPr>
            <w:tcW w:w="4878" w:type="dxa"/>
            <w:tcBorders>
              <w:top w:val="nil"/>
              <w:left w:val="nil"/>
              <w:bottom w:val="single" w:sz="2" w:space="0" w:color="993333"/>
              <w:right w:val="nil"/>
            </w:tcBorders>
            <w:shd w:val="clear" w:color="auto" w:fill="9D2235"/>
            <w:hideMark/>
          </w:tcPr>
          <w:p w14:paraId="6EFC9206" w14:textId="77777777" w:rsidR="003B28A6" w:rsidRDefault="003B28A6">
            <w:pPr>
              <w:pStyle w:val="Standard"/>
              <w:spacing w:line="276" w:lineRule="auto"/>
              <w:jc w:val="both"/>
              <w:rPr>
                <w:rFonts w:ascii="Arial" w:hAnsi="Arial" w:cs="HelveticaNeue-Bold"/>
                <w:b/>
                <w:bCs/>
                <w:color w:val="FFFFFF"/>
                <w:sz w:val="18"/>
                <w:szCs w:val="14"/>
              </w:rPr>
            </w:pPr>
            <w:r>
              <w:rPr>
                <w:rFonts w:ascii="Arial" w:hAnsi="Arial" w:cs="HelveticaNeue-Bold"/>
                <w:b/>
                <w:bCs/>
                <w:color w:val="FFFFFF"/>
                <w:sz w:val="18"/>
                <w:szCs w:val="14"/>
              </w:rPr>
              <w:t>Operaciones corrientes</w:t>
            </w:r>
          </w:p>
        </w:tc>
        <w:tc>
          <w:tcPr>
            <w:tcW w:w="2068" w:type="dxa"/>
            <w:tcBorders>
              <w:top w:val="nil"/>
              <w:left w:val="nil"/>
              <w:bottom w:val="single" w:sz="2" w:space="0" w:color="993333"/>
              <w:right w:val="nil"/>
            </w:tcBorders>
            <w:shd w:val="clear" w:color="auto" w:fill="9D2235"/>
          </w:tcPr>
          <w:p w14:paraId="6A7AEF08" w14:textId="77777777" w:rsidR="003B28A6" w:rsidRDefault="003B28A6">
            <w:pPr>
              <w:pStyle w:val="Standard"/>
              <w:spacing w:line="276" w:lineRule="auto"/>
              <w:jc w:val="both"/>
              <w:rPr>
                <w:rFonts w:ascii="Arial" w:hAnsi="Arial"/>
                <w:sz w:val="18"/>
                <w:szCs w:val="14"/>
              </w:rPr>
            </w:pPr>
          </w:p>
        </w:tc>
      </w:tr>
      <w:tr w:rsidR="003B28A6" w14:paraId="7EA72843" w14:textId="77777777" w:rsidTr="00837C34">
        <w:trPr>
          <w:trHeight w:hRule="exact" w:val="397"/>
          <w:jc w:val="center"/>
        </w:trPr>
        <w:tc>
          <w:tcPr>
            <w:tcW w:w="4878" w:type="dxa"/>
            <w:tcBorders>
              <w:top w:val="single" w:sz="2" w:space="0" w:color="993333"/>
              <w:left w:val="nil"/>
              <w:bottom w:val="single" w:sz="2" w:space="0" w:color="993333"/>
              <w:right w:val="nil"/>
            </w:tcBorders>
            <w:hideMark/>
          </w:tcPr>
          <w:p w14:paraId="360111A9" w14:textId="77777777" w:rsidR="003B28A6" w:rsidRDefault="003B28A6">
            <w:pPr>
              <w:pStyle w:val="Standard"/>
              <w:tabs>
                <w:tab w:val="right" w:pos="7941"/>
              </w:tabs>
              <w:spacing w:line="276" w:lineRule="auto"/>
              <w:jc w:val="both"/>
              <w:rPr>
                <w:rFonts w:ascii="Arial" w:hAnsi="Arial" w:cs="Helvetica"/>
                <w:color w:val="000000"/>
                <w:sz w:val="18"/>
                <w:szCs w:val="14"/>
              </w:rPr>
            </w:pPr>
            <w:r>
              <w:rPr>
                <w:rFonts w:ascii="Arial" w:hAnsi="Arial" w:cs="Helvetica"/>
                <w:color w:val="000000"/>
                <w:sz w:val="18"/>
                <w:szCs w:val="14"/>
              </w:rPr>
              <w:t>Derechos liquidados</w:t>
            </w:r>
          </w:p>
        </w:tc>
        <w:tc>
          <w:tcPr>
            <w:tcW w:w="2068" w:type="dxa"/>
            <w:tcBorders>
              <w:top w:val="single" w:sz="2" w:space="0" w:color="993333"/>
              <w:left w:val="nil"/>
              <w:bottom w:val="single" w:sz="2" w:space="0" w:color="993333"/>
              <w:right w:val="nil"/>
            </w:tcBorders>
            <w:hideMark/>
          </w:tcPr>
          <w:p w14:paraId="620F43C1" w14:textId="77777777" w:rsidR="003B28A6" w:rsidRDefault="003B28A6">
            <w:pPr>
              <w:pStyle w:val="Standard"/>
              <w:tabs>
                <w:tab w:val="right" w:pos="7941"/>
              </w:tabs>
              <w:spacing w:line="276" w:lineRule="auto"/>
              <w:jc w:val="right"/>
              <w:rPr>
                <w:rFonts w:ascii="Arial" w:hAnsi="Arial"/>
                <w:sz w:val="18"/>
                <w:szCs w:val="14"/>
              </w:rPr>
            </w:pPr>
            <w:r>
              <w:rPr>
                <w:rFonts w:ascii="Arial" w:hAnsi="Arial"/>
                <w:sz w:val="18"/>
                <w:szCs w:val="14"/>
              </w:rPr>
              <w:t>4.227.430,00 €</w:t>
            </w:r>
          </w:p>
        </w:tc>
      </w:tr>
      <w:tr w:rsidR="003B28A6" w14:paraId="1D319AEE" w14:textId="77777777" w:rsidTr="00837C34">
        <w:trPr>
          <w:trHeight w:hRule="exact" w:val="397"/>
          <w:jc w:val="center"/>
        </w:trPr>
        <w:tc>
          <w:tcPr>
            <w:tcW w:w="4878" w:type="dxa"/>
            <w:tcBorders>
              <w:top w:val="single" w:sz="2" w:space="0" w:color="993333"/>
              <w:left w:val="nil"/>
              <w:bottom w:val="single" w:sz="2" w:space="0" w:color="993333"/>
              <w:right w:val="nil"/>
            </w:tcBorders>
            <w:hideMark/>
          </w:tcPr>
          <w:p w14:paraId="6DC09AC8" w14:textId="77777777" w:rsidR="003B28A6" w:rsidRDefault="003B28A6">
            <w:pPr>
              <w:pStyle w:val="Standard"/>
              <w:tabs>
                <w:tab w:val="right" w:pos="7953"/>
              </w:tabs>
              <w:spacing w:line="276" w:lineRule="auto"/>
              <w:jc w:val="both"/>
              <w:rPr>
                <w:rFonts w:ascii="Arial" w:hAnsi="Arial"/>
                <w:sz w:val="18"/>
                <w:szCs w:val="14"/>
              </w:rPr>
            </w:pPr>
            <w:r>
              <w:rPr>
                <w:rFonts w:ascii="Arial" w:hAnsi="Arial"/>
                <w:sz w:val="18"/>
                <w:szCs w:val="14"/>
              </w:rPr>
              <w:t>Obligaciones reconocidas</w:t>
            </w:r>
          </w:p>
        </w:tc>
        <w:tc>
          <w:tcPr>
            <w:tcW w:w="2068" w:type="dxa"/>
            <w:tcBorders>
              <w:top w:val="single" w:sz="2" w:space="0" w:color="993333"/>
              <w:left w:val="nil"/>
              <w:bottom w:val="single" w:sz="2" w:space="0" w:color="993333"/>
              <w:right w:val="nil"/>
            </w:tcBorders>
            <w:hideMark/>
          </w:tcPr>
          <w:p w14:paraId="10FEE205" w14:textId="77777777" w:rsidR="003B28A6" w:rsidRDefault="003B28A6">
            <w:pPr>
              <w:pStyle w:val="Standard"/>
              <w:tabs>
                <w:tab w:val="right" w:pos="7953"/>
              </w:tabs>
              <w:spacing w:line="276" w:lineRule="auto"/>
              <w:jc w:val="right"/>
              <w:rPr>
                <w:rFonts w:ascii="Arial" w:hAnsi="Arial"/>
                <w:sz w:val="18"/>
                <w:szCs w:val="14"/>
              </w:rPr>
            </w:pPr>
            <w:r>
              <w:rPr>
                <w:rFonts w:ascii="Arial" w:hAnsi="Arial"/>
                <w:sz w:val="18"/>
                <w:szCs w:val="14"/>
              </w:rPr>
              <w:t>2.679.325,23 €</w:t>
            </w:r>
          </w:p>
        </w:tc>
      </w:tr>
      <w:tr w:rsidR="003B28A6" w14:paraId="6F999AF7" w14:textId="77777777" w:rsidTr="00837C34">
        <w:trPr>
          <w:trHeight w:hRule="exact" w:val="397"/>
          <w:jc w:val="center"/>
        </w:trPr>
        <w:tc>
          <w:tcPr>
            <w:tcW w:w="4878" w:type="dxa"/>
            <w:tcBorders>
              <w:top w:val="single" w:sz="2" w:space="0" w:color="993333"/>
              <w:left w:val="nil"/>
              <w:bottom w:val="single" w:sz="2" w:space="0" w:color="993333"/>
              <w:right w:val="nil"/>
            </w:tcBorders>
          </w:tcPr>
          <w:p w14:paraId="13117062" w14:textId="77777777" w:rsidR="003B28A6" w:rsidRDefault="003B28A6">
            <w:pPr>
              <w:pStyle w:val="Standard"/>
              <w:spacing w:line="276" w:lineRule="auto"/>
              <w:jc w:val="both"/>
              <w:rPr>
                <w:rFonts w:ascii="Arial" w:hAnsi="Arial" w:cs="Helvetica"/>
                <w:color w:val="000000"/>
                <w:sz w:val="18"/>
                <w:szCs w:val="14"/>
              </w:rPr>
            </w:pPr>
          </w:p>
        </w:tc>
        <w:tc>
          <w:tcPr>
            <w:tcW w:w="2068" w:type="dxa"/>
            <w:tcBorders>
              <w:top w:val="single" w:sz="2" w:space="0" w:color="993333"/>
              <w:left w:val="nil"/>
              <w:bottom w:val="single" w:sz="2" w:space="0" w:color="993333"/>
              <w:right w:val="nil"/>
            </w:tcBorders>
          </w:tcPr>
          <w:p w14:paraId="1F1123DD" w14:textId="77777777" w:rsidR="003B28A6" w:rsidRDefault="003B28A6">
            <w:pPr>
              <w:pStyle w:val="Standard"/>
              <w:spacing w:line="276" w:lineRule="auto"/>
              <w:jc w:val="right"/>
              <w:rPr>
                <w:rFonts w:ascii="Arial" w:hAnsi="Arial"/>
                <w:sz w:val="18"/>
                <w:szCs w:val="14"/>
              </w:rPr>
            </w:pPr>
          </w:p>
        </w:tc>
      </w:tr>
      <w:tr w:rsidR="003B28A6" w14:paraId="753140A0" w14:textId="77777777" w:rsidTr="00837C34">
        <w:trPr>
          <w:trHeight w:hRule="exact" w:val="397"/>
          <w:jc w:val="center"/>
        </w:trPr>
        <w:tc>
          <w:tcPr>
            <w:tcW w:w="4878" w:type="dxa"/>
            <w:tcBorders>
              <w:top w:val="single" w:sz="2" w:space="0" w:color="993333"/>
              <w:left w:val="nil"/>
              <w:bottom w:val="single" w:sz="2" w:space="0" w:color="993333"/>
              <w:right w:val="nil"/>
            </w:tcBorders>
            <w:shd w:val="clear" w:color="auto" w:fill="9D2235"/>
            <w:hideMark/>
          </w:tcPr>
          <w:p w14:paraId="72DAF315" w14:textId="77777777" w:rsidR="003B28A6" w:rsidRDefault="003B28A6">
            <w:pPr>
              <w:pStyle w:val="Standard"/>
              <w:spacing w:line="276" w:lineRule="auto"/>
              <w:jc w:val="both"/>
              <w:rPr>
                <w:rFonts w:ascii="Arial" w:hAnsi="Arial" w:cs="HelveticaNeue-Bold"/>
                <w:b/>
                <w:bCs/>
                <w:color w:val="FFFFFF"/>
                <w:sz w:val="18"/>
                <w:szCs w:val="14"/>
              </w:rPr>
            </w:pPr>
            <w:r>
              <w:rPr>
                <w:rFonts w:ascii="Arial" w:hAnsi="Arial" w:cs="HelveticaNeue-Bold"/>
                <w:b/>
                <w:bCs/>
                <w:color w:val="FFFFFF"/>
                <w:sz w:val="18"/>
                <w:szCs w:val="14"/>
              </w:rPr>
              <w:t>Operaciones de capital</w:t>
            </w:r>
          </w:p>
        </w:tc>
        <w:tc>
          <w:tcPr>
            <w:tcW w:w="2068" w:type="dxa"/>
            <w:tcBorders>
              <w:top w:val="single" w:sz="2" w:space="0" w:color="993333"/>
              <w:left w:val="nil"/>
              <w:bottom w:val="single" w:sz="2" w:space="0" w:color="993333"/>
              <w:right w:val="nil"/>
            </w:tcBorders>
            <w:shd w:val="clear" w:color="auto" w:fill="9D2235"/>
          </w:tcPr>
          <w:p w14:paraId="54AC687C" w14:textId="77777777" w:rsidR="003B28A6" w:rsidRDefault="003B28A6">
            <w:pPr>
              <w:pStyle w:val="Standard"/>
              <w:spacing w:line="276" w:lineRule="auto"/>
              <w:jc w:val="right"/>
              <w:rPr>
                <w:rFonts w:ascii="Arial" w:hAnsi="Arial"/>
                <w:sz w:val="18"/>
                <w:szCs w:val="14"/>
              </w:rPr>
            </w:pPr>
          </w:p>
        </w:tc>
      </w:tr>
      <w:tr w:rsidR="003B28A6" w14:paraId="20DE6078" w14:textId="77777777" w:rsidTr="00837C34">
        <w:trPr>
          <w:trHeight w:hRule="exact" w:val="397"/>
          <w:jc w:val="center"/>
        </w:trPr>
        <w:tc>
          <w:tcPr>
            <w:tcW w:w="4878" w:type="dxa"/>
            <w:tcBorders>
              <w:top w:val="single" w:sz="2" w:space="0" w:color="993333"/>
              <w:left w:val="nil"/>
              <w:bottom w:val="single" w:sz="2" w:space="0" w:color="993333"/>
              <w:right w:val="nil"/>
            </w:tcBorders>
            <w:hideMark/>
          </w:tcPr>
          <w:p w14:paraId="7D892352" w14:textId="77777777" w:rsidR="003B28A6" w:rsidRDefault="003B28A6">
            <w:pPr>
              <w:pStyle w:val="Standard"/>
              <w:tabs>
                <w:tab w:val="right" w:pos="7941"/>
              </w:tabs>
              <w:spacing w:line="276" w:lineRule="auto"/>
              <w:jc w:val="both"/>
              <w:rPr>
                <w:rFonts w:ascii="Arial" w:hAnsi="Arial" w:cs="Helvetica"/>
                <w:color w:val="000000"/>
                <w:sz w:val="18"/>
                <w:szCs w:val="14"/>
              </w:rPr>
            </w:pPr>
            <w:r>
              <w:rPr>
                <w:rFonts w:ascii="Arial" w:hAnsi="Arial" w:cs="Helvetica"/>
                <w:color w:val="000000"/>
                <w:sz w:val="18"/>
                <w:szCs w:val="14"/>
              </w:rPr>
              <w:t>Derechos liquidados</w:t>
            </w:r>
          </w:p>
        </w:tc>
        <w:tc>
          <w:tcPr>
            <w:tcW w:w="2068" w:type="dxa"/>
            <w:tcBorders>
              <w:top w:val="single" w:sz="2" w:space="0" w:color="993333"/>
              <w:left w:val="nil"/>
              <w:bottom w:val="single" w:sz="2" w:space="0" w:color="993333"/>
              <w:right w:val="nil"/>
            </w:tcBorders>
            <w:hideMark/>
          </w:tcPr>
          <w:p w14:paraId="111D01E5" w14:textId="77777777" w:rsidR="003B28A6" w:rsidRDefault="003B28A6">
            <w:pPr>
              <w:pStyle w:val="Standard"/>
              <w:tabs>
                <w:tab w:val="right" w:pos="7941"/>
              </w:tabs>
              <w:spacing w:line="276" w:lineRule="auto"/>
              <w:jc w:val="right"/>
              <w:rPr>
                <w:rFonts w:ascii="Arial" w:hAnsi="Arial" w:cs="Helvetica"/>
                <w:color w:val="000000"/>
                <w:sz w:val="18"/>
                <w:szCs w:val="14"/>
              </w:rPr>
            </w:pPr>
            <w:r>
              <w:rPr>
                <w:rFonts w:ascii="Arial" w:hAnsi="Arial" w:cs="Helvetica"/>
                <w:color w:val="000000"/>
                <w:sz w:val="18"/>
                <w:szCs w:val="14"/>
              </w:rPr>
              <w:t>242.450,00 €</w:t>
            </w:r>
          </w:p>
        </w:tc>
      </w:tr>
      <w:tr w:rsidR="003B28A6" w14:paraId="05FEB8B3" w14:textId="77777777" w:rsidTr="00837C34">
        <w:trPr>
          <w:trHeight w:hRule="exact" w:val="397"/>
          <w:jc w:val="center"/>
        </w:trPr>
        <w:tc>
          <w:tcPr>
            <w:tcW w:w="4878" w:type="dxa"/>
            <w:tcBorders>
              <w:top w:val="single" w:sz="2" w:space="0" w:color="993333"/>
              <w:left w:val="nil"/>
              <w:bottom w:val="single" w:sz="2" w:space="0" w:color="993333"/>
              <w:right w:val="nil"/>
            </w:tcBorders>
            <w:hideMark/>
          </w:tcPr>
          <w:p w14:paraId="0E27B0DE" w14:textId="77777777" w:rsidR="003B28A6" w:rsidRDefault="003B28A6">
            <w:pPr>
              <w:pStyle w:val="Standard"/>
              <w:tabs>
                <w:tab w:val="right" w:pos="7953"/>
              </w:tabs>
              <w:spacing w:line="276" w:lineRule="auto"/>
              <w:jc w:val="both"/>
              <w:rPr>
                <w:rFonts w:ascii="Arial" w:hAnsi="Arial"/>
                <w:color w:val="000000"/>
                <w:sz w:val="18"/>
                <w:szCs w:val="14"/>
              </w:rPr>
            </w:pPr>
            <w:r>
              <w:rPr>
                <w:rFonts w:ascii="Arial" w:hAnsi="Arial"/>
                <w:color w:val="000000"/>
                <w:sz w:val="18"/>
                <w:szCs w:val="14"/>
              </w:rPr>
              <w:t>Obligaciones reconocidas</w:t>
            </w:r>
          </w:p>
        </w:tc>
        <w:tc>
          <w:tcPr>
            <w:tcW w:w="2068" w:type="dxa"/>
            <w:tcBorders>
              <w:top w:val="single" w:sz="2" w:space="0" w:color="993333"/>
              <w:left w:val="nil"/>
              <w:bottom w:val="single" w:sz="2" w:space="0" w:color="993333"/>
              <w:right w:val="nil"/>
            </w:tcBorders>
            <w:hideMark/>
          </w:tcPr>
          <w:p w14:paraId="23B8DCE3" w14:textId="77777777" w:rsidR="003B28A6" w:rsidRDefault="003B28A6">
            <w:pPr>
              <w:pStyle w:val="Standard"/>
              <w:tabs>
                <w:tab w:val="right" w:pos="7953"/>
              </w:tabs>
              <w:spacing w:line="276" w:lineRule="auto"/>
              <w:jc w:val="right"/>
              <w:rPr>
                <w:rFonts w:ascii="Arial" w:hAnsi="Arial"/>
                <w:color w:val="000000"/>
                <w:sz w:val="18"/>
                <w:szCs w:val="14"/>
              </w:rPr>
            </w:pPr>
            <w:r>
              <w:rPr>
                <w:rFonts w:ascii="Arial" w:hAnsi="Arial"/>
                <w:color w:val="000000"/>
                <w:sz w:val="18"/>
                <w:szCs w:val="14"/>
              </w:rPr>
              <w:t>56.696,72 €</w:t>
            </w:r>
          </w:p>
        </w:tc>
      </w:tr>
      <w:tr w:rsidR="003B28A6" w14:paraId="61707F79" w14:textId="77777777" w:rsidTr="00837C34">
        <w:trPr>
          <w:trHeight w:hRule="exact" w:val="397"/>
          <w:jc w:val="center"/>
        </w:trPr>
        <w:tc>
          <w:tcPr>
            <w:tcW w:w="4878" w:type="dxa"/>
            <w:tcBorders>
              <w:top w:val="single" w:sz="2" w:space="0" w:color="993333"/>
              <w:left w:val="nil"/>
              <w:bottom w:val="single" w:sz="2" w:space="0" w:color="993333"/>
              <w:right w:val="nil"/>
            </w:tcBorders>
          </w:tcPr>
          <w:p w14:paraId="18006267" w14:textId="77777777" w:rsidR="003B28A6" w:rsidRDefault="003B28A6">
            <w:pPr>
              <w:pStyle w:val="Standard"/>
              <w:spacing w:line="276" w:lineRule="auto"/>
              <w:jc w:val="both"/>
              <w:rPr>
                <w:rFonts w:ascii="Arial" w:hAnsi="Arial"/>
                <w:color w:val="000000"/>
                <w:sz w:val="18"/>
                <w:szCs w:val="14"/>
              </w:rPr>
            </w:pPr>
          </w:p>
        </w:tc>
        <w:tc>
          <w:tcPr>
            <w:tcW w:w="2068" w:type="dxa"/>
            <w:tcBorders>
              <w:top w:val="single" w:sz="2" w:space="0" w:color="993333"/>
              <w:left w:val="nil"/>
              <w:bottom w:val="single" w:sz="2" w:space="0" w:color="993333"/>
              <w:right w:val="nil"/>
            </w:tcBorders>
          </w:tcPr>
          <w:p w14:paraId="61CBC5CF" w14:textId="77777777" w:rsidR="003B28A6" w:rsidRDefault="003B28A6">
            <w:pPr>
              <w:pStyle w:val="Standard"/>
              <w:spacing w:line="276" w:lineRule="auto"/>
              <w:jc w:val="right"/>
              <w:rPr>
                <w:rFonts w:ascii="Arial" w:hAnsi="Arial"/>
                <w:sz w:val="18"/>
                <w:szCs w:val="14"/>
              </w:rPr>
            </w:pPr>
          </w:p>
        </w:tc>
      </w:tr>
      <w:tr w:rsidR="003B28A6" w14:paraId="0C8DC592" w14:textId="77777777" w:rsidTr="00837C34">
        <w:trPr>
          <w:trHeight w:hRule="exact" w:val="397"/>
          <w:jc w:val="center"/>
        </w:trPr>
        <w:tc>
          <w:tcPr>
            <w:tcW w:w="4878" w:type="dxa"/>
            <w:tcBorders>
              <w:top w:val="single" w:sz="2" w:space="0" w:color="993333"/>
              <w:left w:val="nil"/>
              <w:bottom w:val="single" w:sz="2" w:space="0" w:color="993333"/>
              <w:right w:val="nil"/>
            </w:tcBorders>
            <w:hideMark/>
          </w:tcPr>
          <w:p w14:paraId="33D726AA" w14:textId="77777777" w:rsidR="003B28A6" w:rsidRDefault="003B28A6">
            <w:pPr>
              <w:pStyle w:val="Standard"/>
              <w:tabs>
                <w:tab w:val="right" w:pos="7953"/>
              </w:tabs>
              <w:spacing w:line="276" w:lineRule="auto"/>
              <w:jc w:val="right"/>
              <w:rPr>
                <w:rFonts w:ascii="Arial" w:hAnsi="Arial"/>
                <w:color w:val="9D2235"/>
                <w:sz w:val="18"/>
                <w:szCs w:val="14"/>
              </w:rPr>
            </w:pPr>
            <w:r>
              <w:rPr>
                <w:rFonts w:ascii="Arial" w:hAnsi="Arial"/>
                <w:color w:val="9D2235"/>
                <w:sz w:val="18"/>
                <w:szCs w:val="14"/>
              </w:rPr>
              <w:t>Total derechos liquidados</w:t>
            </w:r>
          </w:p>
        </w:tc>
        <w:tc>
          <w:tcPr>
            <w:tcW w:w="2068" w:type="dxa"/>
            <w:tcBorders>
              <w:top w:val="single" w:sz="2" w:space="0" w:color="993333"/>
              <w:left w:val="nil"/>
              <w:bottom w:val="single" w:sz="2" w:space="0" w:color="993333"/>
              <w:right w:val="nil"/>
            </w:tcBorders>
            <w:hideMark/>
          </w:tcPr>
          <w:p w14:paraId="5FF31C33" w14:textId="77777777" w:rsidR="003B28A6" w:rsidRDefault="003B28A6">
            <w:pPr>
              <w:pStyle w:val="Standard"/>
              <w:tabs>
                <w:tab w:val="right" w:pos="7953"/>
              </w:tabs>
              <w:spacing w:line="276" w:lineRule="auto"/>
              <w:jc w:val="right"/>
              <w:rPr>
                <w:rFonts w:ascii="Arial" w:hAnsi="Arial"/>
                <w:sz w:val="18"/>
                <w:szCs w:val="14"/>
              </w:rPr>
            </w:pPr>
            <w:r>
              <w:rPr>
                <w:rFonts w:ascii="Arial" w:hAnsi="Arial"/>
                <w:sz w:val="18"/>
                <w:szCs w:val="14"/>
              </w:rPr>
              <w:t>4.469.880,00 €</w:t>
            </w:r>
          </w:p>
        </w:tc>
      </w:tr>
      <w:tr w:rsidR="003B28A6" w14:paraId="42BAB90A" w14:textId="77777777" w:rsidTr="00837C34">
        <w:trPr>
          <w:trHeight w:hRule="exact" w:val="397"/>
          <w:jc w:val="center"/>
        </w:trPr>
        <w:tc>
          <w:tcPr>
            <w:tcW w:w="4878" w:type="dxa"/>
            <w:tcBorders>
              <w:top w:val="single" w:sz="2" w:space="0" w:color="993333"/>
              <w:left w:val="nil"/>
              <w:bottom w:val="single" w:sz="2" w:space="0" w:color="993333"/>
              <w:right w:val="nil"/>
            </w:tcBorders>
            <w:hideMark/>
          </w:tcPr>
          <w:p w14:paraId="35E11AE0" w14:textId="77777777" w:rsidR="003B28A6" w:rsidRDefault="003B28A6">
            <w:pPr>
              <w:pStyle w:val="Standard"/>
              <w:tabs>
                <w:tab w:val="right" w:pos="7941"/>
              </w:tabs>
              <w:spacing w:line="276" w:lineRule="auto"/>
              <w:jc w:val="right"/>
              <w:rPr>
                <w:rFonts w:ascii="Arial" w:hAnsi="Arial"/>
                <w:color w:val="9D2235"/>
                <w:sz w:val="18"/>
                <w:szCs w:val="14"/>
              </w:rPr>
            </w:pPr>
            <w:r>
              <w:rPr>
                <w:rFonts w:ascii="Arial" w:hAnsi="Arial"/>
                <w:color w:val="9D2235"/>
                <w:sz w:val="18"/>
                <w:szCs w:val="14"/>
              </w:rPr>
              <w:t>Total obligaciones reconocidas</w:t>
            </w:r>
          </w:p>
        </w:tc>
        <w:tc>
          <w:tcPr>
            <w:tcW w:w="2068" w:type="dxa"/>
            <w:tcBorders>
              <w:top w:val="single" w:sz="2" w:space="0" w:color="993333"/>
              <w:left w:val="nil"/>
              <w:bottom w:val="single" w:sz="2" w:space="0" w:color="993333"/>
              <w:right w:val="nil"/>
            </w:tcBorders>
            <w:hideMark/>
          </w:tcPr>
          <w:p w14:paraId="17D0DCFE" w14:textId="77777777" w:rsidR="003B28A6" w:rsidRDefault="003B28A6">
            <w:pPr>
              <w:pStyle w:val="Standard"/>
              <w:tabs>
                <w:tab w:val="right" w:pos="7941"/>
              </w:tabs>
              <w:spacing w:line="276" w:lineRule="auto"/>
              <w:jc w:val="right"/>
              <w:rPr>
                <w:rFonts w:ascii="Arial" w:hAnsi="Arial"/>
                <w:sz w:val="18"/>
                <w:szCs w:val="14"/>
              </w:rPr>
            </w:pPr>
            <w:r>
              <w:rPr>
                <w:rFonts w:ascii="Arial" w:hAnsi="Arial"/>
                <w:sz w:val="18"/>
                <w:szCs w:val="14"/>
              </w:rPr>
              <w:t>2.736.021,95 €</w:t>
            </w:r>
          </w:p>
        </w:tc>
      </w:tr>
      <w:tr w:rsidR="003B28A6" w14:paraId="7157837E" w14:textId="77777777" w:rsidTr="00837C34">
        <w:trPr>
          <w:trHeight w:hRule="exact" w:val="397"/>
          <w:jc w:val="center"/>
        </w:trPr>
        <w:tc>
          <w:tcPr>
            <w:tcW w:w="4878" w:type="dxa"/>
            <w:shd w:val="clear" w:color="auto" w:fill="9D2235"/>
            <w:hideMark/>
          </w:tcPr>
          <w:p w14:paraId="10599A63" w14:textId="77777777" w:rsidR="003B28A6" w:rsidRDefault="003B28A6">
            <w:pPr>
              <w:pStyle w:val="Standard"/>
              <w:tabs>
                <w:tab w:val="right" w:pos="7965"/>
              </w:tabs>
              <w:spacing w:line="276" w:lineRule="auto"/>
              <w:jc w:val="both"/>
              <w:rPr>
                <w:sz w:val="18"/>
                <w:szCs w:val="14"/>
              </w:rPr>
            </w:pPr>
            <w:r>
              <w:rPr>
                <w:rFonts w:ascii="Arial" w:hAnsi="Arial" w:cs="MillerText-Roman"/>
                <w:color w:val="FFFFFF"/>
                <w:sz w:val="18"/>
                <w:szCs w:val="14"/>
              </w:rPr>
              <w:t xml:space="preserve"> </w:t>
            </w:r>
            <w:r>
              <w:rPr>
                <w:rFonts w:ascii="Arial" w:hAnsi="Arial" w:cs="MillerText-Roman"/>
                <w:b/>
                <w:bCs/>
                <w:color w:val="FFFFFF"/>
                <w:sz w:val="18"/>
                <w:szCs w:val="14"/>
              </w:rPr>
              <w:t>Resultado presupuestario</w:t>
            </w:r>
          </w:p>
        </w:tc>
        <w:tc>
          <w:tcPr>
            <w:tcW w:w="2068" w:type="dxa"/>
            <w:shd w:val="clear" w:color="auto" w:fill="9D2235"/>
            <w:hideMark/>
          </w:tcPr>
          <w:p w14:paraId="58849511" w14:textId="77777777" w:rsidR="003B28A6" w:rsidRDefault="003B28A6">
            <w:pPr>
              <w:pStyle w:val="Standard"/>
              <w:tabs>
                <w:tab w:val="right" w:pos="7965"/>
              </w:tabs>
              <w:spacing w:line="276" w:lineRule="auto"/>
              <w:jc w:val="right"/>
              <w:rPr>
                <w:rFonts w:ascii="Arial" w:hAnsi="Arial" w:cs="MillerText-Roman"/>
                <w:b/>
                <w:bCs/>
                <w:color w:val="FFFFFF"/>
                <w:sz w:val="18"/>
                <w:szCs w:val="14"/>
              </w:rPr>
            </w:pPr>
            <w:r>
              <w:rPr>
                <w:rFonts w:ascii="Arial" w:hAnsi="Arial" w:cs="MillerText-Roman"/>
                <w:b/>
                <w:bCs/>
                <w:color w:val="FFFFFF"/>
                <w:sz w:val="18"/>
                <w:szCs w:val="14"/>
              </w:rPr>
              <w:t>1.733.858.05 €</w:t>
            </w:r>
          </w:p>
        </w:tc>
      </w:tr>
    </w:tbl>
    <w:p w14:paraId="455C5C34" w14:textId="77777777" w:rsidR="003B28A6" w:rsidRDefault="003B28A6" w:rsidP="003B28A6">
      <w:pPr>
        <w:pStyle w:val="Standard"/>
        <w:spacing w:line="276" w:lineRule="auto"/>
        <w:jc w:val="both"/>
        <w:rPr>
          <w:rFonts w:ascii="Arial" w:hAnsi="Arial" w:cs="MillerText-Roman"/>
          <w:color w:val="000000"/>
          <w:sz w:val="21"/>
          <w:szCs w:val="21"/>
          <w:highlight w:val="yellow"/>
        </w:rPr>
      </w:pPr>
    </w:p>
    <w:p w14:paraId="034A123B" w14:textId="77777777" w:rsidR="003B28A6" w:rsidRDefault="003B28A6" w:rsidP="003B28A6">
      <w:pPr>
        <w:pStyle w:val="Standard"/>
        <w:spacing w:line="276" w:lineRule="auto"/>
        <w:jc w:val="both"/>
        <w:rPr>
          <w:rFonts w:ascii="Arial" w:hAnsi="Arial" w:cs="MillerText-Roman"/>
          <w:color w:val="000000"/>
          <w:sz w:val="21"/>
          <w:szCs w:val="21"/>
        </w:rPr>
      </w:pPr>
    </w:p>
    <w:p w14:paraId="4BAA2505" w14:textId="77777777" w:rsidR="003B28A6" w:rsidRDefault="003B28A6" w:rsidP="003B28A6">
      <w:pPr>
        <w:pStyle w:val="Standard"/>
        <w:spacing w:after="240" w:line="276" w:lineRule="auto"/>
        <w:jc w:val="both"/>
      </w:pPr>
      <w:r>
        <w:rPr>
          <w:rFonts w:ascii="Arial" w:hAnsi="Arial" w:cs="MillerText-Roman"/>
          <w:color w:val="000000"/>
          <w:sz w:val="21"/>
          <w:szCs w:val="21"/>
        </w:rPr>
        <w:t xml:space="preserve">Los </w:t>
      </w:r>
      <w:r>
        <w:rPr>
          <w:rFonts w:ascii="Arial" w:hAnsi="Arial" w:cs="MillerText-Roman"/>
          <w:b/>
          <w:bCs/>
          <w:color w:val="000000"/>
          <w:sz w:val="21"/>
          <w:szCs w:val="21"/>
        </w:rPr>
        <w:t xml:space="preserve">FONDOS DE LA AGENCIA </w:t>
      </w:r>
      <w:r>
        <w:rPr>
          <w:rFonts w:ascii="Arial" w:hAnsi="Arial" w:cs="MillerText-Roman"/>
          <w:color w:val="000000"/>
          <w:sz w:val="21"/>
          <w:szCs w:val="21"/>
        </w:rPr>
        <w:t xml:space="preserve">se encuentran depositados en una única entidad bancaria: Caixabank, SA (CIF: A08663619) y su disposición se rige por el sistema de firma mancomunada del director y de las personas que ocupan los puestos de trabajo de jefe/a del área de Administración, Recursos Humanos y Gestión Económica y de jefe/a de la Unidad de Gestión Económica. </w:t>
      </w:r>
    </w:p>
    <w:p w14:paraId="595B0483" w14:textId="77777777" w:rsidR="003B28A6" w:rsidRDefault="003B28A6" w:rsidP="003B28A6">
      <w:pPr>
        <w:pStyle w:val="Standard"/>
        <w:spacing w:after="240" w:line="276" w:lineRule="auto"/>
        <w:jc w:val="both"/>
        <w:rPr>
          <w:rFonts w:ascii="Arial" w:hAnsi="Arial" w:cs="MillerText-Roman"/>
          <w:color w:val="000000"/>
          <w:sz w:val="21"/>
          <w:szCs w:val="21"/>
        </w:rPr>
      </w:pPr>
      <w:r>
        <w:rPr>
          <w:rFonts w:ascii="Arial" w:hAnsi="Arial" w:cs="MillerText-Roman"/>
          <w:color w:val="000000"/>
          <w:sz w:val="21"/>
          <w:szCs w:val="21"/>
        </w:rPr>
        <w:t>Las órdenes de disposición de fondos requieren la concurrencia de dos de las tres firmas mancomunadas y siempre, y en todo caso, la del director de la Agencia.</w:t>
      </w:r>
    </w:p>
    <w:p w14:paraId="13C90250" w14:textId="1B486674" w:rsidR="003B28A6" w:rsidRPr="00F8714B" w:rsidRDefault="003B28A6" w:rsidP="003B28A6">
      <w:pPr>
        <w:pStyle w:val="Descripcin"/>
        <w:keepNext/>
        <w:rPr>
          <w:rFonts w:ascii="Arial" w:hAnsi="Arial" w:cs="Arial"/>
          <w:smallCaps w:val="0"/>
          <w:sz w:val="18"/>
        </w:rPr>
      </w:pPr>
      <w:bookmarkStart w:id="354" w:name="_Toc66443900"/>
      <w:bookmarkStart w:id="355" w:name="_Toc67646369"/>
      <w:r w:rsidRPr="00F8714B">
        <w:rPr>
          <w:rFonts w:ascii="Arial" w:hAnsi="Arial" w:cs="Arial"/>
          <w:smallCaps w:val="0"/>
          <w:color w:val="9D2235" w:themeColor="accent1"/>
          <w:sz w:val="18"/>
        </w:rPr>
        <w:t xml:space="preserve">Tabla </w:t>
      </w:r>
      <w:r w:rsidRPr="00F8714B">
        <w:rPr>
          <w:rFonts w:ascii="Arial" w:hAnsi="Arial" w:cs="Arial"/>
          <w:smallCaps w:val="0"/>
          <w:sz w:val="18"/>
        </w:rPr>
        <w:fldChar w:fldCharType="begin"/>
      </w:r>
      <w:r w:rsidRPr="00F8714B">
        <w:rPr>
          <w:rFonts w:ascii="Arial" w:hAnsi="Arial" w:cs="Arial"/>
          <w:smallCaps w:val="0"/>
          <w:color w:val="9D2235" w:themeColor="accent1"/>
          <w:sz w:val="18"/>
        </w:rPr>
        <w:instrText xml:space="preserve"> SEQ Tabla \* ARABIC </w:instrText>
      </w:r>
      <w:r w:rsidRPr="00F8714B">
        <w:rPr>
          <w:rFonts w:ascii="Arial" w:hAnsi="Arial" w:cs="Arial"/>
          <w:smallCaps w:val="0"/>
          <w:sz w:val="18"/>
        </w:rPr>
        <w:fldChar w:fldCharType="separate"/>
      </w:r>
      <w:r w:rsidR="00ED7F0D">
        <w:rPr>
          <w:rFonts w:ascii="Arial" w:hAnsi="Arial" w:cs="Arial"/>
          <w:smallCaps w:val="0"/>
          <w:noProof/>
          <w:color w:val="9D2235" w:themeColor="accent1"/>
          <w:sz w:val="18"/>
        </w:rPr>
        <w:t>32</w:t>
      </w:r>
      <w:r w:rsidRPr="00F8714B">
        <w:rPr>
          <w:rFonts w:ascii="Arial" w:hAnsi="Arial" w:cs="Arial"/>
          <w:smallCaps w:val="0"/>
          <w:sz w:val="18"/>
        </w:rPr>
        <w:fldChar w:fldCharType="end"/>
      </w:r>
      <w:r w:rsidRPr="00F8714B">
        <w:rPr>
          <w:rFonts w:ascii="Arial" w:hAnsi="Arial" w:cs="Arial"/>
          <w:smallCaps w:val="0"/>
          <w:color w:val="9D2235" w:themeColor="accent1"/>
          <w:sz w:val="18"/>
        </w:rPr>
        <w:t xml:space="preserve">. </w:t>
      </w:r>
      <w:r w:rsidRPr="00F8714B">
        <w:rPr>
          <w:rFonts w:ascii="Arial" w:hAnsi="Arial" w:cs="Arial"/>
          <w:smallCaps w:val="0"/>
          <w:sz w:val="18"/>
        </w:rPr>
        <w:t>Situación y evolución de los fondos de la cuenta corriente</w:t>
      </w:r>
      <w:bookmarkEnd w:id="354"/>
      <w:bookmarkEnd w:id="355"/>
    </w:p>
    <w:tbl>
      <w:tblPr>
        <w:tblW w:w="7427" w:type="dxa"/>
        <w:jc w:val="center"/>
        <w:tblCellMar>
          <w:top w:w="55" w:type="dxa"/>
          <w:left w:w="55" w:type="dxa"/>
          <w:bottom w:w="55" w:type="dxa"/>
          <w:right w:w="55" w:type="dxa"/>
        </w:tblCellMar>
        <w:tblLook w:val="04A0" w:firstRow="1" w:lastRow="0" w:firstColumn="1" w:lastColumn="0" w:noHBand="0" w:noVBand="1"/>
      </w:tblPr>
      <w:tblGrid>
        <w:gridCol w:w="1857"/>
        <w:gridCol w:w="1857"/>
        <w:gridCol w:w="1856"/>
        <w:gridCol w:w="1857"/>
      </w:tblGrid>
      <w:tr w:rsidR="003B28A6" w14:paraId="220365F2" w14:textId="77777777" w:rsidTr="003B28A6">
        <w:trPr>
          <w:tblHeader/>
          <w:jc w:val="center"/>
        </w:trPr>
        <w:tc>
          <w:tcPr>
            <w:tcW w:w="1857" w:type="dxa"/>
            <w:tcBorders>
              <w:top w:val="single" w:sz="2" w:space="0" w:color="000000"/>
              <w:left w:val="single" w:sz="2" w:space="0" w:color="000000"/>
              <w:bottom w:val="single" w:sz="2" w:space="0" w:color="000000"/>
              <w:right w:val="nil"/>
            </w:tcBorders>
            <w:shd w:val="clear" w:color="auto" w:fill="9D2235"/>
            <w:vAlign w:val="center"/>
            <w:hideMark/>
          </w:tcPr>
          <w:p w14:paraId="216A800B" w14:textId="77777777" w:rsidR="003B28A6" w:rsidRDefault="003B28A6">
            <w:pPr>
              <w:pStyle w:val="Standard"/>
              <w:spacing w:line="276" w:lineRule="auto"/>
              <w:jc w:val="center"/>
              <w:rPr>
                <w:rFonts w:ascii="Arial" w:hAnsi="Arial"/>
                <w:b/>
                <w:bCs/>
                <w:color w:val="FFFFFF"/>
                <w:sz w:val="18"/>
                <w:szCs w:val="14"/>
              </w:rPr>
            </w:pPr>
            <w:r>
              <w:rPr>
                <w:rFonts w:ascii="Arial" w:hAnsi="Arial"/>
                <w:b/>
                <w:bCs/>
                <w:color w:val="FFFFFF"/>
                <w:sz w:val="18"/>
                <w:szCs w:val="14"/>
              </w:rPr>
              <w:t>Saldo inicial</w:t>
            </w:r>
          </w:p>
          <w:p w14:paraId="0DBEFCB1" w14:textId="77777777" w:rsidR="003B28A6" w:rsidRDefault="003B28A6">
            <w:pPr>
              <w:pStyle w:val="Standard"/>
              <w:spacing w:line="276" w:lineRule="auto"/>
              <w:jc w:val="center"/>
              <w:rPr>
                <w:rFonts w:ascii="Arial" w:hAnsi="Arial"/>
                <w:b/>
                <w:bCs/>
                <w:color w:val="FFFFFF"/>
                <w:sz w:val="18"/>
                <w:szCs w:val="14"/>
              </w:rPr>
            </w:pPr>
            <w:r>
              <w:rPr>
                <w:rFonts w:ascii="Arial" w:hAnsi="Arial"/>
                <w:b/>
                <w:bCs/>
                <w:color w:val="FFFFFF"/>
                <w:sz w:val="18"/>
                <w:szCs w:val="14"/>
              </w:rPr>
              <w:t>01/01/2020</w:t>
            </w:r>
          </w:p>
        </w:tc>
        <w:tc>
          <w:tcPr>
            <w:tcW w:w="1857" w:type="dxa"/>
            <w:tcBorders>
              <w:top w:val="single" w:sz="2" w:space="0" w:color="000000"/>
              <w:left w:val="single" w:sz="2" w:space="0" w:color="000000"/>
              <w:bottom w:val="single" w:sz="2" w:space="0" w:color="000000"/>
              <w:right w:val="nil"/>
            </w:tcBorders>
            <w:shd w:val="clear" w:color="auto" w:fill="9D2235"/>
            <w:vAlign w:val="center"/>
            <w:hideMark/>
          </w:tcPr>
          <w:p w14:paraId="72F0CBD8" w14:textId="77777777" w:rsidR="003B28A6" w:rsidRDefault="003B28A6">
            <w:pPr>
              <w:pStyle w:val="Standard"/>
              <w:spacing w:line="276" w:lineRule="auto"/>
              <w:jc w:val="center"/>
              <w:rPr>
                <w:rFonts w:ascii="Arial" w:hAnsi="Arial"/>
                <w:b/>
                <w:bCs/>
                <w:color w:val="FFFFFF"/>
                <w:sz w:val="18"/>
                <w:szCs w:val="14"/>
              </w:rPr>
            </w:pPr>
            <w:r>
              <w:rPr>
                <w:rFonts w:ascii="Arial" w:hAnsi="Arial"/>
                <w:b/>
                <w:bCs/>
                <w:color w:val="FFFFFF"/>
                <w:sz w:val="18"/>
                <w:szCs w:val="14"/>
              </w:rPr>
              <w:t>Ingresos</w:t>
            </w:r>
          </w:p>
        </w:tc>
        <w:tc>
          <w:tcPr>
            <w:tcW w:w="1856" w:type="dxa"/>
            <w:tcBorders>
              <w:top w:val="single" w:sz="2" w:space="0" w:color="000000"/>
              <w:left w:val="single" w:sz="2" w:space="0" w:color="000000"/>
              <w:bottom w:val="single" w:sz="2" w:space="0" w:color="000000"/>
              <w:right w:val="nil"/>
            </w:tcBorders>
            <w:shd w:val="clear" w:color="auto" w:fill="9D2235"/>
            <w:vAlign w:val="center"/>
            <w:hideMark/>
          </w:tcPr>
          <w:p w14:paraId="1AC90A7E" w14:textId="77777777" w:rsidR="003B28A6" w:rsidRDefault="003B28A6">
            <w:pPr>
              <w:pStyle w:val="Standard"/>
              <w:spacing w:line="276" w:lineRule="auto"/>
              <w:jc w:val="center"/>
              <w:rPr>
                <w:rFonts w:ascii="Arial" w:hAnsi="Arial"/>
                <w:b/>
                <w:bCs/>
                <w:color w:val="FFFFFF"/>
                <w:sz w:val="18"/>
                <w:szCs w:val="14"/>
              </w:rPr>
            </w:pPr>
            <w:r>
              <w:rPr>
                <w:rFonts w:ascii="Arial" w:hAnsi="Arial"/>
                <w:b/>
                <w:bCs/>
                <w:color w:val="FFFFFF"/>
                <w:sz w:val="18"/>
                <w:szCs w:val="14"/>
              </w:rPr>
              <w:t>Pagos</w:t>
            </w:r>
          </w:p>
        </w:tc>
        <w:tc>
          <w:tcPr>
            <w:tcW w:w="1857" w:type="dxa"/>
            <w:tcBorders>
              <w:top w:val="single" w:sz="2" w:space="0" w:color="000000"/>
              <w:left w:val="single" w:sz="2" w:space="0" w:color="000000"/>
              <w:bottom w:val="single" w:sz="2" w:space="0" w:color="000000"/>
              <w:right w:val="single" w:sz="2" w:space="0" w:color="000000"/>
            </w:tcBorders>
            <w:shd w:val="clear" w:color="auto" w:fill="9D2235"/>
            <w:vAlign w:val="center"/>
            <w:hideMark/>
          </w:tcPr>
          <w:p w14:paraId="2DA44257" w14:textId="77777777" w:rsidR="003B28A6" w:rsidRDefault="003B28A6">
            <w:pPr>
              <w:pStyle w:val="Standard"/>
              <w:spacing w:line="276" w:lineRule="auto"/>
              <w:jc w:val="center"/>
              <w:rPr>
                <w:rFonts w:ascii="Arial" w:hAnsi="Arial"/>
                <w:b/>
                <w:bCs/>
                <w:color w:val="FFFFFF"/>
                <w:sz w:val="18"/>
                <w:szCs w:val="14"/>
              </w:rPr>
            </w:pPr>
            <w:r>
              <w:rPr>
                <w:rFonts w:ascii="Arial" w:hAnsi="Arial"/>
                <w:b/>
                <w:bCs/>
                <w:color w:val="FFFFFF"/>
                <w:sz w:val="18"/>
                <w:szCs w:val="14"/>
              </w:rPr>
              <w:t>Saldo final</w:t>
            </w:r>
          </w:p>
          <w:p w14:paraId="1191D0C9" w14:textId="77777777" w:rsidR="003B28A6" w:rsidRDefault="003B28A6">
            <w:pPr>
              <w:pStyle w:val="Standard"/>
              <w:spacing w:line="276" w:lineRule="auto"/>
              <w:jc w:val="center"/>
              <w:rPr>
                <w:rFonts w:ascii="Arial" w:hAnsi="Arial"/>
                <w:b/>
                <w:bCs/>
                <w:color w:val="FFFFFF"/>
                <w:sz w:val="18"/>
                <w:szCs w:val="14"/>
              </w:rPr>
            </w:pPr>
            <w:r>
              <w:rPr>
                <w:rFonts w:ascii="Arial" w:hAnsi="Arial"/>
                <w:b/>
                <w:bCs/>
                <w:color w:val="FFFFFF"/>
                <w:sz w:val="18"/>
                <w:szCs w:val="14"/>
              </w:rPr>
              <w:t>31/12/2020</w:t>
            </w:r>
          </w:p>
        </w:tc>
      </w:tr>
      <w:tr w:rsidR="003B28A6" w14:paraId="78CBD82A" w14:textId="77777777" w:rsidTr="003B28A6">
        <w:trPr>
          <w:trHeight w:val="552"/>
          <w:jc w:val="center"/>
        </w:trPr>
        <w:tc>
          <w:tcPr>
            <w:tcW w:w="1857" w:type="dxa"/>
            <w:tcBorders>
              <w:top w:val="single" w:sz="2" w:space="0" w:color="000000"/>
              <w:left w:val="nil"/>
              <w:bottom w:val="single" w:sz="4" w:space="0" w:color="993333"/>
              <w:right w:val="nil"/>
            </w:tcBorders>
            <w:hideMark/>
          </w:tcPr>
          <w:p w14:paraId="776AADDB" w14:textId="77777777" w:rsidR="003B28A6" w:rsidRDefault="003B28A6">
            <w:pPr>
              <w:pStyle w:val="Standard"/>
              <w:spacing w:line="276" w:lineRule="auto"/>
              <w:jc w:val="center"/>
              <w:rPr>
                <w:rFonts w:ascii="Arial" w:hAnsi="Arial"/>
                <w:b/>
                <w:bCs/>
                <w:color w:val="000000"/>
                <w:sz w:val="18"/>
                <w:szCs w:val="14"/>
              </w:rPr>
            </w:pPr>
            <w:r>
              <w:rPr>
                <w:rFonts w:ascii="Arial" w:hAnsi="Arial"/>
                <w:b/>
                <w:bCs/>
                <w:color w:val="000000"/>
                <w:sz w:val="18"/>
                <w:szCs w:val="14"/>
              </w:rPr>
              <w:t>1.141.328,42</w:t>
            </w:r>
          </w:p>
        </w:tc>
        <w:tc>
          <w:tcPr>
            <w:tcW w:w="1857" w:type="dxa"/>
            <w:tcBorders>
              <w:top w:val="single" w:sz="2" w:space="0" w:color="000000"/>
              <w:left w:val="nil"/>
              <w:bottom w:val="single" w:sz="4" w:space="0" w:color="993333"/>
              <w:right w:val="nil"/>
            </w:tcBorders>
            <w:hideMark/>
          </w:tcPr>
          <w:p w14:paraId="529CAC8F" w14:textId="77777777" w:rsidR="003B28A6" w:rsidRDefault="003B28A6">
            <w:pPr>
              <w:pStyle w:val="Standard"/>
              <w:spacing w:line="276" w:lineRule="auto"/>
              <w:jc w:val="right"/>
              <w:rPr>
                <w:rFonts w:ascii="Arial" w:hAnsi="Arial"/>
                <w:b/>
                <w:bCs/>
                <w:color w:val="000000"/>
                <w:sz w:val="18"/>
                <w:szCs w:val="14"/>
              </w:rPr>
            </w:pPr>
            <w:r>
              <w:rPr>
                <w:rFonts w:ascii="Arial" w:hAnsi="Arial"/>
                <w:b/>
                <w:bCs/>
                <w:color w:val="000000"/>
                <w:sz w:val="18"/>
                <w:szCs w:val="14"/>
              </w:rPr>
              <w:t xml:space="preserve">1.651.591,32  </w:t>
            </w:r>
          </w:p>
        </w:tc>
        <w:tc>
          <w:tcPr>
            <w:tcW w:w="1856" w:type="dxa"/>
            <w:tcBorders>
              <w:top w:val="single" w:sz="2" w:space="0" w:color="000000"/>
              <w:left w:val="nil"/>
              <w:bottom w:val="single" w:sz="4" w:space="0" w:color="993333"/>
              <w:right w:val="nil"/>
            </w:tcBorders>
            <w:hideMark/>
          </w:tcPr>
          <w:p w14:paraId="5F94C97B" w14:textId="77777777" w:rsidR="003B28A6" w:rsidRDefault="003B28A6">
            <w:pPr>
              <w:pStyle w:val="Standard"/>
              <w:spacing w:line="276" w:lineRule="auto"/>
              <w:jc w:val="right"/>
              <w:rPr>
                <w:rFonts w:ascii="Arial" w:hAnsi="Arial"/>
                <w:b/>
                <w:bCs/>
                <w:color w:val="000000"/>
                <w:sz w:val="18"/>
                <w:szCs w:val="14"/>
              </w:rPr>
            </w:pPr>
            <w:r>
              <w:rPr>
                <w:rFonts w:ascii="Arial" w:hAnsi="Arial"/>
                <w:b/>
                <w:bCs/>
                <w:color w:val="000000"/>
                <w:sz w:val="18"/>
                <w:szCs w:val="14"/>
              </w:rPr>
              <w:t xml:space="preserve">2.676.702,60  </w:t>
            </w:r>
          </w:p>
        </w:tc>
        <w:tc>
          <w:tcPr>
            <w:tcW w:w="1857" w:type="dxa"/>
            <w:tcBorders>
              <w:top w:val="single" w:sz="2" w:space="0" w:color="000000"/>
              <w:left w:val="nil"/>
              <w:bottom w:val="single" w:sz="4" w:space="0" w:color="993333"/>
              <w:right w:val="nil"/>
            </w:tcBorders>
            <w:hideMark/>
          </w:tcPr>
          <w:p w14:paraId="6A026439" w14:textId="77777777" w:rsidR="003B28A6" w:rsidRDefault="003B28A6">
            <w:pPr>
              <w:pStyle w:val="Standard"/>
              <w:spacing w:line="276" w:lineRule="auto"/>
              <w:jc w:val="right"/>
              <w:rPr>
                <w:rFonts w:ascii="Arial" w:hAnsi="Arial"/>
                <w:b/>
                <w:bCs/>
                <w:sz w:val="18"/>
                <w:szCs w:val="14"/>
              </w:rPr>
            </w:pPr>
            <w:r>
              <w:rPr>
                <w:rFonts w:ascii="Arial" w:hAnsi="Arial"/>
                <w:b/>
                <w:bCs/>
                <w:sz w:val="18"/>
                <w:szCs w:val="14"/>
              </w:rPr>
              <w:t>1.237.529,58</w:t>
            </w:r>
          </w:p>
        </w:tc>
      </w:tr>
    </w:tbl>
    <w:p w14:paraId="3F30ADF5" w14:textId="77777777" w:rsidR="003B28A6" w:rsidRDefault="003B28A6" w:rsidP="003B28A6">
      <w:pPr>
        <w:pStyle w:val="Standard"/>
        <w:spacing w:line="276" w:lineRule="auto"/>
        <w:jc w:val="both"/>
        <w:rPr>
          <w:rFonts w:ascii="Arial" w:hAnsi="Arial" w:cs="MillerText-Roman"/>
          <w:color w:val="000000"/>
          <w:sz w:val="21"/>
          <w:szCs w:val="21"/>
        </w:rPr>
      </w:pPr>
    </w:p>
    <w:p w14:paraId="498E5CA8" w14:textId="77777777" w:rsidR="003B28A6" w:rsidRDefault="003B28A6" w:rsidP="003B28A6">
      <w:pPr>
        <w:pStyle w:val="Standard"/>
        <w:spacing w:line="276" w:lineRule="auto"/>
        <w:jc w:val="both"/>
        <w:rPr>
          <w:rFonts w:ascii="Arial" w:hAnsi="Arial" w:cs="MillerText-Roman"/>
          <w:color w:val="000000"/>
          <w:sz w:val="21"/>
          <w:szCs w:val="21"/>
        </w:rPr>
      </w:pPr>
      <w:r>
        <w:rPr>
          <w:rFonts w:ascii="Arial" w:hAnsi="Arial" w:cs="MillerText-Roman"/>
          <w:color w:val="000000"/>
          <w:sz w:val="21"/>
          <w:szCs w:val="21"/>
        </w:rPr>
        <w:t xml:space="preserve">El </w:t>
      </w:r>
      <w:r>
        <w:rPr>
          <w:rFonts w:ascii="Arial" w:hAnsi="Arial" w:cs="MillerText-Roman"/>
          <w:b/>
          <w:bCs/>
          <w:color w:val="000000"/>
          <w:sz w:val="21"/>
          <w:szCs w:val="21"/>
        </w:rPr>
        <w:t>REMANENTE DE TESORERÍA</w:t>
      </w:r>
      <w:r>
        <w:rPr>
          <w:rFonts w:ascii="Arial" w:hAnsi="Arial" w:cs="MillerText-Roman"/>
          <w:color w:val="000000"/>
          <w:sz w:val="21"/>
          <w:szCs w:val="21"/>
        </w:rPr>
        <w:t xml:space="preserve"> de la Agencia presenta la situación que se muestra a continuación:</w:t>
      </w:r>
    </w:p>
    <w:p w14:paraId="75856BE6" w14:textId="77777777" w:rsidR="003B28A6" w:rsidRDefault="003B28A6" w:rsidP="003B28A6">
      <w:pPr>
        <w:pStyle w:val="Standard"/>
        <w:spacing w:line="276" w:lineRule="auto"/>
        <w:jc w:val="both"/>
      </w:pPr>
    </w:p>
    <w:p w14:paraId="1A8952B7" w14:textId="2045D58D" w:rsidR="003B28A6" w:rsidRPr="00F8714B" w:rsidRDefault="003B28A6" w:rsidP="003B28A6">
      <w:pPr>
        <w:pStyle w:val="Descripcin"/>
        <w:keepNext/>
        <w:rPr>
          <w:rFonts w:ascii="Arial" w:hAnsi="Arial" w:cs="Arial"/>
          <w:smallCaps w:val="0"/>
          <w:sz w:val="18"/>
        </w:rPr>
      </w:pPr>
      <w:bookmarkStart w:id="356" w:name="_Toc66443901"/>
      <w:bookmarkStart w:id="357" w:name="_Toc67646370"/>
      <w:r w:rsidRPr="00F8714B">
        <w:rPr>
          <w:rFonts w:ascii="Arial" w:hAnsi="Arial" w:cs="Arial"/>
          <w:smallCaps w:val="0"/>
          <w:color w:val="9D2235" w:themeColor="accent1"/>
          <w:sz w:val="18"/>
        </w:rPr>
        <w:t xml:space="preserve">Tabla </w:t>
      </w:r>
      <w:r w:rsidRPr="00F8714B">
        <w:rPr>
          <w:rFonts w:ascii="Arial" w:hAnsi="Arial" w:cs="Arial"/>
          <w:smallCaps w:val="0"/>
          <w:sz w:val="18"/>
        </w:rPr>
        <w:fldChar w:fldCharType="begin"/>
      </w:r>
      <w:r w:rsidRPr="00F8714B">
        <w:rPr>
          <w:rFonts w:ascii="Arial" w:hAnsi="Arial" w:cs="Arial"/>
          <w:smallCaps w:val="0"/>
          <w:color w:val="9D2235" w:themeColor="accent1"/>
          <w:sz w:val="18"/>
        </w:rPr>
        <w:instrText xml:space="preserve"> SEQ Tabla \* ARABIC </w:instrText>
      </w:r>
      <w:r w:rsidRPr="00F8714B">
        <w:rPr>
          <w:rFonts w:ascii="Arial" w:hAnsi="Arial" w:cs="Arial"/>
          <w:smallCaps w:val="0"/>
          <w:sz w:val="18"/>
        </w:rPr>
        <w:fldChar w:fldCharType="separate"/>
      </w:r>
      <w:r w:rsidR="00ED7F0D">
        <w:rPr>
          <w:rFonts w:ascii="Arial" w:hAnsi="Arial" w:cs="Arial"/>
          <w:smallCaps w:val="0"/>
          <w:noProof/>
          <w:color w:val="9D2235" w:themeColor="accent1"/>
          <w:sz w:val="18"/>
        </w:rPr>
        <w:t>33</w:t>
      </w:r>
      <w:r w:rsidRPr="00F8714B">
        <w:rPr>
          <w:rFonts w:ascii="Arial" w:hAnsi="Arial" w:cs="Arial"/>
          <w:smallCaps w:val="0"/>
          <w:sz w:val="18"/>
        </w:rPr>
        <w:fldChar w:fldCharType="end"/>
      </w:r>
      <w:r w:rsidRPr="00F8714B">
        <w:rPr>
          <w:rFonts w:ascii="Arial" w:hAnsi="Arial" w:cs="Arial"/>
          <w:smallCaps w:val="0"/>
          <w:color w:val="9D2235" w:themeColor="accent1"/>
          <w:sz w:val="18"/>
        </w:rPr>
        <w:t xml:space="preserve">. </w:t>
      </w:r>
      <w:r w:rsidRPr="00F8714B">
        <w:rPr>
          <w:rFonts w:ascii="Arial" w:hAnsi="Arial" w:cs="Arial"/>
          <w:smallCaps w:val="0"/>
          <w:sz w:val="18"/>
        </w:rPr>
        <w:t>Estado del remanente de tesorería</w:t>
      </w:r>
      <w:bookmarkEnd w:id="356"/>
      <w:bookmarkEnd w:id="357"/>
    </w:p>
    <w:tbl>
      <w:tblPr>
        <w:tblW w:w="8503" w:type="dxa"/>
        <w:jc w:val="center"/>
        <w:tblCellMar>
          <w:top w:w="55" w:type="dxa"/>
          <w:left w:w="55" w:type="dxa"/>
          <w:bottom w:w="55" w:type="dxa"/>
          <w:right w:w="55" w:type="dxa"/>
        </w:tblCellMar>
        <w:tblLook w:val="04A0" w:firstRow="1" w:lastRow="0" w:firstColumn="1" w:lastColumn="0" w:noHBand="0" w:noVBand="1"/>
      </w:tblPr>
      <w:tblGrid>
        <w:gridCol w:w="3802"/>
        <w:gridCol w:w="1183"/>
        <w:gridCol w:w="1132"/>
        <w:gridCol w:w="1188"/>
        <w:gridCol w:w="1198"/>
      </w:tblGrid>
      <w:tr w:rsidR="003B28A6" w14:paraId="568F9B7F" w14:textId="77777777" w:rsidTr="003B28A6">
        <w:trPr>
          <w:trHeight w:val="513"/>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9D2235"/>
            <w:vAlign w:val="center"/>
            <w:hideMark/>
          </w:tcPr>
          <w:p w14:paraId="2136E936" w14:textId="77777777" w:rsidR="003B28A6" w:rsidRDefault="003B28A6">
            <w:pPr>
              <w:spacing w:line="276" w:lineRule="auto"/>
              <w:jc w:val="center"/>
              <w:rPr>
                <w:b/>
                <w:bCs/>
                <w:color w:val="FFFFFF"/>
                <w:sz w:val="18"/>
                <w:szCs w:val="18"/>
              </w:rPr>
            </w:pPr>
            <w:bookmarkStart w:id="358" w:name="Marcador_49"/>
            <w:bookmarkEnd w:id="358"/>
            <w:r>
              <w:rPr>
                <w:b/>
                <w:bCs/>
                <w:color w:val="FFFFFF"/>
                <w:sz w:val="18"/>
                <w:szCs w:val="18"/>
              </w:rPr>
              <w:t>CONCEPTOS</w:t>
            </w:r>
          </w:p>
        </w:tc>
        <w:tc>
          <w:tcPr>
            <w:tcW w:w="2315" w:type="dxa"/>
            <w:gridSpan w:val="2"/>
            <w:tcBorders>
              <w:top w:val="single" w:sz="4" w:space="0" w:color="000000"/>
              <w:left w:val="single" w:sz="4" w:space="0" w:color="000000"/>
              <w:bottom w:val="single" w:sz="4" w:space="0" w:color="000000"/>
              <w:right w:val="single" w:sz="4" w:space="0" w:color="000000"/>
            </w:tcBorders>
            <w:shd w:val="clear" w:color="auto" w:fill="9D2235"/>
            <w:vAlign w:val="center"/>
            <w:hideMark/>
          </w:tcPr>
          <w:p w14:paraId="529D6EF8" w14:textId="77777777" w:rsidR="003B28A6" w:rsidRDefault="003B28A6">
            <w:pPr>
              <w:spacing w:line="276" w:lineRule="auto"/>
              <w:jc w:val="center"/>
              <w:rPr>
                <w:b/>
                <w:bCs/>
                <w:color w:val="FFFFFF"/>
                <w:sz w:val="18"/>
                <w:szCs w:val="18"/>
              </w:rPr>
            </w:pPr>
            <w:r>
              <w:rPr>
                <w:b/>
                <w:bCs/>
                <w:color w:val="FFFFFF"/>
                <w:sz w:val="18"/>
                <w:szCs w:val="18"/>
              </w:rPr>
              <w:t>IMPORTES</w:t>
            </w:r>
          </w:p>
          <w:p w14:paraId="7CB6FC54" w14:textId="77777777" w:rsidR="003B28A6" w:rsidRDefault="003B28A6">
            <w:pPr>
              <w:spacing w:line="276" w:lineRule="auto"/>
              <w:jc w:val="center"/>
              <w:rPr>
                <w:b/>
                <w:bCs/>
                <w:color w:val="FFFFFF"/>
                <w:sz w:val="18"/>
                <w:szCs w:val="18"/>
              </w:rPr>
            </w:pPr>
            <w:r>
              <w:rPr>
                <w:b/>
                <w:bCs/>
                <w:color w:val="FFFFFF"/>
                <w:sz w:val="18"/>
                <w:szCs w:val="18"/>
              </w:rPr>
              <w:t>2020</w:t>
            </w:r>
          </w:p>
        </w:tc>
        <w:tc>
          <w:tcPr>
            <w:tcW w:w="2386" w:type="dxa"/>
            <w:gridSpan w:val="2"/>
            <w:tcBorders>
              <w:top w:val="single" w:sz="4" w:space="0" w:color="000000"/>
              <w:left w:val="single" w:sz="4" w:space="0" w:color="000000"/>
              <w:bottom w:val="single" w:sz="4" w:space="0" w:color="000000"/>
              <w:right w:val="single" w:sz="4" w:space="0" w:color="000000"/>
            </w:tcBorders>
            <w:shd w:val="clear" w:color="auto" w:fill="9D2235"/>
            <w:vAlign w:val="center"/>
            <w:hideMark/>
          </w:tcPr>
          <w:p w14:paraId="12FB135C" w14:textId="77777777" w:rsidR="003B28A6" w:rsidRDefault="003B28A6">
            <w:pPr>
              <w:spacing w:line="276" w:lineRule="auto"/>
              <w:jc w:val="center"/>
              <w:rPr>
                <w:b/>
                <w:bCs/>
                <w:color w:val="FFFFFF"/>
                <w:sz w:val="18"/>
                <w:szCs w:val="18"/>
              </w:rPr>
            </w:pPr>
            <w:r>
              <w:rPr>
                <w:b/>
                <w:bCs/>
                <w:color w:val="FFFFFF"/>
                <w:sz w:val="18"/>
                <w:szCs w:val="18"/>
              </w:rPr>
              <w:t>IMPORTES</w:t>
            </w:r>
          </w:p>
          <w:p w14:paraId="4522792D" w14:textId="77777777" w:rsidR="003B28A6" w:rsidRDefault="003B28A6">
            <w:pPr>
              <w:spacing w:line="276" w:lineRule="auto"/>
              <w:jc w:val="center"/>
              <w:rPr>
                <w:b/>
                <w:bCs/>
                <w:color w:val="FFFFFF"/>
                <w:sz w:val="18"/>
                <w:szCs w:val="18"/>
              </w:rPr>
            </w:pPr>
            <w:r>
              <w:rPr>
                <w:b/>
                <w:bCs/>
                <w:color w:val="FFFFFF"/>
                <w:sz w:val="18"/>
                <w:szCs w:val="18"/>
              </w:rPr>
              <w:t>AÑO ANTERIOR (2019)</w:t>
            </w:r>
          </w:p>
        </w:tc>
      </w:tr>
      <w:tr w:rsidR="003B28A6" w14:paraId="30FA2F70" w14:textId="77777777" w:rsidTr="003B28A6">
        <w:trPr>
          <w:trHeight w:val="335"/>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DDDDDD"/>
            <w:hideMark/>
          </w:tcPr>
          <w:p w14:paraId="5E4D4368" w14:textId="77777777" w:rsidR="003B28A6" w:rsidRDefault="003B28A6">
            <w:pPr>
              <w:spacing w:line="276" w:lineRule="auto"/>
              <w:jc w:val="both"/>
              <w:rPr>
                <w:sz w:val="18"/>
                <w:szCs w:val="18"/>
              </w:rPr>
            </w:pPr>
            <w:r>
              <w:rPr>
                <w:b/>
                <w:bCs/>
                <w:sz w:val="18"/>
                <w:szCs w:val="18"/>
              </w:rPr>
              <w:t>1.- (+) FONDOS LÍQUIDOS A LA TESORERÍA</w:t>
            </w:r>
            <w:r>
              <w:rPr>
                <w:sz w:val="18"/>
                <w:szCs w:val="18"/>
              </w:rPr>
              <w:t xml:space="preserve">                                </w:t>
            </w:r>
          </w:p>
        </w:tc>
        <w:tc>
          <w:tcPr>
            <w:tcW w:w="1183" w:type="dxa"/>
            <w:tcBorders>
              <w:top w:val="single" w:sz="4" w:space="0" w:color="000000"/>
              <w:left w:val="single" w:sz="4" w:space="0" w:color="000000"/>
              <w:bottom w:val="single" w:sz="4" w:space="0" w:color="000000"/>
              <w:right w:val="single" w:sz="4" w:space="0" w:color="000000"/>
            </w:tcBorders>
            <w:shd w:val="clear" w:color="auto" w:fill="DDDDDD"/>
          </w:tcPr>
          <w:p w14:paraId="551FD8AD" w14:textId="77777777" w:rsidR="003B28A6" w:rsidRDefault="003B28A6">
            <w:pPr>
              <w:spacing w:line="276" w:lineRule="auto"/>
              <w:jc w:val="right"/>
              <w:rPr>
                <w:sz w:val="18"/>
                <w:szCs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DDDDDD"/>
            <w:hideMark/>
          </w:tcPr>
          <w:p w14:paraId="41C85444" w14:textId="77777777" w:rsidR="003B28A6" w:rsidRDefault="003B28A6">
            <w:pPr>
              <w:spacing w:line="276" w:lineRule="auto"/>
              <w:jc w:val="right"/>
              <w:rPr>
                <w:b/>
                <w:bCs/>
                <w:sz w:val="18"/>
                <w:szCs w:val="18"/>
              </w:rPr>
            </w:pPr>
            <w:r>
              <w:rPr>
                <w:b/>
                <w:bCs/>
                <w:sz w:val="18"/>
                <w:szCs w:val="18"/>
              </w:rPr>
              <w:t>1.237.529,58</w:t>
            </w:r>
          </w:p>
        </w:tc>
        <w:tc>
          <w:tcPr>
            <w:tcW w:w="1188" w:type="dxa"/>
            <w:tcBorders>
              <w:top w:val="single" w:sz="4" w:space="0" w:color="000000"/>
              <w:left w:val="single" w:sz="4" w:space="0" w:color="000000"/>
              <w:bottom w:val="single" w:sz="4" w:space="0" w:color="000000"/>
              <w:right w:val="single" w:sz="4" w:space="0" w:color="000000"/>
            </w:tcBorders>
            <w:shd w:val="clear" w:color="auto" w:fill="DDDDDD"/>
          </w:tcPr>
          <w:p w14:paraId="3D55925D" w14:textId="77777777" w:rsidR="003B28A6" w:rsidRDefault="003B28A6">
            <w:pPr>
              <w:spacing w:line="276" w:lineRule="auto"/>
              <w:jc w:val="right"/>
              <w:rPr>
                <w:sz w:val="18"/>
                <w:szCs w:val="18"/>
              </w:rPr>
            </w:pPr>
          </w:p>
        </w:tc>
        <w:tc>
          <w:tcPr>
            <w:tcW w:w="1198" w:type="dxa"/>
            <w:tcBorders>
              <w:top w:val="single" w:sz="4" w:space="0" w:color="000000"/>
              <w:left w:val="single" w:sz="4" w:space="0" w:color="000000"/>
              <w:bottom w:val="single" w:sz="4" w:space="0" w:color="000000"/>
              <w:right w:val="single" w:sz="4" w:space="0" w:color="000000"/>
            </w:tcBorders>
            <w:shd w:val="clear" w:color="auto" w:fill="DDDDDD"/>
            <w:hideMark/>
          </w:tcPr>
          <w:p w14:paraId="16DCD593" w14:textId="77777777" w:rsidR="003B28A6" w:rsidRDefault="003B28A6">
            <w:pPr>
              <w:spacing w:line="276" w:lineRule="auto"/>
              <w:jc w:val="right"/>
              <w:rPr>
                <w:b/>
                <w:bCs/>
                <w:sz w:val="18"/>
                <w:szCs w:val="18"/>
              </w:rPr>
            </w:pPr>
            <w:r>
              <w:rPr>
                <w:b/>
                <w:bCs/>
                <w:sz w:val="18"/>
                <w:szCs w:val="18"/>
              </w:rPr>
              <w:t>1.141.328,42</w:t>
            </w:r>
          </w:p>
        </w:tc>
      </w:tr>
      <w:tr w:rsidR="003B28A6" w14:paraId="6EF37987" w14:textId="77777777" w:rsidTr="003B28A6">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DDDDDD"/>
            <w:hideMark/>
          </w:tcPr>
          <w:p w14:paraId="08FA96A9" w14:textId="77777777" w:rsidR="003B28A6" w:rsidRDefault="003B28A6">
            <w:pPr>
              <w:spacing w:line="276" w:lineRule="auto"/>
              <w:jc w:val="both"/>
              <w:rPr>
                <w:sz w:val="18"/>
                <w:szCs w:val="18"/>
              </w:rPr>
            </w:pPr>
            <w:r>
              <w:rPr>
                <w:b/>
                <w:bCs/>
                <w:sz w:val="18"/>
                <w:szCs w:val="18"/>
              </w:rPr>
              <w:t xml:space="preserve">2.- (+) DEUDORES PENDIENTES DE COBRO  </w:t>
            </w:r>
            <w:r>
              <w:rPr>
                <w:sz w:val="18"/>
                <w:szCs w:val="18"/>
              </w:rPr>
              <w:t xml:space="preserve">                                </w:t>
            </w:r>
          </w:p>
        </w:tc>
        <w:tc>
          <w:tcPr>
            <w:tcW w:w="1183" w:type="dxa"/>
            <w:tcBorders>
              <w:top w:val="single" w:sz="4" w:space="0" w:color="000000"/>
              <w:left w:val="single" w:sz="4" w:space="0" w:color="000000"/>
              <w:bottom w:val="single" w:sz="4" w:space="0" w:color="000000"/>
              <w:right w:val="single" w:sz="4" w:space="0" w:color="000000"/>
            </w:tcBorders>
            <w:shd w:val="clear" w:color="auto" w:fill="DDDDDD"/>
          </w:tcPr>
          <w:p w14:paraId="10728300" w14:textId="77777777" w:rsidR="003B28A6" w:rsidRDefault="003B28A6">
            <w:pPr>
              <w:spacing w:line="276" w:lineRule="auto"/>
              <w:jc w:val="right"/>
              <w:rPr>
                <w:sz w:val="18"/>
                <w:szCs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DDDDDD"/>
            <w:hideMark/>
          </w:tcPr>
          <w:p w14:paraId="141853EB" w14:textId="77777777" w:rsidR="003B28A6" w:rsidRDefault="003B28A6">
            <w:pPr>
              <w:spacing w:line="276" w:lineRule="auto"/>
              <w:jc w:val="right"/>
              <w:rPr>
                <w:b/>
                <w:bCs/>
                <w:sz w:val="18"/>
                <w:szCs w:val="18"/>
              </w:rPr>
            </w:pPr>
            <w:r>
              <w:rPr>
                <w:b/>
                <w:bCs/>
                <w:sz w:val="18"/>
                <w:szCs w:val="18"/>
              </w:rPr>
              <w:t>2.818.288,68</w:t>
            </w:r>
          </w:p>
        </w:tc>
        <w:tc>
          <w:tcPr>
            <w:tcW w:w="1188" w:type="dxa"/>
            <w:tcBorders>
              <w:top w:val="single" w:sz="4" w:space="0" w:color="000000"/>
              <w:left w:val="single" w:sz="4" w:space="0" w:color="000000"/>
              <w:bottom w:val="single" w:sz="4" w:space="0" w:color="000000"/>
              <w:right w:val="single" w:sz="4" w:space="0" w:color="000000"/>
            </w:tcBorders>
            <w:shd w:val="clear" w:color="auto" w:fill="DDDDDD"/>
          </w:tcPr>
          <w:p w14:paraId="04582BB3" w14:textId="77777777" w:rsidR="003B28A6" w:rsidRDefault="003B28A6">
            <w:pPr>
              <w:spacing w:line="276" w:lineRule="auto"/>
              <w:jc w:val="right"/>
              <w:rPr>
                <w:sz w:val="18"/>
                <w:szCs w:val="18"/>
              </w:rPr>
            </w:pPr>
          </w:p>
        </w:tc>
        <w:tc>
          <w:tcPr>
            <w:tcW w:w="1198" w:type="dxa"/>
            <w:tcBorders>
              <w:top w:val="single" w:sz="4" w:space="0" w:color="000000"/>
              <w:left w:val="single" w:sz="4" w:space="0" w:color="000000"/>
              <w:bottom w:val="single" w:sz="4" w:space="0" w:color="000000"/>
              <w:right w:val="single" w:sz="4" w:space="0" w:color="000000"/>
            </w:tcBorders>
            <w:shd w:val="clear" w:color="auto" w:fill="DDDDDD"/>
            <w:hideMark/>
          </w:tcPr>
          <w:p w14:paraId="459136E3" w14:textId="77777777" w:rsidR="003B28A6" w:rsidRDefault="003B28A6">
            <w:pPr>
              <w:spacing w:line="276" w:lineRule="auto"/>
              <w:jc w:val="right"/>
              <w:rPr>
                <w:b/>
                <w:bCs/>
                <w:sz w:val="18"/>
                <w:szCs w:val="18"/>
              </w:rPr>
            </w:pPr>
            <w:r>
              <w:rPr>
                <w:b/>
                <w:bCs/>
                <w:sz w:val="18"/>
                <w:szCs w:val="18"/>
              </w:rPr>
              <w:t>1.187.528,36</w:t>
            </w:r>
          </w:p>
        </w:tc>
      </w:tr>
      <w:tr w:rsidR="003B28A6" w14:paraId="4FC09D84" w14:textId="77777777" w:rsidTr="003B28A6">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FFFFFF"/>
            <w:hideMark/>
          </w:tcPr>
          <w:p w14:paraId="0D8A32CC" w14:textId="77777777" w:rsidR="003B28A6" w:rsidRDefault="003B28A6">
            <w:pPr>
              <w:spacing w:line="276" w:lineRule="auto"/>
              <w:jc w:val="both"/>
              <w:rPr>
                <w:sz w:val="18"/>
                <w:szCs w:val="18"/>
              </w:rPr>
            </w:pPr>
            <w:r>
              <w:rPr>
                <w:sz w:val="18"/>
                <w:szCs w:val="18"/>
              </w:rPr>
              <w:t xml:space="preserve">      (+) De Presupuesto de ingresos. Corrientes            </w:t>
            </w:r>
          </w:p>
        </w:tc>
        <w:tc>
          <w:tcPr>
            <w:tcW w:w="1183" w:type="dxa"/>
            <w:tcBorders>
              <w:top w:val="single" w:sz="4" w:space="0" w:color="000000"/>
              <w:left w:val="single" w:sz="4" w:space="0" w:color="000000"/>
              <w:bottom w:val="single" w:sz="4" w:space="0" w:color="000000"/>
              <w:right w:val="single" w:sz="4" w:space="0" w:color="000000"/>
            </w:tcBorders>
            <w:shd w:val="clear" w:color="auto" w:fill="FFFFFF"/>
            <w:hideMark/>
          </w:tcPr>
          <w:p w14:paraId="09CB6E3D" w14:textId="77777777" w:rsidR="003B28A6" w:rsidRDefault="003B28A6">
            <w:pPr>
              <w:spacing w:line="276" w:lineRule="auto"/>
              <w:jc w:val="right"/>
              <w:rPr>
                <w:sz w:val="18"/>
                <w:szCs w:val="18"/>
              </w:rPr>
            </w:pPr>
            <w:r>
              <w:rPr>
                <w:sz w:val="18"/>
                <w:szCs w:val="18"/>
              </w:rPr>
              <w:t>2.818.288,68</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C50E17E" w14:textId="77777777" w:rsidR="003B28A6" w:rsidRDefault="003B28A6">
            <w:pPr>
              <w:spacing w:line="276" w:lineRule="auto"/>
              <w:jc w:val="right"/>
              <w:rPr>
                <w:sz w:val="18"/>
                <w:szCs w:val="18"/>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5E7759E" w14:textId="77777777" w:rsidR="003B28A6" w:rsidRDefault="003B28A6">
            <w:pPr>
              <w:spacing w:line="276" w:lineRule="auto"/>
              <w:jc w:val="right"/>
              <w:rPr>
                <w:sz w:val="18"/>
                <w:szCs w:val="18"/>
              </w:rPr>
            </w:pPr>
            <w:r>
              <w:rPr>
                <w:sz w:val="18"/>
                <w:szCs w:val="18"/>
              </w:rPr>
              <w:t>1.187.528,36</w:t>
            </w:r>
          </w:p>
        </w:tc>
        <w:tc>
          <w:tcPr>
            <w:tcW w:w="119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B97F5E1" w14:textId="77777777" w:rsidR="003B28A6" w:rsidRDefault="003B28A6">
            <w:pPr>
              <w:spacing w:line="276" w:lineRule="auto"/>
              <w:jc w:val="right"/>
              <w:rPr>
                <w:sz w:val="18"/>
                <w:szCs w:val="18"/>
              </w:rPr>
            </w:pPr>
          </w:p>
        </w:tc>
      </w:tr>
      <w:tr w:rsidR="003B28A6" w14:paraId="35760F32" w14:textId="77777777" w:rsidTr="003B28A6">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EEEEEE"/>
            <w:hideMark/>
          </w:tcPr>
          <w:p w14:paraId="2B67B68F" w14:textId="77777777" w:rsidR="003B28A6" w:rsidRDefault="003B28A6">
            <w:pPr>
              <w:spacing w:line="276" w:lineRule="auto"/>
              <w:jc w:val="both"/>
              <w:rPr>
                <w:sz w:val="18"/>
                <w:szCs w:val="18"/>
              </w:rPr>
            </w:pPr>
            <w:r>
              <w:rPr>
                <w:sz w:val="18"/>
                <w:szCs w:val="18"/>
              </w:rPr>
              <w:t xml:space="preserve">      (+) De Presupuesto de ingresos. Cerrados          </w:t>
            </w:r>
          </w:p>
        </w:tc>
        <w:tc>
          <w:tcPr>
            <w:tcW w:w="1183" w:type="dxa"/>
            <w:tcBorders>
              <w:top w:val="single" w:sz="4" w:space="0" w:color="000000"/>
              <w:left w:val="single" w:sz="4" w:space="0" w:color="000000"/>
              <w:bottom w:val="single" w:sz="4" w:space="0" w:color="000000"/>
              <w:right w:val="single" w:sz="4" w:space="0" w:color="000000"/>
            </w:tcBorders>
            <w:shd w:val="clear" w:color="auto" w:fill="EEEEEE"/>
            <w:hideMark/>
          </w:tcPr>
          <w:p w14:paraId="44D34B1D" w14:textId="77777777" w:rsidR="003B28A6" w:rsidRDefault="003B28A6">
            <w:pPr>
              <w:spacing w:line="276" w:lineRule="auto"/>
              <w:jc w:val="right"/>
              <w:rPr>
                <w:sz w:val="18"/>
                <w:szCs w:val="18"/>
              </w:rPr>
            </w:pPr>
            <w:r>
              <w:rPr>
                <w:sz w:val="18"/>
                <w:szCs w:val="18"/>
              </w:rPr>
              <w:t>0,00</w:t>
            </w:r>
          </w:p>
        </w:tc>
        <w:tc>
          <w:tcPr>
            <w:tcW w:w="1132" w:type="dxa"/>
            <w:tcBorders>
              <w:top w:val="single" w:sz="4" w:space="0" w:color="000000"/>
              <w:left w:val="single" w:sz="4" w:space="0" w:color="000000"/>
              <w:bottom w:val="single" w:sz="4" w:space="0" w:color="000000"/>
              <w:right w:val="single" w:sz="4" w:space="0" w:color="000000"/>
            </w:tcBorders>
            <w:shd w:val="clear" w:color="auto" w:fill="EEEEEE"/>
            <w:vAlign w:val="bottom"/>
          </w:tcPr>
          <w:p w14:paraId="78F57617" w14:textId="77777777" w:rsidR="003B28A6" w:rsidRDefault="003B28A6">
            <w:pPr>
              <w:spacing w:line="276" w:lineRule="auto"/>
              <w:jc w:val="right"/>
              <w:rPr>
                <w:sz w:val="18"/>
                <w:szCs w:val="18"/>
              </w:rPr>
            </w:pPr>
          </w:p>
        </w:tc>
        <w:tc>
          <w:tcPr>
            <w:tcW w:w="1188" w:type="dxa"/>
            <w:tcBorders>
              <w:top w:val="single" w:sz="4" w:space="0" w:color="000000"/>
              <w:left w:val="single" w:sz="4" w:space="0" w:color="000000"/>
              <w:bottom w:val="single" w:sz="4" w:space="0" w:color="000000"/>
              <w:right w:val="single" w:sz="4" w:space="0" w:color="000000"/>
            </w:tcBorders>
            <w:shd w:val="clear" w:color="auto" w:fill="EEEEEE"/>
            <w:vAlign w:val="bottom"/>
            <w:hideMark/>
          </w:tcPr>
          <w:p w14:paraId="7BC05965" w14:textId="77777777" w:rsidR="003B28A6" w:rsidRDefault="003B28A6">
            <w:pPr>
              <w:spacing w:line="276" w:lineRule="auto"/>
              <w:jc w:val="right"/>
              <w:rPr>
                <w:sz w:val="18"/>
                <w:szCs w:val="18"/>
              </w:rPr>
            </w:pPr>
            <w:r>
              <w:rPr>
                <w:sz w:val="18"/>
                <w:szCs w:val="18"/>
              </w:rPr>
              <w:t>0,00</w:t>
            </w:r>
          </w:p>
        </w:tc>
        <w:tc>
          <w:tcPr>
            <w:tcW w:w="1198" w:type="dxa"/>
            <w:tcBorders>
              <w:top w:val="single" w:sz="4" w:space="0" w:color="000000"/>
              <w:left w:val="single" w:sz="4" w:space="0" w:color="000000"/>
              <w:bottom w:val="single" w:sz="4" w:space="0" w:color="000000"/>
              <w:right w:val="single" w:sz="4" w:space="0" w:color="000000"/>
            </w:tcBorders>
            <w:shd w:val="clear" w:color="auto" w:fill="EEEEEE"/>
            <w:vAlign w:val="bottom"/>
          </w:tcPr>
          <w:p w14:paraId="1D328070" w14:textId="77777777" w:rsidR="003B28A6" w:rsidRDefault="003B28A6">
            <w:pPr>
              <w:spacing w:line="276" w:lineRule="auto"/>
              <w:jc w:val="right"/>
              <w:rPr>
                <w:sz w:val="18"/>
                <w:szCs w:val="18"/>
              </w:rPr>
            </w:pPr>
          </w:p>
        </w:tc>
      </w:tr>
      <w:tr w:rsidR="003B28A6" w14:paraId="59A36F94" w14:textId="77777777" w:rsidTr="003B28A6">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FFFFFF"/>
            <w:hideMark/>
          </w:tcPr>
          <w:p w14:paraId="0D31C816" w14:textId="77777777" w:rsidR="003B28A6" w:rsidRDefault="003B28A6">
            <w:pPr>
              <w:spacing w:line="276" w:lineRule="auto"/>
              <w:jc w:val="both"/>
              <w:rPr>
                <w:sz w:val="18"/>
                <w:szCs w:val="18"/>
              </w:rPr>
            </w:pPr>
            <w:r>
              <w:rPr>
                <w:sz w:val="18"/>
                <w:szCs w:val="18"/>
              </w:rPr>
              <w:t xml:space="preserve">      (+) De Operaciones no presupuestarias               </w:t>
            </w:r>
          </w:p>
        </w:tc>
        <w:tc>
          <w:tcPr>
            <w:tcW w:w="1183" w:type="dxa"/>
            <w:tcBorders>
              <w:top w:val="single" w:sz="4" w:space="0" w:color="000000"/>
              <w:left w:val="single" w:sz="4" w:space="0" w:color="000000"/>
              <w:bottom w:val="single" w:sz="4" w:space="0" w:color="000000"/>
              <w:right w:val="single" w:sz="4" w:space="0" w:color="000000"/>
            </w:tcBorders>
            <w:shd w:val="clear" w:color="auto" w:fill="FFFFFF"/>
            <w:hideMark/>
          </w:tcPr>
          <w:p w14:paraId="49D59C14" w14:textId="77777777" w:rsidR="003B28A6" w:rsidRDefault="003B28A6">
            <w:pPr>
              <w:spacing w:line="276" w:lineRule="auto"/>
              <w:jc w:val="right"/>
              <w:rPr>
                <w:sz w:val="18"/>
                <w:szCs w:val="18"/>
              </w:rPr>
            </w:pPr>
            <w:r>
              <w:rPr>
                <w:sz w:val="18"/>
                <w:szCs w:val="18"/>
              </w:rPr>
              <w:t>0,00</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2D18BED" w14:textId="77777777" w:rsidR="003B28A6" w:rsidRDefault="003B28A6">
            <w:pPr>
              <w:spacing w:line="276" w:lineRule="auto"/>
              <w:jc w:val="right"/>
              <w:rPr>
                <w:sz w:val="18"/>
                <w:szCs w:val="18"/>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BF1C2B6" w14:textId="77777777" w:rsidR="003B28A6" w:rsidRDefault="003B28A6">
            <w:pPr>
              <w:spacing w:line="276" w:lineRule="auto"/>
              <w:jc w:val="right"/>
              <w:rPr>
                <w:sz w:val="18"/>
                <w:szCs w:val="18"/>
              </w:rPr>
            </w:pPr>
            <w:r>
              <w:rPr>
                <w:sz w:val="18"/>
                <w:szCs w:val="18"/>
              </w:rPr>
              <w:t>0,00</w:t>
            </w:r>
          </w:p>
        </w:tc>
        <w:tc>
          <w:tcPr>
            <w:tcW w:w="119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4C7A21F" w14:textId="77777777" w:rsidR="003B28A6" w:rsidRDefault="003B28A6">
            <w:pPr>
              <w:spacing w:line="276" w:lineRule="auto"/>
              <w:jc w:val="right"/>
              <w:rPr>
                <w:sz w:val="18"/>
                <w:szCs w:val="18"/>
              </w:rPr>
            </w:pPr>
          </w:p>
        </w:tc>
      </w:tr>
      <w:tr w:rsidR="003B28A6" w14:paraId="674B5A66" w14:textId="77777777" w:rsidTr="003B28A6">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DDDDDD"/>
            <w:hideMark/>
          </w:tcPr>
          <w:p w14:paraId="6DFC6551" w14:textId="77777777" w:rsidR="003B28A6" w:rsidRDefault="003B28A6">
            <w:pPr>
              <w:spacing w:line="276" w:lineRule="auto"/>
              <w:jc w:val="both"/>
              <w:rPr>
                <w:b/>
                <w:bCs/>
                <w:sz w:val="18"/>
                <w:szCs w:val="18"/>
              </w:rPr>
            </w:pPr>
            <w:r>
              <w:rPr>
                <w:b/>
                <w:bCs/>
                <w:sz w:val="18"/>
                <w:szCs w:val="18"/>
              </w:rPr>
              <w:t xml:space="preserve">3.- (-) OBLIGACIONES PENDIENTES DE PAGO                                 </w:t>
            </w:r>
          </w:p>
        </w:tc>
        <w:tc>
          <w:tcPr>
            <w:tcW w:w="1183" w:type="dxa"/>
            <w:tcBorders>
              <w:top w:val="single" w:sz="4" w:space="0" w:color="000000"/>
              <w:left w:val="single" w:sz="4" w:space="0" w:color="000000"/>
              <w:bottom w:val="single" w:sz="4" w:space="0" w:color="000000"/>
              <w:right w:val="single" w:sz="4" w:space="0" w:color="000000"/>
            </w:tcBorders>
            <w:shd w:val="clear" w:color="auto" w:fill="DDDDDD"/>
          </w:tcPr>
          <w:p w14:paraId="06C7CB7E" w14:textId="77777777" w:rsidR="003B28A6" w:rsidRDefault="003B28A6">
            <w:pPr>
              <w:spacing w:line="276" w:lineRule="auto"/>
              <w:jc w:val="right"/>
              <w:rPr>
                <w:sz w:val="18"/>
                <w:szCs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DDDDDD"/>
            <w:hideMark/>
          </w:tcPr>
          <w:p w14:paraId="39D64603" w14:textId="77777777" w:rsidR="003B28A6" w:rsidRDefault="003B28A6">
            <w:pPr>
              <w:spacing w:line="276" w:lineRule="auto"/>
              <w:jc w:val="right"/>
              <w:rPr>
                <w:b/>
                <w:bCs/>
                <w:sz w:val="18"/>
                <w:szCs w:val="18"/>
              </w:rPr>
            </w:pPr>
            <w:bookmarkStart w:id="359" w:name="_Hlk65501111"/>
            <w:r>
              <w:rPr>
                <w:b/>
                <w:bCs/>
                <w:sz w:val="18"/>
                <w:szCs w:val="18"/>
              </w:rPr>
              <w:t>267.465,00</w:t>
            </w:r>
            <w:bookmarkEnd w:id="359"/>
          </w:p>
        </w:tc>
        <w:tc>
          <w:tcPr>
            <w:tcW w:w="1188" w:type="dxa"/>
            <w:tcBorders>
              <w:top w:val="single" w:sz="4" w:space="0" w:color="000000"/>
              <w:left w:val="single" w:sz="4" w:space="0" w:color="000000"/>
              <w:bottom w:val="single" w:sz="4" w:space="0" w:color="000000"/>
              <w:right w:val="single" w:sz="4" w:space="0" w:color="000000"/>
            </w:tcBorders>
            <w:shd w:val="clear" w:color="auto" w:fill="DDDDDD"/>
          </w:tcPr>
          <w:p w14:paraId="6C48C57E" w14:textId="77777777" w:rsidR="003B28A6" w:rsidRDefault="003B28A6">
            <w:pPr>
              <w:spacing w:line="276" w:lineRule="auto"/>
              <w:jc w:val="right"/>
              <w:rPr>
                <w:sz w:val="18"/>
                <w:szCs w:val="18"/>
              </w:rPr>
            </w:pPr>
          </w:p>
        </w:tc>
        <w:tc>
          <w:tcPr>
            <w:tcW w:w="1198" w:type="dxa"/>
            <w:tcBorders>
              <w:top w:val="single" w:sz="4" w:space="0" w:color="000000"/>
              <w:left w:val="single" w:sz="4" w:space="0" w:color="000000"/>
              <w:bottom w:val="single" w:sz="4" w:space="0" w:color="000000"/>
              <w:right w:val="single" w:sz="4" w:space="0" w:color="000000"/>
            </w:tcBorders>
            <w:shd w:val="clear" w:color="auto" w:fill="DDDDDD"/>
            <w:hideMark/>
          </w:tcPr>
          <w:p w14:paraId="3ECD5BE6" w14:textId="77777777" w:rsidR="003B28A6" w:rsidRDefault="003B28A6">
            <w:pPr>
              <w:spacing w:line="276" w:lineRule="auto"/>
              <w:jc w:val="right"/>
              <w:rPr>
                <w:b/>
                <w:bCs/>
                <w:sz w:val="18"/>
                <w:szCs w:val="18"/>
              </w:rPr>
            </w:pPr>
            <w:r>
              <w:rPr>
                <w:b/>
                <w:bCs/>
                <w:sz w:val="18"/>
                <w:szCs w:val="18"/>
              </w:rPr>
              <w:t>274.361,57</w:t>
            </w:r>
          </w:p>
        </w:tc>
      </w:tr>
      <w:tr w:rsidR="003B28A6" w14:paraId="1A7E75E8" w14:textId="77777777" w:rsidTr="003B28A6">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FFFFFF"/>
            <w:hideMark/>
          </w:tcPr>
          <w:p w14:paraId="50D7DEB5" w14:textId="77777777" w:rsidR="003B28A6" w:rsidRDefault="003B28A6">
            <w:pPr>
              <w:spacing w:line="276" w:lineRule="auto"/>
              <w:jc w:val="both"/>
              <w:rPr>
                <w:sz w:val="18"/>
                <w:szCs w:val="18"/>
              </w:rPr>
            </w:pPr>
            <w:r>
              <w:rPr>
                <w:sz w:val="18"/>
                <w:szCs w:val="18"/>
              </w:rPr>
              <w:t xml:space="preserve">      De Presupuestos de gastos. Corrientes             </w:t>
            </w:r>
          </w:p>
        </w:tc>
        <w:tc>
          <w:tcPr>
            <w:tcW w:w="1183" w:type="dxa"/>
            <w:tcBorders>
              <w:top w:val="single" w:sz="4" w:space="0" w:color="000000"/>
              <w:left w:val="single" w:sz="4" w:space="0" w:color="000000"/>
              <w:bottom w:val="single" w:sz="4" w:space="0" w:color="000000"/>
              <w:right w:val="single" w:sz="4" w:space="0" w:color="000000"/>
            </w:tcBorders>
            <w:shd w:val="clear" w:color="auto" w:fill="FFFFFF"/>
            <w:hideMark/>
          </w:tcPr>
          <w:p w14:paraId="0487B5ED" w14:textId="77777777" w:rsidR="003B28A6" w:rsidRDefault="003B28A6">
            <w:pPr>
              <w:spacing w:line="276" w:lineRule="auto"/>
              <w:jc w:val="right"/>
              <w:rPr>
                <w:sz w:val="18"/>
                <w:szCs w:val="18"/>
              </w:rPr>
            </w:pPr>
            <w:r>
              <w:rPr>
                <w:sz w:val="18"/>
                <w:szCs w:val="18"/>
              </w:rPr>
              <w:t>59.319,35</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14:paraId="655AF559" w14:textId="77777777" w:rsidR="003B28A6" w:rsidRDefault="003B28A6">
            <w:pPr>
              <w:spacing w:line="276" w:lineRule="auto"/>
              <w:jc w:val="right"/>
              <w:rPr>
                <w:sz w:val="18"/>
                <w:szCs w:val="18"/>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hideMark/>
          </w:tcPr>
          <w:p w14:paraId="6D8356A2" w14:textId="77777777" w:rsidR="003B28A6" w:rsidRDefault="003B28A6">
            <w:pPr>
              <w:spacing w:line="276" w:lineRule="auto"/>
              <w:jc w:val="right"/>
              <w:rPr>
                <w:sz w:val="18"/>
                <w:szCs w:val="18"/>
              </w:rPr>
            </w:pPr>
            <w:r>
              <w:rPr>
                <w:sz w:val="18"/>
                <w:szCs w:val="18"/>
              </w:rPr>
              <w:t>95.330,38</w:t>
            </w: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629F75FE" w14:textId="77777777" w:rsidR="003B28A6" w:rsidRDefault="003B28A6">
            <w:pPr>
              <w:spacing w:line="276" w:lineRule="auto"/>
              <w:jc w:val="right"/>
              <w:rPr>
                <w:sz w:val="18"/>
                <w:szCs w:val="18"/>
              </w:rPr>
            </w:pPr>
          </w:p>
        </w:tc>
      </w:tr>
      <w:tr w:rsidR="003B28A6" w14:paraId="4D4BD77C" w14:textId="77777777" w:rsidTr="003B28A6">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EEEEEE"/>
            <w:hideMark/>
          </w:tcPr>
          <w:p w14:paraId="007DF697" w14:textId="77777777" w:rsidR="003B28A6" w:rsidRDefault="003B28A6">
            <w:pPr>
              <w:spacing w:line="276" w:lineRule="auto"/>
              <w:jc w:val="both"/>
              <w:rPr>
                <w:sz w:val="18"/>
                <w:szCs w:val="18"/>
              </w:rPr>
            </w:pPr>
            <w:r>
              <w:rPr>
                <w:sz w:val="18"/>
                <w:szCs w:val="18"/>
              </w:rPr>
              <w:t xml:space="preserve">      De Presupuestos de gastos. Cerrados                      </w:t>
            </w:r>
          </w:p>
        </w:tc>
        <w:tc>
          <w:tcPr>
            <w:tcW w:w="1183" w:type="dxa"/>
            <w:tcBorders>
              <w:top w:val="single" w:sz="4" w:space="0" w:color="000000"/>
              <w:left w:val="single" w:sz="4" w:space="0" w:color="000000"/>
              <w:bottom w:val="single" w:sz="4" w:space="0" w:color="000000"/>
              <w:right w:val="single" w:sz="4" w:space="0" w:color="000000"/>
            </w:tcBorders>
            <w:shd w:val="clear" w:color="auto" w:fill="EEEEEE"/>
          </w:tcPr>
          <w:p w14:paraId="7B699FE5" w14:textId="77777777" w:rsidR="003B28A6" w:rsidRDefault="003B28A6">
            <w:pPr>
              <w:spacing w:line="276" w:lineRule="auto"/>
              <w:jc w:val="right"/>
              <w:rPr>
                <w:sz w:val="18"/>
                <w:szCs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EEEEEE"/>
          </w:tcPr>
          <w:p w14:paraId="1E28185E" w14:textId="77777777" w:rsidR="003B28A6" w:rsidRDefault="003B28A6">
            <w:pPr>
              <w:spacing w:line="276" w:lineRule="auto"/>
              <w:jc w:val="right"/>
              <w:rPr>
                <w:sz w:val="18"/>
                <w:szCs w:val="18"/>
              </w:rPr>
            </w:pPr>
          </w:p>
        </w:tc>
        <w:tc>
          <w:tcPr>
            <w:tcW w:w="1188" w:type="dxa"/>
            <w:tcBorders>
              <w:top w:val="single" w:sz="4" w:space="0" w:color="000000"/>
              <w:left w:val="single" w:sz="4" w:space="0" w:color="000000"/>
              <w:bottom w:val="single" w:sz="4" w:space="0" w:color="000000"/>
              <w:right w:val="single" w:sz="4" w:space="0" w:color="000000"/>
            </w:tcBorders>
            <w:shd w:val="clear" w:color="auto" w:fill="EEEEEE"/>
          </w:tcPr>
          <w:p w14:paraId="033B9D0D" w14:textId="77777777" w:rsidR="003B28A6" w:rsidRDefault="003B28A6">
            <w:pPr>
              <w:spacing w:line="276" w:lineRule="auto"/>
              <w:jc w:val="right"/>
              <w:rPr>
                <w:sz w:val="18"/>
                <w:szCs w:val="18"/>
              </w:rPr>
            </w:pPr>
          </w:p>
        </w:tc>
        <w:tc>
          <w:tcPr>
            <w:tcW w:w="1198" w:type="dxa"/>
            <w:tcBorders>
              <w:top w:val="single" w:sz="4" w:space="0" w:color="000000"/>
              <w:left w:val="single" w:sz="4" w:space="0" w:color="000000"/>
              <w:bottom w:val="single" w:sz="4" w:space="0" w:color="000000"/>
              <w:right w:val="single" w:sz="4" w:space="0" w:color="000000"/>
            </w:tcBorders>
            <w:shd w:val="clear" w:color="auto" w:fill="EEEEEE"/>
          </w:tcPr>
          <w:p w14:paraId="2104B977" w14:textId="77777777" w:rsidR="003B28A6" w:rsidRDefault="003B28A6">
            <w:pPr>
              <w:spacing w:line="276" w:lineRule="auto"/>
              <w:jc w:val="right"/>
              <w:rPr>
                <w:sz w:val="18"/>
                <w:szCs w:val="18"/>
              </w:rPr>
            </w:pPr>
          </w:p>
        </w:tc>
      </w:tr>
      <w:tr w:rsidR="003B28A6" w14:paraId="43E91055" w14:textId="77777777" w:rsidTr="003B28A6">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FFFFFF"/>
            <w:hideMark/>
          </w:tcPr>
          <w:p w14:paraId="719684F0" w14:textId="77777777" w:rsidR="003B28A6" w:rsidRDefault="003B28A6">
            <w:pPr>
              <w:spacing w:line="276" w:lineRule="auto"/>
              <w:jc w:val="both"/>
              <w:rPr>
                <w:sz w:val="18"/>
                <w:szCs w:val="18"/>
              </w:rPr>
            </w:pPr>
            <w:r>
              <w:rPr>
                <w:sz w:val="18"/>
                <w:szCs w:val="18"/>
              </w:rPr>
              <w:t xml:space="preserve">      De Operaciones no presupuestarias                </w:t>
            </w:r>
          </w:p>
        </w:tc>
        <w:tc>
          <w:tcPr>
            <w:tcW w:w="1183" w:type="dxa"/>
            <w:tcBorders>
              <w:top w:val="single" w:sz="4" w:space="0" w:color="000000"/>
              <w:left w:val="single" w:sz="4" w:space="0" w:color="000000"/>
              <w:bottom w:val="single" w:sz="4" w:space="0" w:color="000000"/>
              <w:right w:val="single" w:sz="4" w:space="0" w:color="000000"/>
            </w:tcBorders>
            <w:shd w:val="clear" w:color="auto" w:fill="FFFFFF"/>
            <w:hideMark/>
          </w:tcPr>
          <w:p w14:paraId="3676E3AC" w14:textId="77777777" w:rsidR="003B28A6" w:rsidRDefault="003B28A6">
            <w:pPr>
              <w:spacing w:line="276" w:lineRule="auto"/>
              <w:jc w:val="right"/>
              <w:rPr>
                <w:sz w:val="18"/>
                <w:szCs w:val="18"/>
              </w:rPr>
            </w:pPr>
            <w:bookmarkStart w:id="360" w:name="_Hlk65501173"/>
            <w:r>
              <w:rPr>
                <w:sz w:val="18"/>
                <w:szCs w:val="18"/>
              </w:rPr>
              <w:t>208.145,65</w:t>
            </w:r>
            <w:bookmarkEnd w:id="360"/>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14:paraId="0A091A53" w14:textId="77777777" w:rsidR="003B28A6" w:rsidRDefault="003B28A6">
            <w:pPr>
              <w:spacing w:line="276" w:lineRule="auto"/>
              <w:jc w:val="right"/>
              <w:rPr>
                <w:sz w:val="18"/>
                <w:szCs w:val="18"/>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hideMark/>
          </w:tcPr>
          <w:p w14:paraId="1A4397A7" w14:textId="77777777" w:rsidR="003B28A6" w:rsidRDefault="003B28A6">
            <w:pPr>
              <w:spacing w:line="276" w:lineRule="auto"/>
              <w:jc w:val="right"/>
              <w:rPr>
                <w:sz w:val="18"/>
                <w:szCs w:val="18"/>
              </w:rPr>
            </w:pPr>
            <w:r>
              <w:rPr>
                <w:sz w:val="18"/>
                <w:szCs w:val="18"/>
              </w:rPr>
              <w:t>179.031,19</w:t>
            </w: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2E1DAFAB" w14:textId="77777777" w:rsidR="003B28A6" w:rsidRDefault="003B28A6">
            <w:pPr>
              <w:spacing w:line="276" w:lineRule="auto"/>
              <w:jc w:val="right"/>
              <w:rPr>
                <w:sz w:val="18"/>
                <w:szCs w:val="18"/>
              </w:rPr>
            </w:pPr>
          </w:p>
        </w:tc>
      </w:tr>
      <w:tr w:rsidR="003B28A6" w14:paraId="0E90F339" w14:textId="77777777" w:rsidTr="003B28A6">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DDDDDD"/>
            <w:hideMark/>
          </w:tcPr>
          <w:p w14:paraId="5F246538" w14:textId="77777777" w:rsidR="003B28A6" w:rsidRDefault="003B28A6">
            <w:pPr>
              <w:spacing w:line="276" w:lineRule="auto"/>
              <w:jc w:val="both"/>
              <w:rPr>
                <w:sz w:val="18"/>
                <w:szCs w:val="18"/>
              </w:rPr>
            </w:pPr>
            <w:r>
              <w:rPr>
                <w:b/>
                <w:bCs/>
                <w:sz w:val="18"/>
                <w:szCs w:val="18"/>
              </w:rPr>
              <w:t xml:space="preserve">4.- PARTIDAS PENDIENTES DE APLICACIÓN </w:t>
            </w:r>
            <w:r>
              <w:rPr>
                <w:sz w:val="18"/>
                <w:szCs w:val="18"/>
              </w:rPr>
              <w:t xml:space="preserve">                                </w:t>
            </w:r>
          </w:p>
        </w:tc>
        <w:tc>
          <w:tcPr>
            <w:tcW w:w="1183" w:type="dxa"/>
            <w:tcBorders>
              <w:top w:val="single" w:sz="4" w:space="0" w:color="000000"/>
              <w:left w:val="single" w:sz="4" w:space="0" w:color="000000"/>
              <w:bottom w:val="single" w:sz="4" w:space="0" w:color="000000"/>
              <w:right w:val="single" w:sz="4" w:space="0" w:color="000000"/>
            </w:tcBorders>
            <w:shd w:val="clear" w:color="auto" w:fill="DDDDDD"/>
          </w:tcPr>
          <w:p w14:paraId="124BF51B" w14:textId="77777777" w:rsidR="003B28A6" w:rsidRDefault="003B28A6">
            <w:pPr>
              <w:spacing w:line="276" w:lineRule="auto"/>
              <w:jc w:val="right"/>
              <w:rPr>
                <w:sz w:val="18"/>
                <w:szCs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DDDDDD"/>
            <w:hideMark/>
          </w:tcPr>
          <w:p w14:paraId="0706C588" w14:textId="77777777" w:rsidR="003B28A6" w:rsidRDefault="003B28A6">
            <w:pPr>
              <w:spacing w:line="276" w:lineRule="auto"/>
              <w:jc w:val="right"/>
              <w:rPr>
                <w:b/>
                <w:bCs/>
                <w:sz w:val="18"/>
                <w:szCs w:val="18"/>
              </w:rPr>
            </w:pPr>
            <w:r>
              <w:rPr>
                <w:b/>
                <w:bCs/>
                <w:sz w:val="18"/>
                <w:szCs w:val="18"/>
              </w:rPr>
              <w:t>0,00</w:t>
            </w:r>
          </w:p>
        </w:tc>
        <w:tc>
          <w:tcPr>
            <w:tcW w:w="1188" w:type="dxa"/>
            <w:tcBorders>
              <w:top w:val="single" w:sz="4" w:space="0" w:color="000000"/>
              <w:left w:val="single" w:sz="4" w:space="0" w:color="000000"/>
              <w:bottom w:val="single" w:sz="4" w:space="0" w:color="000000"/>
              <w:right w:val="single" w:sz="4" w:space="0" w:color="000000"/>
            </w:tcBorders>
            <w:shd w:val="clear" w:color="auto" w:fill="DDDDDD"/>
          </w:tcPr>
          <w:p w14:paraId="29D4B924" w14:textId="77777777" w:rsidR="003B28A6" w:rsidRDefault="003B28A6">
            <w:pPr>
              <w:spacing w:line="276" w:lineRule="auto"/>
              <w:jc w:val="right"/>
              <w:rPr>
                <w:sz w:val="18"/>
                <w:szCs w:val="18"/>
              </w:rPr>
            </w:pPr>
          </w:p>
        </w:tc>
        <w:tc>
          <w:tcPr>
            <w:tcW w:w="1198" w:type="dxa"/>
            <w:tcBorders>
              <w:top w:val="single" w:sz="4" w:space="0" w:color="000000"/>
              <w:left w:val="single" w:sz="4" w:space="0" w:color="000000"/>
              <w:bottom w:val="single" w:sz="4" w:space="0" w:color="000000"/>
              <w:right w:val="single" w:sz="4" w:space="0" w:color="000000"/>
            </w:tcBorders>
            <w:shd w:val="clear" w:color="auto" w:fill="DDDDDD"/>
            <w:hideMark/>
          </w:tcPr>
          <w:p w14:paraId="60CF5F89" w14:textId="77777777" w:rsidR="003B28A6" w:rsidRDefault="003B28A6">
            <w:pPr>
              <w:spacing w:line="276" w:lineRule="auto"/>
              <w:jc w:val="right"/>
              <w:rPr>
                <w:b/>
                <w:bCs/>
                <w:sz w:val="18"/>
                <w:szCs w:val="18"/>
              </w:rPr>
            </w:pPr>
            <w:r>
              <w:rPr>
                <w:b/>
                <w:bCs/>
                <w:sz w:val="18"/>
                <w:szCs w:val="18"/>
              </w:rPr>
              <w:t>0,00</w:t>
            </w:r>
          </w:p>
        </w:tc>
      </w:tr>
      <w:tr w:rsidR="003B28A6" w14:paraId="2792799A" w14:textId="77777777" w:rsidTr="003B28A6">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FFFFFF"/>
            <w:hideMark/>
          </w:tcPr>
          <w:p w14:paraId="69CF8D1F" w14:textId="77777777" w:rsidR="003B28A6" w:rsidRDefault="003B28A6">
            <w:pPr>
              <w:spacing w:line="276" w:lineRule="auto"/>
              <w:jc w:val="both"/>
              <w:rPr>
                <w:sz w:val="18"/>
                <w:szCs w:val="18"/>
              </w:rPr>
            </w:pPr>
            <w:r>
              <w:rPr>
                <w:sz w:val="18"/>
                <w:szCs w:val="18"/>
              </w:rPr>
              <w:t xml:space="preserve">      (-) Cobros realizados pendientes de aplicación definitiva</w:t>
            </w:r>
          </w:p>
        </w:tc>
        <w:tc>
          <w:tcPr>
            <w:tcW w:w="1183" w:type="dxa"/>
            <w:tcBorders>
              <w:top w:val="single" w:sz="4" w:space="0" w:color="000000"/>
              <w:left w:val="single" w:sz="4" w:space="0" w:color="000000"/>
              <w:bottom w:val="single" w:sz="4" w:space="0" w:color="000000"/>
              <w:right w:val="single" w:sz="4" w:space="0" w:color="000000"/>
            </w:tcBorders>
            <w:shd w:val="clear" w:color="auto" w:fill="FFFFFF"/>
            <w:hideMark/>
          </w:tcPr>
          <w:p w14:paraId="5A65E009" w14:textId="77777777" w:rsidR="003B28A6" w:rsidRDefault="003B28A6">
            <w:pPr>
              <w:spacing w:line="276" w:lineRule="auto"/>
              <w:jc w:val="right"/>
              <w:rPr>
                <w:sz w:val="18"/>
                <w:szCs w:val="18"/>
              </w:rPr>
            </w:pPr>
            <w:r>
              <w:rPr>
                <w:sz w:val="18"/>
                <w:szCs w:val="18"/>
              </w:rPr>
              <w:t>0,00</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14:paraId="1150AA31" w14:textId="77777777" w:rsidR="003B28A6" w:rsidRDefault="003B28A6">
            <w:pPr>
              <w:spacing w:line="276" w:lineRule="auto"/>
              <w:jc w:val="right"/>
              <w:rPr>
                <w:sz w:val="18"/>
                <w:szCs w:val="18"/>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hideMark/>
          </w:tcPr>
          <w:p w14:paraId="5E9DC303" w14:textId="77777777" w:rsidR="003B28A6" w:rsidRDefault="003B28A6">
            <w:pPr>
              <w:spacing w:line="276" w:lineRule="auto"/>
              <w:jc w:val="right"/>
              <w:rPr>
                <w:sz w:val="18"/>
                <w:szCs w:val="18"/>
              </w:rPr>
            </w:pPr>
            <w:r>
              <w:rPr>
                <w:sz w:val="18"/>
                <w:szCs w:val="18"/>
              </w:rPr>
              <w:t>0,00</w:t>
            </w: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654F202E" w14:textId="77777777" w:rsidR="003B28A6" w:rsidRDefault="003B28A6">
            <w:pPr>
              <w:spacing w:line="276" w:lineRule="auto"/>
              <w:jc w:val="right"/>
              <w:rPr>
                <w:sz w:val="18"/>
                <w:szCs w:val="18"/>
              </w:rPr>
            </w:pPr>
          </w:p>
        </w:tc>
      </w:tr>
      <w:tr w:rsidR="003B28A6" w14:paraId="0174CBDA" w14:textId="77777777" w:rsidTr="003B28A6">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EEEEEE"/>
            <w:hideMark/>
          </w:tcPr>
          <w:p w14:paraId="394FCA35" w14:textId="77777777" w:rsidR="003B28A6" w:rsidRDefault="003B28A6">
            <w:pPr>
              <w:spacing w:line="276" w:lineRule="auto"/>
              <w:jc w:val="both"/>
              <w:rPr>
                <w:sz w:val="18"/>
                <w:szCs w:val="18"/>
              </w:rPr>
            </w:pPr>
            <w:r>
              <w:rPr>
                <w:sz w:val="18"/>
                <w:szCs w:val="18"/>
              </w:rPr>
              <w:t xml:space="preserve">      (+) Pagos realizados pendientes de aplicación definitiva</w:t>
            </w:r>
          </w:p>
        </w:tc>
        <w:tc>
          <w:tcPr>
            <w:tcW w:w="1183" w:type="dxa"/>
            <w:tcBorders>
              <w:top w:val="single" w:sz="4" w:space="0" w:color="000000"/>
              <w:left w:val="single" w:sz="4" w:space="0" w:color="000000"/>
              <w:bottom w:val="single" w:sz="4" w:space="0" w:color="000000"/>
              <w:right w:val="single" w:sz="4" w:space="0" w:color="000000"/>
            </w:tcBorders>
            <w:shd w:val="clear" w:color="auto" w:fill="EEEEEE"/>
          </w:tcPr>
          <w:p w14:paraId="450D351C" w14:textId="77777777" w:rsidR="003B28A6" w:rsidRDefault="003B28A6">
            <w:pPr>
              <w:spacing w:line="276" w:lineRule="auto"/>
              <w:jc w:val="right"/>
              <w:rPr>
                <w:sz w:val="18"/>
                <w:szCs w:val="18"/>
              </w:rPr>
            </w:pPr>
          </w:p>
        </w:tc>
        <w:tc>
          <w:tcPr>
            <w:tcW w:w="1132" w:type="dxa"/>
            <w:tcBorders>
              <w:top w:val="single" w:sz="4" w:space="0" w:color="000000"/>
              <w:left w:val="single" w:sz="4" w:space="0" w:color="000000"/>
              <w:bottom w:val="single" w:sz="4" w:space="0" w:color="000000"/>
              <w:right w:val="single" w:sz="4" w:space="0" w:color="000000"/>
            </w:tcBorders>
            <w:shd w:val="clear" w:color="auto" w:fill="EEEEEE"/>
          </w:tcPr>
          <w:p w14:paraId="26BB558E" w14:textId="77777777" w:rsidR="003B28A6" w:rsidRDefault="003B28A6">
            <w:pPr>
              <w:spacing w:line="276" w:lineRule="auto"/>
              <w:jc w:val="right"/>
              <w:rPr>
                <w:sz w:val="18"/>
                <w:szCs w:val="18"/>
              </w:rPr>
            </w:pPr>
          </w:p>
        </w:tc>
        <w:tc>
          <w:tcPr>
            <w:tcW w:w="1188" w:type="dxa"/>
            <w:tcBorders>
              <w:top w:val="single" w:sz="4" w:space="0" w:color="000000"/>
              <w:left w:val="single" w:sz="4" w:space="0" w:color="000000"/>
              <w:bottom w:val="single" w:sz="4" w:space="0" w:color="000000"/>
              <w:right w:val="single" w:sz="4" w:space="0" w:color="000000"/>
            </w:tcBorders>
            <w:shd w:val="clear" w:color="auto" w:fill="EEEEEE"/>
            <w:hideMark/>
          </w:tcPr>
          <w:p w14:paraId="7BCDEF04" w14:textId="77777777" w:rsidR="003B28A6" w:rsidRDefault="003B28A6">
            <w:pPr>
              <w:spacing w:line="276" w:lineRule="auto"/>
              <w:jc w:val="right"/>
              <w:rPr>
                <w:sz w:val="18"/>
                <w:szCs w:val="18"/>
              </w:rPr>
            </w:pPr>
            <w:r>
              <w:rPr>
                <w:sz w:val="18"/>
                <w:szCs w:val="18"/>
              </w:rPr>
              <w:t>0,00</w:t>
            </w:r>
          </w:p>
        </w:tc>
        <w:tc>
          <w:tcPr>
            <w:tcW w:w="1198" w:type="dxa"/>
            <w:tcBorders>
              <w:top w:val="single" w:sz="4" w:space="0" w:color="000000"/>
              <w:left w:val="single" w:sz="4" w:space="0" w:color="000000"/>
              <w:bottom w:val="single" w:sz="4" w:space="0" w:color="000000"/>
              <w:right w:val="single" w:sz="4" w:space="0" w:color="000000"/>
            </w:tcBorders>
            <w:shd w:val="clear" w:color="auto" w:fill="EEEEEE"/>
          </w:tcPr>
          <w:p w14:paraId="265762C4" w14:textId="77777777" w:rsidR="003B28A6" w:rsidRDefault="003B28A6">
            <w:pPr>
              <w:spacing w:line="276" w:lineRule="auto"/>
              <w:jc w:val="right"/>
              <w:rPr>
                <w:sz w:val="18"/>
                <w:szCs w:val="18"/>
              </w:rPr>
            </w:pPr>
          </w:p>
        </w:tc>
      </w:tr>
      <w:tr w:rsidR="003B28A6" w14:paraId="5C427039" w14:textId="77777777" w:rsidTr="003B28A6">
        <w:trPr>
          <w:trHeight w:val="420"/>
          <w:jc w:val="center"/>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8BD2B15" w14:textId="77777777" w:rsidR="003B28A6" w:rsidRDefault="003B28A6">
            <w:pPr>
              <w:spacing w:line="276" w:lineRule="auto"/>
              <w:jc w:val="both"/>
              <w:rPr>
                <w:b/>
                <w:bCs/>
                <w:sz w:val="18"/>
                <w:szCs w:val="18"/>
              </w:rPr>
            </w:pPr>
            <w:r>
              <w:rPr>
                <w:b/>
                <w:bCs/>
                <w:sz w:val="18"/>
                <w:szCs w:val="18"/>
              </w:rPr>
              <w:t>I. REMANENTE DE TESORERÍA TOTAL (1+2+3+4)</w:t>
            </w:r>
          </w:p>
        </w:tc>
        <w:tc>
          <w:tcPr>
            <w:tcW w:w="1132" w:type="dxa"/>
            <w:tcBorders>
              <w:top w:val="single" w:sz="4" w:space="0" w:color="000000"/>
              <w:left w:val="single" w:sz="4" w:space="0" w:color="000000"/>
              <w:bottom w:val="single" w:sz="4" w:space="0" w:color="000000"/>
              <w:right w:val="single" w:sz="4" w:space="0" w:color="000000"/>
            </w:tcBorders>
            <w:shd w:val="clear" w:color="auto" w:fill="FFFFFF"/>
            <w:hideMark/>
          </w:tcPr>
          <w:p w14:paraId="0C2AAA03" w14:textId="77777777" w:rsidR="003B28A6" w:rsidRDefault="003B28A6">
            <w:pPr>
              <w:spacing w:line="276" w:lineRule="auto"/>
              <w:jc w:val="right"/>
              <w:rPr>
                <w:b/>
                <w:bCs/>
                <w:sz w:val="18"/>
                <w:szCs w:val="18"/>
              </w:rPr>
            </w:pPr>
            <w:r>
              <w:rPr>
                <w:b/>
                <w:bCs/>
                <w:sz w:val="18"/>
                <w:szCs w:val="18"/>
              </w:rPr>
              <w:t>3.788.353,26</w:t>
            </w:r>
          </w:p>
        </w:tc>
        <w:tc>
          <w:tcPr>
            <w:tcW w:w="1188" w:type="dxa"/>
            <w:tcBorders>
              <w:top w:val="single" w:sz="4" w:space="0" w:color="000000"/>
              <w:left w:val="single" w:sz="4" w:space="0" w:color="000000"/>
              <w:bottom w:val="single" w:sz="4" w:space="0" w:color="000000"/>
              <w:right w:val="single" w:sz="4" w:space="0" w:color="000000"/>
            </w:tcBorders>
            <w:shd w:val="clear" w:color="auto" w:fill="FFFFFF"/>
          </w:tcPr>
          <w:p w14:paraId="5BC8EAF6" w14:textId="77777777" w:rsidR="003B28A6" w:rsidRDefault="003B28A6">
            <w:pPr>
              <w:spacing w:line="276" w:lineRule="auto"/>
              <w:jc w:val="right"/>
              <w:rPr>
                <w:b/>
                <w:bCs/>
                <w:sz w:val="18"/>
                <w:szCs w:val="18"/>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hideMark/>
          </w:tcPr>
          <w:p w14:paraId="45EAD036" w14:textId="77777777" w:rsidR="003B28A6" w:rsidRDefault="003B28A6">
            <w:pPr>
              <w:spacing w:line="276" w:lineRule="auto"/>
              <w:jc w:val="right"/>
              <w:rPr>
                <w:b/>
                <w:bCs/>
                <w:sz w:val="18"/>
                <w:szCs w:val="18"/>
              </w:rPr>
            </w:pPr>
            <w:r>
              <w:rPr>
                <w:b/>
                <w:bCs/>
                <w:sz w:val="18"/>
                <w:szCs w:val="18"/>
              </w:rPr>
              <w:t>2.054.495,21</w:t>
            </w:r>
          </w:p>
        </w:tc>
      </w:tr>
      <w:tr w:rsidR="003B28A6" w14:paraId="32EC07BB" w14:textId="77777777" w:rsidTr="003B28A6">
        <w:trPr>
          <w:jc w:val="center"/>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DDDDDD"/>
            <w:hideMark/>
          </w:tcPr>
          <w:p w14:paraId="7BD814EB" w14:textId="77777777" w:rsidR="003B28A6" w:rsidRDefault="003B28A6">
            <w:pPr>
              <w:spacing w:line="276" w:lineRule="auto"/>
              <w:jc w:val="both"/>
              <w:rPr>
                <w:sz w:val="18"/>
                <w:szCs w:val="18"/>
              </w:rPr>
            </w:pPr>
            <w:r>
              <w:rPr>
                <w:b/>
                <w:bCs/>
                <w:sz w:val="18"/>
                <w:szCs w:val="18"/>
              </w:rPr>
              <w:t xml:space="preserve">II. SALDOS DE DUDOSO COBRO </w:t>
            </w:r>
            <w:r>
              <w:rPr>
                <w:sz w:val="18"/>
                <w:szCs w:val="18"/>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DDDDDD"/>
          </w:tcPr>
          <w:p w14:paraId="2BA76FE3" w14:textId="77777777" w:rsidR="003B28A6" w:rsidRDefault="003B28A6">
            <w:pPr>
              <w:spacing w:line="276" w:lineRule="auto"/>
              <w:jc w:val="right"/>
              <w:rPr>
                <w:sz w:val="18"/>
                <w:szCs w:val="18"/>
              </w:rPr>
            </w:pPr>
          </w:p>
        </w:tc>
        <w:tc>
          <w:tcPr>
            <w:tcW w:w="1188" w:type="dxa"/>
            <w:tcBorders>
              <w:top w:val="single" w:sz="4" w:space="0" w:color="000000"/>
              <w:left w:val="single" w:sz="4" w:space="0" w:color="000000"/>
              <w:bottom w:val="single" w:sz="4" w:space="0" w:color="000000"/>
              <w:right w:val="single" w:sz="4" w:space="0" w:color="000000"/>
            </w:tcBorders>
            <w:shd w:val="clear" w:color="auto" w:fill="DDDDDD"/>
          </w:tcPr>
          <w:p w14:paraId="517C1C53" w14:textId="77777777" w:rsidR="003B28A6" w:rsidRDefault="003B28A6">
            <w:pPr>
              <w:spacing w:line="276" w:lineRule="auto"/>
              <w:jc w:val="right"/>
              <w:rPr>
                <w:sz w:val="18"/>
                <w:szCs w:val="18"/>
              </w:rPr>
            </w:pPr>
          </w:p>
        </w:tc>
        <w:tc>
          <w:tcPr>
            <w:tcW w:w="1198" w:type="dxa"/>
            <w:tcBorders>
              <w:top w:val="single" w:sz="4" w:space="0" w:color="000000"/>
              <w:left w:val="single" w:sz="4" w:space="0" w:color="000000"/>
              <w:bottom w:val="single" w:sz="4" w:space="0" w:color="000000"/>
              <w:right w:val="single" w:sz="4" w:space="0" w:color="000000"/>
            </w:tcBorders>
            <w:shd w:val="clear" w:color="auto" w:fill="DDDDDD"/>
          </w:tcPr>
          <w:p w14:paraId="21577339" w14:textId="77777777" w:rsidR="003B28A6" w:rsidRDefault="003B28A6">
            <w:pPr>
              <w:spacing w:line="276" w:lineRule="auto"/>
              <w:jc w:val="right"/>
              <w:rPr>
                <w:b/>
                <w:bCs/>
                <w:sz w:val="18"/>
                <w:szCs w:val="18"/>
              </w:rPr>
            </w:pPr>
          </w:p>
        </w:tc>
      </w:tr>
      <w:tr w:rsidR="003B28A6" w14:paraId="6837E813" w14:textId="77777777" w:rsidTr="003B28A6">
        <w:trPr>
          <w:jc w:val="center"/>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23F1695A" w14:textId="77777777" w:rsidR="003B28A6" w:rsidRDefault="003B28A6">
            <w:pPr>
              <w:spacing w:line="276" w:lineRule="auto"/>
              <w:jc w:val="both"/>
              <w:rPr>
                <w:sz w:val="18"/>
                <w:szCs w:val="18"/>
              </w:rPr>
            </w:pPr>
            <w:r>
              <w:rPr>
                <w:b/>
                <w:bCs/>
                <w:sz w:val="18"/>
                <w:szCs w:val="18"/>
              </w:rPr>
              <w:t xml:space="preserve">III. EXCESO DE FINANCIACIÓN AFECTADA  </w:t>
            </w:r>
            <w:r>
              <w:rPr>
                <w:sz w:val="18"/>
                <w:szCs w:val="18"/>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14:paraId="7F63620E" w14:textId="77777777" w:rsidR="003B28A6" w:rsidRDefault="003B28A6">
            <w:pPr>
              <w:spacing w:line="276" w:lineRule="auto"/>
              <w:jc w:val="right"/>
              <w:rPr>
                <w:sz w:val="18"/>
                <w:szCs w:val="18"/>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tcPr>
          <w:p w14:paraId="22B5B46A" w14:textId="77777777" w:rsidR="003B28A6" w:rsidRDefault="003B28A6">
            <w:pPr>
              <w:spacing w:line="276" w:lineRule="auto"/>
              <w:jc w:val="right"/>
              <w:rPr>
                <w:sz w:val="18"/>
                <w:szCs w:val="18"/>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2FD70DC4" w14:textId="77777777" w:rsidR="003B28A6" w:rsidRDefault="003B28A6">
            <w:pPr>
              <w:spacing w:line="276" w:lineRule="auto"/>
              <w:jc w:val="right"/>
              <w:rPr>
                <w:b/>
                <w:bCs/>
                <w:sz w:val="18"/>
                <w:szCs w:val="18"/>
              </w:rPr>
            </w:pPr>
          </w:p>
        </w:tc>
      </w:tr>
      <w:tr w:rsidR="003B28A6" w14:paraId="4E2830AB" w14:textId="77777777" w:rsidTr="003B28A6">
        <w:trPr>
          <w:jc w:val="center"/>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DDDDDD"/>
            <w:hideMark/>
          </w:tcPr>
          <w:p w14:paraId="43CF12DE" w14:textId="77777777" w:rsidR="003B28A6" w:rsidRDefault="003B28A6">
            <w:pPr>
              <w:spacing w:line="276" w:lineRule="auto"/>
              <w:jc w:val="both"/>
              <w:rPr>
                <w:sz w:val="18"/>
                <w:szCs w:val="18"/>
              </w:rPr>
            </w:pPr>
            <w:r>
              <w:rPr>
                <w:b/>
                <w:bCs/>
                <w:sz w:val="18"/>
                <w:szCs w:val="18"/>
              </w:rPr>
              <w:t xml:space="preserve">IV. </w:t>
            </w:r>
            <w:r>
              <w:rPr>
                <w:b/>
                <w:bCs/>
                <w:spacing w:val="-4"/>
                <w:sz w:val="18"/>
                <w:szCs w:val="18"/>
              </w:rPr>
              <w:t>REMANENTE DE TESORERÍA PARA GASTOS GENERALES</w:t>
            </w:r>
          </w:p>
          <w:p w14:paraId="7A13B30D" w14:textId="77777777" w:rsidR="003B28A6" w:rsidRDefault="003B28A6">
            <w:pPr>
              <w:spacing w:line="276" w:lineRule="auto"/>
              <w:jc w:val="both"/>
              <w:rPr>
                <w:sz w:val="18"/>
                <w:szCs w:val="18"/>
              </w:rPr>
            </w:pPr>
            <w:r>
              <w:rPr>
                <w:b/>
                <w:bCs/>
                <w:spacing w:val="-4"/>
                <w:sz w:val="18"/>
                <w:szCs w:val="18"/>
              </w:rPr>
              <w:t xml:space="preserve">(I- II -III) </w:t>
            </w:r>
            <w:r>
              <w:rPr>
                <w:spacing w:val="-4"/>
                <w:sz w:val="18"/>
                <w:szCs w:val="18"/>
              </w:rPr>
              <w:t xml:space="preserve">    </w:t>
            </w:r>
            <w:r>
              <w:rPr>
                <w:sz w:val="18"/>
                <w:szCs w:val="18"/>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DDDDDD"/>
            <w:hideMark/>
          </w:tcPr>
          <w:p w14:paraId="60C8E2D8" w14:textId="77777777" w:rsidR="003B28A6" w:rsidRDefault="003B28A6">
            <w:pPr>
              <w:spacing w:line="276" w:lineRule="auto"/>
              <w:jc w:val="right"/>
              <w:rPr>
                <w:b/>
                <w:bCs/>
                <w:sz w:val="18"/>
                <w:szCs w:val="18"/>
              </w:rPr>
            </w:pPr>
            <w:r>
              <w:rPr>
                <w:b/>
                <w:bCs/>
                <w:sz w:val="18"/>
                <w:szCs w:val="18"/>
              </w:rPr>
              <w:t>3.788.353,26</w:t>
            </w:r>
          </w:p>
        </w:tc>
        <w:tc>
          <w:tcPr>
            <w:tcW w:w="1188" w:type="dxa"/>
            <w:tcBorders>
              <w:top w:val="single" w:sz="4" w:space="0" w:color="000000"/>
              <w:left w:val="single" w:sz="4" w:space="0" w:color="000000"/>
              <w:bottom w:val="single" w:sz="4" w:space="0" w:color="000000"/>
              <w:right w:val="single" w:sz="4" w:space="0" w:color="000000"/>
            </w:tcBorders>
            <w:shd w:val="clear" w:color="auto" w:fill="DDDDDD"/>
          </w:tcPr>
          <w:p w14:paraId="15B372AE" w14:textId="77777777" w:rsidR="003B28A6" w:rsidRDefault="003B28A6">
            <w:pPr>
              <w:spacing w:line="276" w:lineRule="auto"/>
              <w:jc w:val="right"/>
              <w:rPr>
                <w:b/>
                <w:bCs/>
                <w:sz w:val="18"/>
                <w:szCs w:val="18"/>
              </w:rPr>
            </w:pPr>
          </w:p>
        </w:tc>
        <w:tc>
          <w:tcPr>
            <w:tcW w:w="1198" w:type="dxa"/>
            <w:tcBorders>
              <w:top w:val="single" w:sz="4" w:space="0" w:color="000000"/>
              <w:left w:val="single" w:sz="4" w:space="0" w:color="000000"/>
              <w:bottom w:val="single" w:sz="4" w:space="0" w:color="000000"/>
              <w:right w:val="single" w:sz="4" w:space="0" w:color="000000"/>
            </w:tcBorders>
            <w:shd w:val="clear" w:color="auto" w:fill="DDDDDD"/>
            <w:hideMark/>
          </w:tcPr>
          <w:p w14:paraId="20433A81" w14:textId="77777777" w:rsidR="003B28A6" w:rsidRDefault="003B28A6">
            <w:pPr>
              <w:spacing w:line="276" w:lineRule="auto"/>
              <w:jc w:val="right"/>
              <w:rPr>
                <w:b/>
                <w:bCs/>
                <w:sz w:val="18"/>
                <w:szCs w:val="18"/>
              </w:rPr>
            </w:pPr>
            <w:r>
              <w:rPr>
                <w:b/>
                <w:bCs/>
                <w:sz w:val="18"/>
                <w:szCs w:val="18"/>
              </w:rPr>
              <w:t>2.054.495,21</w:t>
            </w:r>
          </w:p>
        </w:tc>
      </w:tr>
    </w:tbl>
    <w:p w14:paraId="76DFE6BC" w14:textId="77777777" w:rsidR="003B28A6" w:rsidRDefault="003B28A6" w:rsidP="003B28A6">
      <w:pPr>
        <w:spacing w:line="276" w:lineRule="auto"/>
        <w:jc w:val="both"/>
        <w:rPr>
          <w:rFonts w:ascii="Arial" w:hAnsi="Arial"/>
          <w:b/>
          <w:sz w:val="21"/>
          <w:szCs w:val="21"/>
        </w:rPr>
      </w:pPr>
    </w:p>
    <w:p w14:paraId="06A3B99B" w14:textId="77777777" w:rsidR="003B28A6" w:rsidRDefault="003B28A6" w:rsidP="003B28A6">
      <w:pPr>
        <w:pStyle w:val="Standard"/>
        <w:spacing w:after="240" w:line="276" w:lineRule="auto"/>
        <w:jc w:val="both"/>
        <w:rPr>
          <w:rFonts w:ascii="Arial" w:hAnsi="Arial" w:cs="MillerText-Roman"/>
          <w:color w:val="000000"/>
          <w:sz w:val="21"/>
          <w:szCs w:val="21"/>
        </w:rPr>
      </w:pPr>
      <w:r>
        <w:rPr>
          <w:rFonts w:ascii="Arial" w:hAnsi="Arial" w:cs="MillerText-Roman"/>
          <w:color w:val="000000"/>
          <w:sz w:val="21"/>
          <w:szCs w:val="21"/>
        </w:rPr>
        <w:t>Los fondos líquidos a 31 de diciembre de 2020 son coincidentes con los saldos certificados por la entidad bancaria en esta fecha y ascienden a 1.237.529,58 euros.</w:t>
      </w:r>
    </w:p>
    <w:p w14:paraId="521413CC" w14:textId="77777777" w:rsidR="003B28A6" w:rsidRDefault="003B28A6" w:rsidP="003B28A6">
      <w:pPr>
        <w:pStyle w:val="Standard"/>
        <w:spacing w:after="240" w:line="276" w:lineRule="auto"/>
        <w:jc w:val="both"/>
        <w:rPr>
          <w:rFonts w:ascii="Arial" w:hAnsi="Arial" w:cs="MillerText-Roman"/>
          <w:color w:val="000000"/>
          <w:sz w:val="21"/>
          <w:szCs w:val="21"/>
        </w:rPr>
      </w:pPr>
      <w:r>
        <w:rPr>
          <w:rFonts w:ascii="Arial" w:hAnsi="Arial" w:cs="MillerText-Roman"/>
          <w:color w:val="000000"/>
          <w:sz w:val="21"/>
          <w:szCs w:val="21"/>
        </w:rPr>
        <w:t>El importe de los derechos pendientes de cobro se corresponde con el saldo de las transferencias corrientes y de capital, de la Generalitat Valenciana reconocidas y no ingresadas a lo largo del ejercicio.</w:t>
      </w:r>
    </w:p>
    <w:p w14:paraId="6748648E" w14:textId="77777777" w:rsidR="003B28A6" w:rsidRDefault="003B28A6" w:rsidP="003B28A6">
      <w:pPr>
        <w:pStyle w:val="Standard"/>
        <w:spacing w:after="240" w:line="276" w:lineRule="auto"/>
        <w:jc w:val="both"/>
        <w:rPr>
          <w:rFonts w:ascii="Arial" w:hAnsi="Arial" w:cs="MillerText-Roman"/>
          <w:color w:val="000000"/>
          <w:sz w:val="21"/>
          <w:szCs w:val="21"/>
        </w:rPr>
      </w:pPr>
      <w:r>
        <w:rPr>
          <w:rFonts w:ascii="Arial" w:hAnsi="Arial" w:cs="MillerText-Roman"/>
          <w:color w:val="000000"/>
          <w:sz w:val="21"/>
          <w:szCs w:val="21"/>
        </w:rPr>
        <w:t>Las obligaciones pendientes de pago a 31 de diciembre de 2020 ascienden a un total de 267.465,00 euros, con el siguiente desglose:</w:t>
      </w:r>
    </w:p>
    <w:p w14:paraId="5F46878E" w14:textId="77777777" w:rsidR="003B28A6" w:rsidRDefault="003B28A6" w:rsidP="00D62D25">
      <w:pPr>
        <w:pStyle w:val="Standard"/>
        <w:widowControl/>
        <w:numPr>
          <w:ilvl w:val="0"/>
          <w:numId w:val="59"/>
        </w:numPr>
        <w:spacing w:after="120" w:line="276" w:lineRule="auto"/>
        <w:ind w:left="425" w:hanging="425"/>
        <w:jc w:val="both"/>
        <w:textAlignment w:val="auto"/>
      </w:pPr>
      <w:r>
        <w:rPr>
          <w:rFonts w:ascii="Arial" w:hAnsi="Arial" w:cs="MillerText-Roman"/>
          <w:color w:val="000000"/>
          <w:sz w:val="21"/>
          <w:szCs w:val="21"/>
          <w:u w:val="single"/>
        </w:rPr>
        <w:t>Obligaciones pendientes de pago del presupuesto corriente</w:t>
      </w:r>
      <w:r>
        <w:rPr>
          <w:rFonts w:ascii="Arial" w:hAnsi="Arial" w:cs="MillerText-Roman"/>
          <w:color w:val="000000"/>
          <w:sz w:val="21"/>
          <w:szCs w:val="21"/>
        </w:rPr>
        <w:t>: 59.319,35 euros</w:t>
      </w:r>
      <w:r>
        <w:rPr>
          <w:rFonts w:ascii="Arial" w:hAnsi="Arial" w:cs="MillerText-Roman"/>
          <w:sz w:val="21"/>
          <w:szCs w:val="21"/>
        </w:rPr>
        <w:t>, de las cuales 30.645,08 euros corresponden a operaciones corrientes y 28.674.27 euros a operaciones de capital.</w:t>
      </w:r>
    </w:p>
    <w:p w14:paraId="2FCB48F9" w14:textId="77777777" w:rsidR="003B28A6" w:rsidRDefault="003B28A6" w:rsidP="00D62D25">
      <w:pPr>
        <w:pStyle w:val="Standard"/>
        <w:widowControl/>
        <w:numPr>
          <w:ilvl w:val="0"/>
          <w:numId w:val="59"/>
        </w:numPr>
        <w:spacing w:after="120" w:line="276" w:lineRule="auto"/>
        <w:ind w:left="426" w:hanging="426"/>
        <w:jc w:val="both"/>
        <w:textAlignment w:val="auto"/>
        <w:rPr>
          <w:rFonts w:ascii="Arial" w:hAnsi="Arial" w:cs="MillerText-Roman"/>
          <w:color w:val="000000"/>
          <w:sz w:val="21"/>
          <w:szCs w:val="21"/>
        </w:rPr>
      </w:pPr>
      <w:r>
        <w:rPr>
          <w:rFonts w:ascii="Arial" w:hAnsi="Arial" w:cs="MillerText-Roman"/>
          <w:color w:val="000000"/>
          <w:sz w:val="21"/>
          <w:szCs w:val="21"/>
          <w:u w:val="single"/>
        </w:rPr>
        <w:t>Obligaciones pendientes de pago de operaciones no presupuestarias</w:t>
      </w:r>
      <w:r>
        <w:rPr>
          <w:rFonts w:ascii="Arial" w:hAnsi="Arial" w:cs="MillerText-Roman"/>
          <w:color w:val="000000"/>
          <w:sz w:val="21"/>
          <w:szCs w:val="21"/>
        </w:rPr>
        <w:t>: 208.145,65 euros. Este importe se compone, de los siguientes conceptos:</w:t>
      </w:r>
    </w:p>
    <w:p w14:paraId="24BB5200" w14:textId="77777777" w:rsidR="003B28A6" w:rsidRDefault="003B28A6" w:rsidP="00D62D25">
      <w:pPr>
        <w:pStyle w:val="Standard"/>
        <w:widowControl/>
        <w:numPr>
          <w:ilvl w:val="0"/>
          <w:numId w:val="59"/>
        </w:numPr>
        <w:spacing w:after="120" w:line="276" w:lineRule="auto"/>
        <w:ind w:left="1134"/>
        <w:jc w:val="both"/>
        <w:textAlignment w:val="auto"/>
        <w:rPr>
          <w:rFonts w:ascii="Arial" w:hAnsi="Arial" w:cs="MillerText-Roman"/>
          <w:color w:val="000000"/>
          <w:sz w:val="21"/>
          <w:szCs w:val="21"/>
        </w:rPr>
      </w:pPr>
      <w:r>
        <w:rPr>
          <w:rFonts w:ascii="Arial" w:hAnsi="Arial" w:cs="MillerText-Roman"/>
          <w:color w:val="000000"/>
          <w:sz w:val="21"/>
          <w:szCs w:val="21"/>
        </w:rPr>
        <w:t>Retenciones de IRPF practicadas en el cuarto trimestre del 2020, el pago de las cuales se realiza en enero de 2021, por un total de 152.555,71 euros (retenciones de trabajo) y 188,74 euros (retenciones de profesionales).</w:t>
      </w:r>
    </w:p>
    <w:p w14:paraId="41457FCC" w14:textId="77777777" w:rsidR="003B28A6" w:rsidRDefault="003B28A6" w:rsidP="00D62D25">
      <w:pPr>
        <w:pStyle w:val="Standard"/>
        <w:widowControl/>
        <w:numPr>
          <w:ilvl w:val="0"/>
          <w:numId w:val="59"/>
        </w:numPr>
        <w:spacing w:after="120" w:line="276" w:lineRule="auto"/>
        <w:ind w:left="1134"/>
        <w:jc w:val="both"/>
        <w:textAlignment w:val="auto"/>
        <w:rPr>
          <w:rFonts w:ascii="Arial" w:hAnsi="Arial" w:cs="MillerText-Roman"/>
          <w:color w:val="000000"/>
          <w:sz w:val="21"/>
          <w:szCs w:val="21"/>
        </w:rPr>
      </w:pPr>
      <w:r>
        <w:rPr>
          <w:rFonts w:ascii="Arial" w:hAnsi="Arial" w:cs="MillerText-Roman"/>
          <w:color w:val="000000"/>
          <w:sz w:val="21"/>
          <w:szCs w:val="21"/>
        </w:rPr>
        <w:t>Retenciones practicadas en el cuarto trimestre del 2020, por arrendamientos de inmuebles urbanos el pago de las cuales se realiza en enero de 2021, por un total de 5.820,35 euros.</w:t>
      </w:r>
    </w:p>
    <w:p w14:paraId="22449EFC" w14:textId="77777777" w:rsidR="003B28A6" w:rsidRDefault="003B28A6" w:rsidP="00D62D25">
      <w:pPr>
        <w:pStyle w:val="Standard"/>
        <w:widowControl/>
        <w:numPr>
          <w:ilvl w:val="0"/>
          <w:numId w:val="59"/>
        </w:numPr>
        <w:spacing w:after="120" w:line="276" w:lineRule="auto"/>
        <w:ind w:left="1134"/>
        <w:jc w:val="both"/>
        <w:textAlignment w:val="auto"/>
        <w:rPr>
          <w:rFonts w:ascii="Arial" w:hAnsi="Arial" w:cs="MillerText-Roman"/>
          <w:color w:val="000000"/>
          <w:sz w:val="21"/>
          <w:szCs w:val="21"/>
        </w:rPr>
      </w:pPr>
      <w:r>
        <w:rPr>
          <w:rFonts w:ascii="Arial" w:hAnsi="Arial" w:cs="MillerText-Roman"/>
          <w:color w:val="000000"/>
          <w:sz w:val="21"/>
          <w:szCs w:val="21"/>
        </w:rPr>
        <w:t>Cotizaciones a la Seguridad Social del mes de diciembre de 2020 del personal de la Agencia, el pago de las cuales se realiza en enero de 2021, por un total de 45.761,92 euros.</w:t>
      </w:r>
    </w:p>
    <w:p w14:paraId="3D93F646" w14:textId="77777777" w:rsidR="003B28A6" w:rsidRDefault="003B28A6" w:rsidP="00D62D25">
      <w:pPr>
        <w:pStyle w:val="Standard"/>
        <w:widowControl/>
        <w:numPr>
          <w:ilvl w:val="0"/>
          <w:numId w:val="59"/>
        </w:numPr>
        <w:spacing w:after="120" w:line="276" w:lineRule="auto"/>
        <w:ind w:left="1134"/>
        <w:jc w:val="both"/>
        <w:textAlignment w:val="auto"/>
        <w:rPr>
          <w:rFonts w:ascii="Arial" w:hAnsi="Arial" w:cs="MillerText-Roman"/>
          <w:color w:val="000000"/>
          <w:sz w:val="21"/>
          <w:szCs w:val="21"/>
        </w:rPr>
      </w:pPr>
      <w:r>
        <w:rPr>
          <w:rFonts w:ascii="Arial" w:hAnsi="Arial" w:cs="MillerText-Roman"/>
          <w:color w:val="000000"/>
          <w:sz w:val="21"/>
          <w:szCs w:val="21"/>
        </w:rPr>
        <w:t>Cotización a la Mutualidad de Funcionarios Civiles del Estado (MUFACE) por importe de 59,22 euros así como al Sistema de Derechos Pasivos por importe de 135,28 euros, correspondientes al mes de diciembre de 2020 del personal de la Agencia, el pago de las cuales se realiza en enero de 2021.</w:t>
      </w:r>
    </w:p>
    <w:p w14:paraId="705BB544" w14:textId="77777777" w:rsidR="003B28A6" w:rsidRDefault="003B28A6" w:rsidP="00D62D25">
      <w:pPr>
        <w:pStyle w:val="Standard"/>
        <w:widowControl/>
        <w:numPr>
          <w:ilvl w:val="0"/>
          <w:numId w:val="59"/>
        </w:numPr>
        <w:spacing w:after="120" w:line="276" w:lineRule="auto"/>
        <w:ind w:left="1134"/>
        <w:jc w:val="both"/>
        <w:textAlignment w:val="auto"/>
        <w:rPr>
          <w:rFonts w:ascii="Arial" w:hAnsi="Arial" w:cs="MillerText-Roman"/>
          <w:color w:val="000000"/>
          <w:sz w:val="21"/>
          <w:szCs w:val="21"/>
        </w:rPr>
      </w:pPr>
      <w:r>
        <w:rPr>
          <w:rFonts w:ascii="Arial" w:hAnsi="Arial" w:cs="MillerText-Roman"/>
          <w:color w:val="000000"/>
          <w:sz w:val="21"/>
          <w:szCs w:val="21"/>
        </w:rPr>
        <w:t>Fianzas en metálico depositadas en cuenta corriente de la Agencia, en concepto de garantía por adjudicación definitiva de contratos, por un total de 3.624,45 euros.</w:t>
      </w:r>
    </w:p>
    <w:p w14:paraId="0945E9BE" w14:textId="77777777" w:rsidR="003B28A6" w:rsidRDefault="003B28A6" w:rsidP="003B28A6">
      <w:pPr>
        <w:pStyle w:val="Standard"/>
        <w:spacing w:after="240" w:line="276" w:lineRule="auto"/>
        <w:jc w:val="both"/>
        <w:rPr>
          <w:rFonts w:ascii="Arial" w:hAnsi="Arial" w:cs="MillerText-Roman"/>
          <w:color w:val="000000"/>
          <w:sz w:val="21"/>
          <w:szCs w:val="21"/>
        </w:rPr>
      </w:pPr>
      <w:r>
        <w:rPr>
          <w:rFonts w:ascii="Arial" w:hAnsi="Arial" w:cs="MillerText-Roman"/>
          <w:color w:val="000000"/>
          <w:sz w:val="21"/>
          <w:szCs w:val="21"/>
        </w:rPr>
        <w:t>El remanente de tesorería está afectado al reintegro que se derive de las liquidaciones que realice la Intervención de la Generalitat en aplicación del Decreto 204/1990, de 26 de diciembre, del Consell de la Generalitat Valenciana, sobre reintegro de transferencias corrientes y de capital de los ejercicios 2018 (1.220.387,10 euros), 2019 (834.108,11 euros) y 2020 (1.733.858,05).</w:t>
      </w:r>
    </w:p>
    <w:p w14:paraId="5A24D133" w14:textId="77777777" w:rsidR="003B28A6" w:rsidRDefault="003B28A6" w:rsidP="003B28A6">
      <w:pPr>
        <w:pStyle w:val="Standard"/>
        <w:spacing w:after="240" w:line="276" w:lineRule="auto"/>
        <w:jc w:val="both"/>
        <w:rPr>
          <w:rFonts w:ascii="Arial" w:hAnsi="Arial" w:cs="MillerText-Roman"/>
          <w:b/>
          <w:bCs/>
          <w:color w:val="993333"/>
          <w:sz w:val="21"/>
          <w:szCs w:val="21"/>
        </w:rPr>
      </w:pPr>
      <w:r>
        <w:rPr>
          <w:rFonts w:ascii="Arial" w:hAnsi="Arial" w:cs="MillerText-Roman"/>
          <w:b/>
          <w:bCs/>
          <w:color w:val="993333"/>
          <w:sz w:val="21"/>
          <w:szCs w:val="21"/>
        </w:rPr>
        <w:t>Periodo medio de pago</w:t>
      </w:r>
    </w:p>
    <w:p w14:paraId="517A6DB0" w14:textId="77777777" w:rsidR="003B28A6" w:rsidRDefault="003B28A6" w:rsidP="003B28A6">
      <w:pPr>
        <w:pStyle w:val="Standard"/>
        <w:spacing w:after="240" w:line="276" w:lineRule="auto"/>
        <w:jc w:val="both"/>
        <w:rPr>
          <w:rFonts w:ascii="Arial" w:hAnsi="Arial" w:cs="MillerText-Roman"/>
          <w:color w:val="000000"/>
          <w:sz w:val="21"/>
          <w:szCs w:val="21"/>
        </w:rPr>
      </w:pPr>
      <w:r>
        <w:rPr>
          <w:rFonts w:ascii="Arial" w:hAnsi="Arial" w:cs="MillerText-Roman"/>
          <w:color w:val="000000"/>
          <w:sz w:val="21"/>
          <w:szCs w:val="21"/>
        </w:rPr>
        <w:t>La Agencia no ha cumplido con los periodos legales de pago a acreedores con ratios que cumplen ampliamente con el establecido legalmente (periodo medio de pago presentado con sujeción a la metodología establecida por el RD/1040/2017, de 22 de diciembre, BOE n.º 311, de 23/12/2017):</w:t>
      </w:r>
    </w:p>
    <w:p w14:paraId="60CEE2CF" w14:textId="77777777" w:rsidR="003B28A6" w:rsidRDefault="003B28A6" w:rsidP="003B28A6">
      <w:pPr>
        <w:pStyle w:val="Standard"/>
        <w:spacing w:after="240" w:line="276" w:lineRule="auto"/>
        <w:jc w:val="both"/>
        <w:rPr>
          <w:rFonts w:ascii="Arial" w:hAnsi="Arial" w:cs="MillerText-Roman"/>
          <w:color w:val="000000"/>
          <w:sz w:val="21"/>
          <w:szCs w:val="21"/>
        </w:rPr>
      </w:pPr>
    </w:p>
    <w:p w14:paraId="7BE01249" w14:textId="77777777" w:rsidR="003B28A6" w:rsidRDefault="003B28A6" w:rsidP="003B28A6">
      <w:pPr>
        <w:pStyle w:val="Standard"/>
        <w:spacing w:after="240" w:line="276" w:lineRule="auto"/>
        <w:jc w:val="both"/>
      </w:pPr>
    </w:p>
    <w:p w14:paraId="5E2A7AB8" w14:textId="6A74ED6F" w:rsidR="003B28A6" w:rsidRPr="00F8714B" w:rsidRDefault="003B28A6" w:rsidP="003B28A6">
      <w:pPr>
        <w:pStyle w:val="Descripcin"/>
        <w:keepNext/>
        <w:rPr>
          <w:rFonts w:ascii="Arial" w:hAnsi="Arial" w:cs="Arial"/>
          <w:smallCaps w:val="0"/>
          <w:sz w:val="18"/>
        </w:rPr>
      </w:pPr>
      <w:bookmarkStart w:id="361" w:name="_Toc66443902"/>
      <w:bookmarkStart w:id="362" w:name="_Toc67646371"/>
      <w:r w:rsidRPr="00F8714B">
        <w:rPr>
          <w:rFonts w:ascii="Arial" w:hAnsi="Arial" w:cs="Arial"/>
          <w:smallCaps w:val="0"/>
          <w:color w:val="9D2235" w:themeColor="accent1"/>
          <w:sz w:val="18"/>
        </w:rPr>
        <w:t xml:space="preserve">Tabla </w:t>
      </w:r>
      <w:r w:rsidRPr="00F8714B">
        <w:rPr>
          <w:rFonts w:ascii="Arial" w:hAnsi="Arial" w:cs="Arial"/>
          <w:smallCaps w:val="0"/>
          <w:sz w:val="18"/>
        </w:rPr>
        <w:fldChar w:fldCharType="begin"/>
      </w:r>
      <w:r w:rsidRPr="00F8714B">
        <w:rPr>
          <w:rFonts w:ascii="Arial" w:hAnsi="Arial" w:cs="Arial"/>
          <w:smallCaps w:val="0"/>
          <w:color w:val="9D2235" w:themeColor="accent1"/>
          <w:sz w:val="18"/>
        </w:rPr>
        <w:instrText xml:space="preserve"> SEQ Tabla \* ARABIC </w:instrText>
      </w:r>
      <w:r w:rsidRPr="00F8714B">
        <w:rPr>
          <w:rFonts w:ascii="Arial" w:hAnsi="Arial" w:cs="Arial"/>
          <w:smallCaps w:val="0"/>
          <w:sz w:val="18"/>
        </w:rPr>
        <w:fldChar w:fldCharType="separate"/>
      </w:r>
      <w:r w:rsidR="00ED7F0D">
        <w:rPr>
          <w:rFonts w:ascii="Arial" w:hAnsi="Arial" w:cs="Arial"/>
          <w:smallCaps w:val="0"/>
          <w:noProof/>
          <w:color w:val="9D2235" w:themeColor="accent1"/>
          <w:sz w:val="18"/>
        </w:rPr>
        <w:t>34</w:t>
      </w:r>
      <w:r w:rsidRPr="00F8714B">
        <w:rPr>
          <w:rFonts w:ascii="Arial" w:hAnsi="Arial" w:cs="Arial"/>
          <w:smallCaps w:val="0"/>
          <w:sz w:val="18"/>
        </w:rPr>
        <w:fldChar w:fldCharType="end"/>
      </w:r>
      <w:r w:rsidRPr="00F8714B">
        <w:rPr>
          <w:rFonts w:ascii="Arial" w:hAnsi="Arial" w:cs="Arial"/>
          <w:smallCaps w:val="0"/>
          <w:color w:val="9D2235" w:themeColor="accent1"/>
          <w:sz w:val="18"/>
        </w:rPr>
        <w:t xml:space="preserve">. </w:t>
      </w:r>
      <w:r w:rsidRPr="00F8714B">
        <w:rPr>
          <w:rFonts w:ascii="Arial" w:hAnsi="Arial" w:cs="Arial"/>
          <w:smallCaps w:val="0"/>
          <w:sz w:val="18"/>
        </w:rPr>
        <w:t>Periodo medio de pago 2020</w:t>
      </w:r>
      <w:bookmarkEnd w:id="361"/>
      <w:bookmarkEnd w:id="3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164"/>
        <w:gridCol w:w="1004"/>
        <w:gridCol w:w="1208"/>
        <w:gridCol w:w="1269"/>
        <w:gridCol w:w="1284"/>
        <w:gridCol w:w="1284"/>
        <w:gridCol w:w="1281"/>
      </w:tblGrid>
      <w:tr w:rsidR="003B28A6" w14:paraId="4ED35CFF" w14:textId="77777777" w:rsidTr="003B28A6">
        <w:trPr>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9D2235"/>
            <w:hideMark/>
          </w:tcPr>
          <w:p w14:paraId="1EB2DCF5" w14:textId="77777777" w:rsidR="003B28A6" w:rsidRDefault="003B28A6">
            <w:pPr>
              <w:pStyle w:val="Standard"/>
              <w:spacing w:line="276" w:lineRule="auto"/>
              <w:jc w:val="center"/>
              <w:rPr>
                <w:rFonts w:ascii="Arial" w:hAnsi="Arial"/>
                <w:b/>
                <w:bCs/>
                <w:color w:val="FFFFFF"/>
                <w:sz w:val="18"/>
                <w:szCs w:val="18"/>
              </w:rPr>
            </w:pPr>
            <w:r>
              <w:rPr>
                <w:rFonts w:ascii="Arial" w:hAnsi="Arial"/>
                <w:b/>
                <w:bCs/>
                <w:color w:val="FFFFFF"/>
                <w:sz w:val="18"/>
                <w:szCs w:val="18"/>
              </w:rPr>
              <w:t>PERIODO MEDIO DE PAGO A PROVEEDORES</w:t>
            </w:r>
          </w:p>
        </w:tc>
      </w:tr>
      <w:tr w:rsidR="003B28A6" w14:paraId="0F410832" w14:textId="77777777" w:rsidTr="003B28A6">
        <w:trPr>
          <w:jc w:val="center"/>
        </w:trPr>
        <w:tc>
          <w:tcPr>
            <w:tcW w:w="685" w:type="pct"/>
            <w:tcBorders>
              <w:top w:val="single" w:sz="4" w:space="0" w:color="auto"/>
              <w:left w:val="single" w:sz="4" w:space="0" w:color="auto"/>
              <w:bottom w:val="single" w:sz="4" w:space="0" w:color="auto"/>
              <w:right w:val="single" w:sz="4" w:space="0" w:color="auto"/>
            </w:tcBorders>
            <w:shd w:val="clear" w:color="auto" w:fill="9D2235"/>
            <w:vAlign w:val="center"/>
            <w:hideMark/>
          </w:tcPr>
          <w:p w14:paraId="1DA3931B" w14:textId="77777777" w:rsidR="003B28A6" w:rsidRDefault="003B28A6">
            <w:pPr>
              <w:pStyle w:val="Standard"/>
              <w:spacing w:line="276" w:lineRule="auto"/>
              <w:jc w:val="center"/>
              <w:rPr>
                <w:rFonts w:ascii="Arial" w:hAnsi="Arial"/>
                <w:b/>
                <w:bCs/>
                <w:color w:val="FFFFFF"/>
                <w:sz w:val="18"/>
                <w:szCs w:val="18"/>
              </w:rPr>
            </w:pPr>
            <w:r>
              <w:rPr>
                <w:rFonts w:ascii="Arial" w:hAnsi="Arial"/>
                <w:b/>
                <w:bCs/>
                <w:color w:val="FFFFFF"/>
                <w:sz w:val="18"/>
                <w:szCs w:val="18"/>
              </w:rPr>
              <w:t>Ejercicio</w:t>
            </w:r>
          </w:p>
        </w:tc>
        <w:tc>
          <w:tcPr>
            <w:tcW w:w="591" w:type="pct"/>
            <w:tcBorders>
              <w:top w:val="single" w:sz="4" w:space="0" w:color="auto"/>
              <w:left w:val="single" w:sz="4" w:space="0" w:color="auto"/>
              <w:bottom w:val="single" w:sz="4" w:space="0" w:color="auto"/>
              <w:right w:val="single" w:sz="4" w:space="0" w:color="auto"/>
            </w:tcBorders>
            <w:shd w:val="clear" w:color="auto" w:fill="9D2235"/>
            <w:vAlign w:val="center"/>
            <w:hideMark/>
          </w:tcPr>
          <w:p w14:paraId="274F3EF0" w14:textId="77777777" w:rsidR="003B28A6" w:rsidRDefault="003B28A6">
            <w:pPr>
              <w:pStyle w:val="Standard"/>
              <w:spacing w:line="276" w:lineRule="auto"/>
              <w:jc w:val="center"/>
              <w:rPr>
                <w:rFonts w:ascii="Arial" w:hAnsi="Arial"/>
                <w:b/>
                <w:bCs/>
                <w:color w:val="FFFFFF"/>
                <w:sz w:val="18"/>
                <w:szCs w:val="18"/>
              </w:rPr>
            </w:pPr>
            <w:r>
              <w:rPr>
                <w:rFonts w:ascii="Arial" w:hAnsi="Arial"/>
                <w:b/>
                <w:bCs/>
                <w:color w:val="FFFFFF"/>
                <w:sz w:val="18"/>
                <w:szCs w:val="18"/>
              </w:rPr>
              <w:t>Trimestre</w:t>
            </w:r>
          </w:p>
        </w:tc>
        <w:tc>
          <w:tcPr>
            <w:tcW w:w="711" w:type="pct"/>
            <w:tcBorders>
              <w:top w:val="single" w:sz="4" w:space="0" w:color="auto"/>
              <w:left w:val="single" w:sz="4" w:space="0" w:color="auto"/>
              <w:bottom w:val="single" w:sz="4" w:space="0" w:color="auto"/>
              <w:right w:val="single" w:sz="4" w:space="0" w:color="auto"/>
            </w:tcBorders>
            <w:shd w:val="clear" w:color="auto" w:fill="9D2235"/>
            <w:vAlign w:val="center"/>
            <w:hideMark/>
          </w:tcPr>
          <w:p w14:paraId="262E45A5" w14:textId="77777777" w:rsidR="003B28A6" w:rsidRDefault="003B28A6">
            <w:pPr>
              <w:pStyle w:val="Standard"/>
              <w:spacing w:line="276" w:lineRule="auto"/>
              <w:jc w:val="center"/>
              <w:rPr>
                <w:rFonts w:ascii="Arial" w:hAnsi="Arial"/>
                <w:b/>
                <w:bCs/>
                <w:color w:val="FFFFFF"/>
                <w:sz w:val="18"/>
                <w:szCs w:val="18"/>
              </w:rPr>
            </w:pPr>
            <w:r>
              <w:rPr>
                <w:rFonts w:ascii="Arial" w:hAnsi="Arial"/>
                <w:b/>
                <w:bCs/>
                <w:color w:val="FFFFFF"/>
                <w:sz w:val="18"/>
                <w:szCs w:val="18"/>
              </w:rPr>
              <w:t>Ratio de operaciones pagadas</w:t>
            </w:r>
          </w:p>
        </w:tc>
        <w:tc>
          <w:tcPr>
            <w:tcW w:w="747" w:type="pct"/>
            <w:tcBorders>
              <w:top w:val="single" w:sz="4" w:space="0" w:color="auto"/>
              <w:left w:val="single" w:sz="4" w:space="0" w:color="auto"/>
              <w:bottom w:val="single" w:sz="4" w:space="0" w:color="auto"/>
              <w:right w:val="single" w:sz="4" w:space="0" w:color="auto"/>
            </w:tcBorders>
            <w:shd w:val="clear" w:color="auto" w:fill="9D2235"/>
            <w:vAlign w:val="center"/>
            <w:hideMark/>
          </w:tcPr>
          <w:p w14:paraId="58329738" w14:textId="77777777" w:rsidR="003B28A6" w:rsidRDefault="003B28A6">
            <w:pPr>
              <w:pStyle w:val="Standard"/>
              <w:spacing w:line="276" w:lineRule="auto"/>
              <w:jc w:val="center"/>
              <w:rPr>
                <w:rFonts w:ascii="Arial" w:hAnsi="Arial"/>
                <w:b/>
                <w:bCs/>
                <w:color w:val="FFFFFF"/>
                <w:sz w:val="18"/>
                <w:szCs w:val="18"/>
              </w:rPr>
            </w:pPr>
            <w:r>
              <w:rPr>
                <w:rFonts w:ascii="Arial" w:hAnsi="Arial"/>
                <w:b/>
                <w:bCs/>
                <w:color w:val="FFFFFF"/>
                <w:sz w:val="18"/>
                <w:szCs w:val="18"/>
              </w:rPr>
              <w:t>Ratio de operaciones pendientes de pago</w:t>
            </w:r>
          </w:p>
        </w:tc>
        <w:tc>
          <w:tcPr>
            <w:tcW w:w="756" w:type="pct"/>
            <w:tcBorders>
              <w:top w:val="single" w:sz="4" w:space="0" w:color="auto"/>
              <w:left w:val="single" w:sz="4" w:space="0" w:color="auto"/>
              <w:bottom w:val="single" w:sz="4" w:space="0" w:color="auto"/>
              <w:right w:val="single" w:sz="4" w:space="0" w:color="auto"/>
            </w:tcBorders>
            <w:shd w:val="clear" w:color="auto" w:fill="9D2235"/>
            <w:vAlign w:val="center"/>
            <w:hideMark/>
          </w:tcPr>
          <w:p w14:paraId="27E015BD" w14:textId="77777777" w:rsidR="003B28A6" w:rsidRDefault="003B28A6">
            <w:pPr>
              <w:pStyle w:val="Standard"/>
              <w:spacing w:line="276" w:lineRule="auto"/>
              <w:jc w:val="center"/>
              <w:rPr>
                <w:rFonts w:ascii="Arial" w:hAnsi="Arial"/>
                <w:b/>
                <w:bCs/>
                <w:color w:val="FFFFFF"/>
                <w:sz w:val="18"/>
                <w:szCs w:val="18"/>
              </w:rPr>
            </w:pPr>
            <w:r>
              <w:rPr>
                <w:rFonts w:ascii="Arial" w:hAnsi="Arial"/>
                <w:b/>
                <w:bCs/>
                <w:color w:val="FFFFFF"/>
                <w:sz w:val="18"/>
                <w:szCs w:val="18"/>
              </w:rPr>
              <w:t>Importe de operaciones pagadas</w:t>
            </w:r>
          </w:p>
        </w:tc>
        <w:tc>
          <w:tcPr>
            <w:tcW w:w="756" w:type="pct"/>
            <w:tcBorders>
              <w:top w:val="single" w:sz="4" w:space="0" w:color="auto"/>
              <w:left w:val="single" w:sz="4" w:space="0" w:color="auto"/>
              <w:bottom w:val="single" w:sz="4" w:space="0" w:color="auto"/>
              <w:right w:val="single" w:sz="4" w:space="0" w:color="auto"/>
            </w:tcBorders>
            <w:shd w:val="clear" w:color="auto" w:fill="9D2235"/>
            <w:vAlign w:val="center"/>
            <w:hideMark/>
          </w:tcPr>
          <w:p w14:paraId="5AAEB7B2" w14:textId="77777777" w:rsidR="003B28A6" w:rsidRDefault="003B28A6">
            <w:pPr>
              <w:pStyle w:val="Standard"/>
              <w:spacing w:line="276" w:lineRule="auto"/>
              <w:jc w:val="center"/>
              <w:rPr>
                <w:rFonts w:ascii="Arial" w:hAnsi="Arial"/>
                <w:b/>
                <w:bCs/>
                <w:color w:val="FFFFFF"/>
                <w:sz w:val="18"/>
                <w:szCs w:val="18"/>
              </w:rPr>
            </w:pPr>
            <w:r>
              <w:rPr>
                <w:rFonts w:ascii="Arial" w:hAnsi="Arial"/>
                <w:b/>
                <w:bCs/>
                <w:color w:val="FFFFFF"/>
                <w:sz w:val="18"/>
                <w:szCs w:val="18"/>
              </w:rPr>
              <w:t>Importe de operaciones pendientes de pago</w:t>
            </w:r>
          </w:p>
        </w:tc>
        <w:tc>
          <w:tcPr>
            <w:tcW w:w="754" w:type="pct"/>
            <w:tcBorders>
              <w:top w:val="single" w:sz="4" w:space="0" w:color="auto"/>
              <w:left w:val="single" w:sz="4" w:space="0" w:color="auto"/>
              <w:bottom w:val="single" w:sz="4" w:space="0" w:color="auto"/>
              <w:right w:val="single" w:sz="4" w:space="0" w:color="auto"/>
            </w:tcBorders>
            <w:shd w:val="clear" w:color="auto" w:fill="9D2235"/>
            <w:vAlign w:val="center"/>
            <w:hideMark/>
          </w:tcPr>
          <w:p w14:paraId="7BC9FECD" w14:textId="77777777" w:rsidR="003B28A6" w:rsidRDefault="003B28A6">
            <w:pPr>
              <w:pStyle w:val="Standard"/>
              <w:spacing w:line="276" w:lineRule="auto"/>
              <w:jc w:val="center"/>
              <w:rPr>
                <w:rFonts w:ascii="Arial" w:hAnsi="Arial"/>
                <w:b/>
                <w:bCs/>
                <w:color w:val="FFFFFF"/>
                <w:sz w:val="18"/>
                <w:szCs w:val="18"/>
              </w:rPr>
            </w:pPr>
            <w:r>
              <w:rPr>
                <w:rFonts w:ascii="Arial" w:hAnsi="Arial"/>
                <w:b/>
                <w:bCs/>
                <w:color w:val="FFFFFF"/>
                <w:sz w:val="18"/>
                <w:szCs w:val="18"/>
              </w:rPr>
              <w:t>Periodo medio de pago trimestral</w:t>
            </w:r>
          </w:p>
        </w:tc>
      </w:tr>
      <w:tr w:rsidR="003B28A6" w14:paraId="746DAB49" w14:textId="77777777" w:rsidTr="003B28A6">
        <w:trPr>
          <w:jc w:val="center"/>
        </w:trPr>
        <w:tc>
          <w:tcPr>
            <w:tcW w:w="685"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4CE4143F" w14:textId="77777777" w:rsidR="003B28A6" w:rsidRDefault="003B28A6">
            <w:pPr>
              <w:pStyle w:val="Standard"/>
              <w:spacing w:line="276" w:lineRule="auto"/>
              <w:jc w:val="center"/>
              <w:rPr>
                <w:rFonts w:ascii="Arial" w:hAnsi="Arial"/>
                <w:color w:val="0C0C0C"/>
                <w:sz w:val="18"/>
                <w:szCs w:val="18"/>
              </w:rPr>
            </w:pPr>
            <w:r>
              <w:rPr>
                <w:rFonts w:ascii="Arial" w:hAnsi="Arial"/>
                <w:color w:val="0C0C0C"/>
                <w:sz w:val="18"/>
                <w:szCs w:val="18"/>
              </w:rPr>
              <w:t>2020</w:t>
            </w:r>
          </w:p>
        </w:tc>
        <w:tc>
          <w:tcPr>
            <w:tcW w:w="591"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64E9838F" w14:textId="77777777" w:rsidR="003B28A6" w:rsidRDefault="003B28A6">
            <w:pPr>
              <w:pStyle w:val="Standard"/>
              <w:spacing w:line="276" w:lineRule="auto"/>
              <w:jc w:val="center"/>
              <w:rPr>
                <w:rFonts w:ascii="Arial" w:hAnsi="Arial"/>
                <w:color w:val="0C0C0C"/>
                <w:sz w:val="18"/>
                <w:szCs w:val="18"/>
              </w:rPr>
            </w:pPr>
            <w:r>
              <w:rPr>
                <w:rFonts w:ascii="Arial" w:hAnsi="Arial"/>
                <w:color w:val="0C0C0C"/>
                <w:sz w:val="18"/>
                <w:szCs w:val="18"/>
              </w:rPr>
              <w:t>4T</w:t>
            </w:r>
          </w:p>
        </w:tc>
        <w:tc>
          <w:tcPr>
            <w:tcW w:w="711"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6D68FA82" w14:textId="77777777" w:rsidR="003B28A6" w:rsidRDefault="003B28A6">
            <w:pPr>
              <w:pStyle w:val="Standard"/>
              <w:spacing w:line="276" w:lineRule="auto"/>
              <w:jc w:val="right"/>
              <w:rPr>
                <w:rFonts w:ascii="Arial" w:hAnsi="Arial"/>
                <w:color w:val="0C0C0C"/>
                <w:sz w:val="18"/>
                <w:szCs w:val="18"/>
              </w:rPr>
            </w:pPr>
            <w:r>
              <w:rPr>
                <w:rFonts w:ascii="Arial" w:hAnsi="Arial"/>
                <w:color w:val="0C0C0C"/>
                <w:sz w:val="18"/>
                <w:szCs w:val="18"/>
              </w:rPr>
              <w:t>42,74</w:t>
            </w:r>
          </w:p>
        </w:tc>
        <w:tc>
          <w:tcPr>
            <w:tcW w:w="747"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6F5F4D34" w14:textId="77777777" w:rsidR="003B28A6" w:rsidRDefault="003B28A6">
            <w:pPr>
              <w:pStyle w:val="Standard"/>
              <w:spacing w:line="276" w:lineRule="auto"/>
              <w:jc w:val="center"/>
              <w:rPr>
                <w:rFonts w:ascii="Arial" w:hAnsi="Arial"/>
                <w:color w:val="0C0C0C"/>
                <w:sz w:val="18"/>
                <w:szCs w:val="18"/>
              </w:rPr>
            </w:pPr>
            <w:r>
              <w:rPr>
                <w:rFonts w:ascii="Arial" w:hAnsi="Arial"/>
                <w:color w:val="0C0C0C"/>
                <w:sz w:val="18"/>
                <w:szCs w:val="18"/>
              </w:rPr>
              <w:t>4,76</w:t>
            </w:r>
          </w:p>
        </w:tc>
        <w:tc>
          <w:tcPr>
            <w:tcW w:w="756"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3621A706" w14:textId="77777777" w:rsidR="003B28A6" w:rsidRDefault="003B28A6">
            <w:pPr>
              <w:pStyle w:val="Standard"/>
              <w:spacing w:line="276" w:lineRule="auto"/>
              <w:jc w:val="right"/>
              <w:rPr>
                <w:rFonts w:ascii="Arial" w:hAnsi="Arial"/>
                <w:color w:val="0C0C0C"/>
                <w:sz w:val="18"/>
                <w:szCs w:val="18"/>
              </w:rPr>
            </w:pPr>
            <w:r>
              <w:rPr>
                <w:rFonts w:ascii="Arial" w:hAnsi="Arial"/>
                <w:color w:val="0C0C0C"/>
                <w:sz w:val="18"/>
                <w:szCs w:val="18"/>
              </w:rPr>
              <w:t>170.270,05</w:t>
            </w:r>
          </w:p>
        </w:tc>
        <w:tc>
          <w:tcPr>
            <w:tcW w:w="756"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441150A5" w14:textId="77777777" w:rsidR="003B28A6" w:rsidRDefault="003B28A6">
            <w:pPr>
              <w:pStyle w:val="Standard"/>
              <w:spacing w:line="276" w:lineRule="auto"/>
              <w:jc w:val="right"/>
              <w:rPr>
                <w:rFonts w:ascii="Arial" w:hAnsi="Arial"/>
                <w:color w:val="0C0C0C"/>
                <w:sz w:val="18"/>
                <w:szCs w:val="18"/>
              </w:rPr>
            </w:pPr>
            <w:r>
              <w:rPr>
                <w:rFonts w:ascii="Arial" w:hAnsi="Arial"/>
                <w:color w:val="0C0C0C"/>
                <w:sz w:val="18"/>
                <w:szCs w:val="18"/>
              </w:rPr>
              <w:t>35.451,83</w:t>
            </w:r>
          </w:p>
        </w:tc>
        <w:tc>
          <w:tcPr>
            <w:tcW w:w="754"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674F9E02" w14:textId="77777777" w:rsidR="003B28A6" w:rsidRDefault="003B28A6">
            <w:pPr>
              <w:pStyle w:val="Standard"/>
              <w:spacing w:line="276" w:lineRule="auto"/>
              <w:jc w:val="center"/>
              <w:rPr>
                <w:rFonts w:ascii="Arial" w:hAnsi="Arial"/>
                <w:color w:val="0C0C0C"/>
                <w:sz w:val="18"/>
                <w:szCs w:val="18"/>
              </w:rPr>
            </w:pPr>
            <w:r>
              <w:rPr>
                <w:rFonts w:ascii="Arial" w:hAnsi="Arial"/>
                <w:color w:val="0C0C0C"/>
                <w:sz w:val="18"/>
                <w:szCs w:val="18"/>
              </w:rPr>
              <w:t>36,19</w:t>
            </w:r>
          </w:p>
        </w:tc>
      </w:tr>
      <w:tr w:rsidR="003B28A6" w14:paraId="14FD3B77" w14:textId="77777777" w:rsidTr="003B28A6">
        <w:trPr>
          <w:jc w:val="center"/>
        </w:trPr>
        <w:tc>
          <w:tcPr>
            <w:tcW w:w="685"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2E50F353" w14:textId="77777777" w:rsidR="003B28A6" w:rsidRDefault="003B28A6">
            <w:pPr>
              <w:pStyle w:val="Standard"/>
              <w:spacing w:line="276" w:lineRule="auto"/>
              <w:jc w:val="center"/>
              <w:rPr>
                <w:rFonts w:ascii="Arial" w:hAnsi="Arial"/>
                <w:color w:val="0C0C0C"/>
                <w:sz w:val="18"/>
                <w:szCs w:val="18"/>
              </w:rPr>
            </w:pPr>
            <w:r>
              <w:rPr>
                <w:rFonts w:ascii="Arial" w:hAnsi="Arial"/>
                <w:color w:val="0C0C0C"/>
                <w:sz w:val="18"/>
                <w:szCs w:val="18"/>
              </w:rPr>
              <w:t>2020</w:t>
            </w:r>
          </w:p>
        </w:tc>
        <w:tc>
          <w:tcPr>
            <w:tcW w:w="591"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72938EE4" w14:textId="77777777" w:rsidR="003B28A6" w:rsidRDefault="003B28A6">
            <w:pPr>
              <w:pStyle w:val="Standard"/>
              <w:spacing w:line="276" w:lineRule="auto"/>
              <w:jc w:val="center"/>
              <w:rPr>
                <w:rFonts w:ascii="Arial" w:hAnsi="Arial"/>
                <w:color w:val="0C0C0C"/>
                <w:sz w:val="18"/>
                <w:szCs w:val="18"/>
              </w:rPr>
            </w:pPr>
            <w:r>
              <w:rPr>
                <w:rFonts w:ascii="Arial" w:hAnsi="Arial"/>
                <w:color w:val="0C0C0C"/>
                <w:sz w:val="18"/>
                <w:szCs w:val="18"/>
              </w:rPr>
              <w:t>3T</w:t>
            </w:r>
          </w:p>
        </w:tc>
        <w:tc>
          <w:tcPr>
            <w:tcW w:w="711"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21DDB592" w14:textId="77777777" w:rsidR="003B28A6" w:rsidRDefault="003B28A6">
            <w:pPr>
              <w:pStyle w:val="Standard"/>
              <w:spacing w:line="276" w:lineRule="auto"/>
              <w:jc w:val="right"/>
              <w:rPr>
                <w:rFonts w:ascii="Arial" w:hAnsi="Arial"/>
                <w:color w:val="0C0C0C"/>
                <w:sz w:val="18"/>
                <w:szCs w:val="18"/>
              </w:rPr>
            </w:pPr>
            <w:r>
              <w:rPr>
                <w:rFonts w:ascii="Arial" w:hAnsi="Arial"/>
                <w:color w:val="0C0C0C"/>
                <w:sz w:val="18"/>
                <w:szCs w:val="18"/>
              </w:rPr>
              <w:t>14,16</w:t>
            </w:r>
          </w:p>
        </w:tc>
        <w:tc>
          <w:tcPr>
            <w:tcW w:w="747"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518B5584" w14:textId="77777777" w:rsidR="003B28A6" w:rsidRDefault="003B28A6">
            <w:pPr>
              <w:pStyle w:val="Standard"/>
              <w:spacing w:line="276" w:lineRule="auto"/>
              <w:jc w:val="center"/>
              <w:rPr>
                <w:rFonts w:ascii="Arial" w:hAnsi="Arial"/>
                <w:color w:val="0C0C0C"/>
                <w:sz w:val="18"/>
                <w:szCs w:val="18"/>
              </w:rPr>
            </w:pPr>
            <w:r>
              <w:rPr>
                <w:rFonts w:ascii="Arial" w:hAnsi="Arial"/>
                <w:color w:val="0C0C0C"/>
                <w:sz w:val="18"/>
                <w:szCs w:val="18"/>
              </w:rPr>
              <w:t>102,58</w:t>
            </w:r>
          </w:p>
        </w:tc>
        <w:tc>
          <w:tcPr>
            <w:tcW w:w="756"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695C7A9F" w14:textId="77777777" w:rsidR="003B28A6" w:rsidRDefault="003B28A6">
            <w:pPr>
              <w:pStyle w:val="Standard"/>
              <w:spacing w:line="276" w:lineRule="auto"/>
              <w:jc w:val="right"/>
              <w:rPr>
                <w:rFonts w:ascii="Arial" w:hAnsi="Arial"/>
                <w:color w:val="0C0C0C"/>
                <w:sz w:val="18"/>
                <w:szCs w:val="18"/>
              </w:rPr>
            </w:pPr>
            <w:r>
              <w:rPr>
                <w:rFonts w:ascii="Arial" w:hAnsi="Arial"/>
                <w:color w:val="0C0C0C"/>
                <w:sz w:val="18"/>
                <w:szCs w:val="18"/>
              </w:rPr>
              <w:t>70.568,55</w:t>
            </w:r>
          </w:p>
        </w:tc>
        <w:tc>
          <w:tcPr>
            <w:tcW w:w="756"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1BD92584" w14:textId="77777777" w:rsidR="003B28A6" w:rsidRDefault="003B28A6">
            <w:pPr>
              <w:pStyle w:val="Standard"/>
              <w:spacing w:line="276" w:lineRule="auto"/>
              <w:jc w:val="right"/>
              <w:rPr>
                <w:rFonts w:ascii="Arial" w:hAnsi="Arial"/>
                <w:color w:val="0C0C0C"/>
                <w:sz w:val="18"/>
                <w:szCs w:val="18"/>
              </w:rPr>
            </w:pPr>
            <w:r>
              <w:rPr>
                <w:rFonts w:ascii="Arial" w:hAnsi="Arial"/>
                <w:color w:val="0C0C0C"/>
                <w:sz w:val="18"/>
                <w:szCs w:val="18"/>
              </w:rPr>
              <w:t>52.426,28</w:t>
            </w:r>
          </w:p>
        </w:tc>
        <w:tc>
          <w:tcPr>
            <w:tcW w:w="754"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7481072D" w14:textId="77777777" w:rsidR="003B28A6" w:rsidRDefault="003B28A6">
            <w:pPr>
              <w:pStyle w:val="Standard"/>
              <w:spacing w:line="276" w:lineRule="auto"/>
              <w:jc w:val="center"/>
              <w:rPr>
                <w:rFonts w:ascii="Arial" w:hAnsi="Arial"/>
                <w:color w:val="0C0C0C"/>
                <w:sz w:val="18"/>
                <w:szCs w:val="18"/>
              </w:rPr>
            </w:pPr>
            <w:r>
              <w:rPr>
                <w:rFonts w:ascii="Arial" w:hAnsi="Arial"/>
                <w:color w:val="0C0C0C"/>
                <w:sz w:val="18"/>
                <w:szCs w:val="18"/>
              </w:rPr>
              <w:t>51,85</w:t>
            </w:r>
          </w:p>
        </w:tc>
      </w:tr>
      <w:tr w:rsidR="003B28A6" w14:paraId="6B9F4C5A" w14:textId="77777777" w:rsidTr="003B28A6">
        <w:trPr>
          <w:jc w:val="center"/>
        </w:trPr>
        <w:tc>
          <w:tcPr>
            <w:tcW w:w="685"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51DF1048" w14:textId="77777777" w:rsidR="003B28A6" w:rsidRDefault="003B28A6">
            <w:pPr>
              <w:pStyle w:val="Standard"/>
              <w:spacing w:line="276" w:lineRule="auto"/>
              <w:jc w:val="center"/>
              <w:rPr>
                <w:rFonts w:ascii="Arial" w:hAnsi="Arial"/>
                <w:color w:val="0C0C0C"/>
                <w:sz w:val="18"/>
                <w:szCs w:val="18"/>
              </w:rPr>
            </w:pPr>
            <w:r>
              <w:rPr>
                <w:rFonts w:ascii="Arial" w:hAnsi="Arial"/>
                <w:color w:val="0C0C0C"/>
                <w:sz w:val="18"/>
                <w:szCs w:val="18"/>
              </w:rPr>
              <w:t>2020</w:t>
            </w:r>
          </w:p>
        </w:tc>
        <w:tc>
          <w:tcPr>
            <w:tcW w:w="591"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75808201" w14:textId="77777777" w:rsidR="003B28A6" w:rsidRDefault="003B28A6">
            <w:pPr>
              <w:pStyle w:val="Standard"/>
              <w:spacing w:line="276" w:lineRule="auto"/>
              <w:jc w:val="center"/>
              <w:rPr>
                <w:rFonts w:ascii="Arial" w:hAnsi="Arial"/>
                <w:color w:val="0C0C0C"/>
                <w:sz w:val="18"/>
                <w:szCs w:val="18"/>
              </w:rPr>
            </w:pPr>
            <w:r>
              <w:rPr>
                <w:rFonts w:ascii="Arial" w:hAnsi="Arial"/>
                <w:color w:val="0C0C0C"/>
                <w:sz w:val="18"/>
                <w:szCs w:val="18"/>
              </w:rPr>
              <w:t>2T</w:t>
            </w:r>
          </w:p>
        </w:tc>
        <w:tc>
          <w:tcPr>
            <w:tcW w:w="711"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5E085720" w14:textId="77777777" w:rsidR="003B28A6" w:rsidRDefault="003B28A6">
            <w:pPr>
              <w:pStyle w:val="Standard"/>
              <w:spacing w:line="276" w:lineRule="auto"/>
              <w:jc w:val="right"/>
              <w:rPr>
                <w:rFonts w:ascii="Arial" w:hAnsi="Arial"/>
                <w:color w:val="0C0C0C"/>
                <w:sz w:val="18"/>
                <w:szCs w:val="18"/>
              </w:rPr>
            </w:pPr>
            <w:r>
              <w:rPr>
                <w:rFonts w:ascii="Arial" w:hAnsi="Arial"/>
                <w:color w:val="0C0C0C"/>
                <w:sz w:val="18"/>
                <w:szCs w:val="18"/>
              </w:rPr>
              <w:t>14,33</w:t>
            </w:r>
          </w:p>
        </w:tc>
        <w:tc>
          <w:tcPr>
            <w:tcW w:w="747"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01033CB9" w14:textId="77777777" w:rsidR="003B28A6" w:rsidRDefault="003B28A6">
            <w:pPr>
              <w:pStyle w:val="Standard"/>
              <w:spacing w:line="276" w:lineRule="auto"/>
              <w:jc w:val="center"/>
              <w:rPr>
                <w:rFonts w:ascii="Arial" w:hAnsi="Arial"/>
                <w:color w:val="0C0C0C"/>
                <w:sz w:val="18"/>
                <w:szCs w:val="18"/>
              </w:rPr>
            </w:pPr>
            <w:r>
              <w:rPr>
                <w:rFonts w:ascii="Arial" w:hAnsi="Arial"/>
                <w:color w:val="0C0C0C"/>
                <w:sz w:val="18"/>
                <w:szCs w:val="18"/>
              </w:rPr>
              <w:t>48,57</w:t>
            </w:r>
          </w:p>
        </w:tc>
        <w:tc>
          <w:tcPr>
            <w:tcW w:w="756"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743D2D5E" w14:textId="77777777" w:rsidR="003B28A6" w:rsidRDefault="003B28A6">
            <w:pPr>
              <w:pStyle w:val="Standard"/>
              <w:spacing w:line="276" w:lineRule="auto"/>
              <w:jc w:val="right"/>
              <w:rPr>
                <w:rFonts w:ascii="Arial" w:hAnsi="Arial"/>
                <w:color w:val="0C0C0C"/>
                <w:sz w:val="18"/>
                <w:szCs w:val="18"/>
              </w:rPr>
            </w:pPr>
            <w:r>
              <w:rPr>
                <w:rFonts w:ascii="Arial" w:hAnsi="Arial"/>
                <w:color w:val="0C0C0C"/>
                <w:sz w:val="18"/>
                <w:szCs w:val="18"/>
              </w:rPr>
              <w:t>56.662,86</w:t>
            </w:r>
          </w:p>
        </w:tc>
        <w:tc>
          <w:tcPr>
            <w:tcW w:w="756"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6A0256C6" w14:textId="77777777" w:rsidR="003B28A6" w:rsidRDefault="003B28A6">
            <w:pPr>
              <w:pStyle w:val="Standard"/>
              <w:spacing w:line="276" w:lineRule="auto"/>
              <w:jc w:val="right"/>
              <w:rPr>
                <w:rFonts w:ascii="Arial" w:hAnsi="Arial"/>
                <w:color w:val="0C0C0C"/>
                <w:sz w:val="18"/>
                <w:szCs w:val="18"/>
              </w:rPr>
            </w:pPr>
            <w:r>
              <w:rPr>
                <w:rFonts w:ascii="Arial" w:hAnsi="Arial"/>
                <w:color w:val="0C0C0C"/>
                <w:sz w:val="18"/>
                <w:szCs w:val="18"/>
              </w:rPr>
              <w:t>49.092,59</w:t>
            </w:r>
          </w:p>
        </w:tc>
        <w:tc>
          <w:tcPr>
            <w:tcW w:w="754"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76C7D766" w14:textId="77777777" w:rsidR="003B28A6" w:rsidRDefault="003B28A6">
            <w:pPr>
              <w:pStyle w:val="Standard"/>
              <w:spacing w:line="276" w:lineRule="auto"/>
              <w:jc w:val="center"/>
              <w:rPr>
                <w:rFonts w:ascii="Arial" w:hAnsi="Arial"/>
                <w:color w:val="0C0C0C"/>
                <w:sz w:val="18"/>
                <w:szCs w:val="18"/>
              </w:rPr>
            </w:pPr>
            <w:r>
              <w:rPr>
                <w:rFonts w:ascii="Arial" w:hAnsi="Arial"/>
                <w:color w:val="0C0C0C"/>
                <w:sz w:val="18"/>
                <w:szCs w:val="18"/>
              </w:rPr>
              <w:t>30,22</w:t>
            </w:r>
          </w:p>
        </w:tc>
      </w:tr>
      <w:tr w:rsidR="003B28A6" w14:paraId="1224E895" w14:textId="77777777" w:rsidTr="003B28A6">
        <w:trPr>
          <w:jc w:val="center"/>
        </w:trPr>
        <w:tc>
          <w:tcPr>
            <w:tcW w:w="685"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594112E7" w14:textId="77777777" w:rsidR="003B28A6" w:rsidRDefault="003B28A6">
            <w:pPr>
              <w:pStyle w:val="Standard"/>
              <w:spacing w:line="276" w:lineRule="auto"/>
              <w:jc w:val="center"/>
              <w:rPr>
                <w:rFonts w:ascii="Arial" w:hAnsi="Arial"/>
                <w:color w:val="0C0C0C"/>
                <w:sz w:val="18"/>
                <w:szCs w:val="18"/>
              </w:rPr>
            </w:pPr>
            <w:r>
              <w:rPr>
                <w:rFonts w:ascii="Arial" w:hAnsi="Arial"/>
                <w:color w:val="0C0C0C"/>
                <w:sz w:val="18"/>
                <w:szCs w:val="18"/>
              </w:rPr>
              <w:t>2020</w:t>
            </w:r>
          </w:p>
        </w:tc>
        <w:tc>
          <w:tcPr>
            <w:tcW w:w="591"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307F0BA6" w14:textId="77777777" w:rsidR="003B28A6" w:rsidRDefault="003B28A6">
            <w:pPr>
              <w:pStyle w:val="Standard"/>
              <w:spacing w:line="276" w:lineRule="auto"/>
              <w:jc w:val="center"/>
              <w:rPr>
                <w:rFonts w:ascii="Arial" w:hAnsi="Arial"/>
                <w:color w:val="0C0C0C"/>
                <w:sz w:val="18"/>
                <w:szCs w:val="18"/>
              </w:rPr>
            </w:pPr>
            <w:r>
              <w:rPr>
                <w:rFonts w:ascii="Arial" w:hAnsi="Arial"/>
                <w:color w:val="0C0C0C"/>
                <w:sz w:val="18"/>
                <w:szCs w:val="18"/>
              </w:rPr>
              <w:t>1T</w:t>
            </w:r>
          </w:p>
        </w:tc>
        <w:tc>
          <w:tcPr>
            <w:tcW w:w="711"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14EEB015" w14:textId="77777777" w:rsidR="003B28A6" w:rsidRDefault="003B28A6">
            <w:pPr>
              <w:pStyle w:val="Standard"/>
              <w:spacing w:line="276" w:lineRule="auto"/>
              <w:jc w:val="right"/>
              <w:rPr>
                <w:rFonts w:ascii="Arial" w:hAnsi="Arial"/>
                <w:color w:val="0C0C0C"/>
                <w:sz w:val="18"/>
                <w:szCs w:val="18"/>
              </w:rPr>
            </w:pPr>
            <w:r>
              <w:rPr>
                <w:rFonts w:ascii="Arial" w:hAnsi="Arial"/>
                <w:color w:val="0C0C0C"/>
                <w:sz w:val="18"/>
                <w:szCs w:val="18"/>
              </w:rPr>
              <w:t>29,93</w:t>
            </w:r>
          </w:p>
        </w:tc>
        <w:tc>
          <w:tcPr>
            <w:tcW w:w="747"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23E5C1C4" w14:textId="77777777" w:rsidR="003B28A6" w:rsidRDefault="003B28A6">
            <w:pPr>
              <w:pStyle w:val="Standard"/>
              <w:spacing w:line="276" w:lineRule="auto"/>
              <w:jc w:val="center"/>
              <w:rPr>
                <w:rFonts w:ascii="Arial" w:hAnsi="Arial"/>
                <w:color w:val="0C0C0C"/>
                <w:sz w:val="18"/>
                <w:szCs w:val="18"/>
              </w:rPr>
            </w:pPr>
            <w:r>
              <w:rPr>
                <w:rFonts w:ascii="Arial" w:hAnsi="Arial"/>
                <w:color w:val="0C0C0C"/>
                <w:sz w:val="18"/>
                <w:szCs w:val="18"/>
              </w:rPr>
              <w:t>19,58</w:t>
            </w:r>
          </w:p>
        </w:tc>
        <w:tc>
          <w:tcPr>
            <w:tcW w:w="756"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40472F28" w14:textId="77777777" w:rsidR="003B28A6" w:rsidRDefault="003B28A6">
            <w:pPr>
              <w:pStyle w:val="Standard"/>
              <w:spacing w:line="276" w:lineRule="auto"/>
              <w:jc w:val="right"/>
              <w:rPr>
                <w:rFonts w:ascii="Arial" w:hAnsi="Arial"/>
                <w:color w:val="0C0C0C"/>
                <w:sz w:val="18"/>
                <w:szCs w:val="18"/>
              </w:rPr>
            </w:pPr>
            <w:r>
              <w:rPr>
                <w:rFonts w:ascii="Arial" w:hAnsi="Arial"/>
                <w:color w:val="0C0C0C"/>
                <w:sz w:val="18"/>
                <w:szCs w:val="18"/>
              </w:rPr>
              <w:t>145.585,85</w:t>
            </w:r>
          </w:p>
        </w:tc>
        <w:tc>
          <w:tcPr>
            <w:tcW w:w="756"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05E8D8CB" w14:textId="77777777" w:rsidR="003B28A6" w:rsidRDefault="003B28A6">
            <w:pPr>
              <w:pStyle w:val="Standard"/>
              <w:spacing w:line="276" w:lineRule="auto"/>
              <w:jc w:val="right"/>
              <w:rPr>
                <w:rFonts w:ascii="Arial" w:hAnsi="Arial"/>
                <w:color w:val="0C0C0C"/>
                <w:sz w:val="18"/>
                <w:szCs w:val="18"/>
              </w:rPr>
            </w:pPr>
            <w:r>
              <w:rPr>
                <w:rFonts w:ascii="Arial" w:hAnsi="Arial"/>
                <w:color w:val="0C0C0C"/>
                <w:sz w:val="18"/>
                <w:szCs w:val="18"/>
              </w:rPr>
              <w:t>4.770,96</w:t>
            </w:r>
          </w:p>
        </w:tc>
        <w:tc>
          <w:tcPr>
            <w:tcW w:w="754"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50D18D41" w14:textId="77777777" w:rsidR="003B28A6" w:rsidRDefault="003B28A6">
            <w:pPr>
              <w:pStyle w:val="Standard"/>
              <w:spacing w:line="276" w:lineRule="auto"/>
              <w:jc w:val="center"/>
              <w:rPr>
                <w:rFonts w:ascii="Arial" w:hAnsi="Arial"/>
                <w:color w:val="0C0C0C"/>
                <w:sz w:val="18"/>
                <w:szCs w:val="18"/>
              </w:rPr>
            </w:pPr>
            <w:r>
              <w:rPr>
                <w:rFonts w:ascii="Arial" w:hAnsi="Arial"/>
                <w:color w:val="0C0C0C"/>
                <w:sz w:val="18"/>
                <w:szCs w:val="18"/>
              </w:rPr>
              <w:t>29,60</w:t>
            </w:r>
          </w:p>
        </w:tc>
      </w:tr>
    </w:tbl>
    <w:p w14:paraId="2CFB5A2C" w14:textId="77777777" w:rsidR="003B28A6" w:rsidRPr="00837C34" w:rsidRDefault="003B28A6" w:rsidP="00837C34">
      <w:pPr>
        <w:pStyle w:val="Ttulo3"/>
        <w:numPr>
          <w:ilvl w:val="2"/>
          <w:numId w:val="57"/>
        </w:numPr>
        <w:spacing w:before="360" w:after="240" w:line="276" w:lineRule="auto"/>
        <w:ind w:left="1134" w:hanging="1134"/>
        <w:rPr>
          <w:rFonts w:ascii="Arial" w:hAnsi="Arial" w:cs="Arial"/>
          <w:b/>
          <w:bCs/>
          <w:color w:val="9D2235" w:themeColor="accent1"/>
        </w:rPr>
      </w:pPr>
      <w:bookmarkStart w:id="363" w:name="_Toc66438655"/>
      <w:bookmarkStart w:id="364" w:name="_Toc67646330"/>
      <w:r w:rsidRPr="00837C34">
        <w:rPr>
          <w:rFonts w:ascii="Arial" w:hAnsi="Arial" w:cs="Arial"/>
          <w:b/>
          <w:bCs/>
          <w:color w:val="9D2235" w:themeColor="accent1"/>
        </w:rPr>
        <w:t>Contratación</w:t>
      </w:r>
      <w:bookmarkEnd w:id="363"/>
      <w:bookmarkEnd w:id="364"/>
    </w:p>
    <w:p w14:paraId="41BF0CBF" w14:textId="77777777" w:rsidR="003B28A6" w:rsidRDefault="003B28A6" w:rsidP="003B28A6">
      <w:pPr>
        <w:pStyle w:val="Standard"/>
        <w:spacing w:after="240" w:line="276" w:lineRule="auto"/>
        <w:jc w:val="both"/>
      </w:pPr>
      <w:r>
        <w:rPr>
          <w:rFonts w:ascii="Arial" w:hAnsi="Arial"/>
          <w:sz w:val="21"/>
          <w:szCs w:val="21"/>
        </w:rPr>
        <w:t>La actividad contractual de la Agencia durante el ejercicio 2020 ha venido marcada con la clara intención de consolidar la estructura que sirve de soporte a la actividad funcional de la Agencia, así como por la situación de alarma sanitaria que ha marcado la vida política, social y administrativa de 2020 y aún en la fecha de elaboración de esta Memoria.</w:t>
      </w:r>
    </w:p>
    <w:p w14:paraId="5958CF28" w14:textId="77777777" w:rsidR="003B28A6" w:rsidRDefault="003B28A6" w:rsidP="003B28A6">
      <w:pPr>
        <w:pStyle w:val="Standard"/>
        <w:spacing w:after="240" w:line="276" w:lineRule="auto"/>
        <w:jc w:val="both"/>
      </w:pPr>
      <w:r>
        <w:rPr>
          <w:rFonts w:ascii="Arial" w:hAnsi="Arial"/>
          <w:sz w:val="21"/>
          <w:szCs w:val="21"/>
        </w:rPr>
        <w:t>Al igual que en años precedentes, en 2020 se ha tratado de articular los procedimientos de contratación a través de las centrales de contratación estatal y autonómica, que proporcionan, no sólo obtener las economías de escala derivada de este sistema de contratación, sino también una aplicación eficiente de los escasos recursos humanos de los que dispone el área de administración en general.</w:t>
      </w:r>
    </w:p>
    <w:p w14:paraId="3F100E38" w14:textId="0FE93F75" w:rsidR="003B28A6" w:rsidRDefault="003B28A6" w:rsidP="003B28A6">
      <w:pPr>
        <w:pStyle w:val="Standard"/>
        <w:spacing w:after="240" w:line="276" w:lineRule="auto"/>
        <w:jc w:val="both"/>
        <w:rPr>
          <w:rFonts w:ascii="Arial" w:hAnsi="Arial"/>
          <w:sz w:val="21"/>
          <w:szCs w:val="21"/>
        </w:rPr>
      </w:pPr>
      <w:r>
        <w:rPr>
          <w:rFonts w:ascii="Arial" w:hAnsi="Arial"/>
          <w:sz w:val="21"/>
          <w:szCs w:val="21"/>
        </w:rPr>
        <w:t>A 31 de diciembre de 2020 estaban vigentes los acuerdos marco que seguidamente se relacionan:</w:t>
      </w:r>
    </w:p>
    <w:p w14:paraId="023412B2" w14:textId="77777777" w:rsidR="003E7826" w:rsidRDefault="003E7826" w:rsidP="003B28A6">
      <w:pPr>
        <w:pStyle w:val="Standard"/>
        <w:spacing w:after="240" w:line="276" w:lineRule="auto"/>
        <w:jc w:val="both"/>
        <w:rPr>
          <w:rFonts w:ascii="Arial" w:hAnsi="Arial"/>
          <w:sz w:val="21"/>
          <w:szCs w:val="21"/>
        </w:rPr>
      </w:pPr>
    </w:p>
    <w:p w14:paraId="65FE4844" w14:textId="4BD65B87" w:rsidR="003B28A6" w:rsidRPr="00F8714B" w:rsidRDefault="003B28A6" w:rsidP="003B28A6">
      <w:pPr>
        <w:pStyle w:val="Descripcin"/>
        <w:keepNext/>
        <w:jc w:val="both"/>
        <w:rPr>
          <w:rFonts w:ascii="Arial" w:hAnsi="Arial" w:cs="Arial"/>
          <w:smallCaps w:val="0"/>
          <w:sz w:val="18"/>
        </w:rPr>
      </w:pPr>
      <w:bookmarkStart w:id="365" w:name="_Toc66443903"/>
      <w:bookmarkStart w:id="366" w:name="_Toc67646372"/>
      <w:r w:rsidRPr="00F8714B">
        <w:rPr>
          <w:rFonts w:ascii="Arial" w:hAnsi="Arial" w:cs="Arial"/>
          <w:smallCaps w:val="0"/>
          <w:color w:val="9D2235" w:themeColor="accent1"/>
          <w:sz w:val="18"/>
        </w:rPr>
        <w:t xml:space="preserve">Tabla </w:t>
      </w:r>
      <w:r w:rsidRPr="00F8714B">
        <w:rPr>
          <w:rFonts w:ascii="Arial" w:hAnsi="Arial" w:cs="Arial"/>
          <w:smallCaps w:val="0"/>
          <w:sz w:val="18"/>
        </w:rPr>
        <w:fldChar w:fldCharType="begin"/>
      </w:r>
      <w:r w:rsidRPr="00F8714B">
        <w:rPr>
          <w:rFonts w:ascii="Arial" w:hAnsi="Arial" w:cs="Arial"/>
          <w:smallCaps w:val="0"/>
          <w:color w:val="9D2235" w:themeColor="accent1"/>
          <w:sz w:val="18"/>
        </w:rPr>
        <w:instrText xml:space="preserve"> SEQ Tabla \* ARABIC </w:instrText>
      </w:r>
      <w:r w:rsidRPr="00F8714B">
        <w:rPr>
          <w:rFonts w:ascii="Arial" w:hAnsi="Arial" w:cs="Arial"/>
          <w:smallCaps w:val="0"/>
          <w:sz w:val="18"/>
        </w:rPr>
        <w:fldChar w:fldCharType="separate"/>
      </w:r>
      <w:r w:rsidR="00ED7F0D">
        <w:rPr>
          <w:rFonts w:ascii="Arial" w:hAnsi="Arial" w:cs="Arial"/>
          <w:smallCaps w:val="0"/>
          <w:noProof/>
          <w:color w:val="9D2235" w:themeColor="accent1"/>
          <w:sz w:val="18"/>
        </w:rPr>
        <w:t>35</w:t>
      </w:r>
      <w:r w:rsidRPr="00F8714B">
        <w:rPr>
          <w:rFonts w:ascii="Arial" w:hAnsi="Arial" w:cs="Arial"/>
          <w:smallCaps w:val="0"/>
          <w:sz w:val="18"/>
        </w:rPr>
        <w:fldChar w:fldCharType="end"/>
      </w:r>
      <w:r w:rsidRPr="00F8714B">
        <w:rPr>
          <w:rFonts w:ascii="Arial" w:hAnsi="Arial" w:cs="Arial"/>
          <w:smallCaps w:val="0"/>
          <w:color w:val="9D2235" w:themeColor="accent1"/>
          <w:sz w:val="18"/>
        </w:rPr>
        <w:t xml:space="preserve">. </w:t>
      </w:r>
      <w:r w:rsidRPr="00F8714B">
        <w:rPr>
          <w:rFonts w:ascii="Arial" w:hAnsi="Arial" w:cs="Arial"/>
          <w:smallCaps w:val="0"/>
          <w:sz w:val="18"/>
        </w:rPr>
        <w:t>Acuerdos Marco de la Central de Compras de la Generalitat a los que la Agencia está adherida a 31/12/2020</w:t>
      </w:r>
      <w:bookmarkEnd w:id="365"/>
      <w:bookmarkEnd w:id="366"/>
    </w:p>
    <w:tbl>
      <w:tblPr>
        <w:tblW w:w="5000" w:type="pct"/>
        <w:tblCellMar>
          <w:top w:w="55" w:type="dxa"/>
          <w:left w:w="55" w:type="dxa"/>
          <w:bottom w:w="55" w:type="dxa"/>
          <w:right w:w="55" w:type="dxa"/>
        </w:tblCellMar>
        <w:tblLook w:val="04A0" w:firstRow="1" w:lastRow="0" w:firstColumn="1" w:lastColumn="0" w:noHBand="0" w:noVBand="1"/>
      </w:tblPr>
      <w:tblGrid>
        <w:gridCol w:w="8504"/>
      </w:tblGrid>
      <w:tr w:rsidR="003B28A6" w14:paraId="6B009429" w14:textId="77777777" w:rsidTr="003B28A6">
        <w:trPr>
          <w:tblHeader/>
        </w:trPr>
        <w:tc>
          <w:tcPr>
            <w:tcW w:w="5000" w:type="pct"/>
            <w:tcBorders>
              <w:top w:val="single" w:sz="4" w:space="0" w:color="993333"/>
              <w:left w:val="nil"/>
              <w:bottom w:val="single" w:sz="4" w:space="0" w:color="993333"/>
              <w:right w:val="nil"/>
            </w:tcBorders>
            <w:shd w:val="clear" w:color="auto" w:fill="9D2235"/>
            <w:vAlign w:val="center"/>
            <w:hideMark/>
          </w:tcPr>
          <w:p w14:paraId="6727554F" w14:textId="77777777" w:rsidR="003B28A6" w:rsidRDefault="003B28A6">
            <w:pPr>
              <w:pStyle w:val="Contenidodelatabla"/>
              <w:spacing w:line="276" w:lineRule="auto"/>
              <w:jc w:val="center"/>
              <w:rPr>
                <w:rFonts w:ascii="Arial" w:hAnsi="Arial"/>
                <w:b/>
                <w:bCs/>
                <w:color w:val="FFFFFF"/>
                <w:sz w:val="18"/>
                <w:szCs w:val="18"/>
              </w:rPr>
            </w:pPr>
            <w:r>
              <w:rPr>
                <w:rFonts w:ascii="Arial" w:hAnsi="Arial"/>
                <w:b/>
                <w:bCs/>
                <w:color w:val="FFFFFF"/>
                <w:sz w:val="18"/>
                <w:szCs w:val="18"/>
              </w:rPr>
              <w:t>Acuerdo Marco</w:t>
            </w:r>
          </w:p>
        </w:tc>
      </w:tr>
      <w:tr w:rsidR="003B28A6" w14:paraId="20502E7A" w14:textId="77777777" w:rsidTr="003B28A6">
        <w:tc>
          <w:tcPr>
            <w:tcW w:w="5000" w:type="pct"/>
            <w:tcBorders>
              <w:top w:val="nil"/>
              <w:left w:val="nil"/>
              <w:bottom w:val="single" w:sz="4" w:space="0" w:color="993333"/>
              <w:right w:val="nil"/>
            </w:tcBorders>
            <w:shd w:val="clear" w:color="auto" w:fill="FFFFFF"/>
            <w:hideMark/>
          </w:tcPr>
          <w:p w14:paraId="1040C848" w14:textId="77777777" w:rsidR="003B28A6" w:rsidRDefault="003B28A6">
            <w:pPr>
              <w:pStyle w:val="Contenidodelatabla"/>
              <w:spacing w:line="276" w:lineRule="auto"/>
              <w:jc w:val="both"/>
              <w:rPr>
                <w:rFonts w:ascii="Arial" w:hAnsi="Arial"/>
                <w:sz w:val="18"/>
                <w:szCs w:val="18"/>
              </w:rPr>
            </w:pPr>
            <w:r>
              <w:rPr>
                <w:rFonts w:ascii="Arial" w:hAnsi="Arial"/>
                <w:sz w:val="18"/>
                <w:szCs w:val="18"/>
              </w:rPr>
              <w:t>Acuerdo Marco 1/18CC para la contratación centralizada del suministro de energía eléctrica destinada a los puntos de suministro eléctrico de instalaciones utilizadas por la Administración de la Generalitat, su sector público instrumental y entidades adheridas</w:t>
            </w:r>
          </w:p>
        </w:tc>
      </w:tr>
      <w:tr w:rsidR="003B28A6" w14:paraId="72DD822A" w14:textId="77777777" w:rsidTr="003B28A6">
        <w:tc>
          <w:tcPr>
            <w:tcW w:w="5000" w:type="pct"/>
            <w:tcBorders>
              <w:top w:val="nil"/>
              <w:left w:val="nil"/>
              <w:bottom w:val="single" w:sz="4" w:space="0" w:color="993333"/>
              <w:right w:val="nil"/>
            </w:tcBorders>
            <w:shd w:val="clear" w:color="auto" w:fill="FFFFFF"/>
            <w:hideMark/>
          </w:tcPr>
          <w:p w14:paraId="3F13BA43" w14:textId="77777777" w:rsidR="003B28A6" w:rsidRDefault="003B28A6">
            <w:pPr>
              <w:pStyle w:val="Contenidodelatabla"/>
              <w:spacing w:line="276" w:lineRule="auto"/>
              <w:jc w:val="both"/>
              <w:rPr>
                <w:rFonts w:ascii="Arial" w:hAnsi="Arial"/>
                <w:sz w:val="18"/>
                <w:szCs w:val="18"/>
              </w:rPr>
            </w:pPr>
            <w:r>
              <w:rPr>
                <w:rFonts w:ascii="Arial" w:hAnsi="Arial"/>
                <w:sz w:val="18"/>
                <w:szCs w:val="18"/>
              </w:rPr>
              <w:t>Acuerdo Marco 2/18CC para la contratación centralizada de los servicios de mediación de seguros para la Administración de la Generalitat, su sector público instrumental y entidades adheridas</w:t>
            </w:r>
          </w:p>
        </w:tc>
      </w:tr>
      <w:tr w:rsidR="003B28A6" w14:paraId="044A7BA7" w14:textId="77777777" w:rsidTr="003B28A6">
        <w:tc>
          <w:tcPr>
            <w:tcW w:w="5000" w:type="pct"/>
            <w:tcBorders>
              <w:top w:val="nil"/>
              <w:left w:val="nil"/>
              <w:bottom w:val="single" w:sz="4" w:space="0" w:color="993333"/>
              <w:right w:val="nil"/>
            </w:tcBorders>
            <w:shd w:val="clear" w:color="auto" w:fill="FFFFFF"/>
            <w:hideMark/>
          </w:tcPr>
          <w:p w14:paraId="36D77FB1" w14:textId="77777777" w:rsidR="003B28A6" w:rsidRDefault="003B28A6">
            <w:pPr>
              <w:pStyle w:val="Contenidodelatabla"/>
              <w:spacing w:line="276" w:lineRule="auto"/>
              <w:jc w:val="both"/>
              <w:rPr>
                <w:rFonts w:ascii="Arial" w:hAnsi="Arial"/>
                <w:sz w:val="18"/>
                <w:szCs w:val="18"/>
              </w:rPr>
            </w:pPr>
            <w:r>
              <w:rPr>
                <w:rFonts w:ascii="Arial" w:hAnsi="Arial"/>
                <w:sz w:val="18"/>
                <w:szCs w:val="18"/>
              </w:rPr>
              <w:t>Acuerdo Marco 3/18CC para la contratación centralizada del suministro de papel y material de oficina e informático no inventariable</w:t>
            </w:r>
          </w:p>
        </w:tc>
      </w:tr>
      <w:tr w:rsidR="003B28A6" w14:paraId="2F81BB13" w14:textId="77777777" w:rsidTr="003B28A6">
        <w:tc>
          <w:tcPr>
            <w:tcW w:w="5000" w:type="pct"/>
            <w:tcBorders>
              <w:top w:val="nil"/>
              <w:left w:val="nil"/>
              <w:bottom w:val="single" w:sz="4" w:space="0" w:color="993333"/>
              <w:right w:val="nil"/>
            </w:tcBorders>
            <w:shd w:val="clear" w:color="auto" w:fill="FFFFFF"/>
            <w:hideMark/>
          </w:tcPr>
          <w:p w14:paraId="38765AAF" w14:textId="77777777" w:rsidR="003B28A6" w:rsidRDefault="003B28A6">
            <w:pPr>
              <w:pStyle w:val="Contenidodelatabla"/>
              <w:spacing w:line="276" w:lineRule="auto"/>
              <w:jc w:val="both"/>
              <w:rPr>
                <w:rFonts w:ascii="Arial" w:hAnsi="Arial"/>
                <w:sz w:val="18"/>
                <w:szCs w:val="18"/>
              </w:rPr>
            </w:pPr>
            <w:r>
              <w:rPr>
                <w:rFonts w:ascii="Arial" w:hAnsi="Arial"/>
                <w:sz w:val="18"/>
                <w:szCs w:val="18"/>
              </w:rPr>
              <w:t>Acuerdo Marco 6/18CC para la contratación de los servicios de vigilancia y seguridad de edificios de la Administración de la Generalitat, su sector público instrumental y entidades adheridas</w:t>
            </w:r>
          </w:p>
        </w:tc>
      </w:tr>
      <w:tr w:rsidR="003B28A6" w14:paraId="5B98BA30" w14:textId="77777777" w:rsidTr="003B28A6">
        <w:tc>
          <w:tcPr>
            <w:tcW w:w="5000" w:type="pct"/>
            <w:tcBorders>
              <w:top w:val="nil"/>
              <w:left w:val="nil"/>
              <w:bottom w:val="single" w:sz="4" w:space="0" w:color="993333"/>
              <w:right w:val="nil"/>
            </w:tcBorders>
            <w:shd w:val="clear" w:color="auto" w:fill="FFFFFF"/>
            <w:hideMark/>
          </w:tcPr>
          <w:p w14:paraId="1EF29707" w14:textId="77777777" w:rsidR="003B28A6" w:rsidRDefault="003B28A6">
            <w:pPr>
              <w:pStyle w:val="Contenidodelatabla"/>
              <w:spacing w:line="276" w:lineRule="auto"/>
              <w:jc w:val="both"/>
              <w:rPr>
                <w:rFonts w:ascii="Arial" w:hAnsi="Arial"/>
                <w:sz w:val="18"/>
                <w:szCs w:val="18"/>
              </w:rPr>
            </w:pPr>
            <w:r>
              <w:rPr>
                <w:rFonts w:ascii="Arial" w:hAnsi="Arial"/>
                <w:sz w:val="18"/>
                <w:szCs w:val="18"/>
              </w:rPr>
              <w:t>Acuerdo Marco 1/20CC para el arrendamiento de dispositivos de impresión, digitalización y copia, así como su gestión para la Administración de la Generalitat, su sector público instrumental y entidades adheridas</w:t>
            </w:r>
          </w:p>
        </w:tc>
      </w:tr>
      <w:tr w:rsidR="003B28A6" w14:paraId="5F400750" w14:textId="77777777" w:rsidTr="003B28A6">
        <w:tc>
          <w:tcPr>
            <w:tcW w:w="5000" w:type="pct"/>
            <w:tcBorders>
              <w:top w:val="nil"/>
              <w:left w:val="nil"/>
              <w:bottom w:val="single" w:sz="4" w:space="0" w:color="993333"/>
              <w:right w:val="nil"/>
            </w:tcBorders>
            <w:shd w:val="clear" w:color="auto" w:fill="FFFFFF"/>
            <w:hideMark/>
          </w:tcPr>
          <w:p w14:paraId="0D2BAAB1" w14:textId="77777777" w:rsidR="003B28A6" w:rsidRDefault="003B28A6">
            <w:pPr>
              <w:pStyle w:val="Contenidodelatabla"/>
              <w:spacing w:line="276" w:lineRule="auto"/>
              <w:jc w:val="both"/>
              <w:rPr>
                <w:rFonts w:ascii="Arial" w:hAnsi="Arial"/>
                <w:sz w:val="18"/>
                <w:szCs w:val="18"/>
              </w:rPr>
            </w:pPr>
            <w:r>
              <w:rPr>
                <w:rFonts w:ascii="Arial" w:hAnsi="Arial"/>
                <w:sz w:val="18"/>
                <w:szCs w:val="18"/>
              </w:rPr>
              <w:t>Acuerdo Marco 3/20CC para la contratación del suministro de Energía Eléctrica en los puntos de consumo de la Administración de la Generalitat, su sector público instrumental y entidades adheridas</w:t>
            </w:r>
          </w:p>
        </w:tc>
      </w:tr>
      <w:tr w:rsidR="003B28A6" w14:paraId="6EC7DA48" w14:textId="77777777" w:rsidTr="003B28A6">
        <w:tc>
          <w:tcPr>
            <w:tcW w:w="5000" w:type="pct"/>
            <w:tcBorders>
              <w:top w:val="nil"/>
              <w:left w:val="nil"/>
              <w:bottom w:val="single" w:sz="4" w:space="0" w:color="993333"/>
              <w:right w:val="nil"/>
            </w:tcBorders>
            <w:shd w:val="clear" w:color="auto" w:fill="FFFFFF"/>
            <w:hideMark/>
          </w:tcPr>
          <w:p w14:paraId="36657F0D" w14:textId="77777777" w:rsidR="003B28A6" w:rsidRDefault="003B28A6">
            <w:pPr>
              <w:pStyle w:val="Contenidodelatabla"/>
              <w:spacing w:line="276" w:lineRule="auto"/>
              <w:jc w:val="both"/>
              <w:rPr>
                <w:rFonts w:ascii="Arial" w:hAnsi="Arial"/>
                <w:sz w:val="18"/>
                <w:szCs w:val="18"/>
              </w:rPr>
            </w:pPr>
            <w:r>
              <w:rPr>
                <w:rFonts w:ascii="Arial" w:hAnsi="Arial"/>
                <w:sz w:val="18"/>
                <w:szCs w:val="18"/>
              </w:rPr>
              <w:t>Acuerdo Marco 5/20CC para el suministro de papel y material de oficina e informático no inventariable para la Administración de la Generalitat, su sector público instrumental y entidades adheridas</w:t>
            </w:r>
          </w:p>
        </w:tc>
      </w:tr>
      <w:tr w:rsidR="003B28A6" w14:paraId="22FF7C24" w14:textId="77777777" w:rsidTr="003B28A6">
        <w:tc>
          <w:tcPr>
            <w:tcW w:w="5000" w:type="pct"/>
            <w:tcBorders>
              <w:top w:val="nil"/>
              <w:left w:val="nil"/>
              <w:bottom w:val="single" w:sz="4" w:space="0" w:color="993333"/>
              <w:right w:val="nil"/>
            </w:tcBorders>
            <w:shd w:val="clear" w:color="auto" w:fill="FFFFFF"/>
            <w:hideMark/>
          </w:tcPr>
          <w:p w14:paraId="040DDDB8" w14:textId="77777777" w:rsidR="003B28A6" w:rsidRDefault="003B28A6">
            <w:pPr>
              <w:pStyle w:val="Contenidodelatabla"/>
              <w:spacing w:line="276" w:lineRule="auto"/>
              <w:jc w:val="both"/>
              <w:rPr>
                <w:rFonts w:ascii="Arial" w:hAnsi="Arial"/>
                <w:sz w:val="18"/>
                <w:szCs w:val="18"/>
              </w:rPr>
            </w:pPr>
            <w:r>
              <w:rPr>
                <w:rFonts w:ascii="Arial" w:hAnsi="Arial"/>
                <w:sz w:val="18"/>
                <w:szCs w:val="18"/>
              </w:rPr>
              <w:t>CNMY15/DGTIC/16 Acuerdo Marco para la contratación centralizada de determinados servicios y suministros en materia de tecnologías de la información y la comunicación (TIC) para la Administración de la Generalitat, sus Organismos Públicos, sociedades mercantiles y fundaciones del sector público de la Generalitat (proyecto CESSTIC)</w:t>
            </w:r>
          </w:p>
        </w:tc>
      </w:tr>
    </w:tbl>
    <w:p w14:paraId="3E4A2F92" w14:textId="77777777" w:rsidR="003B28A6" w:rsidRDefault="003B28A6" w:rsidP="003B28A6">
      <w:pPr>
        <w:spacing w:line="276" w:lineRule="auto"/>
        <w:jc w:val="both"/>
        <w:rPr>
          <w:rFonts w:ascii="Arial" w:hAnsi="Arial"/>
          <w:color w:val="000000"/>
          <w:sz w:val="20"/>
          <w:szCs w:val="20"/>
          <w:highlight w:val="yellow"/>
        </w:rPr>
      </w:pPr>
    </w:p>
    <w:p w14:paraId="3F0FBA3F" w14:textId="77777777" w:rsidR="003B28A6" w:rsidRDefault="003B28A6" w:rsidP="003B28A6">
      <w:pPr>
        <w:spacing w:after="240" w:line="276" w:lineRule="auto"/>
        <w:jc w:val="both"/>
        <w:rPr>
          <w:rFonts w:ascii="Arial" w:eastAsia="SimSun" w:hAnsi="Arial" w:cs="Arial"/>
          <w:sz w:val="21"/>
          <w:szCs w:val="21"/>
        </w:rPr>
      </w:pPr>
      <w:r>
        <w:rPr>
          <w:rFonts w:ascii="Arial" w:eastAsia="SimSun" w:hAnsi="Arial" w:cs="Arial"/>
          <w:sz w:val="21"/>
          <w:szCs w:val="21"/>
        </w:rPr>
        <w:t>Asimismo, la Agencia ha solicitado la adhesión a los siguientes expedientes de contratación centralizada de la Central de Compras de la Generalitat y que se encuentran en fase de preparación y elaboración:</w:t>
      </w:r>
    </w:p>
    <w:p w14:paraId="5968E44B" w14:textId="77777777" w:rsidR="003B28A6" w:rsidRDefault="003B28A6" w:rsidP="00D62D25">
      <w:pPr>
        <w:numPr>
          <w:ilvl w:val="0"/>
          <w:numId w:val="60"/>
        </w:numPr>
        <w:suppressAutoHyphens/>
        <w:spacing w:after="120" w:line="276" w:lineRule="auto"/>
        <w:ind w:left="714" w:hanging="357"/>
        <w:jc w:val="both"/>
        <w:rPr>
          <w:rFonts w:ascii="Arial" w:eastAsia="SimSun" w:hAnsi="Arial" w:cs="Arial"/>
          <w:sz w:val="21"/>
          <w:szCs w:val="21"/>
        </w:rPr>
      </w:pPr>
      <w:r>
        <w:rPr>
          <w:rFonts w:ascii="Arial" w:eastAsia="SimSun" w:hAnsi="Arial" w:cs="Arial"/>
          <w:sz w:val="21"/>
          <w:szCs w:val="21"/>
        </w:rPr>
        <w:t>Acuerdo Marco para la provisión de servicios de comunicaciones corporativas para la Administración de la Generalitat, su sector público instrumental y entidades adheridas.</w:t>
      </w:r>
    </w:p>
    <w:p w14:paraId="280AF02F" w14:textId="4963A440" w:rsidR="003B28A6" w:rsidRDefault="003B28A6" w:rsidP="00D62D25">
      <w:pPr>
        <w:numPr>
          <w:ilvl w:val="0"/>
          <w:numId w:val="60"/>
        </w:numPr>
        <w:suppressAutoHyphens/>
        <w:spacing w:after="240" w:line="276" w:lineRule="auto"/>
        <w:ind w:left="714" w:hanging="357"/>
        <w:jc w:val="both"/>
        <w:rPr>
          <w:rFonts w:ascii="Arial" w:eastAsia="SimSun" w:hAnsi="Arial" w:cs="Arial"/>
          <w:sz w:val="21"/>
          <w:szCs w:val="21"/>
        </w:rPr>
      </w:pPr>
      <w:r>
        <w:rPr>
          <w:rFonts w:ascii="Arial" w:eastAsia="SimSun" w:hAnsi="Arial" w:cs="Arial"/>
          <w:sz w:val="21"/>
          <w:szCs w:val="21"/>
        </w:rPr>
        <w:t>Contratación centralizada para los suministros y servicios de infraestructuras de comunicaciones, capacidad de proceso y almacenamiento.</w:t>
      </w:r>
    </w:p>
    <w:p w14:paraId="0EA1167A" w14:textId="77777777" w:rsidR="003E7826" w:rsidRDefault="003E7826" w:rsidP="003E7826">
      <w:pPr>
        <w:suppressAutoHyphens/>
        <w:spacing w:after="240" w:line="276" w:lineRule="auto"/>
        <w:ind w:left="714"/>
        <w:jc w:val="both"/>
        <w:rPr>
          <w:rFonts w:ascii="Arial" w:eastAsia="SimSun" w:hAnsi="Arial" w:cs="Arial"/>
          <w:sz w:val="21"/>
          <w:szCs w:val="21"/>
        </w:rPr>
      </w:pPr>
    </w:p>
    <w:p w14:paraId="46ACF3DF" w14:textId="0023DB75" w:rsidR="003B28A6" w:rsidRPr="00F8714B" w:rsidRDefault="003B28A6" w:rsidP="003B28A6">
      <w:pPr>
        <w:pStyle w:val="Descripcin"/>
        <w:keepNext/>
        <w:rPr>
          <w:rFonts w:ascii="Arial" w:hAnsi="Arial" w:cs="Arial"/>
          <w:smallCaps w:val="0"/>
          <w:sz w:val="18"/>
        </w:rPr>
      </w:pPr>
      <w:bookmarkStart w:id="367" w:name="_Toc66443904"/>
      <w:bookmarkStart w:id="368" w:name="_Toc67646373"/>
      <w:r w:rsidRPr="00F8714B">
        <w:rPr>
          <w:rFonts w:ascii="Arial" w:hAnsi="Arial" w:cs="Arial"/>
          <w:smallCaps w:val="0"/>
          <w:color w:val="9D2235" w:themeColor="accent1"/>
          <w:sz w:val="18"/>
        </w:rPr>
        <w:t xml:space="preserve">Tabla </w:t>
      </w:r>
      <w:r w:rsidRPr="00F8714B">
        <w:rPr>
          <w:rFonts w:ascii="Arial" w:hAnsi="Arial" w:cs="Arial"/>
          <w:smallCaps w:val="0"/>
          <w:sz w:val="18"/>
        </w:rPr>
        <w:fldChar w:fldCharType="begin"/>
      </w:r>
      <w:r w:rsidRPr="00F8714B">
        <w:rPr>
          <w:rFonts w:ascii="Arial" w:hAnsi="Arial" w:cs="Arial"/>
          <w:smallCaps w:val="0"/>
          <w:color w:val="9D2235" w:themeColor="accent1"/>
          <w:sz w:val="18"/>
        </w:rPr>
        <w:instrText xml:space="preserve"> SEQ Tabla \* ARABIC </w:instrText>
      </w:r>
      <w:r w:rsidRPr="00F8714B">
        <w:rPr>
          <w:rFonts w:ascii="Arial" w:hAnsi="Arial" w:cs="Arial"/>
          <w:smallCaps w:val="0"/>
          <w:sz w:val="18"/>
        </w:rPr>
        <w:fldChar w:fldCharType="separate"/>
      </w:r>
      <w:r w:rsidR="00ED7F0D">
        <w:rPr>
          <w:rFonts w:ascii="Arial" w:hAnsi="Arial" w:cs="Arial"/>
          <w:smallCaps w:val="0"/>
          <w:noProof/>
          <w:color w:val="9D2235" w:themeColor="accent1"/>
          <w:sz w:val="18"/>
        </w:rPr>
        <w:t>36</w:t>
      </w:r>
      <w:r w:rsidRPr="00F8714B">
        <w:rPr>
          <w:rFonts w:ascii="Arial" w:hAnsi="Arial" w:cs="Arial"/>
          <w:smallCaps w:val="0"/>
          <w:sz w:val="18"/>
        </w:rPr>
        <w:fldChar w:fldCharType="end"/>
      </w:r>
      <w:r w:rsidRPr="00F8714B">
        <w:rPr>
          <w:rFonts w:ascii="Arial" w:hAnsi="Arial" w:cs="Arial"/>
          <w:smallCaps w:val="0"/>
          <w:sz w:val="18"/>
        </w:rPr>
        <w:t>. Acuerdos Marco de la Central de Compras del Estado a los que la Agencia está adherida a 31/12/2020</w:t>
      </w:r>
      <w:bookmarkEnd w:id="367"/>
      <w:bookmarkEnd w:id="368"/>
    </w:p>
    <w:tbl>
      <w:tblPr>
        <w:tblW w:w="5000" w:type="pct"/>
        <w:tblCellMar>
          <w:top w:w="55" w:type="dxa"/>
          <w:left w:w="55" w:type="dxa"/>
          <w:bottom w:w="55" w:type="dxa"/>
          <w:right w:w="55" w:type="dxa"/>
        </w:tblCellMar>
        <w:tblLook w:val="04A0" w:firstRow="1" w:lastRow="0" w:firstColumn="1" w:lastColumn="0" w:noHBand="0" w:noVBand="1"/>
      </w:tblPr>
      <w:tblGrid>
        <w:gridCol w:w="8504"/>
      </w:tblGrid>
      <w:tr w:rsidR="003B28A6" w14:paraId="517450D1" w14:textId="77777777" w:rsidTr="003B28A6">
        <w:tc>
          <w:tcPr>
            <w:tcW w:w="5000" w:type="pct"/>
            <w:tcBorders>
              <w:top w:val="nil"/>
              <w:left w:val="nil"/>
              <w:bottom w:val="single" w:sz="4" w:space="0" w:color="FFFFFF"/>
              <w:right w:val="nil"/>
            </w:tcBorders>
            <w:shd w:val="clear" w:color="auto" w:fill="9D2235"/>
            <w:vAlign w:val="center"/>
            <w:hideMark/>
          </w:tcPr>
          <w:p w14:paraId="74147FB6" w14:textId="77777777" w:rsidR="003B28A6" w:rsidRDefault="003B28A6">
            <w:pPr>
              <w:pStyle w:val="Contenidodelatabla"/>
              <w:spacing w:line="276" w:lineRule="auto"/>
              <w:jc w:val="center"/>
              <w:rPr>
                <w:rFonts w:ascii="Arial" w:hAnsi="Arial"/>
                <w:b/>
                <w:bCs/>
                <w:color w:val="FFFFFF"/>
                <w:sz w:val="18"/>
                <w:szCs w:val="18"/>
              </w:rPr>
            </w:pPr>
            <w:r>
              <w:rPr>
                <w:rFonts w:ascii="Arial" w:hAnsi="Arial"/>
                <w:b/>
                <w:bCs/>
                <w:color w:val="FFFFFF"/>
                <w:sz w:val="18"/>
                <w:szCs w:val="18"/>
              </w:rPr>
              <w:t>Acuerdo Marco</w:t>
            </w:r>
          </w:p>
        </w:tc>
      </w:tr>
      <w:tr w:rsidR="003B28A6" w14:paraId="0E398603" w14:textId="77777777" w:rsidTr="003B28A6">
        <w:tc>
          <w:tcPr>
            <w:tcW w:w="5000" w:type="pct"/>
            <w:tcBorders>
              <w:top w:val="single" w:sz="4" w:space="0" w:color="FFFFFF"/>
              <w:left w:val="nil"/>
              <w:bottom w:val="single" w:sz="4" w:space="0" w:color="993333"/>
              <w:right w:val="nil"/>
            </w:tcBorders>
            <w:shd w:val="clear" w:color="auto" w:fill="FFFFFF"/>
            <w:hideMark/>
          </w:tcPr>
          <w:p w14:paraId="764D4ABF" w14:textId="77777777" w:rsidR="003B28A6" w:rsidRDefault="003B28A6">
            <w:pPr>
              <w:pStyle w:val="Contenidodelatabla"/>
              <w:spacing w:line="276" w:lineRule="auto"/>
              <w:jc w:val="both"/>
              <w:rPr>
                <w:rFonts w:ascii="Arial" w:hAnsi="Arial"/>
                <w:sz w:val="18"/>
                <w:szCs w:val="18"/>
              </w:rPr>
            </w:pPr>
            <w:r>
              <w:rPr>
                <w:rFonts w:ascii="Arial" w:hAnsi="Arial"/>
                <w:sz w:val="18"/>
                <w:szCs w:val="18"/>
              </w:rPr>
              <w:t>Acuerdo Marco 10/2018 para la contratación centralizada del suministro de sistemas, equipos y software de comunicaciones de la Central de Contratación del Estado.</w:t>
            </w:r>
          </w:p>
        </w:tc>
      </w:tr>
      <w:tr w:rsidR="003B28A6" w14:paraId="0290EEBA" w14:textId="77777777" w:rsidTr="003B28A6">
        <w:tc>
          <w:tcPr>
            <w:tcW w:w="5000" w:type="pct"/>
            <w:tcBorders>
              <w:top w:val="nil"/>
              <w:left w:val="nil"/>
              <w:bottom w:val="single" w:sz="4" w:space="0" w:color="993333"/>
              <w:right w:val="nil"/>
            </w:tcBorders>
            <w:shd w:val="clear" w:color="auto" w:fill="FFFFFF"/>
            <w:hideMark/>
          </w:tcPr>
          <w:p w14:paraId="4FD6E80C" w14:textId="77777777" w:rsidR="003B28A6" w:rsidRDefault="003B28A6">
            <w:pPr>
              <w:pStyle w:val="Contenidodelatabla"/>
              <w:spacing w:line="276" w:lineRule="auto"/>
              <w:jc w:val="both"/>
              <w:rPr>
                <w:rFonts w:ascii="Arial" w:hAnsi="Arial"/>
                <w:sz w:val="18"/>
                <w:szCs w:val="18"/>
              </w:rPr>
            </w:pPr>
            <w:r>
              <w:rPr>
                <w:rFonts w:ascii="Arial" w:hAnsi="Arial"/>
                <w:sz w:val="18"/>
                <w:szCs w:val="18"/>
              </w:rPr>
              <w:t>Acuerdo Marco 13/2018 para la contratación centralizada del suministro de servidores, sistemas de almacenamiento y software de infraestructura de la Central de Contratación del Estado.</w:t>
            </w:r>
          </w:p>
        </w:tc>
      </w:tr>
    </w:tbl>
    <w:p w14:paraId="0D230B4C" w14:textId="77777777" w:rsidR="003B28A6" w:rsidRDefault="003B28A6" w:rsidP="003B28A6">
      <w:pPr>
        <w:pStyle w:val="Standard"/>
        <w:spacing w:line="276" w:lineRule="auto"/>
        <w:jc w:val="both"/>
        <w:rPr>
          <w:rFonts w:ascii="Arial" w:hAnsi="Arial"/>
          <w:sz w:val="21"/>
          <w:highlight w:val="yellow"/>
        </w:rPr>
      </w:pPr>
    </w:p>
    <w:p w14:paraId="14751F28" w14:textId="2E69FC18" w:rsidR="003B28A6" w:rsidRDefault="003B28A6" w:rsidP="003B28A6">
      <w:pPr>
        <w:pStyle w:val="Standard"/>
        <w:spacing w:after="240" w:line="276" w:lineRule="auto"/>
        <w:jc w:val="both"/>
        <w:rPr>
          <w:rFonts w:ascii="Arial" w:hAnsi="Arial"/>
          <w:sz w:val="21"/>
          <w:szCs w:val="21"/>
        </w:rPr>
      </w:pPr>
      <w:r>
        <w:rPr>
          <w:rFonts w:ascii="Arial" w:hAnsi="Arial"/>
          <w:sz w:val="21"/>
          <w:szCs w:val="21"/>
        </w:rPr>
        <w:t>En las siguientes tablas y gráficas se expone resumidamente la actividad contractual de la Agencia en el año 2020. La relación exhaustiva de qué contratos han sido concertados puede obtenerse en la página web de la Agencia, a través de su Portal de Transparencia.</w:t>
      </w:r>
    </w:p>
    <w:p w14:paraId="32F8E515" w14:textId="77777777" w:rsidR="003E7826" w:rsidRDefault="003E7826" w:rsidP="003B28A6">
      <w:pPr>
        <w:pStyle w:val="Standard"/>
        <w:spacing w:after="240" w:line="276" w:lineRule="auto"/>
        <w:jc w:val="both"/>
        <w:rPr>
          <w:rFonts w:ascii="Arial" w:hAnsi="Arial"/>
          <w:sz w:val="21"/>
          <w:szCs w:val="21"/>
        </w:rPr>
      </w:pPr>
    </w:p>
    <w:p w14:paraId="6C390302" w14:textId="7D08099F" w:rsidR="003B28A6" w:rsidRPr="00F8714B" w:rsidRDefault="003B28A6" w:rsidP="003B28A6">
      <w:pPr>
        <w:pStyle w:val="Descripcin"/>
        <w:keepNext/>
        <w:rPr>
          <w:rFonts w:ascii="Arial" w:hAnsi="Arial" w:cs="Arial"/>
          <w:smallCaps w:val="0"/>
          <w:sz w:val="18"/>
        </w:rPr>
      </w:pPr>
      <w:bookmarkStart w:id="369" w:name="_Toc66443905"/>
      <w:bookmarkStart w:id="370" w:name="_Toc67646374"/>
      <w:r w:rsidRPr="00F8714B">
        <w:rPr>
          <w:rFonts w:ascii="Arial" w:hAnsi="Arial" w:cs="Arial"/>
          <w:smallCaps w:val="0"/>
          <w:color w:val="9D2235" w:themeColor="accent1"/>
          <w:sz w:val="18"/>
        </w:rPr>
        <w:t xml:space="preserve">Tabla </w:t>
      </w:r>
      <w:r w:rsidRPr="00F8714B">
        <w:rPr>
          <w:rFonts w:ascii="Arial" w:hAnsi="Arial" w:cs="Arial"/>
          <w:smallCaps w:val="0"/>
          <w:sz w:val="18"/>
        </w:rPr>
        <w:fldChar w:fldCharType="begin"/>
      </w:r>
      <w:r w:rsidRPr="00F8714B">
        <w:rPr>
          <w:rFonts w:ascii="Arial" w:hAnsi="Arial" w:cs="Arial"/>
          <w:smallCaps w:val="0"/>
          <w:color w:val="9D2235" w:themeColor="accent1"/>
          <w:sz w:val="18"/>
        </w:rPr>
        <w:instrText xml:space="preserve"> SEQ Tabla \* ARABIC </w:instrText>
      </w:r>
      <w:r w:rsidRPr="00F8714B">
        <w:rPr>
          <w:rFonts w:ascii="Arial" w:hAnsi="Arial" w:cs="Arial"/>
          <w:smallCaps w:val="0"/>
          <w:sz w:val="18"/>
        </w:rPr>
        <w:fldChar w:fldCharType="separate"/>
      </w:r>
      <w:r w:rsidR="00ED7F0D">
        <w:rPr>
          <w:rFonts w:ascii="Arial" w:hAnsi="Arial" w:cs="Arial"/>
          <w:smallCaps w:val="0"/>
          <w:noProof/>
          <w:color w:val="9D2235" w:themeColor="accent1"/>
          <w:sz w:val="18"/>
        </w:rPr>
        <w:t>37</w:t>
      </w:r>
      <w:r w:rsidRPr="00F8714B">
        <w:rPr>
          <w:rFonts w:ascii="Arial" w:hAnsi="Arial" w:cs="Arial"/>
          <w:smallCaps w:val="0"/>
          <w:sz w:val="18"/>
        </w:rPr>
        <w:fldChar w:fldCharType="end"/>
      </w:r>
      <w:r w:rsidRPr="00F8714B">
        <w:rPr>
          <w:rFonts w:ascii="Arial" w:hAnsi="Arial" w:cs="Arial"/>
          <w:smallCaps w:val="0"/>
          <w:color w:val="9D2235" w:themeColor="accent1"/>
          <w:sz w:val="18"/>
        </w:rPr>
        <w:t xml:space="preserve">. </w:t>
      </w:r>
      <w:r w:rsidRPr="00F8714B">
        <w:rPr>
          <w:rFonts w:ascii="Arial" w:hAnsi="Arial" w:cs="Arial"/>
          <w:smallCaps w:val="0"/>
          <w:sz w:val="18"/>
        </w:rPr>
        <w:t>Resumen actividad contractual de la Agencia</w:t>
      </w:r>
      <w:bookmarkEnd w:id="369"/>
      <w:bookmarkEnd w:id="370"/>
    </w:p>
    <w:tbl>
      <w:tblPr>
        <w:tblW w:w="5003" w:type="pct"/>
        <w:tblCellMar>
          <w:left w:w="70" w:type="dxa"/>
          <w:right w:w="70" w:type="dxa"/>
        </w:tblCellMar>
        <w:tblLook w:val="04A0" w:firstRow="1" w:lastRow="0" w:firstColumn="1" w:lastColumn="0" w:noHBand="0" w:noVBand="1"/>
      </w:tblPr>
      <w:tblGrid>
        <w:gridCol w:w="1855"/>
        <w:gridCol w:w="2852"/>
        <w:gridCol w:w="1676"/>
        <w:gridCol w:w="2116"/>
      </w:tblGrid>
      <w:tr w:rsidR="003B28A6" w14:paraId="47809A05" w14:textId="77777777" w:rsidTr="003B28A6">
        <w:trPr>
          <w:trHeight w:val="450"/>
          <w:tblHeader/>
        </w:trPr>
        <w:tc>
          <w:tcPr>
            <w:tcW w:w="1091" w:type="pct"/>
            <w:tcBorders>
              <w:top w:val="single" w:sz="4" w:space="0" w:color="666666"/>
              <w:left w:val="single" w:sz="4" w:space="0" w:color="666666"/>
              <w:bottom w:val="single" w:sz="4" w:space="0" w:color="9D2235"/>
              <w:right w:val="nil"/>
            </w:tcBorders>
            <w:shd w:val="clear" w:color="auto" w:fill="9D2235"/>
            <w:vAlign w:val="center"/>
            <w:hideMark/>
          </w:tcPr>
          <w:p w14:paraId="62354B3D" w14:textId="77777777" w:rsidR="003B28A6" w:rsidRDefault="003B28A6">
            <w:pPr>
              <w:spacing w:line="276"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Tipo de contrato</w:t>
            </w:r>
          </w:p>
        </w:tc>
        <w:tc>
          <w:tcPr>
            <w:tcW w:w="1678" w:type="pct"/>
            <w:tcBorders>
              <w:top w:val="single" w:sz="4" w:space="0" w:color="666666"/>
              <w:left w:val="nil"/>
              <w:bottom w:val="single" w:sz="4" w:space="0" w:color="9D2235"/>
              <w:right w:val="nil"/>
            </w:tcBorders>
            <w:shd w:val="clear" w:color="auto" w:fill="9D2235"/>
            <w:vAlign w:val="center"/>
            <w:hideMark/>
          </w:tcPr>
          <w:p w14:paraId="31944DC9" w14:textId="77777777" w:rsidR="003B28A6" w:rsidRDefault="003B28A6">
            <w:pPr>
              <w:spacing w:line="276" w:lineRule="auto"/>
              <w:contextualSpacing/>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Procedimiento de adjudicación</w:t>
            </w:r>
          </w:p>
        </w:tc>
        <w:tc>
          <w:tcPr>
            <w:tcW w:w="986" w:type="pct"/>
            <w:tcBorders>
              <w:top w:val="single" w:sz="4" w:space="0" w:color="666666"/>
              <w:left w:val="nil"/>
              <w:bottom w:val="single" w:sz="4" w:space="0" w:color="9D2235"/>
              <w:right w:val="nil"/>
            </w:tcBorders>
            <w:shd w:val="clear" w:color="auto" w:fill="9D2235"/>
            <w:vAlign w:val="center"/>
            <w:hideMark/>
          </w:tcPr>
          <w:p w14:paraId="2178DDB4" w14:textId="77777777" w:rsidR="003B28A6" w:rsidRDefault="003B28A6">
            <w:pPr>
              <w:spacing w:after="0" w:line="276" w:lineRule="auto"/>
              <w:ind w:left="318"/>
              <w:contextualSpacing/>
              <w:jc w:val="center"/>
              <w:rPr>
                <w:rFonts w:ascii="Arial" w:hAnsi="Arial" w:cs="Arial"/>
                <w:sz w:val="18"/>
                <w:szCs w:val="18"/>
              </w:rPr>
            </w:pPr>
            <w:r>
              <w:rPr>
                <w:rFonts w:ascii="Arial" w:eastAsia="Times New Roman" w:hAnsi="Arial" w:cs="Arial"/>
                <w:b/>
                <w:bCs/>
                <w:color w:val="FFFFFF"/>
                <w:sz w:val="18"/>
                <w:szCs w:val="18"/>
                <w:lang w:eastAsia="es-ES"/>
              </w:rPr>
              <w:t xml:space="preserve">Núm. Contratos </w:t>
            </w:r>
            <w:r>
              <w:rPr>
                <w:rFonts w:ascii="Arial" w:eastAsia="Times New Roman" w:hAnsi="Arial" w:cs="Arial"/>
                <w:color w:val="FFFFFF" w:themeColor="background1"/>
                <w:sz w:val="18"/>
                <w:szCs w:val="18"/>
                <w:lang w:eastAsia="es-ES"/>
              </w:rPr>
              <w:t>(1)</w:t>
            </w:r>
          </w:p>
        </w:tc>
        <w:tc>
          <w:tcPr>
            <w:tcW w:w="1245" w:type="pct"/>
            <w:tcBorders>
              <w:top w:val="single" w:sz="4" w:space="0" w:color="666666"/>
              <w:left w:val="nil"/>
              <w:bottom w:val="single" w:sz="4" w:space="0" w:color="9D2235"/>
              <w:right w:val="single" w:sz="4" w:space="0" w:color="666666"/>
            </w:tcBorders>
            <w:shd w:val="clear" w:color="auto" w:fill="9D2235"/>
            <w:vAlign w:val="center"/>
            <w:hideMark/>
          </w:tcPr>
          <w:p w14:paraId="34DE1962" w14:textId="77777777" w:rsidR="003B28A6" w:rsidRDefault="003B28A6">
            <w:pPr>
              <w:spacing w:after="0" w:line="276" w:lineRule="auto"/>
              <w:ind w:left="56"/>
              <w:contextualSpacing/>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Importe adjudicación</w:t>
            </w:r>
            <w:r>
              <w:rPr>
                <w:rFonts w:ascii="Arial" w:eastAsia="Times New Roman" w:hAnsi="Arial" w:cs="Arial"/>
                <w:b/>
                <w:bCs/>
                <w:color w:val="FFFFFF"/>
                <w:sz w:val="18"/>
                <w:szCs w:val="18"/>
                <w:lang w:eastAsia="es-ES"/>
              </w:rPr>
              <w:br/>
              <w:t>(sin IVA)</w:t>
            </w:r>
          </w:p>
        </w:tc>
      </w:tr>
      <w:tr w:rsidR="003B28A6" w14:paraId="36091402" w14:textId="77777777" w:rsidTr="003B28A6">
        <w:trPr>
          <w:trHeight w:val="344"/>
        </w:trPr>
        <w:tc>
          <w:tcPr>
            <w:tcW w:w="1091" w:type="pct"/>
            <w:vMerge w:val="restart"/>
            <w:tcBorders>
              <w:top w:val="single" w:sz="4" w:space="0" w:color="9D2235"/>
              <w:left w:val="single" w:sz="4" w:space="0" w:color="9D2235"/>
              <w:bottom w:val="single" w:sz="4" w:space="0" w:color="9D2235"/>
              <w:right w:val="nil"/>
            </w:tcBorders>
            <w:shd w:val="clear" w:color="auto" w:fill="FFFFFF"/>
            <w:vAlign w:val="center"/>
            <w:hideMark/>
          </w:tcPr>
          <w:p w14:paraId="2BA18E5B"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Privados</w:t>
            </w:r>
          </w:p>
        </w:tc>
        <w:tc>
          <w:tcPr>
            <w:tcW w:w="1678" w:type="pct"/>
            <w:tcBorders>
              <w:top w:val="single" w:sz="4" w:space="0" w:color="9D2235"/>
              <w:left w:val="nil"/>
              <w:bottom w:val="single" w:sz="4" w:space="0" w:color="9D2235"/>
              <w:right w:val="nil"/>
            </w:tcBorders>
            <w:shd w:val="clear" w:color="auto" w:fill="FFFFFF"/>
            <w:vAlign w:val="center"/>
            <w:hideMark/>
          </w:tcPr>
          <w:p w14:paraId="6FDEF90B" w14:textId="77777777" w:rsidR="003B28A6" w:rsidRDefault="003B28A6">
            <w:pPr>
              <w:spacing w:line="276" w:lineRule="auto"/>
              <w:contextualSpacing/>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Menor</w:t>
            </w:r>
          </w:p>
        </w:tc>
        <w:tc>
          <w:tcPr>
            <w:tcW w:w="986" w:type="pct"/>
            <w:tcBorders>
              <w:top w:val="single" w:sz="4" w:space="0" w:color="9D2235"/>
              <w:left w:val="nil"/>
              <w:bottom w:val="single" w:sz="4" w:space="0" w:color="9D2235"/>
              <w:right w:val="nil"/>
            </w:tcBorders>
            <w:vAlign w:val="bottom"/>
            <w:hideMark/>
          </w:tcPr>
          <w:p w14:paraId="58051FD8"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w:t>
            </w:r>
          </w:p>
        </w:tc>
        <w:tc>
          <w:tcPr>
            <w:tcW w:w="1245" w:type="pct"/>
            <w:tcBorders>
              <w:top w:val="single" w:sz="4" w:space="0" w:color="9D2235"/>
              <w:left w:val="nil"/>
              <w:bottom w:val="single" w:sz="4" w:space="0" w:color="9D2235"/>
              <w:right w:val="single" w:sz="4" w:space="0" w:color="9D2235"/>
            </w:tcBorders>
            <w:vAlign w:val="center"/>
            <w:hideMark/>
          </w:tcPr>
          <w:p w14:paraId="57A37D41" w14:textId="77777777" w:rsidR="003B28A6" w:rsidRDefault="003B28A6">
            <w:pPr>
              <w:spacing w:line="276" w:lineRule="auto"/>
              <w:contextualSpacing/>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0,00</w:t>
            </w:r>
          </w:p>
        </w:tc>
      </w:tr>
      <w:tr w:rsidR="003B28A6" w14:paraId="1323A6DA" w14:textId="77777777" w:rsidTr="003B28A6">
        <w:trPr>
          <w:trHeight w:val="285"/>
        </w:trPr>
        <w:tc>
          <w:tcPr>
            <w:tcW w:w="0" w:type="auto"/>
            <w:vMerge/>
            <w:tcBorders>
              <w:top w:val="single" w:sz="4" w:space="0" w:color="9D2235"/>
              <w:left w:val="single" w:sz="4" w:space="0" w:color="9D2235"/>
              <w:bottom w:val="single" w:sz="4" w:space="0" w:color="9D2235"/>
              <w:right w:val="nil"/>
            </w:tcBorders>
            <w:vAlign w:val="center"/>
            <w:hideMark/>
          </w:tcPr>
          <w:p w14:paraId="15517210" w14:textId="77777777" w:rsidR="003B28A6" w:rsidRDefault="003B28A6">
            <w:pPr>
              <w:spacing w:after="0"/>
              <w:rPr>
                <w:rFonts w:ascii="Arial" w:eastAsia="Times New Roman" w:hAnsi="Arial" w:cs="Arial"/>
                <w:color w:val="000000"/>
                <w:sz w:val="18"/>
                <w:szCs w:val="18"/>
                <w:lang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7091816A" w14:textId="77777777" w:rsidR="003B28A6" w:rsidRDefault="003B28A6">
            <w:pPr>
              <w:spacing w:line="276" w:lineRule="auto"/>
              <w:contextualSpacing/>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Abierto</w:t>
            </w:r>
          </w:p>
        </w:tc>
        <w:tc>
          <w:tcPr>
            <w:tcW w:w="986" w:type="pct"/>
            <w:tcBorders>
              <w:top w:val="single" w:sz="4" w:space="0" w:color="9D2235"/>
              <w:left w:val="nil"/>
              <w:bottom w:val="single" w:sz="4" w:space="0" w:color="9D2235"/>
              <w:right w:val="nil"/>
            </w:tcBorders>
            <w:vAlign w:val="bottom"/>
            <w:hideMark/>
          </w:tcPr>
          <w:p w14:paraId="191EA2CA"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w:t>
            </w:r>
          </w:p>
        </w:tc>
        <w:tc>
          <w:tcPr>
            <w:tcW w:w="1245" w:type="pct"/>
            <w:tcBorders>
              <w:top w:val="single" w:sz="4" w:space="0" w:color="9D2235"/>
              <w:left w:val="nil"/>
              <w:bottom w:val="single" w:sz="4" w:space="0" w:color="9D2235"/>
              <w:right w:val="single" w:sz="4" w:space="0" w:color="9D2235"/>
            </w:tcBorders>
            <w:vAlign w:val="center"/>
            <w:hideMark/>
          </w:tcPr>
          <w:p w14:paraId="4757ECC9" w14:textId="77777777" w:rsidR="003B28A6" w:rsidRDefault="003B28A6">
            <w:pPr>
              <w:spacing w:line="276" w:lineRule="auto"/>
              <w:contextualSpacing/>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0,00</w:t>
            </w:r>
          </w:p>
        </w:tc>
      </w:tr>
      <w:tr w:rsidR="003B28A6" w14:paraId="3511152C" w14:textId="77777777" w:rsidTr="003B28A6">
        <w:trPr>
          <w:trHeight w:val="300"/>
        </w:trPr>
        <w:tc>
          <w:tcPr>
            <w:tcW w:w="0" w:type="auto"/>
            <w:vMerge/>
            <w:tcBorders>
              <w:top w:val="single" w:sz="4" w:space="0" w:color="9D2235"/>
              <w:left w:val="single" w:sz="4" w:space="0" w:color="9D2235"/>
              <w:bottom w:val="single" w:sz="4" w:space="0" w:color="9D2235"/>
              <w:right w:val="nil"/>
            </w:tcBorders>
            <w:vAlign w:val="center"/>
            <w:hideMark/>
          </w:tcPr>
          <w:p w14:paraId="59C4A5C7" w14:textId="77777777" w:rsidR="003B28A6" w:rsidRDefault="003B28A6">
            <w:pPr>
              <w:spacing w:after="0"/>
              <w:rPr>
                <w:rFonts w:ascii="Arial" w:eastAsia="Times New Roman" w:hAnsi="Arial" w:cs="Arial"/>
                <w:color w:val="000000"/>
                <w:sz w:val="18"/>
                <w:szCs w:val="18"/>
                <w:lang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6818A00D" w14:textId="77777777" w:rsidR="003B28A6" w:rsidRDefault="003B28A6">
            <w:pPr>
              <w:spacing w:line="276" w:lineRule="auto"/>
              <w:ind w:firstLine="192"/>
              <w:contextualSpacing/>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Subtotal contratos privados</w:t>
            </w:r>
          </w:p>
        </w:tc>
        <w:tc>
          <w:tcPr>
            <w:tcW w:w="986" w:type="pct"/>
            <w:tcBorders>
              <w:top w:val="single" w:sz="4" w:space="0" w:color="9D2235"/>
              <w:left w:val="nil"/>
              <w:bottom w:val="single" w:sz="4" w:space="0" w:color="9D2235"/>
              <w:right w:val="nil"/>
            </w:tcBorders>
            <w:vAlign w:val="bottom"/>
            <w:hideMark/>
          </w:tcPr>
          <w:p w14:paraId="13C10DFC" w14:textId="77777777" w:rsidR="003B28A6" w:rsidRDefault="003B28A6">
            <w:pPr>
              <w:spacing w:line="276" w:lineRule="auto"/>
              <w:contextualSpacing/>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w:t>
            </w:r>
          </w:p>
        </w:tc>
        <w:tc>
          <w:tcPr>
            <w:tcW w:w="1245" w:type="pct"/>
            <w:tcBorders>
              <w:top w:val="single" w:sz="4" w:space="0" w:color="9D2235"/>
              <w:left w:val="nil"/>
              <w:bottom w:val="single" w:sz="4" w:space="0" w:color="9D2235"/>
              <w:right w:val="single" w:sz="4" w:space="0" w:color="9D2235"/>
            </w:tcBorders>
            <w:vAlign w:val="center"/>
            <w:hideMark/>
          </w:tcPr>
          <w:p w14:paraId="7042284D" w14:textId="77777777" w:rsidR="003B28A6" w:rsidRDefault="003B28A6">
            <w:pPr>
              <w:spacing w:line="276" w:lineRule="auto"/>
              <w:contextualSpacing/>
              <w:jc w:val="right"/>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0,00</w:t>
            </w:r>
          </w:p>
        </w:tc>
      </w:tr>
      <w:tr w:rsidR="003B28A6" w14:paraId="0240F414" w14:textId="77777777" w:rsidTr="003B28A6">
        <w:trPr>
          <w:trHeight w:val="285"/>
        </w:trPr>
        <w:tc>
          <w:tcPr>
            <w:tcW w:w="1091" w:type="pct"/>
            <w:vMerge w:val="restart"/>
            <w:tcBorders>
              <w:top w:val="single" w:sz="4" w:space="0" w:color="9D2235"/>
              <w:left w:val="single" w:sz="4" w:space="0" w:color="9D2235"/>
              <w:bottom w:val="single" w:sz="4" w:space="0" w:color="9D2235"/>
              <w:right w:val="nil"/>
            </w:tcBorders>
            <w:shd w:val="clear" w:color="auto" w:fill="FFFFFF"/>
            <w:vAlign w:val="center"/>
            <w:hideMark/>
          </w:tcPr>
          <w:p w14:paraId="6B6614EB"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Servicios</w:t>
            </w:r>
          </w:p>
        </w:tc>
        <w:tc>
          <w:tcPr>
            <w:tcW w:w="1678" w:type="pct"/>
            <w:tcBorders>
              <w:top w:val="single" w:sz="4" w:space="0" w:color="9D2235"/>
              <w:left w:val="nil"/>
              <w:bottom w:val="single" w:sz="4" w:space="0" w:color="9D2235"/>
              <w:right w:val="nil"/>
            </w:tcBorders>
            <w:shd w:val="clear" w:color="auto" w:fill="FFFFFF"/>
            <w:vAlign w:val="center"/>
            <w:hideMark/>
          </w:tcPr>
          <w:p w14:paraId="463D76B4" w14:textId="77777777" w:rsidR="003B28A6" w:rsidRDefault="003B28A6">
            <w:pPr>
              <w:spacing w:line="276" w:lineRule="auto"/>
              <w:contextualSpacing/>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Menor</w:t>
            </w:r>
          </w:p>
        </w:tc>
        <w:tc>
          <w:tcPr>
            <w:tcW w:w="986" w:type="pct"/>
            <w:tcBorders>
              <w:top w:val="single" w:sz="4" w:space="0" w:color="9D2235"/>
              <w:left w:val="nil"/>
              <w:bottom w:val="single" w:sz="4" w:space="0" w:color="9D2235"/>
              <w:right w:val="nil"/>
            </w:tcBorders>
            <w:vAlign w:val="bottom"/>
            <w:hideMark/>
          </w:tcPr>
          <w:p w14:paraId="3EFFB0A1"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18</w:t>
            </w:r>
          </w:p>
        </w:tc>
        <w:tc>
          <w:tcPr>
            <w:tcW w:w="1245" w:type="pct"/>
            <w:tcBorders>
              <w:top w:val="single" w:sz="4" w:space="0" w:color="9D2235"/>
              <w:left w:val="nil"/>
              <w:bottom w:val="single" w:sz="4" w:space="0" w:color="9D2235"/>
              <w:right w:val="single" w:sz="4" w:space="0" w:color="9D2235"/>
            </w:tcBorders>
            <w:vAlign w:val="center"/>
            <w:hideMark/>
          </w:tcPr>
          <w:p w14:paraId="7227F723" w14:textId="77777777" w:rsidR="003B28A6" w:rsidRDefault="003B28A6">
            <w:pPr>
              <w:spacing w:line="276" w:lineRule="auto"/>
              <w:contextualSpacing/>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35.809,10</w:t>
            </w:r>
          </w:p>
        </w:tc>
      </w:tr>
      <w:tr w:rsidR="003B28A6" w14:paraId="69AF58A9" w14:textId="77777777" w:rsidTr="003B28A6">
        <w:trPr>
          <w:trHeight w:val="285"/>
        </w:trPr>
        <w:tc>
          <w:tcPr>
            <w:tcW w:w="0" w:type="auto"/>
            <w:vMerge/>
            <w:tcBorders>
              <w:top w:val="single" w:sz="4" w:space="0" w:color="9D2235"/>
              <w:left w:val="single" w:sz="4" w:space="0" w:color="9D2235"/>
              <w:bottom w:val="single" w:sz="4" w:space="0" w:color="9D2235"/>
              <w:right w:val="nil"/>
            </w:tcBorders>
            <w:vAlign w:val="center"/>
            <w:hideMark/>
          </w:tcPr>
          <w:p w14:paraId="10E04835" w14:textId="77777777" w:rsidR="003B28A6" w:rsidRDefault="003B28A6">
            <w:pPr>
              <w:spacing w:after="0"/>
              <w:rPr>
                <w:rFonts w:ascii="Arial" w:eastAsia="Times New Roman" w:hAnsi="Arial" w:cs="Arial"/>
                <w:color w:val="000000"/>
                <w:sz w:val="18"/>
                <w:szCs w:val="18"/>
                <w:lang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073EE1CA" w14:textId="77777777" w:rsidR="003B28A6" w:rsidRDefault="003B28A6">
            <w:pPr>
              <w:spacing w:line="276" w:lineRule="auto"/>
              <w:contextualSpacing/>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Abierto</w:t>
            </w:r>
          </w:p>
        </w:tc>
        <w:tc>
          <w:tcPr>
            <w:tcW w:w="986" w:type="pct"/>
            <w:tcBorders>
              <w:top w:val="single" w:sz="4" w:space="0" w:color="9D2235"/>
              <w:left w:val="nil"/>
              <w:bottom w:val="single" w:sz="4" w:space="0" w:color="9D2235"/>
              <w:right w:val="nil"/>
            </w:tcBorders>
            <w:shd w:val="clear" w:color="auto" w:fill="FFFFFF"/>
            <w:vAlign w:val="bottom"/>
            <w:hideMark/>
          </w:tcPr>
          <w:p w14:paraId="1268C645"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w:t>
            </w:r>
          </w:p>
        </w:tc>
        <w:tc>
          <w:tcPr>
            <w:tcW w:w="1245" w:type="pct"/>
            <w:tcBorders>
              <w:top w:val="single" w:sz="4" w:space="0" w:color="9D2235"/>
              <w:left w:val="nil"/>
              <w:bottom w:val="single" w:sz="4" w:space="0" w:color="9D2235"/>
              <w:right w:val="single" w:sz="4" w:space="0" w:color="9D2235"/>
            </w:tcBorders>
            <w:shd w:val="clear" w:color="auto" w:fill="FFFFFF"/>
            <w:vAlign w:val="center"/>
            <w:hideMark/>
          </w:tcPr>
          <w:p w14:paraId="588B0E45" w14:textId="77777777" w:rsidR="003B28A6" w:rsidRDefault="003B28A6">
            <w:pPr>
              <w:spacing w:line="276" w:lineRule="auto"/>
              <w:contextualSpacing/>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7.904,10</w:t>
            </w:r>
          </w:p>
        </w:tc>
      </w:tr>
      <w:tr w:rsidR="003B28A6" w14:paraId="0D0EEA9E" w14:textId="77777777" w:rsidTr="003B28A6">
        <w:trPr>
          <w:trHeight w:val="285"/>
        </w:trPr>
        <w:tc>
          <w:tcPr>
            <w:tcW w:w="0" w:type="auto"/>
            <w:vMerge/>
            <w:tcBorders>
              <w:top w:val="single" w:sz="4" w:space="0" w:color="9D2235"/>
              <w:left w:val="single" w:sz="4" w:space="0" w:color="9D2235"/>
              <w:bottom w:val="single" w:sz="4" w:space="0" w:color="9D2235"/>
              <w:right w:val="nil"/>
            </w:tcBorders>
            <w:vAlign w:val="center"/>
            <w:hideMark/>
          </w:tcPr>
          <w:p w14:paraId="06E9454F" w14:textId="77777777" w:rsidR="003B28A6" w:rsidRDefault="003B28A6">
            <w:pPr>
              <w:spacing w:after="0"/>
              <w:rPr>
                <w:rFonts w:ascii="Arial" w:eastAsia="Times New Roman" w:hAnsi="Arial" w:cs="Arial"/>
                <w:color w:val="000000"/>
                <w:sz w:val="18"/>
                <w:szCs w:val="18"/>
                <w:lang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3E14891E" w14:textId="77777777" w:rsidR="003B28A6" w:rsidRDefault="003B28A6">
            <w:pPr>
              <w:spacing w:line="276" w:lineRule="auto"/>
              <w:contextualSpacing/>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Restringido</w:t>
            </w:r>
          </w:p>
        </w:tc>
        <w:tc>
          <w:tcPr>
            <w:tcW w:w="986" w:type="pct"/>
            <w:tcBorders>
              <w:top w:val="single" w:sz="4" w:space="0" w:color="9D2235"/>
              <w:left w:val="nil"/>
              <w:bottom w:val="single" w:sz="4" w:space="0" w:color="9D2235"/>
              <w:right w:val="nil"/>
            </w:tcBorders>
            <w:shd w:val="clear" w:color="auto" w:fill="FFFFFF"/>
            <w:vAlign w:val="bottom"/>
            <w:hideMark/>
          </w:tcPr>
          <w:p w14:paraId="34DD1E30"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1245" w:type="pct"/>
            <w:tcBorders>
              <w:top w:val="single" w:sz="4" w:space="0" w:color="9D2235"/>
              <w:left w:val="nil"/>
              <w:bottom w:val="single" w:sz="4" w:space="0" w:color="9D2235"/>
              <w:right w:val="single" w:sz="4" w:space="0" w:color="9D2235"/>
            </w:tcBorders>
            <w:shd w:val="clear" w:color="auto" w:fill="FFFFFF"/>
            <w:vAlign w:val="center"/>
            <w:hideMark/>
          </w:tcPr>
          <w:p w14:paraId="21DBEC8F" w14:textId="77777777" w:rsidR="003B28A6" w:rsidRDefault="003B28A6">
            <w:pPr>
              <w:spacing w:line="276" w:lineRule="auto"/>
              <w:contextualSpacing/>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8.983,80</w:t>
            </w:r>
          </w:p>
        </w:tc>
      </w:tr>
      <w:tr w:rsidR="003B28A6" w14:paraId="521EFE73" w14:textId="77777777" w:rsidTr="003B28A6">
        <w:trPr>
          <w:trHeight w:val="285"/>
        </w:trPr>
        <w:tc>
          <w:tcPr>
            <w:tcW w:w="0" w:type="auto"/>
            <w:vMerge/>
            <w:tcBorders>
              <w:top w:val="single" w:sz="4" w:space="0" w:color="9D2235"/>
              <w:left w:val="single" w:sz="4" w:space="0" w:color="9D2235"/>
              <w:bottom w:val="single" w:sz="4" w:space="0" w:color="9D2235"/>
              <w:right w:val="nil"/>
            </w:tcBorders>
            <w:vAlign w:val="center"/>
            <w:hideMark/>
          </w:tcPr>
          <w:p w14:paraId="104B5983" w14:textId="77777777" w:rsidR="003B28A6" w:rsidRDefault="003B28A6">
            <w:pPr>
              <w:spacing w:after="0"/>
              <w:rPr>
                <w:rFonts w:ascii="Arial" w:eastAsia="Times New Roman" w:hAnsi="Arial" w:cs="Arial"/>
                <w:color w:val="000000"/>
                <w:sz w:val="18"/>
                <w:szCs w:val="18"/>
                <w:lang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35B5AD37" w14:textId="77777777" w:rsidR="003B28A6" w:rsidRDefault="003B28A6">
            <w:pPr>
              <w:spacing w:line="276" w:lineRule="auto"/>
              <w:contextualSpacing/>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Basado en Acuerdo Marco</w:t>
            </w:r>
          </w:p>
        </w:tc>
        <w:tc>
          <w:tcPr>
            <w:tcW w:w="986" w:type="pct"/>
            <w:tcBorders>
              <w:top w:val="single" w:sz="4" w:space="0" w:color="9D2235"/>
              <w:left w:val="nil"/>
              <w:bottom w:val="single" w:sz="4" w:space="0" w:color="9D2235"/>
              <w:right w:val="nil"/>
            </w:tcBorders>
            <w:vAlign w:val="bottom"/>
            <w:hideMark/>
          </w:tcPr>
          <w:p w14:paraId="15C2DA6B"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w:t>
            </w:r>
          </w:p>
        </w:tc>
        <w:tc>
          <w:tcPr>
            <w:tcW w:w="1245" w:type="pct"/>
            <w:tcBorders>
              <w:top w:val="single" w:sz="4" w:space="0" w:color="9D2235"/>
              <w:left w:val="nil"/>
              <w:bottom w:val="single" w:sz="4" w:space="0" w:color="9D2235"/>
              <w:right w:val="single" w:sz="4" w:space="0" w:color="9D2235"/>
            </w:tcBorders>
            <w:vAlign w:val="center"/>
            <w:hideMark/>
          </w:tcPr>
          <w:p w14:paraId="6F4200A0" w14:textId="77777777" w:rsidR="003B28A6" w:rsidRDefault="003B28A6">
            <w:pPr>
              <w:spacing w:line="276" w:lineRule="auto"/>
              <w:contextualSpacing/>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11.154,75</w:t>
            </w:r>
          </w:p>
        </w:tc>
      </w:tr>
      <w:tr w:rsidR="003B28A6" w14:paraId="3831735D" w14:textId="77777777" w:rsidTr="003B28A6">
        <w:trPr>
          <w:trHeight w:val="300"/>
        </w:trPr>
        <w:tc>
          <w:tcPr>
            <w:tcW w:w="0" w:type="auto"/>
            <w:vMerge/>
            <w:tcBorders>
              <w:top w:val="single" w:sz="4" w:space="0" w:color="9D2235"/>
              <w:left w:val="single" w:sz="4" w:space="0" w:color="9D2235"/>
              <w:bottom w:val="single" w:sz="4" w:space="0" w:color="9D2235"/>
              <w:right w:val="nil"/>
            </w:tcBorders>
            <w:vAlign w:val="center"/>
            <w:hideMark/>
          </w:tcPr>
          <w:p w14:paraId="0A14533A" w14:textId="77777777" w:rsidR="003B28A6" w:rsidRDefault="003B28A6">
            <w:pPr>
              <w:spacing w:after="0"/>
              <w:rPr>
                <w:rFonts w:ascii="Arial" w:eastAsia="Times New Roman" w:hAnsi="Arial" w:cs="Arial"/>
                <w:color w:val="000000"/>
                <w:sz w:val="18"/>
                <w:szCs w:val="18"/>
                <w:lang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48C99C8E" w14:textId="77777777" w:rsidR="003B28A6" w:rsidRDefault="003B28A6">
            <w:pPr>
              <w:spacing w:line="276" w:lineRule="auto"/>
              <w:ind w:firstLine="192"/>
              <w:contextualSpacing/>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Subtotal contratos de servicio</w:t>
            </w:r>
          </w:p>
        </w:tc>
        <w:tc>
          <w:tcPr>
            <w:tcW w:w="986" w:type="pct"/>
            <w:tcBorders>
              <w:top w:val="single" w:sz="4" w:space="0" w:color="9D2235"/>
              <w:left w:val="nil"/>
              <w:bottom w:val="single" w:sz="4" w:space="0" w:color="9D2235"/>
              <w:right w:val="nil"/>
            </w:tcBorders>
            <w:vAlign w:val="bottom"/>
            <w:hideMark/>
          </w:tcPr>
          <w:p w14:paraId="7987CE2C" w14:textId="77777777" w:rsidR="003B28A6" w:rsidRDefault="003B28A6">
            <w:pPr>
              <w:spacing w:line="276" w:lineRule="auto"/>
              <w:contextualSpacing/>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24</w:t>
            </w:r>
          </w:p>
        </w:tc>
        <w:tc>
          <w:tcPr>
            <w:tcW w:w="1245" w:type="pct"/>
            <w:tcBorders>
              <w:top w:val="single" w:sz="4" w:space="0" w:color="9D2235"/>
              <w:left w:val="nil"/>
              <w:bottom w:val="single" w:sz="4" w:space="0" w:color="9D2235"/>
              <w:right w:val="single" w:sz="4" w:space="0" w:color="9D2235"/>
            </w:tcBorders>
            <w:vAlign w:val="center"/>
            <w:hideMark/>
          </w:tcPr>
          <w:p w14:paraId="69FD5EF9" w14:textId="77777777" w:rsidR="003B28A6" w:rsidRDefault="003B28A6">
            <w:pPr>
              <w:spacing w:line="276" w:lineRule="auto"/>
              <w:contextualSpacing/>
              <w:jc w:val="right"/>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63.851,75</w:t>
            </w:r>
          </w:p>
        </w:tc>
      </w:tr>
      <w:tr w:rsidR="003B28A6" w14:paraId="54956B94" w14:textId="77777777" w:rsidTr="003B28A6">
        <w:trPr>
          <w:trHeight w:val="285"/>
        </w:trPr>
        <w:tc>
          <w:tcPr>
            <w:tcW w:w="1091" w:type="pct"/>
            <w:vMerge w:val="restart"/>
            <w:tcBorders>
              <w:top w:val="single" w:sz="4" w:space="0" w:color="9D2235"/>
              <w:left w:val="single" w:sz="4" w:space="0" w:color="9D2235"/>
              <w:bottom w:val="single" w:sz="4" w:space="0" w:color="9D2235"/>
              <w:right w:val="nil"/>
            </w:tcBorders>
            <w:shd w:val="clear" w:color="auto" w:fill="FFFFFF"/>
            <w:vAlign w:val="center"/>
            <w:hideMark/>
          </w:tcPr>
          <w:p w14:paraId="5C2388C1"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Suministros</w:t>
            </w:r>
          </w:p>
        </w:tc>
        <w:tc>
          <w:tcPr>
            <w:tcW w:w="1678" w:type="pct"/>
            <w:tcBorders>
              <w:top w:val="single" w:sz="4" w:space="0" w:color="9D2235"/>
              <w:left w:val="nil"/>
              <w:bottom w:val="single" w:sz="4" w:space="0" w:color="9D2235"/>
              <w:right w:val="nil"/>
            </w:tcBorders>
            <w:shd w:val="clear" w:color="auto" w:fill="FFFFFF"/>
            <w:vAlign w:val="center"/>
            <w:hideMark/>
          </w:tcPr>
          <w:p w14:paraId="5A424960" w14:textId="77777777" w:rsidR="003B28A6" w:rsidRDefault="003B28A6">
            <w:pPr>
              <w:spacing w:line="276" w:lineRule="auto"/>
              <w:contextualSpacing/>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Menor</w:t>
            </w:r>
          </w:p>
        </w:tc>
        <w:tc>
          <w:tcPr>
            <w:tcW w:w="986" w:type="pct"/>
            <w:tcBorders>
              <w:top w:val="single" w:sz="4" w:space="0" w:color="9D2235"/>
              <w:left w:val="nil"/>
              <w:bottom w:val="single" w:sz="4" w:space="0" w:color="9D2235"/>
              <w:right w:val="nil"/>
            </w:tcBorders>
            <w:vAlign w:val="bottom"/>
            <w:hideMark/>
          </w:tcPr>
          <w:p w14:paraId="3C05CBFB"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11</w:t>
            </w:r>
          </w:p>
        </w:tc>
        <w:tc>
          <w:tcPr>
            <w:tcW w:w="1245" w:type="pct"/>
            <w:tcBorders>
              <w:top w:val="single" w:sz="4" w:space="0" w:color="9D2235"/>
              <w:left w:val="nil"/>
              <w:bottom w:val="single" w:sz="4" w:space="0" w:color="9D2235"/>
              <w:right w:val="single" w:sz="4" w:space="0" w:color="9D2235"/>
            </w:tcBorders>
            <w:vAlign w:val="center"/>
            <w:hideMark/>
          </w:tcPr>
          <w:p w14:paraId="456F296F" w14:textId="77777777" w:rsidR="003B28A6" w:rsidRDefault="003B28A6">
            <w:pPr>
              <w:spacing w:line="276" w:lineRule="auto"/>
              <w:contextualSpacing/>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31.742,03</w:t>
            </w:r>
          </w:p>
        </w:tc>
      </w:tr>
      <w:tr w:rsidR="003B28A6" w14:paraId="66868D2D" w14:textId="77777777" w:rsidTr="003B28A6">
        <w:trPr>
          <w:trHeight w:val="285"/>
        </w:trPr>
        <w:tc>
          <w:tcPr>
            <w:tcW w:w="0" w:type="auto"/>
            <w:vMerge/>
            <w:tcBorders>
              <w:top w:val="single" w:sz="4" w:space="0" w:color="9D2235"/>
              <w:left w:val="single" w:sz="4" w:space="0" w:color="9D2235"/>
              <w:bottom w:val="single" w:sz="4" w:space="0" w:color="9D2235"/>
              <w:right w:val="nil"/>
            </w:tcBorders>
            <w:vAlign w:val="center"/>
            <w:hideMark/>
          </w:tcPr>
          <w:p w14:paraId="034CE7F5" w14:textId="77777777" w:rsidR="003B28A6" w:rsidRDefault="003B28A6">
            <w:pPr>
              <w:spacing w:after="0"/>
              <w:rPr>
                <w:rFonts w:ascii="Arial" w:eastAsia="Times New Roman" w:hAnsi="Arial" w:cs="Arial"/>
                <w:color w:val="000000"/>
                <w:sz w:val="18"/>
                <w:szCs w:val="18"/>
                <w:lang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386B57A7" w14:textId="77777777" w:rsidR="003B28A6" w:rsidRDefault="003B28A6">
            <w:pPr>
              <w:spacing w:line="276" w:lineRule="auto"/>
              <w:contextualSpacing/>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Abierto</w:t>
            </w:r>
          </w:p>
        </w:tc>
        <w:tc>
          <w:tcPr>
            <w:tcW w:w="986" w:type="pct"/>
            <w:tcBorders>
              <w:top w:val="single" w:sz="4" w:space="0" w:color="9D2235"/>
              <w:left w:val="nil"/>
              <w:bottom w:val="single" w:sz="4" w:space="0" w:color="9D2235"/>
              <w:right w:val="nil"/>
            </w:tcBorders>
            <w:vAlign w:val="bottom"/>
            <w:hideMark/>
          </w:tcPr>
          <w:p w14:paraId="090E7D9C"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w:t>
            </w:r>
          </w:p>
        </w:tc>
        <w:tc>
          <w:tcPr>
            <w:tcW w:w="1245" w:type="pct"/>
            <w:tcBorders>
              <w:top w:val="single" w:sz="4" w:space="0" w:color="9D2235"/>
              <w:left w:val="nil"/>
              <w:bottom w:val="single" w:sz="4" w:space="0" w:color="9D2235"/>
              <w:right w:val="single" w:sz="4" w:space="0" w:color="9D2235"/>
            </w:tcBorders>
            <w:vAlign w:val="center"/>
            <w:hideMark/>
          </w:tcPr>
          <w:p w14:paraId="0BF58F49" w14:textId="77777777" w:rsidR="003B28A6" w:rsidRDefault="003B28A6">
            <w:pPr>
              <w:spacing w:line="276" w:lineRule="auto"/>
              <w:contextualSpacing/>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47.742,49</w:t>
            </w:r>
          </w:p>
        </w:tc>
      </w:tr>
      <w:tr w:rsidR="003B28A6" w14:paraId="72D6C655" w14:textId="77777777" w:rsidTr="003B28A6">
        <w:trPr>
          <w:trHeight w:val="285"/>
        </w:trPr>
        <w:tc>
          <w:tcPr>
            <w:tcW w:w="0" w:type="auto"/>
            <w:vMerge/>
            <w:tcBorders>
              <w:top w:val="single" w:sz="4" w:space="0" w:color="9D2235"/>
              <w:left w:val="single" w:sz="4" w:space="0" w:color="9D2235"/>
              <w:bottom w:val="single" w:sz="4" w:space="0" w:color="9D2235"/>
              <w:right w:val="nil"/>
            </w:tcBorders>
            <w:vAlign w:val="center"/>
            <w:hideMark/>
          </w:tcPr>
          <w:p w14:paraId="52E2F740" w14:textId="77777777" w:rsidR="003B28A6" w:rsidRDefault="003B28A6">
            <w:pPr>
              <w:spacing w:after="0"/>
              <w:rPr>
                <w:rFonts w:ascii="Arial" w:eastAsia="Times New Roman" w:hAnsi="Arial" w:cs="Arial"/>
                <w:color w:val="000000"/>
                <w:sz w:val="18"/>
                <w:szCs w:val="18"/>
                <w:lang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68342E69" w14:textId="77777777" w:rsidR="003B28A6" w:rsidRDefault="003B28A6">
            <w:pPr>
              <w:spacing w:line="276" w:lineRule="auto"/>
              <w:contextualSpacing/>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Basado en Acuerdo Marco</w:t>
            </w:r>
          </w:p>
        </w:tc>
        <w:tc>
          <w:tcPr>
            <w:tcW w:w="986" w:type="pct"/>
            <w:tcBorders>
              <w:top w:val="single" w:sz="4" w:space="0" w:color="9D2235"/>
              <w:left w:val="nil"/>
              <w:bottom w:val="single" w:sz="4" w:space="0" w:color="9D2235"/>
              <w:right w:val="nil"/>
            </w:tcBorders>
            <w:vAlign w:val="bottom"/>
            <w:hideMark/>
          </w:tcPr>
          <w:p w14:paraId="34E55C05"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w:t>
            </w:r>
          </w:p>
        </w:tc>
        <w:tc>
          <w:tcPr>
            <w:tcW w:w="1245" w:type="pct"/>
            <w:tcBorders>
              <w:top w:val="single" w:sz="4" w:space="0" w:color="9D2235"/>
              <w:left w:val="nil"/>
              <w:bottom w:val="single" w:sz="4" w:space="0" w:color="9D2235"/>
              <w:right w:val="single" w:sz="4" w:space="0" w:color="9D2235"/>
            </w:tcBorders>
            <w:vAlign w:val="center"/>
            <w:hideMark/>
          </w:tcPr>
          <w:p w14:paraId="5E07F88B" w14:textId="77777777" w:rsidR="003B28A6" w:rsidRDefault="003B28A6">
            <w:pPr>
              <w:spacing w:line="276" w:lineRule="auto"/>
              <w:contextualSpacing/>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27.589,47</w:t>
            </w:r>
          </w:p>
        </w:tc>
      </w:tr>
      <w:tr w:rsidR="003B28A6" w14:paraId="12E55B08" w14:textId="77777777" w:rsidTr="003B28A6">
        <w:trPr>
          <w:trHeight w:val="300"/>
        </w:trPr>
        <w:tc>
          <w:tcPr>
            <w:tcW w:w="0" w:type="auto"/>
            <w:vMerge/>
            <w:tcBorders>
              <w:top w:val="single" w:sz="4" w:space="0" w:color="9D2235"/>
              <w:left w:val="single" w:sz="4" w:space="0" w:color="9D2235"/>
              <w:bottom w:val="single" w:sz="4" w:space="0" w:color="9D2235"/>
              <w:right w:val="nil"/>
            </w:tcBorders>
            <w:vAlign w:val="center"/>
            <w:hideMark/>
          </w:tcPr>
          <w:p w14:paraId="3483A2EA" w14:textId="77777777" w:rsidR="003B28A6" w:rsidRDefault="003B28A6">
            <w:pPr>
              <w:spacing w:after="0"/>
              <w:rPr>
                <w:rFonts w:ascii="Arial" w:eastAsia="Times New Roman" w:hAnsi="Arial" w:cs="Arial"/>
                <w:color w:val="000000"/>
                <w:sz w:val="18"/>
                <w:szCs w:val="18"/>
                <w:lang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390DC48C" w14:textId="77777777" w:rsidR="003B28A6" w:rsidRDefault="003B28A6">
            <w:pPr>
              <w:spacing w:line="276" w:lineRule="auto"/>
              <w:ind w:firstLine="192"/>
              <w:contextualSpacing/>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Subtotal contratos de suminist.</w:t>
            </w:r>
          </w:p>
        </w:tc>
        <w:tc>
          <w:tcPr>
            <w:tcW w:w="986" w:type="pct"/>
            <w:tcBorders>
              <w:top w:val="single" w:sz="4" w:space="0" w:color="9D2235"/>
              <w:left w:val="nil"/>
              <w:bottom w:val="single" w:sz="4" w:space="0" w:color="9D2235"/>
              <w:right w:val="nil"/>
            </w:tcBorders>
            <w:vAlign w:val="bottom"/>
            <w:hideMark/>
          </w:tcPr>
          <w:p w14:paraId="603A0B05" w14:textId="77777777" w:rsidR="003B28A6" w:rsidRDefault="003B28A6">
            <w:pPr>
              <w:spacing w:line="276" w:lineRule="auto"/>
              <w:contextualSpacing/>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17</w:t>
            </w:r>
          </w:p>
        </w:tc>
        <w:tc>
          <w:tcPr>
            <w:tcW w:w="1245" w:type="pct"/>
            <w:tcBorders>
              <w:top w:val="single" w:sz="4" w:space="0" w:color="9D2235"/>
              <w:left w:val="nil"/>
              <w:bottom w:val="single" w:sz="4" w:space="0" w:color="9D2235"/>
              <w:right w:val="single" w:sz="4" w:space="0" w:color="9D2235"/>
            </w:tcBorders>
            <w:vAlign w:val="center"/>
            <w:hideMark/>
          </w:tcPr>
          <w:p w14:paraId="2DC5A8B1" w14:textId="77777777" w:rsidR="003B28A6" w:rsidRDefault="003B28A6">
            <w:pPr>
              <w:spacing w:line="276" w:lineRule="auto"/>
              <w:contextualSpacing/>
              <w:jc w:val="right"/>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107.073,99</w:t>
            </w:r>
          </w:p>
        </w:tc>
      </w:tr>
      <w:tr w:rsidR="003B28A6" w14:paraId="42C811B5" w14:textId="77777777" w:rsidTr="003B28A6">
        <w:trPr>
          <w:trHeight w:val="285"/>
        </w:trPr>
        <w:tc>
          <w:tcPr>
            <w:tcW w:w="1091" w:type="pct"/>
            <w:vMerge w:val="restart"/>
            <w:tcBorders>
              <w:top w:val="single" w:sz="4" w:space="0" w:color="9D2235"/>
              <w:left w:val="single" w:sz="4" w:space="0" w:color="9D2235"/>
              <w:bottom w:val="single" w:sz="4" w:space="0" w:color="9D2235"/>
              <w:right w:val="nil"/>
            </w:tcBorders>
            <w:shd w:val="clear" w:color="auto" w:fill="FFFFFF"/>
            <w:vAlign w:val="center"/>
            <w:hideMark/>
          </w:tcPr>
          <w:p w14:paraId="03E1F563"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Mixtos:</w:t>
            </w:r>
            <w:r>
              <w:rPr>
                <w:rFonts w:ascii="Arial" w:eastAsia="Times New Roman" w:hAnsi="Arial" w:cs="Arial"/>
                <w:color w:val="000000"/>
                <w:sz w:val="18"/>
                <w:szCs w:val="18"/>
                <w:lang w:eastAsia="es-ES"/>
              </w:rPr>
              <w:br/>
              <w:t>servicio-suministro</w:t>
            </w:r>
          </w:p>
        </w:tc>
        <w:tc>
          <w:tcPr>
            <w:tcW w:w="1678" w:type="pct"/>
            <w:tcBorders>
              <w:top w:val="single" w:sz="4" w:space="0" w:color="9D2235"/>
              <w:left w:val="nil"/>
              <w:bottom w:val="single" w:sz="4" w:space="0" w:color="9D2235"/>
              <w:right w:val="nil"/>
            </w:tcBorders>
            <w:shd w:val="clear" w:color="auto" w:fill="FFFFFF"/>
            <w:vAlign w:val="center"/>
            <w:hideMark/>
          </w:tcPr>
          <w:p w14:paraId="0E8F8247" w14:textId="77777777" w:rsidR="003B28A6" w:rsidRDefault="003B28A6">
            <w:pPr>
              <w:spacing w:line="276" w:lineRule="auto"/>
              <w:contextualSpacing/>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Abierto</w:t>
            </w:r>
          </w:p>
        </w:tc>
        <w:tc>
          <w:tcPr>
            <w:tcW w:w="986" w:type="pct"/>
            <w:tcBorders>
              <w:top w:val="single" w:sz="4" w:space="0" w:color="9D2235"/>
              <w:left w:val="nil"/>
              <w:bottom w:val="single" w:sz="4" w:space="0" w:color="9D2235"/>
              <w:right w:val="nil"/>
            </w:tcBorders>
            <w:vAlign w:val="bottom"/>
            <w:hideMark/>
          </w:tcPr>
          <w:p w14:paraId="328590D2"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w:t>
            </w:r>
          </w:p>
        </w:tc>
        <w:tc>
          <w:tcPr>
            <w:tcW w:w="1245" w:type="pct"/>
            <w:tcBorders>
              <w:top w:val="single" w:sz="4" w:space="0" w:color="9D2235"/>
              <w:left w:val="nil"/>
              <w:bottom w:val="single" w:sz="4" w:space="0" w:color="9D2235"/>
              <w:right w:val="single" w:sz="4" w:space="0" w:color="9D2235"/>
            </w:tcBorders>
            <w:vAlign w:val="center"/>
            <w:hideMark/>
          </w:tcPr>
          <w:p w14:paraId="49119684" w14:textId="77777777" w:rsidR="003B28A6" w:rsidRDefault="003B28A6">
            <w:pPr>
              <w:spacing w:line="276" w:lineRule="auto"/>
              <w:contextualSpacing/>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0,00</w:t>
            </w:r>
          </w:p>
        </w:tc>
      </w:tr>
      <w:tr w:rsidR="003B28A6" w14:paraId="23DB5588" w14:textId="77777777" w:rsidTr="003B28A6">
        <w:trPr>
          <w:trHeight w:val="285"/>
        </w:trPr>
        <w:tc>
          <w:tcPr>
            <w:tcW w:w="0" w:type="auto"/>
            <w:vMerge/>
            <w:tcBorders>
              <w:top w:val="single" w:sz="4" w:space="0" w:color="9D2235"/>
              <w:left w:val="single" w:sz="4" w:space="0" w:color="9D2235"/>
              <w:bottom w:val="single" w:sz="4" w:space="0" w:color="9D2235"/>
              <w:right w:val="nil"/>
            </w:tcBorders>
            <w:vAlign w:val="center"/>
            <w:hideMark/>
          </w:tcPr>
          <w:p w14:paraId="105C18BC" w14:textId="77777777" w:rsidR="003B28A6" w:rsidRDefault="003B28A6">
            <w:pPr>
              <w:spacing w:after="0"/>
              <w:rPr>
                <w:rFonts w:ascii="Arial" w:eastAsia="Times New Roman" w:hAnsi="Arial" w:cs="Arial"/>
                <w:color w:val="000000"/>
                <w:sz w:val="18"/>
                <w:szCs w:val="18"/>
                <w:lang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382D9ED1" w14:textId="77777777" w:rsidR="003B28A6" w:rsidRDefault="003B28A6">
            <w:pPr>
              <w:spacing w:line="276" w:lineRule="auto"/>
              <w:contextualSpacing/>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Basado en Acuerdo Marco</w:t>
            </w:r>
          </w:p>
        </w:tc>
        <w:tc>
          <w:tcPr>
            <w:tcW w:w="986" w:type="pct"/>
            <w:tcBorders>
              <w:top w:val="single" w:sz="4" w:space="0" w:color="9D2235"/>
              <w:left w:val="nil"/>
              <w:bottom w:val="single" w:sz="4" w:space="0" w:color="9D2235"/>
              <w:right w:val="nil"/>
            </w:tcBorders>
            <w:vAlign w:val="bottom"/>
            <w:hideMark/>
          </w:tcPr>
          <w:p w14:paraId="49328C72"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1245" w:type="pct"/>
            <w:tcBorders>
              <w:top w:val="single" w:sz="4" w:space="0" w:color="9D2235"/>
              <w:left w:val="nil"/>
              <w:bottom w:val="single" w:sz="4" w:space="0" w:color="9D2235"/>
              <w:right w:val="single" w:sz="4" w:space="0" w:color="9D2235"/>
            </w:tcBorders>
            <w:vAlign w:val="center"/>
            <w:hideMark/>
          </w:tcPr>
          <w:p w14:paraId="3342C70F" w14:textId="77777777" w:rsidR="003B28A6" w:rsidRDefault="003B28A6">
            <w:pPr>
              <w:spacing w:line="276" w:lineRule="auto"/>
              <w:contextualSpacing/>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25.686,15</w:t>
            </w:r>
          </w:p>
        </w:tc>
      </w:tr>
      <w:tr w:rsidR="003B28A6" w14:paraId="6AB8A8F1" w14:textId="77777777" w:rsidTr="003B28A6">
        <w:trPr>
          <w:trHeight w:val="300"/>
        </w:trPr>
        <w:tc>
          <w:tcPr>
            <w:tcW w:w="0" w:type="auto"/>
            <w:vMerge/>
            <w:tcBorders>
              <w:top w:val="single" w:sz="4" w:space="0" w:color="9D2235"/>
              <w:left w:val="single" w:sz="4" w:space="0" w:color="9D2235"/>
              <w:bottom w:val="single" w:sz="4" w:space="0" w:color="9D2235"/>
              <w:right w:val="nil"/>
            </w:tcBorders>
            <w:vAlign w:val="center"/>
            <w:hideMark/>
          </w:tcPr>
          <w:p w14:paraId="306CF608" w14:textId="77777777" w:rsidR="003B28A6" w:rsidRDefault="003B28A6">
            <w:pPr>
              <w:spacing w:after="0"/>
              <w:rPr>
                <w:rFonts w:ascii="Arial" w:eastAsia="Times New Roman" w:hAnsi="Arial" w:cs="Arial"/>
                <w:color w:val="000000"/>
                <w:sz w:val="18"/>
                <w:szCs w:val="18"/>
                <w:lang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5F277083" w14:textId="77777777" w:rsidR="003B28A6" w:rsidRDefault="003B28A6">
            <w:pPr>
              <w:spacing w:after="0" w:line="276" w:lineRule="auto"/>
              <w:ind w:left="1" w:firstLine="191"/>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Subtotal contratos mixtos: svc-sum</w:t>
            </w:r>
          </w:p>
        </w:tc>
        <w:tc>
          <w:tcPr>
            <w:tcW w:w="986" w:type="pct"/>
            <w:tcBorders>
              <w:top w:val="single" w:sz="4" w:space="0" w:color="9D2235"/>
              <w:left w:val="nil"/>
              <w:bottom w:val="single" w:sz="4" w:space="0" w:color="9D2235"/>
              <w:right w:val="nil"/>
            </w:tcBorders>
            <w:vAlign w:val="bottom"/>
            <w:hideMark/>
          </w:tcPr>
          <w:p w14:paraId="0714491B" w14:textId="77777777" w:rsidR="003B28A6" w:rsidRDefault="003B28A6">
            <w:pPr>
              <w:spacing w:line="276" w:lineRule="auto"/>
              <w:contextualSpacing/>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1</w:t>
            </w:r>
          </w:p>
        </w:tc>
        <w:tc>
          <w:tcPr>
            <w:tcW w:w="1245" w:type="pct"/>
            <w:tcBorders>
              <w:top w:val="single" w:sz="4" w:space="0" w:color="9D2235"/>
              <w:left w:val="nil"/>
              <w:bottom w:val="single" w:sz="4" w:space="0" w:color="9D2235"/>
              <w:right w:val="single" w:sz="4" w:space="0" w:color="9D2235"/>
            </w:tcBorders>
            <w:vAlign w:val="center"/>
            <w:hideMark/>
          </w:tcPr>
          <w:p w14:paraId="3045396C" w14:textId="77777777" w:rsidR="003B28A6" w:rsidRDefault="003B28A6">
            <w:pPr>
              <w:spacing w:line="276" w:lineRule="auto"/>
              <w:contextualSpacing/>
              <w:jc w:val="right"/>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25.686,15</w:t>
            </w:r>
          </w:p>
        </w:tc>
      </w:tr>
      <w:tr w:rsidR="003B28A6" w14:paraId="193E2CFB" w14:textId="77777777" w:rsidTr="003B28A6">
        <w:trPr>
          <w:trHeight w:val="285"/>
        </w:trPr>
        <w:tc>
          <w:tcPr>
            <w:tcW w:w="1091" w:type="pct"/>
            <w:vMerge w:val="restart"/>
            <w:tcBorders>
              <w:top w:val="single" w:sz="4" w:space="0" w:color="9D2235"/>
              <w:left w:val="single" w:sz="4" w:space="0" w:color="9D2235"/>
              <w:bottom w:val="single" w:sz="4" w:space="0" w:color="9D2235"/>
              <w:right w:val="nil"/>
            </w:tcBorders>
            <w:shd w:val="clear" w:color="auto" w:fill="FFFFFF"/>
            <w:vAlign w:val="center"/>
            <w:hideMark/>
          </w:tcPr>
          <w:p w14:paraId="4936150B"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Obras</w:t>
            </w:r>
          </w:p>
        </w:tc>
        <w:tc>
          <w:tcPr>
            <w:tcW w:w="1678" w:type="pct"/>
            <w:tcBorders>
              <w:top w:val="single" w:sz="4" w:space="0" w:color="9D2235"/>
              <w:left w:val="nil"/>
              <w:bottom w:val="single" w:sz="4" w:space="0" w:color="9D2235"/>
              <w:right w:val="nil"/>
            </w:tcBorders>
            <w:shd w:val="clear" w:color="auto" w:fill="FFFFFF"/>
            <w:vAlign w:val="center"/>
            <w:hideMark/>
          </w:tcPr>
          <w:p w14:paraId="3AD22BA0" w14:textId="77777777" w:rsidR="003B28A6" w:rsidRDefault="003B28A6">
            <w:pPr>
              <w:spacing w:line="276" w:lineRule="auto"/>
              <w:contextualSpacing/>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Menor</w:t>
            </w:r>
          </w:p>
        </w:tc>
        <w:tc>
          <w:tcPr>
            <w:tcW w:w="986" w:type="pct"/>
            <w:tcBorders>
              <w:top w:val="single" w:sz="4" w:space="0" w:color="9D2235"/>
              <w:left w:val="nil"/>
              <w:bottom w:val="single" w:sz="4" w:space="0" w:color="9D2235"/>
              <w:right w:val="nil"/>
            </w:tcBorders>
            <w:vAlign w:val="bottom"/>
            <w:hideMark/>
          </w:tcPr>
          <w:p w14:paraId="2BE070CB"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w:t>
            </w:r>
          </w:p>
        </w:tc>
        <w:tc>
          <w:tcPr>
            <w:tcW w:w="1245" w:type="pct"/>
            <w:tcBorders>
              <w:top w:val="single" w:sz="4" w:space="0" w:color="9D2235"/>
              <w:left w:val="nil"/>
              <w:bottom w:val="single" w:sz="4" w:space="0" w:color="9D2235"/>
              <w:right w:val="single" w:sz="4" w:space="0" w:color="9D2235"/>
            </w:tcBorders>
            <w:vAlign w:val="center"/>
            <w:hideMark/>
          </w:tcPr>
          <w:p w14:paraId="5C53E327" w14:textId="77777777" w:rsidR="003B28A6" w:rsidRDefault="003B28A6">
            <w:pPr>
              <w:spacing w:line="276" w:lineRule="auto"/>
              <w:contextualSpacing/>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0,00</w:t>
            </w:r>
          </w:p>
        </w:tc>
      </w:tr>
      <w:tr w:rsidR="003B28A6" w14:paraId="42466328" w14:textId="77777777" w:rsidTr="003B28A6">
        <w:trPr>
          <w:trHeight w:val="285"/>
        </w:trPr>
        <w:tc>
          <w:tcPr>
            <w:tcW w:w="0" w:type="auto"/>
            <w:vMerge/>
            <w:tcBorders>
              <w:top w:val="single" w:sz="4" w:space="0" w:color="9D2235"/>
              <w:left w:val="single" w:sz="4" w:space="0" w:color="9D2235"/>
              <w:bottom w:val="single" w:sz="4" w:space="0" w:color="9D2235"/>
              <w:right w:val="nil"/>
            </w:tcBorders>
            <w:vAlign w:val="center"/>
            <w:hideMark/>
          </w:tcPr>
          <w:p w14:paraId="01505C8C" w14:textId="77777777" w:rsidR="003B28A6" w:rsidRDefault="003B28A6">
            <w:pPr>
              <w:spacing w:after="0"/>
              <w:rPr>
                <w:rFonts w:ascii="Arial" w:eastAsia="Times New Roman" w:hAnsi="Arial" w:cs="Arial"/>
                <w:color w:val="000000"/>
                <w:sz w:val="18"/>
                <w:szCs w:val="18"/>
                <w:lang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02FB25A7" w14:textId="77777777" w:rsidR="003B28A6" w:rsidRDefault="003B28A6">
            <w:pPr>
              <w:spacing w:line="276" w:lineRule="auto"/>
              <w:contextualSpacing/>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Abierto</w:t>
            </w:r>
          </w:p>
        </w:tc>
        <w:tc>
          <w:tcPr>
            <w:tcW w:w="986" w:type="pct"/>
            <w:tcBorders>
              <w:top w:val="single" w:sz="4" w:space="0" w:color="9D2235"/>
              <w:left w:val="nil"/>
              <w:bottom w:val="single" w:sz="4" w:space="0" w:color="9D2235"/>
              <w:right w:val="nil"/>
            </w:tcBorders>
            <w:vAlign w:val="bottom"/>
            <w:hideMark/>
          </w:tcPr>
          <w:p w14:paraId="77E03362"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w:t>
            </w:r>
          </w:p>
        </w:tc>
        <w:tc>
          <w:tcPr>
            <w:tcW w:w="1245" w:type="pct"/>
            <w:tcBorders>
              <w:top w:val="single" w:sz="4" w:space="0" w:color="9D2235"/>
              <w:left w:val="nil"/>
              <w:bottom w:val="single" w:sz="4" w:space="0" w:color="9D2235"/>
              <w:right w:val="single" w:sz="4" w:space="0" w:color="9D2235"/>
            </w:tcBorders>
            <w:vAlign w:val="center"/>
            <w:hideMark/>
          </w:tcPr>
          <w:p w14:paraId="6F203962" w14:textId="77777777" w:rsidR="003B28A6" w:rsidRDefault="003B28A6">
            <w:pPr>
              <w:spacing w:line="276" w:lineRule="auto"/>
              <w:contextualSpacing/>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0,00</w:t>
            </w:r>
          </w:p>
        </w:tc>
      </w:tr>
      <w:tr w:rsidR="003B28A6" w14:paraId="0A69A725" w14:textId="77777777" w:rsidTr="003B28A6">
        <w:trPr>
          <w:trHeight w:val="285"/>
        </w:trPr>
        <w:tc>
          <w:tcPr>
            <w:tcW w:w="0" w:type="auto"/>
            <w:vMerge/>
            <w:tcBorders>
              <w:top w:val="single" w:sz="4" w:space="0" w:color="9D2235"/>
              <w:left w:val="single" w:sz="4" w:space="0" w:color="9D2235"/>
              <w:bottom w:val="single" w:sz="4" w:space="0" w:color="9D2235"/>
              <w:right w:val="nil"/>
            </w:tcBorders>
            <w:vAlign w:val="center"/>
            <w:hideMark/>
          </w:tcPr>
          <w:p w14:paraId="2156C76E" w14:textId="77777777" w:rsidR="003B28A6" w:rsidRDefault="003B28A6">
            <w:pPr>
              <w:spacing w:after="0"/>
              <w:rPr>
                <w:rFonts w:ascii="Arial" w:eastAsia="Times New Roman" w:hAnsi="Arial" w:cs="Arial"/>
                <w:color w:val="000000"/>
                <w:sz w:val="18"/>
                <w:szCs w:val="18"/>
                <w:lang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192D8EE5" w14:textId="77777777" w:rsidR="003B28A6" w:rsidRDefault="003B28A6">
            <w:pPr>
              <w:spacing w:line="276" w:lineRule="auto"/>
              <w:contextualSpacing/>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Basado en Acuerdo Marco</w:t>
            </w:r>
          </w:p>
        </w:tc>
        <w:tc>
          <w:tcPr>
            <w:tcW w:w="986" w:type="pct"/>
            <w:tcBorders>
              <w:top w:val="single" w:sz="4" w:space="0" w:color="9D2235"/>
              <w:left w:val="nil"/>
              <w:bottom w:val="single" w:sz="4" w:space="0" w:color="9D2235"/>
              <w:right w:val="nil"/>
            </w:tcBorders>
            <w:vAlign w:val="bottom"/>
            <w:hideMark/>
          </w:tcPr>
          <w:p w14:paraId="03CFA90F" w14:textId="77777777" w:rsidR="003B28A6" w:rsidRDefault="003B28A6">
            <w:pPr>
              <w:spacing w:line="276" w:lineRule="auto"/>
              <w:contextualSpacing/>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w:t>
            </w:r>
          </w:p>
        </w:tc>
        <w:tc>
          <w:tcPr>
            <w:tcW w:w="1245" w:type="pct"/>
            <w:tcBorders>
              <w:top w:val="single" w:sz="4" w:space="0" w:color="9D2235"/>
              <w:left w:val="nil"/>
              <w:bottom w:val="single" w:sz="4" w:space="0" w:color="9D2235"/>
              <w:right w:val="single" w:sz="4" w:space="0" w:color="9D2235"/>
            </w:tcBorders>
            <w:vAlign w:val="center"/>
            <w:hideMark/>
          </w:tcPr>
          <w:p w14:paraId="50954AF6" w14:textId="77777777" w:rsidR="003B28A6" w:rsidRDefault="003B28A6">
            <w:pPr>
              <w:spacing w:line="276" w:lineRule="auto"/>
              <w:contextualSpacing/>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0,00</w:t>
            </w:r>
          </w:p>
        </w:tc>
      </w:tr>
      <w:tr w:rsidR="003B28A6" w14:paraId="3EFA1369" w14:textId="77777777" w:rsidTr="003B28A6">
        <w:trPr>
          <w:trHeight w:val="300"/>
        </w:trPr>
        <w:tc>
          <w:tcPr>
            <w:tcW w:w="0" w:type="auto"/>
            <w:vMerge/>
            <w:tcBorders>
              <w:top w:val="single" w:sz="4" w:space="0" w:color="9D2235"/>
              <w:left w:val="single" w:sz="4" w:space="0" w:color="9D2235"/>
              <w:bottom w:val="single" w:sz="4" w:space="0" w:color="9D2235"/>
              <w:right w:val="nil"/>
            </w:tcBorders>
            <w:vAlign w:val="center"/>
            <w:hideMark/>
          </w:tcPr>
          <w:p w14:paraId="123DFFE0" w14:textId="77777777" w:rsidR="003B28A6" w:rsidRDefault="003B28A6">
            <w:pPr>
              <w:spacing w:after="0"/>
              <w:rPr>
                <w:rFonts w:ascii="Arial" w:eastAsia="Times New Roman" w:hAnsi="Arial" w:cs="Arial"/>
                <w:color w:val="000000"/>
                <w:sz w:val="18"/>
                <w:szCs w:val="18"/>
                <w:lang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6F8DE826" w14:textId="77777777" w:rsidR="003B28A6" w:rsidRDefault="003B28A6">
            <w:pPr>
              <w:spacing w:line="276" w:lineRule="auto"/>
              <w:ind w:firstLine="192"/>
              <w:contextualSpacing/>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Subtotal contratos de obra</w:t>
            </w:r>
          </w:p>
        </w:tc>
        <w:tc>
          <w:tcPr>
            <w:tcW w:w="986" w:type="pct"/>
            <w:tcBorders>
              <w:top w:val="single" w:sz="4" w:space="0" w:color="9D2235"/>
              <w:left w:val="nil"/>
              <w:bottom w:val="single" w:sz="4" w:space="0" w:color="9D2235"/>
              <w:right w:val="nil"/>
            </w:tcBorders>
            <w:vAlign w:val="bottom"/>
            <w:hideMark/>
          </w:tcPr>
          <w:p w14:paraId="320FE75A" w14:textId="77777777" w:rsidR="003B28A6" w:rsidRDefault="003B28A6">
            <w:pPr>
              <w:spacing w:line="276" w:lineRule="auto"/>
              <w:contextualSpacing/>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w:t>
            </w:r>
          </w:p>
        </w:tc>
        <w:tc>
          <w:tcPr>
            <w:tcW w:w="1245" w:type="pct"/>
            <w:tcBorders>
              <w:top w:val="single" w:sz="4" w:space="0" w:color="9D2235"/>
              <w:left w:val="nil"/>
              <w:bottom w:val="single" w:sz="4" w:space="0" w:color="9D2235"/>
              <w:right w:val="single" w:sz="4" w:space="0" w:color="9D2235"/>
            </w:tcBorders>
            <w:vAlign w:val="center"/>
            <w:hideMark/>
          </w:tcPr>
          <w:p w14:paraId="272B30C1" w14:textId="77777777" w:rsidR="003B28A6" w:rsidRDefault="003B28A6">
            <w:pPr>
              <w:spacing w:line="276" w:lineRule="auto"/>
              <w:contextualSpacing/>
              <w:jc w:val="right"/>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0,00</w:t>
            </w:r>
          </w:p>
        </w:tc>
      </w:tr>
      <w:tr w:rsidR="003B28A6" w14:paraId="5F2BB1DE" w14:textId="77777777" w:rsidTr="003B28A6">
        <w:trPr>
          <w:trHeight w:val="300"/>
        </w:trPr>
        <w:tc>
          <w:tcPr>
            <w:tcW w:w="2769" w:type="pct"/>
            <w:gridSpan w:val="2"/>
            <w:tcBorders>
              <w:top w:val="single" w:sz="4" w:space="0" w:color="666666"/>
              <w:left w:val="single" w:sz="4" w:space="0" w:color="666666"/>
              <w:bottom w:val="single" w:sz="4" w:space="0" w:color="666666"/>
              <w:right w:val="nil"/>
            </w:tcBorders>
            <w:shd w:val="clear" w:color="auto" w:fill="99A4AC" w:themeFill="accent6" w:themeFillTint="99"/>
            <w:vAlign w:val="center"/>
            <w:hideMark/>
          </w:tcPr>
          <w:p w14:paraId="1AC77EEF" w14:textId="77777777" w:rsidR="003B28A6" w:rsidRDefault="003B28A6">
            <w:pPr>
              <w:spacing w:line="276" w:lineRule="auto"/>
              <w:contextualSpacing/>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TOTAL</w:t>
            </w:r>
          </w:p>
        </w:tc>
        <w:tc>
          <w:tcPr>
            <w:tcW w:w="986" w:type="pct"/>
            <w:tcBorders>
              <w:top w:val="single" w:sz="4" w:space="0" w:color="666666"/>
              <w:left w:val="nil"/>
              <w:bottom w:val="single" w:sz="4" w:space="0" w:color="666666"/>
              <w:right w:val="nil"/>
            </w:tcBorders>
            <w:shd w:val="clear" w:color="auto" w:fill="99A4AC" w:themeFill="accent6" w:themeFillTint="99"/>
            <w:vAlign w:val="bottom"/>
            <w:hideMark/>
          </w:tcPr>
          <w:p w14:paraId="725D5DDA" w14:textId="77777777" w:rsidR="003B28A6" w:rsidRDefault="003B28A6">
            <w:pPr>
              <w:spacing w:line="276" w:lineRule="auto"/>
              <w:contextualSpacing/>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42</w:t>
            </w:r>
          </w:p>
        </w:tc>
        <w:tc>
          <w:tcPr>
            <w:tcW w:w="1245" w:type="pct"/>
            <w:tcBorders>
              <w:top w:val="single" w:sz="4" w:space="0" w:color="666666"/>
              <w:left w:val="nil"/>
              <w:bottom w:val="single" w:sz="4" w:space="0" w:color="666666"/>
              <w:right w:val="single" w:sz="4" w:space="0" w:color="666666"/>
            </w:tcBorders>
            <w:shd w:val="clear" w:color="auto" w:fill="99A4AC" w:themeFill="accent6" w:themeFillTint="99"/>
            <w:vAlign w:val="center"/>
            <w:hideMark/>
          </w:tcPr>
          <w:p w14:paraId="02E67BE5" w14:textId="77777777" w:rsidR="003B28A6" w:rsidRDefault="003B28A6">
            <w:pPr>
              <w:spacing w:line="276" w:lineRule="auto"/>
              <w:contextualSpacing/>
              <w:jc w:val="right"/>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196.611,89</w:t>
            </w:r>
          </w:p>
        </w:tc>
      </w:tr>
    </w:tbl>
    <w:p w14:paraId="2A537BE7" w14:textId="77777777" w:rsidR="003B28A6" w:rsidRDefault="003B28A6" w:rsidP="003B28A6">
      <w:pPr>
        <w:pStyle w:val="Standard"/>
        <w:spacing w:line="276" w:lineRule="auto"/>
        <w:jc w:val="both"/>
        <w:rPr>
          <w:rFonts w:ascii="Arial" w:hAnsi="Arial"/>
          <w:sz w:val="21"/>
        </w:rPr>
      </w:pPr>
    </w:p>
    <w:p w14:paraId="44EAC6CF" w14:textId="4A65E4C5" w:rsidR="003B28A6" w:rsidRDefault="003B28A6" w:rsidP="008917FC">
      <w:pPr>
        <w:pStyle w:val="Standard"/>
        <w:spacing w:after="240" w:line="276" w:lineRule="auto"/>
        <w:jc w:val="both"/>
      </w:pPr>
      <w:r>
        <w:rPr>
          <w:rFonts w:ascii="Arial" w:hAnsi="Arial"/>
          <w:sz w:val="21"/>
        </w:rPr>
        <w:t xml:space="preserve">A continuación, se incluye una tabla indicativa del volumen presupuestario destinado a la contratación a través de los procedimientos de adjudicación, así como gráficos representativos del </w:t>
      </w:r>
      <w:r>
        <w:rPr>
          <w:rFonts w:ascii="Arial" w:hAnsi="Arial"/>
          <w:sz w:val="21"/>
          <w:szCs w:val="21"/>
        </w:rPr>
        <w:t>porcentaje sobre el importe del presupuesto de adjudicación y de licitación, de nuevo según el procedimiento de adjudicación utilizado.</w:t>
      </w:r>
    </w:p>
    <w:p w14:paraId="1C8733BB" w14:textId="513D8CA2" w:rsidR="008917FC" w:rsidRPr="00F8714B" w:rsidRDefault="008917FC" w:rsidP="008917FC">
      <w:pPr>
        <w:pStyle w:val="Descripcin"/>
        <w:keepNext/>
        <w:rPr>
          <w:rFonts w:ascii="Arial" w:hAnsi="Arial" w:cs="Arial"/>
          <w:smallCaps w:val="0"/>
          <w:sz w:val="18"/>
          <w:szCs w:val="24"/>
        </w:rPr>
      </w:pPr>
      <w:bookmarkStart w:id="371" w:name="_Toc67646375"/>
      <w:r w:rsidRPr="00F8714B">
        <w:rPr>
          <w:rFonts w:ascii="Arial" w:hAnsi="Arial" w:cs="Arial"/>
          <w:smallCaps w:val="0"/>
          <w:color w:val="9D2235" w:themeColor="accent1"/>
          <w:sz w:val="18"/>
          <w:szCs w:val="24"/>
        </w:rPr>
        <w:t xml:space="preserve">Tabla </w:t>
      </w:r>
      <w:r w:rsidRPr="00F8714B">
        <w:rPr>
          <w:rFonts w:ascii="Arial" w:hAnsi="Arial" w:cs="Arial"/>
          <w:smallCaps w:val="0"/>
          <w:color w:val="9D2235" w:themeColor="accent1"/>
          <w:sz w:val="18"/>
          <w:szCs w:val="24"/>
        </w:rPr>
        <w:fldChar w:fldCharType="begin"/>
      </w:r>
      <w:r w:rsidRPr="00F8714B">
        <w:rPr>
          <w:rFonts w:ascii="Arial" w:hAnsi="Arial" w:cs="Arial"/>
          <w:smallCaps w:val="0"/>
          <w:color w:val="9D2235" w:themeColor="accent1"/>
          <w:sz w:val="18"/>
          <w:szCs w:val="24"/>
        </w:rPr>
        <w:instrText xml:space="preserve"> SEQ Tabla \* ARABIC </w:instrText>
      </w:r>
      <w:r w:rsidRPr="00F8714B">
        <w:rPr>
          <w:rFonts w:ascii="Arial" w:hAnsi="Arial" w:cs="Arial"/>
          <w:smallCaps w:val="0"/>
          <w:color w:val="9D2235" w:themeColor="accent1"/>
          <w:sz w:val="18"/>
          <w:szCs w:val="24"/>
        </w:rPr>
        <w:fldChar w:fldCharType="separate"/>
      </w:r>
      <w:r w:rsidR="00ED7F0D">
        <w:rPr>
          <w:rFonts w:ascii="Arial" w:hAnsi="Arial" w:cs="Arial"/>
          <w:smallCaps w:val="0"/>
          <w:noProof/>
          <w:color w:val="9D2235" w:themeColor="accent1"/>
          <w:sz w:val="18"/>
          <w:szCs w:val="24"/>
        </w:rPr>
        <w:t>38</w:t>
      </w:r>
      <w:r w:rsidRPr="00F8714B">
        <w:rPr>
          <w:rFonts w:ascii="Arial" w:hAnsi="Arial" w:cs="Arial"/>
          <w:smallCaps w:val="0"/>
          <w:color w:val="9D2235" w:themeColor="accent1"/>
          <w:sz w:val="18"/>
          <w:szCs w:val="24"/>
        </w:rPr>
        <w:fldChar w:fldCharType="end"/>
      </w:r>
      <w:r w:rsidRPr="00F8714B">
        <w:rPr>
          <w:rFonts w:ascii="Arial" w:hAnsi="Arial" w:cs="Arial"/>
          <w:smallCaps w:val="0"/>
          <w:color w:val="9D2235" w:themeColor="accent1"/>
          <w:sz w:val="18"/>
          <w:szCs w:val="24"/>
        </w:rPr>
        <w:t xml:space="preserve">. </w:t>
      </w:r>
      <w:r w:rsidRPr="00F8714B">
        <w:rPr>
          <w:rFonts w:ascii="Arial" w:hAnsi="Arial" w:cs="Arial"/>
          <w:smallCaps w:val="0"/>
          <w:sz w:val="18"/>
          <w:szCs w:val="24"/>
        </w:rPr>
        <w:t>Porcentaje del volumen presupuestario del 1 de enero al 31 de diciembre de 2020 a través de los procedimientos de adjudicación</w:t>
      </w:r>
      <w:bookmarkEnd w:id="371"/>
    </w:p>
    <w:tbl>
      <w:tblPr>
        <w:tblW w:w="48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1"/>
        <w:gridCol w:w="1155"/>
        <w:gridCol w:w="1354"/>
        <w:gridCol w:w="1368"/>
        <w:gridCol w:w="1354"/>
        <w:gridCol w:w="1372"/>
      </w:tblGrid>
      <w:tr w:rsidR="00997C18" w14:paraId="26A1B58F" w14:textId="77777777" w:rsidTr="00997C18">
        <w:trPr>
          <w:trHeight w:val="7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9D2235"/>
            <w:vAlign w:val="center"/>
            <w:hideMark/>
          </w:tcPr>
          <w:p w14:paraId="7DD9C684" w14:textId="77777777" w:rsidR="00997C18" w:rsidRDefault="00997C18">
            <w:pPr>
              <w:spacing w:line="276"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PORCENTAJE DE VOLUMEN PRESUPUESTARIO DE CONTRATOS A TRAVÉS DE LOS PROCEDIMIENTOS DE ADJUDICACIÓN.                  EJERCICIO 2020</w:t>
            </w:r>
          </w:p>
        </w:tc>
      </w:tr>
      <w:tr w:rsidR="00997C18" w14:paraId="482693D3" w14:textId="77777777" w:rsidTr="00997C18">
        <w:trPr>
          <w:trHeight w:val="829"/>
          <w:tblHeader/>
          <w:jc w:val="center"/>
        </w:trPr>
        <w:tc>
          <w:tcPr>
            <w:tcW w:w="976" w:type="pct"/>
            <w:vMerge w:val="restart"/>
            <w:tcBorders>
              <w:top w:val="single" w:sz="4" w:space="0" w:color="auto"/>
              <w:left w:val="single" w:sz="4" w:space="0" w:color="auto"/>
              <w:bottom w:val="single" w:sz="4" w:space="0" w:color="auto"/>
              <w:right w:val="single" w:sz="4" w:space="0" w:color="auto"/>
            </w:tcBorders>
            <w:shd w:val="clear" w:color="auto" w:fill="9D2235"/>
            <w:vAlign w:val="center"/>
            <w:hideMark/>
          </w:tcPr>
          <w:p w14:paraId="24BEEF51" w14:textId="77777777" w:rsidR="00997C18" w:rsidRDefault="00997C18">
            <w:pPr>
              <w:spacing w:line="276" w:lineRule="auto"/>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PROCEDIMIENTOS</w:t>
            </w:r>
          </w:p>
        </w:tc>
        <w:tc>
          <w:tcPr>
            <w:tcW w:w="704" w:type="pct"/>
            <w:vMerge w:val="restart"/>
            <w:tcBorders>
              <w:top w:val="single" w:sz="4" w:space="0" w:color="auto"/>
              <w:left w:val="single" w:sz="4" w:space="0" w:color="auto"/>
              <w:bottom w:val="single" w:sz="4" w:space="0" w:color="auto"/>
              <w:right w:val="single" w:sz="4" w:space="0" w:color="auto"/>
            </w:tcBorders>
            <w:shd w:val="clear" w:color="auto" w:fill="9D2235"/>
            <w:vAlign w:val="center"/>
            <w:hideMark/>
          </w:tcPr>
          <w:p w14:paraId="4BEFAB06" w14:textId="77777777" w:rsidR="00997C18" w:rsidRDefault="00997C18">
            <w:pPr>
              <w:spacing w:line="276" w:lineRule="auto"/>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NÚM. DE CONTRATOS</w:t>
            </w:r>
          </w:p>
        </w:tc>
        <w:tc>
          <w:tcPr>
            <w:tcW w:w="825" w:type="pct"/>
            <w:vMerge w:val="restart"/>
            <w:tcBorders>
              <w:top w:val="single" w:sz="4" w:space="0" w:color="auto"/>
              <w:left w:val="single" w:sz="4" w:space="0" w:color="auto"/>
              <w:bottom w:val="single" w:sz="4" w:space="0" w:color="auto"/>
              <w:right w:val="single" w:sz="4" w:space="0" w:color="auto"/>
            </w:tcBorders>
            <w:shd w:val="clear" w:color="auto" w:fill="9D2235"/>
            <w:vAlign w:val="center"/>
            <w:hideMark/>
          </w:tcPr>
          <w:p w14:paraId="4480F2A6" w14:textId="77777777" w:rsidR="00997C18" w:rsidRDefault="00997C18">
            <w:pPr>
              <w:spacing w:line="276" w:lineRule="auto"/>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 xml:space="preserve">PRESUPUESTO LICITACIÓN </w:t>
            </w:r>
            <w:r>
              <w:rPr>
                <w:rFonts w:ascii="Arial" w:eastAsia="Times New Roman" w:hAnsi="Arial" w:cs="Arial"/>
                <w:b/>
                <w:bCs/>
                <w:color w:val="FFFFFF"/>
                <w:sz w:val="16"/>
                <w:szCs w:val="16"/>
                <w:lang w:eastAsia="es-ES"/>
              </w:rPr>
              <w:br/>
              <w:t>sin IVA (2)</w:t>
            </w:r>
          </w:p>
        </w:tc>
        <w:tc>
          <w:tcPr>
            <w:tcW w:w="834" w:type="pct"/>
            <w:vMerge w:val="restart"/>
            <w:tcBorders>
              <w:top w:val="single" w:sz="4" w:space="0" w:color="auto"/>
              <w:left w:val="single" w:sz="4" w:space="0" w:color="auto"/>
              <w:bottom w:val="single" w:sz="4" w:space="0" w:color="auto"/>
              <w:right w:val="single" w:sz="4" w:space="0" w:color="auto"/>
            </w:tcBorders>
            <w:shd w:val="clear" w:color="auto" w:fill="9D2235"/>
            <w:vAlign w:val="center"/>
            <w:hideMark/>
          </w:tcPr>
          <w:p w14:paraId="21E9B29B" w14:textId="77777777" w:rsidR="00997C18" w:rsidRDefault="00997C18">
            <w:pPr>
              <w:spacing w:line="276" w:lineRule="auto"/>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IMPORTE DE ADJUDICACIÓN sin IVA (2)</w:t>
            </w:r>
          </w:p>
        </w:tc>
        <w:tc>
          <w:tcPr>
            <w:tcW w:w="1661" w:type="pct"/>
            <w:gridSpan w:val="2"/>
            <w:tcBorders>
              <w:top w:val="single" w:sz="4" w:space="0" w:color="auto"/>
              <w:left w:val="single" w:sz="4" w:space="0" w:color="auto"/>
              <w:bottom w:val="single" w:sz="4" w:space="0" w:color="auto"/>
              <w:right w:val="single" w:sz="4" w:space="0" w:color="auto"/>
            </w:tcBorders>
            <w:shd w:val="clear" w:color="auto" w:fill="9D2235"/>
            <w:vAlign w:val="center"/>
            <w:hideMark/>
          </w:tcPr>
          <w:p w14:paraId="1D75B828" w14:textId="77777777" w:rsidR="00997C18" w:rsidRDefault="00997C18">
            <w:pPr>
              <w:spacing w:line="276" w:lineRule="auto"/>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PORCENTAJE SOBRE</w:t>
            </w:r>
          </w:p>
        </w:tc>
      </w:tr>
      <w:tr w:rsidR="00997C18" w14:paraId="65B59A7F" w14:textId="77777777" w:rsidTr="00997C18">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01CF76" w14:textId="77777777" w:rsidR="00997C18" w:rsidRDefault="00997C18">
            <w:pPr>
              <w:spacing w:after="0"/>
              <w:rPr>
                <w:rFonts w:ascii="Arial" w:eastAsia="Times New Roman" w:hAnsi="Arial" w:cs="Arial"/>
                <w:b/>
                <w:bCs/>
                <w:color w:val="FFFFFF"/>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0921F" w14:textId="77777777" w:rsidR="00997C18" w:rsidRDefault="00997C18">
            <w:pPr>
              <w:spacing w:after="0"/>
              <w:rPr>
                <w:rFonts w:ascii="Arial" w:eastAsia="Times New Roman" w:hAnsi="Arial" w:cs="Arial"/>
                <w:b/>
                <w:bCs/>
                <w:color w:val="FFFFFF"/>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28833" w14:textId="77777777" w:rsidR="00997C18" w:rsidRDefault="00997C18">
            <w:pPr>
              <w:spacing w:after="0"/>
              <w:rPr>
                <w:rFonts w:ascii="Arial" w:eastAsia="Times New Roman" w:hAnsi="Arial" w:cs="Arial"/>
                <w:b/>
                <w:bCs/>
                <w:color w:val="FFFFFF"/>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FFDAB" w14:textId="77777777" w:rsidR="00997C18" w:rsidRDefault="00997C18">
            <w:pPr>
              <w:spacing w:after="0"/>
              <w:rPr>
                <w:rFonts w:ascii="Arial" w:eastAsia="Times New Roman" w:hAnsi="Arial" w:cs="Arial"/>
                <w:b/>
                <w:bCs/>
                <w:color w:val="FFFFFF"/>
                <w:sz w:val="16"/>
                <w:szCs w:val="16"/>
                <w:lang w:eastAsia="es-ES"/>
              </w:rPr>
            </w:pPr>
          </w:p>
        </w:tc>
        <w:tc>
          <w:tcPr>
            <w:tcW w:w="825" w:type="pct"/>
            <w:vMerge w:val="restart"/>
            <w:tcBorders>
              <w:top w:val="single" w:sz="4" w:space="0" w:color="auto"/>
              <w:left w:val="single" w:sz="4" w:space="0" w:color="auto"/>
              <w:bottom w:val="single" w:sz="4" w:space="0" w:color="auto"/>
              <w:right w:val="single" w:sz="4" w:space="0" w:color="auto"/>
            </w:tcBorders>
            <w:shd w:val="clear" w:color="auto" w:fill="9D2235"/>
            <w:vAlign w:val="center"/>
            <w:hideMark/>
          </w:tcPr>
          <w:p w14:paraId="52136D99" w14:textId="77777777" w:rsidR="00997C18" w:rsidRDefault="00997C18">
            <w:pPr>
              <w:spacing w:line="276" w:lineRule="auto"/>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PRESUPUESTO DE LICITACIÓN</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9D2235"/>
            <w:vAlign w:val="center"/>
            <w:hideMark/>
          </w:tcPr>
          <w:p w14:paraId="4E6076AD" w14:textId="77777777" w:rsidR="00997C18" w:rsidRDefault="00997C18">
            <w:pPr>
              <w:spacing w:line="276" w:lineRule="auto"/>
              <w:jc w:val="center"/>
              <w:rPr>
                <w:rFonts w:ascii="Arial" w:eastAsia="Times New Roman" w:hAnsi="Arial" w:cs="Arial"/>
                <w:b/>
                <w:bCs/>
                <w:color w:val="FFFFFF"/>
                <w:sz w:val="16"/>
                <w:szCs w:val="16"/>
                <w:lang w:eastAsia="es-ES"/>
              </w:rPr>
            </w:pPr>
            <w:r>
              <w:rPr>
                <w:rFonts w:ascii="Arial" w:eastAsia="Times New Roman" w:hAnsi="Arial" w:cs="Arial"/>
                <w:b/>
                <w:bCs/>
                <w:color w:val="FFFFFF"/>
                <w:sz w:val="16"/>
                <w:szCs w:val="16"/>
                <w:lang w:eastAsia="es-ES"/>
              </w:rPr>
              <w:t>IMPORTE DE ADJUDICACIÓN</w:t>
            </w:r>
          </w:p>
        </w:tc>
      </w:tr>
      <w:tr w:rsidR="00997C18" w14:paraId="6F7BF04B" w14:textId="77777777" w:rsidTr="00997C18">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4D734" w14:textId="77777777" w:rsidR="00997C18" w:rsidRDefault="00997C18">
            <w:pPr>
              <w:spacing w:after="0"/>
              <w:rPr>
                <w:rFonts w:ascii="Arial" w:eastAsia="Times New Roman" w:hAnsi="Arial" w:cs="Arial"/>
                <w:b/>
                <w:bCs/>
                <w:color w:val="FFFFFF"/>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089EF" w14:textId="77777777" w:rsidR="00997C18" w:rsidRDefault="00997C18">
            <w:pPr>
              <w:spacing w:after="0"/>
              <w:rPr>
                <w:rFonts w:ascii="Arial" w:eastAsia="Times New Roman" w:hAnsi="Arial" w:cs="Arial"/>
                <w:b/>
                <w:bCs/>
                <w:color w:val="FFFFFF"/>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85776" w14:textId="77777777" w:rsidR="00997C18" w:rsidRDefault="00997C18">
            <w:pPr>
              <w:spacing w:after="0"/>
              <w:rPr>
                <w:rFonts w:ascii="Arial" w:eastAsia="Times New Roman" w:hAnsi="Arial" w:cs="Arial"/>
                <w:b/>
                <w:bCs/>
                <w:color w:val="FFFFFF"/>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703F33" w14:textId="77777777" w:rsidR="00997C18" w:rsidRDefault="00997C18">
            <w:pPr>
              <w:spacing w:after="0"/>
              <w:rPr>
                <w:rFonts w:ascii="Arial" w:eastAsia="Times New Roman" w:hAnsi="Arial" w:cs="Arial"/>
                <w:b/>
                <w:bCs/>
                <w:color w:val="FFFFFF"/>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353D1B" w14:textId="77777777" w:rsidR="00997C18" w:rsidRDefault="00997C18">
            <w:pPr>
              <w:spacing w:after="0"/>
              <w:rPr>
                <w:rFonts w:ascii="Arial" w:eastAsia="Times New Roman" w:hAnsi="Arial" w:cs="Arial"/>
                <w:b/>
                <w:bCs/>
                <w:color w:val="FFFFFF"/>
                <w:sz w:val="16"/>
                <w:szCs w:val="16"/>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75E36A" w14:textId="77777777" w:rsidR="00997C18" w:rsidRDefault="00997C18">
            <w:pPr>
              <w:spacing w:after="0"/>
              <w:rPr>
                <w:rFonts w:ascii="Arial" w:eastAsia="Times New Roman" w:hAnsi="Arial" w:cs="Arial"/>
                <w:b/>
                <w:bCs/>
                <w:color w:val="FFFFFF"/>
                <w:sz w:val="16"/>
                <w:szCs w:val="16"/>
                <w:lang w:eastAsia="es-ES"/>
              </w:rPr>
            </w:pPr>
          </w:p>
        </w:tc>
      </w:tr>
      <w:tr w:rsidR="00997C18" w14:paraId="2852959C" w14:textId="77777777" w:rsidTr="00997C18">
        <w:trPr>
          <w:trHeight w:val="285"/>
          <w:jc w:val="center"/>
        </w:trPr>
        <w:tc>
          <w:tcPr>
            <w:tcW w:w="97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0BE6FDA" w14:textId="77777777" w:rsidR="00997C18" w:rsidRDefault="00997C18">
            <w:pPr>
              <w:spacing w:line="276"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Menor</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4D5A263" w14:textId="77777777" w:rsidR="00997C18" w:rsidRDefault="00997C18">
            <w:pPr>
              <w:spacing w:line="276"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29</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2C37F8A" w14:textId="77777777" w:rsidR="00997C18" w:rsidRDefault="00997C18">
            <w:pPr>
              <w:spacing w:line="276"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86.116,13</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100B2BB" w14:textId="77777777" w:rsidR="00997C18" w:rsidRDefault="00997C18">
            <w:pPr>
              <w:spacing w:line="276"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67.551,13</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2D566BE" w14:textId="77777777" w:rsidR="00997C18" w:rsidRDefault="00997C18">
            <w:pPr>
              <w:spacing w:line="276"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36,19 %</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FD36F10" w14:textId="77777777" w:rsidR="00997C18" w:rsidRDefault="00997C18">
            <w:pPr>
              <w:spacing w:line="276"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34,36 %</w:t>
            </w:r>
          </w:p>
        </w:tc>
      </w:tr>
      <w:tr w:rsidR="00997C18" w14:paraId="66D25BBD" w14:textId="77777777" w:rsidTr="00997C18">
        <w:trPr>
          <w:trHeight w:val="285"/>
          <w:jc w:val="center"/>
        </w:trPr>
        <w:tc>
          <w:tcPr>
            <w:tcW w:w="97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3425B4A" w14:textId="77777777" w:rsidR="00997C18" w:rsidRDefault="00997C18">
            <w:pPr>
              <w:spacing w:line="276"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Restringido</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3B4E2A7" w14:textId="77777777" w:rsidR="00997C18" w:rsidRDefault="00997C18">
            <w:pPr>
              <w:spacing w:line="276"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D67E00F" w14:textId="77777777" w:rsidR="00997C18" w:rsidRDefault="00997C18">
            <w:pPr>
              <w:spacing w:line="276"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9.660,00</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50B838E" w14:textId="77777777" w:rsidR="00997C18" w:rsidRDefault="00997C18">
            <w:pPr>
              <w:spacing w:line="276"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8.983,80</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5C2ABD6" w14:textId="77777777" w:rsidR="00997C18" w:rsidRDefault="00997C18">
            <w:pPr>
              <w:spacing w:line="276"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4,06 %</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84714FE" w14:textId="77777777" w:rsidR="00997C18" w:rsidRDefault="00997C18">
            <w:pPr>
              <w:spacing w:line="276"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4,57 %</w:t>
            </w:r>
          </w:p>
        </w:tc>
      </w:tr>
      <w:tr w:rsidR="00997C18" w14:paraId="4D884AC0" w14:textId="77777777" w:rsidTr="00997C18">
        <w:trPr>
          <w:trHeight w:val="285"/>
          <w:jc w:val="center"/>
        </w:trPr>
        <w:tc>
          <w:tcPr>
            <w:tcW w:w="97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F164491" w14:textId="77777777" w:rsidR="00997C18" w:rsidRDefault="00997C18">
            <w:pPr>
              <w:spacing w:line="276"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Abierto</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4513F87" w14:textId="77777777" w:rsidR="00997C18" w:rsidRDefault="00997C18">
            <w:pPr>
              <w:spacing w:line="276"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7</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BFED125" w14:textId="77777777" w:rsidR="00997C18" w:rsidRDefault="00997C18">
            <w:pPr>
              <w:spacing w:line="276"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72.695,48</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9AA4DA3" w14:textId="77777777" w:rsidR="00997C18" w:rsidRDefault="00997C18">
            <w:pPr>
              <w:spacing w:line="276"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55.646,59</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5712DD8" w14:textId="77777777" w:rsidR="00997C18" w:rsidRDefault="00997C18">
            <w:pPr>
              <w:spacing w:line="276"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30,55 %</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1F8AA2E" w14:textId="77777777" w:rsidR="00997C18" w:rsidRDefault="00997C18">
            <w:pPr>
              <w:spacing w:line="276"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28,30 %</w:t>
            </w:r>
          </w:p>
        </w:tc>
      </w:tr>
      <w:tr w:rsidR="00997C18" w14:paraId="15EE7F42" w14:textId="77777777" w:rsidTr="00997C18">
        <w:trPr>
          <w:trHeight w:val="353"/>
          <w:jc w:val="center"/>
        </w:trPr>
        <w:tc>
          <w:tcPr>
            <w:tcW w:w="97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0A88D48" w14:textId="77777777" w:rsidR="00997C18" w:rsidRDefault="00997C18">
            <w:pPr>
              <w:spacing w:line="276"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Basado en Acuerdo Marco</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D40BB5A" w14:textId="77777777" w:rsidR="00997C18" w:rsidRDefault="00997C18">
            <w:pPr>
              <w:spacing w:line="276"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7604E61" w14:textId="77777777" w:rsidR="00997C18" w:rsidRDefault="00997C18">
            <w:pPr>
              <w:spacing w:line="276"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69.477,95</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4ABA6A5" w14:textId="77777777" w:rsidR="00997C18" w:rsidRDefault="00997C18">
            <w:pPr>
              <w:spacing w:line="276"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64.430,37</w:t>
            </w:r>
          </w:p>
        </w:tc>
        <w:tc>
          <w:tcPr>
            <w:tcW w:w="82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824E5C1" w14:textId="77777777" w:rsidR="00997C18" w:rsidRDefault="00997C18">
            <w:pPr>
              <w:spacing w:line="276"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29,20 %</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A8EE07A" w14:textId="77777777" w:rsidR="00997C18" w:rsidRDefault="00997C18">
            <w:pPr>
              <w:spacing w:line="276"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32,77 %</w:t>
            </w:r>
          </w:p>
        </w:tc>
      </w:tr>
      <w:tr w:rsidR="00997C18" w14:paraId="59136FBD" w14:textId="77777777" w:rsidTr="00997C18">
        <w:trPr>
          <w:trHeight w:val="285"/>
          <w:jc w:val="center"/>
        </w:trPr>
        <w:tc>
          <w:tcPr>
            <w:tcW w:w="976" w:type="pct"/>
            <w:tcBorders>
              <w:top w:val="single" w:sz="4" w:space="0" w:color="auto"/>
              <w:left w:val="single" w:sz="4" w:space="0" w:color="auto"/>
              <w:bottom w:val="single" w:sz="4" w:space="0" w:color="auto"/>
              <w:right w:val="single" w:sz="4" w:space="0" w:color="auto"/>
            </w:tcBorders>
            <w:shd w:val="clear" w:color="auto" w:fill="99A4AC" w:themeFill="accent6" w:themeFillTint="99"/>
            <w:vAlign w:val="center"/>
            <w:hideMark/>
          </w:tcPr>
          <w:p w14:paraId="7994B188" w14:textId="77777777" w:rsidR="00997C18" w:rsidRDefault="00997C18">
            <w:pPr>
              <w:spacing w:line="276"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TOTAL</w:t>
            </w:r>
          </w:p>
        </w:tc>
        <w:tc>
          <w:tcPr>
            <w:tcW w:w="704" w:type="pct"/>
            <w:tcBorders>
              <w:top w:val="single" w:sz="4" w:space="0" w:color="auto"/>
              <w:left w:val="single" w:sz="4" w:space="0" w:color="auto"/>
              <w:bottom w:val="single" w:sz="4" w:space="0" w:color="auto"/>
              <w:right w:val="single" w:sz="4" w:space="0" w:color="auto"/>
            </w:tcBorders>
            <w:shd w:val="clear" w:color="auto" w:fill="99A4AC" w:themeFill="accent6" w:themeFillTint="99"/>
            <w:vAlign w:val="center"/>
            <w:hideMark/>
          </w:tcPr>
          <w:p w14:paraId="586BB533" w14:textId="77777777" w:rsidR="00997C18" w:rsidRDefault="00997C18">
            <w:pPr>
              <w:spacing w:line="276"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42</w:t>
            </w:r>
          </w:p>
        </w:tc>
        <w:tc>
          <w:tcPr>
            <w:tcW w:w="825" w:type="pct"/>
            <w:tcBorders>
              <w:top w:val="single" w:sz="4" w:space="0" w:color="auto"/>
              <w:left w:val="single" w:sz="4" w:space="0" w:color="auto"/>
              <w:bottom w:val="single" w:sz="4" w:space="0" w:color="auto"/>
              <w:right w:val="single" w:sz="4" w:space="0" w:color="auto"/>
            </w:tcBorders>
            <w:shd w:val="clear" w:color="auto" w:fill="99A4AC" w:themeFill="accent6" w:themeFillTint="99"/>
            <w:vAlign w:val="center"/>
            <w:hideMark/>
          </w:tcPr>
          <w:p w14:paraId="37135D0A" w14:textId="77777777" w:rsidR="00997C18" w:rsidRDefault="00997C18">
            <w:pPr>
              <w:spacing w:line="276" w:lineRule="auto"/>
              <w:jc w:val="right"/>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237.949,56</w:t>
            </w:r>
          </w:p>
        </w:tc>
        <w:tc>
          <w:tcPr>
            <w:tcW w:w="834" w:type="pct"/>
            <w:tcBorders>
              <w:top w:val="single" w:sz="4" w:space="0" w:color="auto"/>
              <w:left w:val="single" w:sz="4" w:space="0" w:color="auto"/>
              <w:bottom w:val="single" w:sz="4" w:space="0" w:color="auto"/>
              <w:right w:val="single" w:sz="4" w:space="0" w:color="auto"/>
            </w:tcBorders>
            <w:shd w:val="clear" w:color="auto" w:fill="99A4AC" w:themeFill="accent6" w:themeFillTint="99"/>
            <w:vAlign w:val="center"/>
            <w:hideMark/>
          </w:tcPr>
          <w:p w14:paraId="7CE5179B" w14:textId="77777777" w:rsidR="00997C18" w:rsidRDefault="00997C18">
            <w:pPr>
              <w:spacing w:line="276" w:lineRule="auto"/>
              <w:jc w:val="right"/>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196.611,89</w:t>
            </w:r>
          </w:p>
        </w:tc>
        <w:tc>
          <w:tcPr>
            <w:tcW w:w="825" w:type="pct"/>
            <w:tcBorders>
              <w:top w:val="single" w:sz="4" w:space="0" w:color="auto"/>
              <w:left w:val="single" w:sz="4" w:space="0" w:color="auto"/>
              <w:bottom w:val="single" w:sz="4" w:space="0" w:color="auto"/>
              <w:right w:val="single" w:sz="4" w:space="0" w:color="auto"/>
            </w:tcBorders>
            <w:shd w:val="clear" w:color="auto" w:fill="99A4AC" w:themeFill="accent6" w:themeFillTint="99"/>
            <w:vAlign w:val="center"/>
            <w:hideMark/>
          </w:tcPr>
          <w:p w14:paraId="7BC78061" w14:textId="77777777" w:rsidR="00997C18" w:rsidRDefault="00997C18">
            <w:pPr>
              <w:spacing w:line="276" w:lineRule="auto"/>
              <w:jc w:val="right"/>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100,00 %</w:t>
            </w:r>
          </w:p>
        </w:tc>
        <w:tc>
          <w:tcPr>
            <w:tcW w:w="837" w:type="pct"/>
            <w:tcBorders>
              <w:top w:val="single" w:sz="4" w:space="0" w:color="auto"/>
              <w:left w:val="single" w:sz="4" w:space="0" w:color="auto"/>
              <w:bottom w:val="single" w:sz="4" w:space="0" w:color="auto"/>
              <w:right w:val="single" w:sz="4" w:space="0" w:color="auto"/>
            </w:tcBorders>
            <w:shd w:val="clear" w:color="auto" w:fill="99A4AC" w:themeFill="accent6" w:themeFillTint="99"/>
            <w:vAlign w:val="center"/>
            <w:hideMark/>
          </w:tcPr>
          <w:p w14:paraId="2F94F8CF" w14:textId="77777777" w:rsidR="00997C18" w:rsidRDefault="00997C18">
            <w:pPr>
              <w:spacing w:line="276" w:lineRule="auto"/>
              <w:jc w:val="right"/>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100,00 %</w:t>
            </w:r>
          </w:p>
        </w:tc>
      </w:tr>
    </w:tbl>
    <w:p w14:paraId="59B28FAF" w14:textId="77777777" w:rsidR="003B28A6" w:rsidRDefault="003B28A6" w:rsidP="003B28A6">
      <w:pPr>
        <w:pStyle w:val="Standard"/>
        <w:spacing w:line="276" w:lineRule="auto"/>
        <w:jc w:val="center"/>
        <w:rPr>
          <w:rFonts w:ascii="Arial" w:hAnsi="Arial"/>
          <w:sz w:val="21"/>
          <w:highlight w:val="yellow"/>
        </w:rPr>
      </w:pPr>
    </w:p>
    <w:p w14:paraId="323F12B4" w14:textId="77777777" w:rsidR="003B28A6" w:rsidRDefault="003B28A6" w:rsidP="003B28A6">
      <w:pPr>
        <w:pStyle w:val="Standard"/>
        <w:spacing w:line="276" w:lineRule="auto"/>
        <w:jc w:val="both"/>
        <w:rPr>
          <w:rFonts w:ascii="Arial" w:hAnsi="Arial"/>
          <w:sz w:val="21"/>
          <w:szCs w:val="21"/>
        </w:rPr>
      </w:pPr>
    </w:p>
    <w:p w14:paraId="38BD4CF9" w14:textId="77777777" w:rsidR="003B28A6" w:rsidRDefault="003B28A6" w:rsidP="003B28A6">
      <w:pPr>
        <w:tabs>
          <w:tab w:val="left" w:pos="3566"/>
        </w:tabs>
        <w:spacing w:line="276" w:lineRule="auto"/>
        <w:jc w:val="both"/>
        <w:rPr>
          <w:rFonts w:ascii="Arial" w:hAnsi="Arial"/>
          <w:sz w:val="21"/>
        </w:rPr>
      </w:pPr>
      <w:r>
        <w:rPr>
          <w:rFonts w:ascii="Arial" w:hAnsi="Arial"/>
          <w:sz w:val="21"/>
          <w:szCs w:val="21"/>
        </w:rPr>
        <w:t>A efectos comparativos, sólo se toma en consideraci</w:t>
      </w:r>
      <w:r>
        <w:rPr>
          <w:rFonts w:ascii="Arial" w:hAnsi="Arial"/>
          <w:sz w:val="21"/>
        </w:rPr>
        <w:t>ón los contratos adjudicados y las modificaciones contractuales formalizadas en el periodo indicado.</w:t>
      </w:r>
    </w:p>
    <w:p w14:paraId="513EAE2B" w14:textId="63D60831" w:rsidR="003B28A6" w:rsidRDefault="003B28A6" w:rsidP="003B28A6">
      <w:pPr>
        <w:keepNext/>
        <w:spacing w:line="276" w:lineRule="auto"/>
        <w:jc w:val="both"/>
      </w:pPr>
      <w:r>
        <w:rPr>
          <w:noProof/>
        </w:rPr>
        <w:drawing>
          <wp:inline distT="0" distB="0" distL="0" distR="0" wp14:anchorId="04F79705" wp14:editId="0B63A92D">
            <wp:extent cx="5343525" cy="2161309"/>
            <wp:effectExtent l="0" t="0" r="9525" b="10795"/>
            <wp:docPr id="287" name="Gráfico 287">
              <a:extLst xmlns:a="http://schemas.openxmlformats.org/drawingml/2006/main">
                <a:ext uri="{FF2B5EF4-FFF2-40B4-BE49-F238E27FC236}">
                  <a16:creationId xmlns:a16="http://schemas.microsoft.com/office/drawing/2014/main" id="{82E37E75-2043-4739-A0D0-79650AFDFA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14:paraId="6CAC8CEC" w14:textId="69E67A62" w:rsidR="003B28A6" w:rsidRPr="00F8714B" w:rsidRDefault="003B28A6" w:rsidP="003B28A6">
      <w:pPr>
        <w:pStyle w:val="Descripcin"/>
        <w:jc w:val="both"/>
        <w:rPr>
          <w:rFonts w:ascii="Arial" w:eastAsia="SimSun" w:hAnsi="Arial" w:cs="Arial"/>
          <w:b w:val="0"/>
          <w:bCs w:val="0"/>
          <w:smallCaps w:val="0"/>
          <w:color w:val="9D2235"/>
          <w:sz w:val="16"/>
          <w:szCs w:val="20"/>
        </w:rPr>
      </w:pPr>
      <w:bookmarkStart w:id="372" w:name="_Toc66443916"/>
      <w:bookmarkStart w:id="373" w:name="_Toc67646431"/>
      <w:r w:rsidRPr="00F8714B">
        <w:rPr>
          <w:rFonts w:ascii="Arial" w:hAnsi="Arial" w:cs="Arial"/>
          <w:smallCaps w:val="0"/>
          <w:color w:val="9D2235" w:themeColor="accent1"/>
          <w:sz w:val="16"/>
          <w:szCs w:val="20"/>
        </w:rPr>
        <w:t xml:space="preserve">Gráfico </w:t>
      </w:r>
      <w:r w:rsidRPr="00F8714B">
        <w:rPr>
          <w:rFonts w:ascii="Arial" w:hAnsi="Arial" w:cs="Arial"/>
          <w:smallCaps w:val="0"/>
          <w:sz w:val="16"/>
          <w:szCs w:val="20"/>
        </w:rPr>
        <w:fldChar w:fldCharType="begin"/>
      </w:r>
      <w:r w:rsidRPr="00F8714B">
        <w:rPr>
          <w:rFonts w:ascii="Arial" w:hAnsi="Arial" w:cs="Arial"/>
          <w:smallCaps w:val="0"/>
          <w:color w:val="9D2235" w:themeColor="accent1"/>
          <w:sz w:val="16"/>
          <w:szCs w:val="20"/>
        </w:rPr>
        <w:instrText xml:space="preserve"> SEQ Gráfico \* ARABIC </w:instrText>
      </w:r>
      <w:r w:rsidRPr="00F8714B">
        <w:rPr>
          <w:rFonts w:ascii="Arial" w:hAnsi="Arial" w:cs="Arial"/>
          <w:smallCaps w:val="0"/>
          <w:sz w:val="16"/>
          <w:szCs w:val="20"/>
        </w:rPr>
        <w:fldChar w:fldCharType="separate"/>
      </w:r>
      <w:r w:rsidR="00000D1F">
        <w:rPr>
          <w:rFonts w:ascii="Arial" w:hAnsi="Arial" w:cs="Arial"/>
          <w:smallCaps w:val="0"/>
          <w:noProof/>
          <w:color w:val="9D2235" w:themeColor="accent1"/>
          <w:sz w:val="16"/>
          <w:szCs w:val="20"/>
        </w:rPr>
        <w:t>35</w:t>
      </w:r>
      <w:r w:rsidRPr="00F8714B">
        <w:rPr>
          <w:rFonts w:ascii="Arial" w:hAnsi="Arial" w:cs="Arial"/>
          <w:smallCaps w:val="0"/>
          <w:sz w:val="16"/>
          <w:szCs w:val="20"/>
        </w:rPr>
        <w:fldChar w:fldCharType="end"/>
      </w:r>
      <w:r w:rsidRPr="00F8714B">
        <w:rPr>
          <w:rFonts w:ascii="Arial" w:hAnsi="Arial" w:cs="Arial"/>
          <w:smallCaps w:val="0"/>
          <w:color w:val="9D2235" w:themeColor="accent1"/>
          <w:sz w:val="16"/>
          <w:szCs w:val="20"/>
        </w:rPr>
        <w:t xml:space="preserve">. </w:t>
      </w:r>
      <w:r w:rsidRPr="00F8714B">
        <w:rPr>
          <w:rFonts w:ascii="Arial" w:hAnsi="Arial" w:cs="Arial"/>
          <w:smallCaps w:val="0"/>
          <w:sz w:val="16"/>
          <w:szCs w:val="20"/>
        </w:rPr>
        <w:t>Porcentaje sobre el importe del presupuesto de adjudicación según procedimiento de contratación. Ejercicio 2020</w:t>
      </w:r>
      <w:bookmarkEnd w:id="372"/>
      <w:bookmarkEnd w:id="373"/>
    </w:p>
    <w:p w14:paraId="6F90C1CC" w14:textId="1A03BC33" w:rsidR="003B28A6" w:rsidRDefault="003B28A6" w:rsidP="003B28A6">
      <w:pPr>
        <w:keepNext/>
        <w:spacing w:line="276" w:lineRule="auto"/>
        <w:jc w:val="both"/>
      </w:pPr>
      <w:r>
        <w:rPr>
          <w:noProof/>
        </w:rPr>
        <w:drawing>
          <wp:inline distT="0" distB="0" distL="0" distR="0" wp14:anchorId="29693B0A" wp14:editId="1D38C1A2">
            <wp:extent cx="5362575" cy="2220686"/>
            <wp:effectExtent l="0" t="0" r="9525" b="8255"/>
            <wp:docPr id="286" name="Gráfico 286">
              <a:extLst xmlns:a="http://schemas.openxmlformats.org/drawingml/2006/main">
                <a:ext uri="{FF2B5EF4-FFF2-40B4-BE49-F238E27FC236}">
                  <a16:creationId xmlns:a16="http://schemas.microsoft.com/office/drawing/2014/main" id="{90BAC914-351A-4395-9DE1-3EB44B0591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14:paraId="64C0C435" w14:textId="5F562BA5" w:rsidR="003B28A6" w:rsidRPr="00E12EB4" w:rsidRDefault="003B28A6" w:rsidP="00E12EB4">
      <w:pPr>
        <w:pStyle w:val="Descripcin"/>
        <w:jc w:val="both"/>
        <w:rPr>
          <w:rFonts w:ascii="Arial" w:eastAsia="SimSun" w:hAnsi="Arial" w:cs="Arial"/>
          <w:b w:val="0"/>
          <w:bCs w:val="0"/>
          <w:smallCaps w:val="0"/>
          <w:color w:val="9D2235"/>
          <w:sz w:val="16"/>
          <w:szCs w:val="20"/>
        </w:rPr>
      </w:pPr>
      <w:bookmarkStart w:id="374" w:name="_Toc66443917"/>
      <w:bookmarkStart w:id="375" w:name="_Toc67646432"/>
      <w:r w:rsidRPr="00F8714B">
        <w:rPr>
          <w:rFonts w:ascii="Arial" w:hAnsi="Arial" w:cs="Arial"/>
          <w:smallCaps w:val="0"/>
          <w:color w:val="9D2235" w:themeColor="accent1"/>
          <w:sz w:val="16"/>
          <w:szCs w:val="20"/>
        </w:rPr>
        <w:t xml:space="preserve">Gráfico </w:t>
      </w:r>
      <w:r w:rsidRPr="00F8714B">
        <w:rPr>
          <w:rFonts w:ascii="Arial" w:hAnsi="Arial" w:cs="Arial"/>
          <w:smallCaps w:val="0"/>
          <w:sz w:val="16"/>
          <w:szCs w:val="20"/>
        </w:rPr>
        <w:fldChar w:fldCharType="begin"/>
      </w:r>
      <w:r w:rsidRPr="00F8714B">
        <w:rPr>
          <w:rFonts w:ascii="Arial" w:hAnsi="Arial" w:cs="Arial"/>
          <w:smallCaps w:val="0"/>
          <w:color w:val="9D2235" w:themeColor="accent1"/>
          <w:sz w:val="16"/>
          <w:szCs w:val="20"/>
        </w:rPr>
        <w:instrText xml:space="preserve"> SEQ Gráfico \* ARABIC </w:instrText>
      </w:r>
      <w:r w:rsidRPr="00F8714B">
        <w:rPr>
          <w:rFonts w:ascii="Arial" w:hAnsi="Arial" w:cs="Arial"/>
          <w:smallCaps w:val="0"/>
          <w:sz w:val="16"/>
          <w:szCs w:val="20"/>
        </w:rPr>
        <w:fldChar w:fldCharType="separate"/>
      </w:r>
      <w:r w:rsidR="00000D1F">
        <w:rPr>
          <w:rFonts w:ascii="Arial" w:hAnsi="Arial" w:cs="Arial"/>
          <w:smallCaps w:val="0"/>
          <w:noProof/>
          <w:color w:val="9D2235" w:themeColor="accent1"/>
          <w:sz w:val="16"/>
          <w:szCs w:val="20"/>
        </w:rPr>
        <w:t>36</w:t>
      </w:r>
      <w:r w:rsidRPr="00F8714B">
        <w:rPr>
          <w:rFonts w:ascii="Arial" w:hAnsi="Arial" w:cs="Arial"/>
          <w:smallCaps w:val="0"/>
          <w:sz w:val="16"/>
          <w:szCs w:val="20"/>
        </w:rPr>
        <w:fldChar w:fldCharType="end"/>
      </w:r>
      <w:r w:rsidRPr="00F8714B">
        <w:rPr>
          <w:rFonts w:ascii="Arial" w:hAnsi="Arial" w:cs="Arial"/>
          <w:smallCaps w:val="0"/>
          <w:color w:val="9D2235" w:themeColor="accent1"/>
          <w:sz w:val="16"/>
          <w:szCs w:val="20"/>
        </w:rPr>
        <w:t xml:space="preserve">. </w:t>
      </w:r>
      <w:r w:rsidRPr="00F8714B">
        <w:rPr>
          <w:rFonts w:ascii="Arial" w:hAnsi="Arial" w:cs="Arial"/>
          <w:smallCaps w:val="0"/>
          <w:sz w:val="16"/>
          <w:szCs w:val="20"/>
        </w:rPr>
        <w:t>Porcentaje sobre el importe del presupuesto de licitación según procedimiento de contratación. Ejercicio 2020.</w:t>
      </w:r>
      <w:bookmarkEnd w:id="374"/>
      <w:bookmarkEnd w:id="375"/>
    </w:p>
    <w:p w14:paraId="2DB02710" w14:textId="0EABB20B" w:rsidR="003B28A6" w:rsidRDefault="003B28A6" w:rsidP="00E12EB4">
      <w:pPr>
        <w:pStyle w:val="Standard"/>
        <w:spacing w:after="240" w:line="276" w:lineRule="auto"/>
        <w:jc w:val="both"/>
        <w:rPr>
          <w:rFonts w:ascii="Arial" w:hAnsi="Arial"/>
          <w:sz w:val="21"/>
          <w:szCs w:val="21"/>
        </w:rPr>
      </w:pPr>
      <w:r>
        <w:rPr>
          <w:rFonts w:ascii="Arial" w:hAnsi="Arial"/>
          <w:sz w:val="21"/>
          <w:szCs w:val="21"/>
        </w:rPr>
        <w:t>Por último, a efectos comparativos la siguiente tabla muestra la actividad contractual de la Agencia, por procedimientos de adjudicación durante los ejercicios 2019 y 2020, teniendo en cuenta que respecto al ejercicio 2020, el cómputo de contratos se refiere a los contratos adjudicados o a las modificaciones efectuadas.</w:t>
      </w:r>
    </w:p>
    <w:p w14:paraId="77DE906E" w14:textId="4CA442CA" w:rsidR="00F8714B" w:rsidRPr="00F8714B" w:rsidRDefault="00F8714B" w:rsidP="00F8714B">
      <w:pPr>
        <w:pStyle w:val="Descripcin"/>
        <w:keepNext/>
        <w:rPr>
          <w:rFonts w:ascii="Arial" w:hAnsi="Arial" w:cs="Arial"/>
          <w:smallCaps w:val="0"/>
          <w:sz w:val="18"/>
        </w:rPr>
      </w:pPr>
      <w:bookmarkStart w:id="376" w:name="_Toc67646376"/>
      <w:r w:rsidRPr="00F8714B">
        <w:rPr>
          <w:rFonts w:ascii="Arial" w:hAnsi="Arial" w:cs="Arial"/>
          <w:smallCaps w:val="0"/>
          <w:color w:val="9D2235" w:themeColor="accent1"/>
          <w:sz w:val="18"/>
        </w:rPr>
        <w:t xml:space="preserve">Tabla </w:t>
      </w:r>
      <w:r w:rsidRPr="00F8714B">
        <w:rPr>
          <w:rFonts w:ascii="Arial" w:hAnsi="Arial" w:cs="Arial"/>
          <w:smallCaps w:val="0"/>
          <w:color w:val="9D2235" w:themeColor="accent1"/>
          <w:sz w:val="18"/>
        </w:rPr>
        <w:fldChar w:fldCharType="begin"/>
      </w:r>
      <w:r w:rsidRPr="00F8714B">
        <w:rPr>
          <w:rFonts w:ascii="Arial" w:hAnsi="Arial" w:cs="Arial"/>
          <w:smallCaps w:val="0"/>
          <w:color w:val="9D2235" w:themeColor="accent1"/>
          <w:sz w:val="18"/>
        </w:rPr>
        <w:instrText xml:space="preserve"> SEQ Tabla \* ARABIC </w:instrText>
      </w:r>
      <w:r w:rsidRPr="00F8714B">
        <w:rPr>
          <w:rFonts w:ascii="Arial" w:hAnsi="Arial" w:cs="Arial"/>
          <w:smallCaps w:val="0"/>
          <w:color w:val="9D2235" w:themeColor="accent1"/>
          <w:sz w:val="18"/>
        </w:rPr>
        <w:fldChar w:fldCharType="separate"/>
      </w:r>
      <w:r w:rsidR="00ED7F0D">
        <w:rPr>
          <w:rFonts w:ascii="Arial" w:hAnsi="Arial" w:cs="Arial"/>
          <w:smallCaps w:val="0"/>
          <w:noProof/>
          <w:color w:val="9D2235" w:themeColor="accent1"/>
          <w:sz w:val="18"/>
        </w:rPr>
        <w:t>39</w:t>
      </w:r>
      <w:r w:rsidRPr="00F8714B">
        <w:rPr>
          <w:rFonts w:ascii="Arial" w:hAnsi="Arial" w:cs="Arial"/>
          <w:smallCaps w:val="0"/>
          <w:color w:val="9D2235" w:themeColor="accent1"/>
          <w:sz w:val="18"/>
        </w:rPr>
        <w:fldChar w:fldCharType="end"/>
      </w:r>
      <w:r w:rsidRPr="00F8714B">
        <w:rPr>
          <w:rFonts w:ascii="Arial" w:hAnsi="Arial" w:cs="Arial"/>
          <w:smallCaps w:val="0"/>
          <w:color w:val="9D2235" w:themeColor="accent1"/>
          <w:sz w:val="18"/>
        </w:rPr>
        <w:t xml:space="preserve">. </w:t>
      </w:r>
      <w:r w:rsidRPr="00F8714B">
        <w:rPr>
          <w:rFonts w:ascii="Arial" w:hAnsi="Arial" w:cs="Arial"/>
          <w:smallCaps w:val="0"/>
          <w:sz w:val="18"/>
        </w:rPr>
        <w:t>Comparativa actividad contractual de la Agencia. Ejercicios 2019 y 2020</w:t>
      </w:r>
      <w:bookmarkEnd w:id="376"/>
    </w:p>
    <w:tbl>
      <w:tblPr>
        <w:tblW w:w="5000" w:type="pct"/>
        <w:jc w:val="center"/>
        <w:tblCellMar>
          <w:left w:w="70" w:type="dxa"/>
          <w:right w:w="70" w:type="dxa"/>
        </w:tblCellMar>
        <w:tblLook w:val="04A0" w:firstRow="1" w:lastRow="0" w:firstColumn="1" w:lastColumn="0" w:noHBand="0" w:noVBand="1"/>
      </w:tblPr>
      <w:tblGrid>
        <w:gridCol w:w="908"/>
        <w:gridCol w:w="836"/>
        <w:gridCol w:w="1692"/>
        <w:gridCol w:w="809"/>
        <w:gridCol w:w="1717"/>
        <w:gridCol w:w="781"/>
        <w:gridCol w:w="1751"/>
      </w:tblGrid>
      <w:tr w:rsidR="003B28A6" w14:paraId="3E40DE14" w14:textId="77777777" w:rsidTr="003B28A6">
        <w:trPr>
          <w:trHeight w:val="450"/>
          <w:jc w:val="center"/>
        </w:trPr>
        <w:tc>
          <w:tcPr>
            <w:tcW w:w="534" w:type="pct"/>
            <w:vMerge w:val="restart"/>
            <w:tcBorders>
              <w:top w:val="single" w:sz="4" w:space="0" w:color="000000"/>
              <w:left w:val="single" w:sz="4" w:space="0" w:color="000000"/>
              <w:bottom w:val="single" w:sz="4" w:space="0" w:color="000000"/>
              <w:right w:val="single" w:sz="4" w:space="0" w:color="000000"/>
            </w:tcBorders>
            <w:shd w:val="clear" w:color="auto" w:fill="9D2235"/>
            <w:vAlign w:val="bottom"/>
            <w:hideMark/>
          </w:tcPr>
          <w:p w14:paraId="59D75452" w14:textId="77777777" w:rsidR="003B28A6" w:rsidRDefault="003B28A6">
            <w:pPr>
              <w:jc w:val="center"/>
              <w:rPr>
                <w:sz w:val="18"/>
                <w:szCs w:val="18"/>
              </w:rPr>
            </w:pPr>
            <w:r>
              <w:rPr>
                <w:rFonts w:ascii="Arial" w:eastAsia="Times New Roman" w:hAnsi="Arial" w:cs="Arial"/>
                <w:b/>
                <w:bCs/>
                <w:color w:val="FFFFFF"/>
                <w:sz w:val="18"/>
                <w:szCs w:val="18"/>
                <w:lang w:eastAsia="es-ES"/>
              </w:rPr>
              <w:t>EJER.</w:t>
            </w:r>
          </w:p>
        </w:tc>
        <w:tc>
          <w:tcPr>
            <w:tcW w:w="1488" w:type="pct"/>
            <w:gridSpan w:val="2"/>
            <w:tcBorders>
              <w:top w:val="single" w:sz="4" w:space="0" w:color="000000"/>
              <w:left w:val="nil"/>
              <w:bottom w:val="single" w:sz="4" w:space="0" w:color="000000"/>
              <w:right w:val="single" w:sz="4" w:space="0" w:color="000000"/>
            </w:tcBorders>
            <w:shd w:val="clear" w:color="auto" w:fill="9D2235"/>
            <w:vAlign w:val="bottom"/>
            <w:hideMark/>
          </w:tcPr>
          <w:p w14:paraId="34CAC0E1" w14:textId="77777777" w:rsidR="003B28A6" w:rsidRDefault="003B28A6">
            <w:pPr>
              <w:jc w:val="center"/>
              <w:rPr>
                <w:sz w:val="18"/>
                <w:szCs w:val="18"/>
              </w:rPr>
            </w:pPr>
            <w:r>
              <w:rPr>
                <w:rFonts w:ascii="Arial" w:eastAsia="Times New Roman" w:hAnsi="Arial" w:cs="Arial"/>
                <w:b/>
                <w:bCs/>
                <w:color w:val="FFFFFF"/>
                <w:sz w:val="18"/>
                <w:szCs w:val="18"/>
                <w:lang w:eastAsia="es-ES"/>
              </w:rPr>
              <w:t>contratos menores</w:t>
            </w:r>
          </w:p>
        </w:tc>
        <w:tc>
          <w:tcPr>
            <w:tcW w:w="1487" w:type="pct"/>
            <w:gridSpan w:val="2"/>
            <w:tcBorders>
              <w:top w:val="single" w:sz="4" w:space="0" w:color="000000"/>
              <w:left w:val="nil"/>
              <w:bottom w:val="single" w:sz="4" w:space="0" w:color="000000"/>
              <w:right w:val="single" w:sz="4" w:space="0" w:color="000000"/>
            </w:tcBorders>
            <w:shd w:val="clear" w:color="auto" w:fill="9D2235"/>
            <w:vAlign w:val="bottom"/>
            <w:hideMark/>
          </w:tcPr>
          <w:p w14:paraId="61565193" w14:textId="77777777" w:rsidR="003B28A6" w:rsidRDefault="003B28A6">
            <w:pPr>
              <w:jc w:val="center"/>
              <w:rPr>
                <w:sz w:val="18"/>
                <w:szCs w:val="18"/>
              </w:rPr>
            </w:pPr>
            <w:r>
              <w:rPr>
                <w:rFonts w:ascii="Arial" w:eastAsia="Times New Roman" w:hAnsi="Arial" w:cs="Arial"/>
                <w:b/>
                <w:bCs/>
                <w:color w:val="FFFFFF"/>
                <w:sz w:val="18"/>
                <w:szCs w:val="18"/>
                <w:lang w:eastAsia="es-ES"/>
              </w:rPr>
              <w:t>procedimientos abiertos</w:t>
            </w:r>
          </w:p>
        </w:tc>
        <w:tc>
          <w:tcPr>
            <w:tcW w:w="1490" w:type="pct"/>
            <w:gridSpan w:val="2"/>
            <w:tcBorders>
              <w:top w:val="single" w:sz="4" w:space="0" w:color="000000"/>
              <w:left w:val="nil"/>
              <w:bottom w:val="single" w:sz="4" w:space="0" w:color="000000"/>
              <w:right w:val="single" w:sz="4" w:space="0" w:color="000000"/>
            </w:tcBorders>
            <w:shd w:val="clear" w:color="auto" w:fill="9D2235"/>
            <w:vAlign w:val="bottom"/>
            <w:hideMark/>
          </w:tcPr>
          <w:p w14:paraId="47846C70" w14:textId="77777777" w:rsidR="003B28A6" w:rsidRDefault="003B28A6">
            <w:pPr>
              <w:jc w:val="center"/>
              <w:rPr>
                <w:sz w:val="18"/>
                <w:szCs w:val="18"/>
              </w:rPr>
            </w:pPr>
            <w:r>
              <w:rPr>
                <w:rFonts w:ascii="Arial" w:eastAsia="Times New Roman" w:hAnsi="Arial" w:cs="Arial"/>
                <w:b/>
                <w:bCs/>
                <w:color w:val="FFFFFF"/>
                <w:sz w:val="18"/>
                <w:szCs w:val="18"/>
                <w:lang w:eastAsia="es-ES"/>
              </w:rPr>
              <w:t>contratos basados en AM</w:t>
            </w:r>
          </w:p>
        </w:tc>
      </w:tr>
      <w:tr w:rsidR="003B28A6" w14:paraId="745D1C68" w14:textId="77777777" w:rsidTr="003B28A6">
        <w:trPr>
          <w:trHeight w:val="5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94737D" w14:textId="77777777" w:rsidR="003B28A6" w:rsidRDefault="003B28A6">
            <w:pPr>
              <w:spacing w:after="0"/>
              <w:rPr>
                <w:sz w:val="18"/>
                <w:szCs w:val="18"/>
              </w:rPr>
            </w:pPr>
          </w:p>
        </w:tc>
        <w:tc>
          <w:tcPr>
            <w:tcW w:w="492" w:type="pct"/>
            <w:tcBorders>
              <w:top w:val="nil"/>
              <w:left w:val="nil"/>
              <w:bottom w:val="single" w:sz="4" w:space="0" w:color="000000"/>
              <w:right w:val="single" w:sz="4" w:space="0" w:color="000000"/>
            </w:tcBorders>
            <w:shd w:val="clear" w:color="auto" w:fill="9D2235"/>
            <w:vAlign w:val="bottom"/>
            <w:hideMark/>
          </w:tcPr>
          <w:p w14:paraId="2F1F7487" w14:textId="77777777" w:rsidR="003B28A6" w:rsidRDefault="003B28A6">
            <w:pPr>
              <w:jc w:val="center"/>
              <w:rPr>
                <w:sz w:val="18"/>
                <w:szCs w:val="18"/>
              </w:rPr>
            </w:pPr>
            <w:r>
              <w:rPr>
                <w:rFonts w:ascii="Arial" w:eastAsia="Times New Roman" w:hAnsi="Arial" w:cs="Arial"/>
                <w:b/>
                <w:bCs/>
                <w:color w:val="FFFFFF"/>
                <w:sz w:val="18"/>
                <w:szCs w:val="18"/>
                <w:lang w:eastAsia="es-ES"/>
              </w:rPr>
              <w:t>nº</w:t>
            </w:r>
          </w:p>
        </w:tc>
        <w:tc>
          <w:tcPr>
            <w:tcW w:w="996" w:type="pct"/>
            <w:tcBorders>
              <w:top w:val="nil"/>
              <w:left w:val="nil"/>
              <w:bottom w:val="single" w:sz="4" w:space="0" w:color="000000"/>
              <w:right w:val="single" w:sz="4" w:space="0" w:color="000000"/>
            </w:tcBorders>
            <w:shd w:val="clear" w:color="auto" w:fill="9D2235"/>
            <w:vAlign w:val="bottom"/>
            <w:hideMark/>
          </w:tcPr>
          <w:p w14:paraId="64C62B05" w14:textId="77777777" w:rsidR="003B28A6" w:rsidRDefault="003B28A6">
            <w:pPr>
              <w:jc w:val="center"/>
              <w:rPr>
                <w:sz w:val="18"/>
                <w:szCs w:val="18"/>
              </w:rPr>
            </w:pPr>
            <w:r>
              <w:rPr>
                <w:rFonts w:ascii="Arial" w:eastAsia="Times New Roman" w:hAnsi="Arial" w:cs="Arial"/>
                <w:b/>
                <w:bCs/>
                <w:color w:val="FFFFFF"/>
                <w:sz w:val="18"/>
                <w:szCs w:val="18"/>
                <w:lang w:eastAsia="es-ES"/>
              </w:rPr>
              <w:t>importe total adjudicación</w:t>
            </w:r>
          </w:p>
        </w:tc>
        <w:tc>
          <w:tcPr>
            <w:tcW w:w="476" w:type="pct"/>
            <w:tcBorders>
              <w:top w:val="nil"/>
              <w:left w:val="nil"/>
              <w:bottom w:val="single" w:sz="4" w:space="0" w:color="000000"/>
              <w:right w:val="single" w:sz="4" w:space="0" w:color="000000"/>
            </w:tcBorders>
            <w:shd w:val="clear" w:color="auto" w:fill="9D2235"/>
            <w:vAlign w:val="bottom"/>
            <w:hideMark/>
          </w:tcPr>
          <w:p w14:paraId="216D3FB3" w14:textId="77777777" w:rsidR="003B28A6" w:rsidRDefault="003B28A6">
            <w:pPr>
              <w:jc w:val="center"/>
              <w:rPr>
                <w:sz w:val="18"/>
                <w:szCs w:val="18"/>
              </w:rPr>
            </w:pPr>
            <w:r>
              <w:rPr>
                <w:rFonts w:ascii="Arial" w:eastAsia="Times New Roman" w:hAnsi="Arial" w:cs="Arial"/>
                <w:b/>
                <w:bCs/>
                <w:color w:val="FFFFFF"/>
                <w:sz w:val="18"/>
                <w:szCs w:val="18"/>
                <w:lang w:eastAsia="es-ES"/>
              </w:rPr>
              <w:t>nº</w:t>
            </w:r>
          </w:p>
        </w:tc>
        <w:tc>
          <w:tcPr>
            <w:tcW w:w="1011" w:type="pct"/>
            <w:tcBorders>
              <w:top w:val="nil"/>
              <w:left w:val="nil"/>
              <w:bottom w:val="single" w:sz="4" w:space="0" w:color="000000"/>
              <w:right w:val="single" w:sz="4" w:space="0" w:color="000000"/>
            </w:tcBorders>
            <w:shd w:val="clear" w:color="auto" w:fill="9D2235"/>
            <w:vAlign w:val="bottom"/>
            <w:hideMark/>
          </w:tcPr>
          <w:p w14:paraId="77318A8B" w14:textId="77777777" w:rsidR="003B28A6" w:rsidRDefault="003B28A6">
            <w:pPr>
              <w:jc w:val="center"/>
              <w:rPr>
                <w:sz w:val="18"/>
                <w:szCs w:val="18"/>
              </w:rPr>
            </w:pPr>
            <w:r>
              <w:rPr>
                <w:rFonts w:ascii="Arial" w:eastAsia="Times New Roman" w:hAnsi="Arial" w:cs="Arial"/>
                <w:b/>
                <w:bCs/>
                <w:color w:val="FFFFFF"/>
                <w:sz w:val="18"/>
                <w:szCs w:val="18"/>
                <w:lang w:eastAsia="es-ES"/>
              </w:rPr>
              <w:t>importe total adjudicación</w:t>
            </w:r>
          </w:p>
        </w:tc>
        <w:tc>
          <w:tcPr>
            <w:tcW w:w="460" w:type="pct"/>
            <w:tcBorders>
              <w:top w:val="nil"/>
              <w:left w:val="nil"/>
              <w:bottom w:val="single" w:sz="4" w:space="0" w:color="000000"/>
              <w:right w:val="single" w:sz="4" w:space="0" w:color="000000"/>
            </w:tcBorders>
            <w:shd w:val="clear" w:color="auto" w:fill="9D2235"/>
            <w:vAlign w:val="bottom"/>
            <w:hideMark/>
          </w:tcPr>
          <w:p w14:paraId="429CF281" w14:textId="77777777" w:rsidR="003B28A6" w:rsidRDefault="003B28A6">
            <w:pPr>
              <w:jc w:val="center"/>
              <w:rPr>
                <w:sz w:val="18"/>
                <w:szCs w:val="18"/>
              </w:rPr>
            </w:pPr>
            <w:r>
              <w:rPr>
                <w:rFonts w:ascii="Arial" w:eastAsia="Times New Roman" w:hAnsi="Arial" w:cs="Arial"/>
                <w:b/>
                <w:bCs/>
                <w:color w:val="FFFFFF"/>
                <w:sz w:val="18"/>
                <w:szCs w:val="18"/>
                <w:lang w:eastAsia="es-ES"/>
              </w:rPr>
              <w:t>nº</w:t>
            </w:r>
          </w:p>
        </w:tc>
        <w:tc>
          <w:tcPr>
            <w:tcW w:w="1031" w:type="pct"/>
            <w:tcBorders>
              <w:top w:val="nil"/>
              <w:left w:val="nil"/>
              <w:bottom w:val="single" w:sz="4" w:space="0" w:color="000000"/>
              <w:right w:val="single" w:sz="4" w:space="0" w:color="000000"/>
            </w:tcBorders>
            <w:shd w:val="clear" w:color="auto" w:fill="9D2235"/>
            <w:vAlign w:val="bottom"/>
            <w:hideMark/>
          </w:tcPr>
          <w:p w14:paraId="1A100A05" w14:textId="77777777" w:rsidR="003B28A6" w:rsidRDefault="003B28A6">
            <w:pPr>
              <w:jc w:val="center"/>
              <w:rPr>
                <w:sz w:val="18"/>
                <w:szCs w:val="18"/>
              </w:rPr>
            </w:pPr>
            <w:r>
              <w:rPr>
                <w:rFonts w:ascii="Arial" w:eastAsia="Times New Roman" w:hAnsi="Arial" w:cs="Arial"/>
                <w:b/>
                <w:bCs/>
                <w:color w:val="FFFFFF"/>
                <w:sz w:val="18"/>
                <w:szCs w:val="18"/>
                <w:lang w:eastAsia="es-ES"/>
              </w:rPr>
              <w:t>importe total adjudicación</w:t>
            </w:r>
          </w:p>
        </w:tc>
      </w:tr>
      <w:tr w:rsidR="003B28A6" w14:paraId="282D778B" w14:textId="77777777" w:rsidTr="003B28A6">
        <w:trPr>
          <w:trHeight w:val="285"/>
          <w:jc w:val="center"/>
        </w:trPr>
        <w:tc>
          <w:tcPr>
            <w:tcW w:w="534" w:type="pct"/>
            <w:tcBorders>
              <w:top w:val="nil"/>
              <w:left w:val="single" w:sz="4" w:space="0" w:color="000000"/>
              <w:bottom w:val="single" w:sz="4" w:space="0" w:color="000000"/>
              <w:right w:val="single" w:sz="4" w:space="0" w:color="000000"/>
            </w:tcBorders>
            <w:vAlign w:val="bottom"/>
            <w:hideMark/>
          </w:tcPr>
          <w:p w14:paraId="3317C3A2" w14:textId="77777777" w:rsidR="003B28A6" w:rsidRDefault="003B28A6">
            <w:pPr>
              <w:jc w:val="right"/>
              <w:rPr>
                <w:sz w:val="18"/>
                <w:szCs w:val="18"/>
              </w:rPr>
            </w:pPr>
            <w:r>
              <w:rPr>
                <w:rFonts w:ascii="Arial" w:eastAsia="Times New Roman" w:hAnsi="Arial" w:cs="Arial"/>
                <w:color w:val="000000"/>
                <w:sz w:val="18"/>
                <w:szCs w:val="18"/>
                <w:lang w:eastAsia="es-ES"/>
              </w:rPr>
              <w:t>2019</w:t>
            </w:r>
          </w:p>
        </w:tc>
        <w:tc>
          <w:tcPr>
            <w:tcW w:w="492" w:type="pct"/>
            <w:tcBorders>
              <w:top w:val="nil"/>
              <w:left w:val="nil"/>
              <w:bottom w:val="single" w:sz="4" w:space="0" w:color="000000"/>
              <w:right w:val="single" w:sz="4" w:space="0" w:color="000000"/>
            </w:tcBorders>
            <w:vAlign w:val="bottom"/>
            <w:hideMark/>
          </w:tcPr>
          <w:p w14:paraId="31B8EF73" w14:textId="77777777" w:rsidR="003B28A6" w:rsidRDefault="003B28A6">
            <w:pPr>
              <w:jc w:val="right"/>
              <w:rPr>
                <w:sz w:val="18"/>
                <w:szCs w:val="18"/>
              </w:rPr>
            </w:pPr>
            <w:r>
              <w:rPr>
                <w:rFonts w:ascii="Arial" w:eastAsia="Times New Roman" w:hAnsi="Arial" w:cs="Arial"/>
                <w:color w:val="000000"/>
                <w:sz w:val="18"/>
                <w:szCs w:val="18"/>
                <w:lang w:eastAsia="es-ES"/>
              </w:rPr>
              <w:t>98</w:t>
            </w:r>
          </w:p>
        </w:tc>
        <w:tc>
          <w:tcPr>
            <w:tcW w:w="996" w:type="pct"/>
            <w:tcBorders>
              <w:top w:val="nil"/>
              <w:left w:val="nil"/>
              <w:bottom w:val="single" w:sz="4" w:space="0" w:color="000000"/>
              <w:right w:val="single" w:sz="4" w:space="0" w:color="000000"/>
            </w:tcBorders>
            <w:vAlign w:val="bottom"/>
            <w:hideMark/>
          </w:tcPr>
          <w:p w14:paraId="1EC6E133" w14:textId="77777777" w:rsidR="003B28A6" w:rsidRDefault="003B28A6">
            <w:pPr>
              <w:jc w:val="right"/>
              <w:rPr>
                <w:sz w:val="18"/>
                <w:szCs w:val="18"/>
              </w:rPr>
            </w:pPr>
            <w:r>
              <w:rPr>
                <w:rFonts w:ascii="Arial" w:eastAsia="Times New Roman" w:hAnsi="Arial" w:cs="Arial"/>
                <w:color w:val="000000"/>
                <w:sz w:val="18"/>
                <w:szCs w:val="18"/>
                <w:lang w:eastAsia="es-ES"/>
              </w:rPr>
              <w:t>131.016,36</w:t>
            </w:r>
          </w:p>
        </w:tc>
        <w:tc>
          <w:tcPr>
            <w:tcW w:w="476" w:type="pct"/>
            <w:tcBorders>
              <w:top w:val="nil"/>
              <w:left w:val="nil"/>
              <w:bottom w:val="single" w:sz="4" w:space="0" w:color="000000"/>
              <w:right w:val="single" w:sz="4" w:space="0" w:color="000000"/>
            </w:tcBorders>
            <w:vAlign w:val="bottom"/>
            <w:hideMark/>
          </w:tcPr>
          <w:p w14:paraId="4EBA33DF" w14:textId="77777777" w:rsidR="003B28A6" w:rsidRDefault="003B28A6">
            <w:pPr>
              <w:jc w:val="right"/>
              <w:rPr>
                <w:sz w:val="18"/>
                <w:szCs w:val="18"/>
              </w:rPr>
            </w:pPr>
            <w:r>
              <w:rPr>
                <w:rFonts w:ascii="Arial" w:eastAsia="Times New Roman" w:hAnsi="Arial" w:cs="Arial"/>
                <w:color w:val="000000"/>
                <w:sz w:val="18"/>
                <w:szCs w:val="18"/>
                <w:lang w:eastAsia="es-ES"/>
              </w:rPr>
              <w:t>4</w:t>
            </w:r>
          </w:p>
        </w:tc>
        <w:tc>
          <w:tcPr>
            <w:tcW w:w="1011" w:type="pct"/>
            <w:tcBorders>
              <w:top w:val="nil"/>
              <w:left w:val="nil"/>
              <w:bottom w:val="single" w:sz="4" w:space="0" w:color="000000"/>
              <w:right w:val="single" w:sz="4" w:space="0" w:color="000000"/>
            </w:tcBorders>
            <w:vAlign w:val="bottom"/>
            <w:hideMark/>
          </w:tcPr>
          <w:p w14:paraId="5864E3C0" w14:textId="77777777" w:rsidR="003B28A6" w:rsidRDefault="003B28A6">
            <w:pPr>
              <w:jc w:val="right"/>
              <w:rPr>
                <w:sz w:val="18"/>
                <w:szCs w:val="18"/>
              </w:rPr>
            </w:pPr>
            <w:r>
              <w:rPr>
                <w:rFonts w:ascii="Arial" w:eastAsia="Times New Roman" w:hAnsi="Arial" w:cs="Arial"/>
                <w:color w:val="000000"/>
                <w:sz w:val="18"/>
                <w:szCs w:val="18"/>
                <w:lang w:eastAsia="es-ES"/>
              </w:rPr>
              <w:t>208.823,52</w:t>
            </w:r>
          </w:p>
        </w:tc>
        <w:tc>
          <w:tcPr>
            <w:tcW w:w="460" w:type="pct"/>
            <w:tcBorders>
              <w:top w:val="nil"/>
              <w:left w:val="nil"/>
              <w:bottom w:val="single" w:sz="4" w:space="0" w:color="000000"/>
              <w:right w:val="single" w:sz="4" w:space="0" w:color="000000"/>
            </w:tcBorders>
            <w:vAlign w:val="bottom"/>
            <w:hideMark/>
          </w:tcPr>
          <w:p w14:paraId="3182329D" w14:textId="77777777" w:rsidR="003B28A6" w:rsidRDefault="003B28A6">
            <w:pPr>
              <w:jc w:val="right"/>
              <w:rPr>
                <w:sz w:val="18"/>
                <w:szCs w:val="18"/>
              </w:rPr>
            </w:pPr>
            <w:r>
              <w:rPr>
                <w:rFonts w:ascii="Arial" w:eastAsia="Times New Roman" w:hAnsi="Arial" w:cs="Arial"/>
                <w:color w:val="000000"/>
                <w:sz w:val="18"/>
                <w:szCs w:val="18"/>
                <w:lang w:eastAsia="es-ES"/>
              </w:rPr>
              <w:t>9</w:t>
            </w:r>
          </w:p>
        </w:tc>
        <w:tc>
          <w:tcPr>
            <w:tcW w:w="1031" w:type="pct"/>
            <w:tcBorders>
              <w:top w:val="nil"/>
              <w:left w:val="nil"/>
              <w:bottom w:val="single" w:sz="4" w:space="0" w:color="000000"/>
              <w:right w:val="single" w:sz="4" w:space="0" w:color="000000"/>
            </w:tcBorders>
            <w:vAlign w:val="bottom"/>
            <w:hideMark/>
          </w:tcPr>
          <w:p w14:paraId="6ADC8028" w14:textId="77777777" w:rsidR="003B28A6" w:rsidRDefault="003B28A6">
            <w:pPr>
              <w:jc w:val="right"/>
              <w:rPr>
                <w:sz w:val="18"/>
                <w:szCs w:val="18"/>
              </w:rPr>
            </w:pPr>
            <w:r>
              <w:rPr>
                <w:rFonts w:ascii="Arial" w:eastAsia="Times New Roman" w:hAnsi="Arial" w:cs="Arial"/>
                <w:color w:val="000000"/>
                <w:sz w:val="18"/>
                <w:szCs w:val="18"/>
                <w:lang w:eastAsia="es-ES"/>
              </w:rPr>
              <w:t>29.635,30</w:t>
            </w:r>
          </w:p>
        </w:tc>
      </w:tr>
      <w:tr w:rsidR="003B28A6" w14:paraId="21F81ECE" w14:textId="77777777" w:rsidTr="003B28A6">
        <w:trPr>
          <w:trHeight w:val="300"/>
          <w:jc w:val="center"/>
        </w:trPr>
        <w:tc>
          <w:tcPr>
            <w:tcW w:w="534" w:type="pct"/>
            <w:tcBorders>
              <w:top w:val="nil"/>
              <w:left w:val="single" w:sz="4" w:space="0" w:color="000000"/>
              <w:bottom w:val="single" w:sz="4" w:space="0" w:color="000000"/>
              <w:right w:val="single" w:sz="4" w:space="0" w:color="000000"/>
            </w:tcBorders>
            <w:vAlign w:val="bottom"/>
            <w:hideMark/>
          </w:tcPr>
          <w:p w14:paraId="734FD075" w14:textId="77777777" w:rsidR="003B28A6" w:rsidRDefault="003B28A6">
            <w:pPr>
              <w:jc w:val="right"/>
              <w:rPr>
                <w:sz w:val="18"/>
                <w:szCs w:val="18"/>
              </w:rPr>
            </w:pPr>
            <w:r>
              <w:rPr>
                <w:rFonts w:ascii="Arial" w:eastAsia="Times New Roman" w:hAnsi="Arial" w:cs="Arial"/>
                <w:color w:val="000000"/>
                <w:sz w:val="18"/>
                <w:szCs w:val="18"/>
                <w:lang w:eastAsia="es-ES"/>
              </w:rPr>
              <w:t>2020</w:t>
            </w:r>
          </w:p>
        </w:tc>
        <w:tc>
          <w:tcPr>
            <w:tcW w:w="492" w:type="pct"/>
            <w:tcBorders>
              <w:top w:val="nil"/>
              <w:left w:val="nil"/>
              <w:bottom w:val="single" w:sz="4" w:space="0" w:color="000000"/>
              <w:right w:val="single" w:sz="4" w:space="0" w:color="000000"/>
            </w:tcBorders>
            <w:vAlign w:val="bottom"/>
            <w:hideMark/>
          </w:tcPr>
          <w:p w14:paraId="57FD04D9" w14:textId="77777777" w:rsidR="003B28A6" w:rsidRDefault="003B28A6">
            <w:pPr>
              <w:jc w:val="right"/>
              <w:rPr>
                <w:sz w:val="18"/>
                <w:szCs w:val="18"/>
              </w:rPr>
            </w:pPr>
            <w:r>
              <w:rPr>
                <w:rFonts w:ascii="Arial" w:eastAsia="Times New Roman" w:hAnsi="Arial" w:cs="Arial"/>
                <w:color w:val="000000"/>
                <w:sz w:val="18"/>
                <w:szCs w:val="18"/>
                <w:lang w:eastAsia="es-ES"/>
              </w:rPr>
              <w:t>29</w:t>
            </w:r>
          </w:p>
        </w:tc>
        <w:tc>
          <w:tcPr>
            <w:tcW w:w="996" w:type="pct"/>
            <w:tcBorders>
              <w:top w:val="nil"/>
              <w:left w:val="nil"/>
              <w:bottom w:val="single" w:sz="4" w:space="0" w:color="000000"/>
              <w:right w:val="single" w:sz="4" w:space="0" w:color="000000"/>
            </w:tcBorders>
            <w:vAlign w:val="bottom"/>
            <w:hideMark/>
          </w:tcPr>
          <w:p w14:paraId="20AFEBD9" w14:textId="77777777" w:rsidR="003B28A6" w:rsidRDefault="003B28A6">
            <w:pPr>
              <w:jc w:val="right"/>
              <w:rPr>
                <w:sz w:val="18"/>
                <w:szCs w:val="18"/>
              </w:rPr>
            </w:pPr>
            <w:r>
              <w:rPr>
                <w:rFonts w:ascii="Arial" w:eastAsia="Times New Roman" w:hAnsi="Arial" w:cs="Arial"/>
                <w:color w:val="000000"/>
                <w:sz w:val="18"/>
                <w:szCs w:val="18"/>
                <w:lang w:eastAsia="es-ES"/>
              </w:rPr>
              <w:t>67.551,13</w:t>
            </w:r>
          </w:p>
        </w:tc>
        <w:tc>
          <w:tcPr>
            <w:tcW w:w="476" w:type="pct"/>
            <w:tcBorders>
              <w:top w:val="nil"/>
              <w:left w:val="nil"/>
              <w:bottom w:val="single" w:sz="4" w:space="0" w:color="000000"/>
              <w:right w:val="single" w:sz="4" w:space="0" w:color="000000"/>
            </w:tcBorders>
            <w:vAlign w:val="bottom"/>
            <w:hideMark/>
          </w:tcPr>
          <w:p w14:paraId="17F7B6B5" w14:textId="77777777" w:rsidR="003B28A6" w:rsidRDefault="003B28A6">
            <w:pPr>
              <w:jc w:val="right"/>
              <w:rPr>
                <w:sz w:val="18"/>
                <w:szCs w:val="18"/>
              </w:rPr>
            </w:pPr>
            <w:r>
              <w:rPr>
                <w:sz w:val="18"/>
                <w:szCs w:val="18"/>
              </w:rPr>
              <w:t>8</w:t>
            </w:r>
          </w:p>
        </w:tc>
        <w:tc>
          <w:tcPr>
            <w:tcW w:w="1011" w:type="pct"/>
            <w:tcBorders>
              <w:top w:val="nil"/>
              <w:left w:val="nil"/>
              <w:bottom w:val="single" w:sz="4" w:space="0" w:color="000000"/>
              <w:right w:val="single" w:sz="4" w:space="0" w:color="000000"/>
            </w:tcBorders>
            <w:vAlign w:val="bottom"/>
            <w:hideMark/>
          </w:tcPr>
          <w:p w14:paraId="1528ED30" w14:textId="77777777" w:rsidR="003B28A6" w:rsidRDefault="003B28A6">
            <w:pPr>
              <w:jc w:val="right"/>
              <w:rPr>
                <w:sz w:val="18"/>
                <w:szCs w:val="18"/>
              </w:rPr>
            </w:pPr>
            <w:r>
              <w:rPr>
                <w:rFonts w:ascii="Arial" w:eastAsia="Times New Roman" w:hAnsi="Arial" w:cs="Arial"/>
                <w:color w:val="000000"/>
                <w:sz w:val="18"/>
                <w:szCs w:val="18"/>
                <w:lang w:eastAsia="es-ES"/>
              </w:rPr>
              <w:t>64.630,39</w:t>
            </w:r>
          </w:p>
        </w:tc>
        <w:tc>
          <w:tcPr>
            <w:tcW w:w="460" w:type="pct"/>
            <w:tcBorders>
              <w:top w:val="nil"/>
              <w:left w:val="nil"/>
              <w:bottom w:val="single" w:sz="4" w:space="0" w:color="000000"/>
              <w:right w:val="single" w:sz="4" w:space="0" w:color="000000"/>
            </w:tcBorders>
            <w:vAlign w:val="bottom"/>
            <w:hideMark/>
          </w:tcPr>
          <w:p w14:paraId="5E1FFD16" w14:textId="77777777" w:rsidR="003B28A6" w:rsidRDefault="003B28A6">
            <w:pPr>
              <w:jc w:val="right"/>
              <w:rPr>
                <w:sz w:val="18"/>
                <w:szCs w:val="18"/>
              </w:rPr>
            </w:pPr>
            <w:r>
              <w:rPr>
                <w:rFonts w:ascii="Arial" w:eastAsia="Times New Roman" w:hAnsi="Arial" w:cs="Arial"/>
                <w:color w:val="000000"/>
                <w:sz w:val="18"/>
                <w:szCs w:val="18"/>
                <w:lang w:eastAsia="es-ES"/>
              </w:rPr>
              <w:t>6</w:t>
            </w:r>
          </w:p>
        </w:tc>
        <w:tc>
          <w:tcPr>
            <w:tcW w:w="1031" w:type="pct"/>
            <w:tcBorders>
              <w:top w:val="nil"/>
              <w:left w:val="nil"/>
              <w:bottom w:val="single" w:sz="4" w:space="0" w:color="000000"/>
              <w:right w:val="single" w:sz="4" w:space="0" w:color="000000"/>
            </w:tcBorders>
            <w:vAlign w:val="bottom"/>
            <w:hideMark/>
          </w:tcPr>
          <w:p w14:paraId="0C3D2D1B" w14:textId="77777777" w:rsidR="003B28A6" w:rsidRDefault="003B28A6">
            <w:pPr>
              <w:keepNext/>
              <w:jc w:val="right"/>
              <w:rPr>
                <w:sz w:val="18"/>
                <w:szCs w:val="18"/>
              </w:rPr>
            </w:pPr>
            <w:r>
              <w:rPr>
                <w:rFonts w:ascii="Arial" w:eastAsia="Times New Roman" w:hAnsi="Arial" w:cs="Arial"/>
                <w:color w:val="000000"/>
                <w:sz w:val="18"/>
                <w:szCs w:val="18"/>
                <w:lang w:eastAsia="es-ES"/>
              </w:rPr>
              <w:t>64.430,37</w:t>
            </w:r>
          </w:p>
        </w:tc>
      </w:tr>
    </w:tbl>
    <w:p w14:paraId="6218FEAA" w14:textId="77777777" w:rsidR="003B28A6" w:rsidRPr="00997C18" w:rsidRDefault="003B28A6" w:rsidP="003B28A6">
      <w:pPr>
        <w:pStyle w:val="Standard"/>
        <w:spacing w:line="276" w:lineRule="auto"/>
        <w:jc w:val="both"/>
        <w:rPr>
          <w:rFonts w:ascii="Arial" w:hAnsi="Arial"/>
          <w:szCs w:val="32"/>
        </w:rPr>
      </w:pPr>
    </w:p>
    <w:p w14:paraId="73EEB265" w14:textId="59C31526" w:rsidR="003B28A6" w:rsidRDefault="003B28A6" w:rsidP="003B28A6">
      <w:pPr>
        <w:keepNext/>
        <w:spacing w:line="276" w:lineRule="auto"/>
        <w:jc w:val="both"/>
      </w:pPr>
      <w:r>
        <w:rPr>
          <w:noProof/>
        </w:rPr>
        <w:drawing>
          <wp:inline distT="0" distB="0" distL="0" distR="0" wp14:anchorId="450AA628" wp14:editId="314B3716">
            <wp:extent cx="5400675" cy="2923924"/>
            <wp:effectExtent l="0" t="0" r="9525" b="10160"/>
            <wp:docPr id="9" name="Gráfico 9">
              <a:extLst xmlns:a="http://schemas.openxmlformats.org/drawingml/2006/main">
                <a:ext uri="{FF2B5EF4-FFF2-40B4-BE49-F238E27FC236}">
                  <a16:creationId xmlns:a16="http://schemas.microsoft.com/office/drawing/2014/main" id="{090B7077-0D05-4980-84EF-AB5CD3505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14:paraId="7BE2719C" w14:textId="3496F529" w:rsidR="00C66AF3" w:rsidRDefault="003B28A6" w:rsidP="00C66AF3">
      <w:pPr>
        <w:pStyle w:val="Descripcin"/>
        <w:jc w:val="center"/>
      </w:pPr>
      <w:bookmarkStart w:id="377" w:name="_Toc66443919"/>
      <w:bookmarkStart w:id="378" w:name="_Toc67646433"/>
      <w:r w:rsidRPr="00F8714B">
        <w:rPr>
          <w:rFonts w:ascii="Arial" w:hAnsi="Arial" w:cs="Arial"/>
          <w:smallCaps w:val="0"/>
          <w:color w:val="9D2235" w:themeColor="accent1"/>
          <w:sz w:val="16"/>
          <w:szCs w:val="20"/>
        </w:rPr>
        <w:t xml:space="preserve">Gráfico </w:t>
      </w:r>
      <w:r w:rsidRPr="00F8714B">
        <w:rPr>
          <w:rFonts w:ascii="Arial" w:hAnsi="Arial" w:cs="Arial"/>
          <w:smallCaps w:val="0"/>
          <w:sz w:val="16"/>
          <w:szCs w:val="20"/>
        </w:rPr>
        <w:fldChar w:fldCharType="begin"/>
      </w:r>
      <w:r w:rsidRPr="00F8714B">
        <w:rPr>
          <w:rFonts w:ascii="Arial" w:hAnsi="Arial" w:cs="Arial"/>
          <w:smallCaps w:val="0"/>
          <w:color w:val="9D2235" w:themeColor="accent1"/>
          <w:sz w:val="16"/>
          <w:szCs w:val="20"/>
        </w:rPr>
        <w:instrText xml:space="preserve"> SEQ Gráfico \* ARABIC </w:instrText>
      </w:r>
      <w:r w:rsidRPr="00F8714B">
        <w:rPr>
          <w:rFonts w:ascii="Arial" w:hAnsi="Arial" w:cs="Arial"/>
          <w:smallCaps w:val="0"/>
          <w:sz w:val="16"/>
          <w:szCs w:val="20"/>
        </w:rPr>
        <w:fldChar w:fldCharType="separate"/>
      </w:r>
      <w:r w:rsidR="00000D1F">
        <w:rPr>
          <w:rFonts w:ascii="Arial" w:hAnsi="Arial" w:cs="Arial"/>
          <w:smallCaps w:val="0"/>
          <w:noProof/>
          <w:color w:val="9D2235" w:themeColor="accent1"/>
          <w:sz w:val="16"/>
          <w:szCs w:val="20"/>
        </w:rPr>
        <w:t>37</w:t>
      </w:r>
      <w:r w:rsidRPr="00F8714B">
        <w:rPr>
          <w:rFonts w:ascii="Arial" w:hAnsi="Arial" w:cs="Arial"/>
          <w:smallCaps w:val="0"/>
          <w:sz w:val="16"/>
          <w:szCs w:val="20"/>
        </w:rPr>
        <w:fldChar w:fldCharType="end"/>
      </w:r>
      <w:r w:rsidRPr="00F8714B">
        <w:rPr>
          <w:rFonts w:ascii="Arial" w:hAnsi="Arial" w:cs="Arial"/>
          <w:smallCaps w:val="0"/>
          <w:color w:val="9D2235" w:themeColor="accent1"/>
          <w:sz w:val="16"/>
          <w:szCs w:val="20"/>
        </w:rPr>
        <w:t xml:space="preserve">. </w:t>
      </w:r>
      <w:r w:rsidRPr="00F8714B">
        <w:rPr>
          <w:rFonts w:ascii="Arial" w:hAnsi="Arial" w:cs="Arial"/>
          <w:smallCaps w:val="0"/>
          <w:sz w:val="16"/>
          <w:szCs w:val="20"/>
        </w:rPr>
        <w:t>Contratos por tipo y volumen de gasto (2019-2020)</w:t>
      </w:r>
      <w:bookmarkEnd w:id="377"/>
      <w:bookmarkEnd w:id="378"/>
      <w:r w:rsidR="00C66AF3">
        <w:rPr>
          <w:rFonts w:ascii="Arial" w:hAnsi="Arial" w:cs="Arial"/>
          <w:smallCaps w:val="0"/>
          <w:sz w:val="16"/>
          <w:szCs w:val="20"/>
        </w:rPr>
        <w:br/>
      </w:r>
    </w:p>
    <w:p w14:paraId="0A9F5694" w14:textId="79404DA4" w:rsidR="003B28A6" w:rsidRDefault="003B28A6" w:rsidP="003B28A6">
      <w:pPr>
        <w:keepNext/>
        <w:spacing w:line="276" w:lineRule="auto"/>
        <w:jc w:val="both"/>
      </w:pPr>
      <w:r>
        <w:rPr>
          <w:noProof/>
        </w:rPr>
        <w:drawing>
          <wp:inline distT="0" distB="0" distL="0" distR="0" wp14:anchorId="449516DC" wp14:editId="5740E6F6">
            <wp:extent cx="5400675" cy="2231951"/>
            <wp:effectExtent l="0" t="0" r="9525" b="16510"/>
            <wp:docPr id="4" name="Gráfico 4">
              <a:extLst xmlns:a="http://schemas.openxmlformats.org/drawingml/2006/main">
                <a:ext uri="{FF2B5EF4-FFF2-40B4-BE49-F238E27FC236}">
                  <a16:creationId xmlns:a16="http://schemas.microsoft.com/office/drawing/2014/main" id="{30F6FC72-6307-4D19-B07A-DB44192612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14:paraId="1DC924A3" w14:textId="6B84DDD7" w:rsidR="003B28A6" w:rsidRPr="00F8714B" w:rsidRDefault="003B28A6" w:rsidP="00E54ACC">
      <w:pPr>
        <w:pStyle w:val="Descripcin"/>
        <w:jc w:val="center"/>
        <w:rPr>
          <w:rFonts w:ascii="Arial" w:eastAsia="SimSun" w:hAnsi="Arial" w:cs="Arial"/>
          <w:smallCaps w:val="0"/>
          <w:color w:val="000000"/>
          <w:sz w:val="16"/>
          <w:szCs w:val="21"/>
        </w:rPr>
      </w:pPr>
      <w:bookmarkStart w:id="379" w:name="_Toc66443920"/>
      <w:bookmarkStart w:id="380" w:name="_Toc67646434"/>
      <w:r w:rsidRPr="00F8714B">
        <w:rPr>
          <w:rFonts w:ascii="Arial" w:hAnsi="Arial" w:cs="Arial"/>
          <w:smallCaps w:val="0"/>
          <w:color w:val="9D2235" w:themeColor="accent1"/>
          <w:sz w:val="16"/>
        </w:rPr>
        <w:t xml:space="preserve">Gráfico </w:t>
      </w:r>
      <w:r w:rsidRPr="00F8714B">
        <w:rPr>
          <w:rFonts w:ascii="Arial" w:hAnsi="Arial" w:cs="Arial"/>
          <w:smallCaps w:val="0"/>
          <w:sz w:val="16"/>
        </w:rPr>
        <w:fldChar w:fldCharType="begin"/>
      </w:r>
      <w:r w:rsidRPr="00F8714B">
        <w:rPr>
          <w:rFonts w:ascii="Arial" w:hAnsi="Arial" w:cs="Arial"/>
          <w:smallCaps w:val="0"/>
          <w:color w:val="9D2235" w:themeColor="accent1"/>
          <w:sz w:val="16"/>
        </w:rPr>
        <w:instrText xml:space="preserve"> SEQ Gráfico \* ARABIC </w:instrText>
      </w:r>
      <w:r w:rsidRPr="00F8714B">
        <w:rPr>
          <w:rFonts w:ascii="Arial" w:hAnsi="Arial" w:cs="Arial"/>
          <w:smallCaps w:val="0"/>
          <w:sz w:val="16"/>
        </w:rPr>
        <w:fldChar w:fldCharType="separate"/>
      </w:r>
      <w:r w:rsidR="00000D1F">
        <w:rPr>
          <w:rFonts w:ascii="Arial" w:hAnsi="Arial" w:cs="Arial"/>
          <w:smallCaps w:val="0"/>
          <w:noProof/>
          <w:color w:val="9D2235" w:themeColor="accent1"/>
          <w:sz w:val="16"/>
        </w:rPr>
        <w:t>38</w:t>
      </w:r>
      <w:r w:rsidRPr="00F8714B">
        <w:rPr>
          <w:rFonts w:ascii="Arial" w:hAnsi="Arial" w:cs="Arial"/>
          <w:smallCaps w:val="0"/>
          <w:sz w:val="16"/>
        </w:rPr>
        <w:fldChar w:fldCharType="end"/>
      </w:r>
      <w:r w:rsidRPr="00F8714B">
        <w:rPr>
          <w:rFonts w:ascii="Arial" w:hAnsi="Arial" w:cs="Arial"/>
          <w:smallCaps w:val="0"/>
          <w:color w:val="9D2235" w:themeColor="accent1"/>
          <w:sz w:val="16"/>
        </w:rPr>
        <w:t xml:space="preserve">. </w:t>
      </w:r>
      <w:r w:rsidRPr="00F8714B">
        <w:rPr>
          <w:rFonts w:ascii="Arial" w:hAnsi="Arial" w:cs="Arial"/>
          <w:smallCaps w:val="0"/>
          <w:sz w:val="16"/>
        </w:rPr>
        <w:t>Número y tipo de contratos (2019-2020)</w:t>
      </w:r>
      <w:bookmarkEnd w:id="379"/>
      <w:bookmarkEnd w:id="380"/>
    </w:p>
    <w:p w14:paraId="488F55E2" w14:textId="547032C9" w:rsidR="003B28A6" w:rsidRDefault="003B28A6" w:rsidP="003B28A6">
      <w:pPr>
        <w:spacing w:line="276" w:lineRule="auto"/>
        <w:jc w:val="both"/>
        <w:rPr>
          <w:rFonts w:ascii="Arial" w:eastAsia="SimSun" w:hAnsi="Arial" w:cs="Lucida Sans"/>
          <w:color w:val="000000"/>
          <w:sz w:val="21"/>
          <w:szCs w:val="21"/>
        </w:rPr>
      </w:pPr>
      <w:r>
        <w:rPr>
          <w:rFonts w:ascii="Arial" w:eastAsia="SimSun" w:hAnsi="Arial" w:cs="Lucida Sans"/>
          <w:color w:val="000000"/>
          <w:sz w:val="21"/>
          <w:szCs w:val="21"/>
        </w:rPr>
        <w:t xml:space="preserve">Con mayor detalle, la información que se ha relacionado puede estudiarse en </w:t>
      </w:r>
      <w:hyperlink r:id="rId238" w:history="1">
        <w:r w:rsidRPr="00F41DFF">
          <w:rPr>
            <w:rStyle w:val="Hipervnculo"/>
            <w:rFonts w:ascii="Arial" w:eastAsia="SimSun" w:hAnsi="Arial" w:cs="Lucida Sans"/>
            <w:sz w:val="21"/>
            <w:szCs w:val="21"/>
          </w:rPr>
          <w:t>la página web de la Agencia</w:t>
        </w:r>
      </w:hyperlink>
      <w:r>
        <w:rPr>
          <w:rFonts w:ascii="Arial" w:eastAsia="SimSun" w:hAnsi="Arial" w:cs="Lucida Sans"/>
          <w:color w:val="000000"/>
          <w:sz w:val="21"/>
          <w:szCs w:val="21"/>
        </w:rPr>
        <w:t xml:space="preserve"> y registros oficiales</w:t>
      </w:r>
      <w:r w:rsidR="00F41DFF">
        <w:rPr>
          <w:rFonts w:ascii="Arial" w:eastAsia="SimSun" w:hAnsi="Arial" w:cs="Lucida Sans"/>
          <w:color w:val="000000"/>
          <w:sz w:val="21"/>
          <w:szCs w:val="21"/>
        </w:rPr>
        <w:t>.</w:t>
      </w:r>
    </w:p>
    <w:p w14:paraId="2113D66A" w14:textId="77777777" w:rsidR="003B28A6" w:rsidRPr="00837C34" w:rsidRDefault="003B28A6" w:rsidP="00837C34">
      <w:pPr>
        <w:pStyle w:val="Ttulo2"/>
        <w:numPr>
          <w:ilvl w:val="1"/>
          <w:numId w:val="57"/>
        </w:numPr>
        <w:spacing w:before="360" w:after="240" w:line="276" w:lineRule="auto"/>
        <w:ind w:left="851" w:hanging="851"/>
        <w:jc w:val="both"/>
        <w:rPr>
          <w:rFonts w:ascii="Arial" w:hAnsi="Arial" w:cs="Arial"/>
          <w:b/>
          <w:bCs/>
          <w:color w:val="9D2235" w:themeColor="accent1"/>
        </w:rPr>
      </w:pPr>
      <w:bookmarkStart w:id="381" w:name="_Toc66438656"/>
      <w:bookmarkStart w:id="382" w:name="_Toc67646331"/>
      <w:r w:rsidRPr="00837C34">
        <w:rPr>
          <w:rFonts w:ascii="Arial" w:hAnsi="Arial" w:cs="Arial"/>
          <w:b/>
          <w:bCs/>
          <w:color w:val="9D2235" w:themeColor="accent1"/>
        </w:rPr>
        <w:t>Fiscalización externa de la Agencia. Ejercicio 2020</w:t>
      </w:r>
      <w:bookmarkEnd w:id="381"/>
      <w:bookmarkEnd w:id="382"/>
    </w:p>
    <w:p w14:paraId="111554E3" w14:textId="38FD36C2" w:rsidR="003B28A6" w:rsidRDefault="003B28A6" w:rsidP="003B28A6">
      <w:pPr>
        <w:spacing w:after="240" w:line="276" w:lineRule="auto"/>
        <w:jc w:val="both"/>
        <w:rPr>
          <w:rFonts w:ascii="Arial" w:eastAsia="Droid Sans Fallback" w:hAnsi="Arial" w:cs="Arial"/>
          <w:kern w:val="3"/>
          <w:sz w:val="21"/>
          <w:szCs w:val="21"/>
          <w:lang w:eastAsia="zh-CN" w:bidi="hi-IN"/>
        </w:rPr>
      </w:pPr>
      <w:r>
        <w:rPr>
          <w:rFonts w:ascii="Arial" w:eastAsia="Droid Sans Fallback" w:hAnsi="Arial" w:cs="Arial"/>
          <w:kern w:val="3"/>
          <w:sz w:val="21"/>
          <w:szCs w:val="21"/>
          <w:lang w:eastAsia="zh-CN" w:bidi="hi-IN"/>
        </w:rPr>
        <w:t xml:space="preserve">La Ley 11/2016, de 28 de noviembre, en su redacción dada por Ley 27/2018, de 27 de diciembre, de medidas fiscales, de gestión administrativa y financiera y de organización de la Generalitat determina que la Agencia está sujeta a la </w:t>
      </w:r>
      <w:r w:rsidRPr="000E39C0">
        <w:rPr>
          <w:rFonts w:ascii="Arial" w:eastAsia="Droid Sans Fallback" w:hAnsi="Arial" w:cs="Arial"/>
          <w:kern w:val="3"/>
          <w:sz w:val="21"/>
          <w:szCs w:val="21"/>
          <w:lang w:eastAsia="zh-CN" w:bidi="hi-IN"/>
        </w:rPr>
        <w:t xml:space="preserve">Intervención de </w:t>
      </w:r>
      <w:r w:rsidR="00EB5F44" w:rsidRPr="000E39C0">
        <w:rPr>
          <w:rFonts w:ascii="Arial" w:eastAsia="Droid Sans Fallback" w:hAnsi="Arial" w:cs="Arial"/>
          <w:kern w:val="3"/>
          <w:sz w:val="21"/>
          <w:szCs w:val="21"/>
          <w:lang w:eastAsia="zh-CN" w:bidi="hi-IN"/>
        </w:rPr>
        <w:t>la</w:t>
      </w:r>
      <w:r w:rsidRPr="000E39C0">
        <w:rPr>
          <w:rFonts w:ascii="Arial" w:eastAsia="Droid Sans Fallback" w:hAnsi="Arial" w:cs="Arial"/>
          <w:kern w:val="3"/>
          <w:sz w:val="21"/>
          <w:szCs w:val="21"/>
          <w:lang w:eastAsia="zh-CN" w:bidi="hi-IN"/>
        </w:rPr>
        <w:t>s Corts, y justificará su gestión, anualmente, a la Sindicatura de Comptes</w:t>
      </w:r>
      <w:r w:rsidR="00EB5F44" w:rsidRPr="000E39C0">
        <w:rPr>
          <w:rFonts w:ascii="Arial" w:eastAsia="Droid Sans Fallback" w:hAnsi="Arial" w:cs="Arial"/>
          <w:kern w:val="3"/>
          <w:sz w:val="21"/>
          <w:szCs w:val="21"/>
          <w:lang w:eastAsia="zh-CN" w:bidi="hi-IN"/>
        </w:rPr>
        <w:t>.</w:t>
      </w:r>
      <w:r>
        <w:rPr>
          <w:rFonts w:ascii="Arial" w:eastAsia="Droid Sans Fallback" w:hAnsi="Arial" w:cs="Arial"/>
          <w:kern w:val="3"/>
          <w:sz w:val="21"/>
          <w:szCs w:val="21"/>
          <w:lang w:eastAsia="zh-CN" w:bidi="hi-IN"/>
        </w:rPr>
        <w:t xml:space="preserve"> </w:t>
      </w:r>
    </w:p>
    <w:p w14:paraId="7A663AAA" w14:textId="77777777" w:rsidR="003B28A6" w:rsidRDefault="003B28A6" w:rsidP="003B28A6">
      <w:pPr>
        <w:spacing w:after="240" w:line="276" w:lineRule="auto"/>
        <w:jc w:val="both"/>
        <w:rPr>
          <w:rFonts w:ascii="Arial" w:eastAsia="Droid Sans Fallback" w:hAnsi="Arial" w:cs="Arial"/>
          <w:kern w:val="3"/>
          <w:sz w:val="21"/>
          <w:szCs w:val="21"/>
          <w:lang w:eastAsia="zh-CN" w:bidi="hi-IN"/>
        </w:rPr>
      </w:pPr>
      <w:r>
        <w:rPr>
          <w:rFonts w:ascii="Arial" w:eastAsia="Droid Sans Fallback" w:hAnsi="Arial" w:cs="Arial"/>
          <w:kern w:val="3"/>
          <w:sz w:val="21"/>
          <w:szCs w:val="21"/>
          <w:lang w:eastAsia="zh-CN" w:bidi="hi-IN"/>
        </w:rPr>
        <w:t>En la Memoria correspondiente al ejercicio 2019 se rindió cuentas de la fiscalización ejercida en base al acuerdo 3169/IX, de 12 de febrero de 2019, de la Mesa de las Corts Valencianes, por el cual se aprobó el Plan anual de control financiero permanente (CFP) de esta Agencia (DOGV núm. 8493, de 25.02.2019). Al resultado completo del CFP correspondiente al ejercicio 2019, puede accederse a través del portal de transparencia de la Agencia, en el apartado de Gestión Económica.</w:t>
      </w:r>
    </w:p>
    <w:p w14:paraId="3EE5806C" w14:textId="0B7C7DD0" w:rsidR="003B28A6" w:rsidRDefault="003B28A6" w:rsidP="003B28A6">
      <w:pPr>
        <w:spacing w:after="240" w:line="276" w:lineRule="auto"/>
        <w:jc w:val="both"/>
        <w:rPr>
          <w:rFonts w:ascii="Arial" w:eastAsia="Droid Sans Fallback" w:hAnsi="Arial" w:cs="Arial"/>
          <w:kern w:val="3"/>
          <w:sz w:val="21"/>
          <w:szCs w:val="21"/>
          <w:lang w:eastAsia="zh-CN" w:bidi="hi-IN"/>
        </w:rPr>
      </w:pPr>
      <w:r>
        <w:rPr>
          <w:rFonts w:ascii="Arial" w:eastAsia="Droid Sans Fallback" w:hAnsi="Arial" w:cs="Arial"/>
          <w:kern w:val="3"/>
          <w:sz w:val="21"/>
          <w:szCs w:val="21"/>
          <w:lang w:eastAsia="zh-CN" w:bidi="hi-IN"/>
        </w:rPr>
        <w:t xml:space="preserve">En relación con el ejercicio 2020, el acuerdo de la Mesa de las Corts Valencianes, número 752/X, de 16 de junio de 2020, aprueba el Plan anual de control permanente de la Agencia. A esta fecha, febrero de 2020, se ha finalizado el CFP correspondiente al primer semestre de 2020, pudiendo acceder al correspondiente informe y alegaciones formuladas por esta Agencia a través de su portal de transparencia, </w:t>
      </w:r>
      <w:hyperlink r:id="rId239" w:history="1">
        <w:r w:rsidRPr="000E39C0">
          <w:rPr>
            <w:rStyle w:val="Hipervnculo"/>
            <w:rFonts w:ascii="Arial" w:eastAsia="Droid Sans Fallback" w:hAnsi="Arial" w:cs="Arial"/>
            <w:kern w:val="3"/>
            <w:sz w:val="21"/>
            <w:szCs w:val="21"/>
            <w:lang w:eastAsia="zh-CN" w:bidi="hi-IN"/>
          </w:rPr>
          <w:t>en</w:t>
        </w:r>
        <w:r w:rsidR="000E39C0" w:rsidRPr="000E39C0">
          <w:rPr>
            <w:rStyle w:val="Hipervnculo"/>
            <w:rFonts w:ascii="Arial" w:eastAsia="Droid Sans Fallback" w:hAnsi="Arial" w:cs="Arial"/>
            <w:kern w:val="3"/>
            <w:sz w:val="21"/>
            <w:szCs w:val="21"/>
            <w:lang w:eastAsia="zh-CN" w:bidi="hi-IN"/>
          </w:rPr>
          <w:t xml:space="preserve"> esta</w:t>
        </w:r>
        <w:r w:rsidRPr="000E39C0">
          <w:rPr>
            <w:rStyle w:val="Hipervnculo"/>
            <w:rFonts w:ascii="Arial" w:eastAsia="Droid Sans Fallback" w:hAnsi="Arial" w:cs="Arial"/>
            <w:kern w:val="3"/>
            <w:sz w:val="21"/>
            <w:szCs w:val="21"/>
            <w:lang w:eastAsia="zh-CN" w:bidi="hi-IN"/>
          </w:rPr>
          <w:t xml:space="preserve"> dirección</w:t>
        </w:r>
      </w:hyperlink>
      <w:r>
        <w:rPr>
          <w:rFonts w:ascii="Arial" w:eastAsia="Droid Sans Fallback" w:hAnsi="Arial" w:cs="Arial"/>
          <w:kern w:val="3"/>
          <w:sz w:val="21"/>
          <w:szCs w:val="21"/>
          <w:lang w:eastAsia="zh-CN" w:bidi="hi-IN"/>
        </w:rPr>
        <w:t>.</w:t>
      </w:r>
    </w:p>
    <w:p w14:paraId="14953BBC" w14:textId="1D83E9F7" w:rsidR="003B28A6" w:rsidRDefault="000E39C0" w:rsidP="003B28A6">
      <w:pPr>
        <w:spacing w:after="240" w:line="276" w:lineRule="auto"/>
        <w:jc w:val="both"/>
        <w:rPr>
          <w:rFonts w:ascii="Arial" w:eastAsia="Droid Sans Fallback" w:hAnsi="Arial" w:cs="Arial"/>
          <w:kern w:val="3"/>
          <w:sz w:val="21"/>
          <w:szCs w:val="21"/>
          <w:lang w:eastAsia="zh-CN" w:bidi="hi-IN"/>
        </w:rPr>
      </w:pPr>
      <w:r w:rsidRPr="000E39C0">
        <w:rPr>
          <w:rFonts w:ascii="Arial" w:eastAsia="Droid Sans Fallback" w:hAnsi="Arial" w:cs="Arial"/>
          <w:kern w:val="3"/>
          <w:sz w:val="21"/>
          <w:szCs w:val="21"/>
          <w:lang w:eastAsia="zh-CN" w:bidi="hi-IN"/>
        </w:rPr>
        <w:t>C</w:t>
      </w:r>
      <w:r w:rsidR="003B28A6">
        <w:rPr>
          <w:rFonts w:ascii="Arial" w:eastAsia="Droid Sans Fallback" w:hAnsi="Arial" w:cs="Arial"/>
          <w:kern w:val="3"/>
          <w:sz w:val="21"/>
          <w:szCs w:val="21"/>
          <w:lang w:eastAsia="zh-CN" w:bidi="hi-IN"/>
        </w:rPr>
        <w:t>ualquier observación y recomendación formulada por los órganos de control externo, Intervención de las Corts y Sindicatura de Comptes, es considerada como una oportunidad de mejora en los procesos de gestión de los recursos, humanos y económicos, que desde la Agencia se llevan a cabo en el seno de una entidad de reciente creación y con un funcionamiento intenso desde su puesta en marcha.</w:t>
      </w:r>
    </w:p>
    <w:p w14:paraId="5941D38C" w14:textId="103D1357" w:rsidR="003B28A6" w:rsidRDefault="003B28A6">
      <w:pPr>
        <w:rPr>
          <w:rFonts w:ascii="Arial" w:eastAsia="Droid Sans Fallback" w:hAnsi="Arial" w:cs="Arial"/>
          <w:kern w:val="3"/>
          <w:sz w:val="21"/>
          <w:szCs w:val="21"/>
          <w:lang w:eastAsia="zh-CN" w:bidi="hi-IN"/>
        </w:rPr>
      </w:pPr>
      <w:r>
        <w:rPr>
          <w:rFonts w:ascii="Arial" w:eastAsia="Droid Sans Fallback" w:hAnsi="Arial" w:cs="Arial"/>
          <w:kern w:val="3"/>
          <w:sz w:val="21"/>
          <w:szCs w:val="21"/>
          <w:lang w:eastAsia="zh-CN" w:bidi="hi-IN"/>
        </w:rPr>
        <w:br w:type="page"/>
      </w:r>
    </w:p>
    <w:p w14:paraId="121BBB63" w14:textId="77777777" w:rsidR="00D572EA" w:rsidRPr="00973028" w:rsidRDefault="00D572EA" w:rsidP="001C2ABB">
      <w:pPr>
        <w:widowControl w:val="0"/>
        <w:suppressAutoHyphens/>
        <w:autoSpaceDN w:val="0"/>
        <w:spacing w:after="0" w:line="276" w:lineRule="auto"/>
        <w:jc w:val="both"/>
        <w:textAlignment w:val="baseline"/>
        <w:rPr>
          <w:rFonts w:ascii="Arial" w:eastAsia="Droid Sans Fallback" w:hAnsi="Arial" w:cs="Arial"/>
          <w:kern w:val="3"/>
          <w:sz w:val="21"/>
          <w:szCs w:val="21"/>
          <w:lang w:eastAsia="zh-CN" w:bidi="hi-IN"/>
        </w:rPr>
      </w:pPr>
    </w:p>
    <w:p w14:paraId="7CE3C9F3" w14:textId="035307E4" w:rsidR="00D572EA" w:rsidRPr="00973028" w:rsidRDefault="00D572EA" w:rsidP="00D572EA">
      <w:pPr>
        <w:widowControl w:val="0"/>
        <w:suppressAutoHyphens/>
        <w:autoSpaceDN w:val="0"/>
        <w:spacing w:after="0" w:line="276" w:lineRule="auto"/>
        <w:jc w:val="both"/>
        <w:textAlignment w:val="baseline"/>
        <w:rPr>
          <w:rFonts w:ascii="Arial" w:eastAsia="Droid Sans Fallback" w:hAnsi="Arial" w:cs="Arial"/>
          <w:kern w:val="3"/>
          <w:sz w:val="20"/>
          <w:szCs w:val="20"/>
          <w:lang w:eastAsia="zh-CN" w:bidi="hi-IN"/>
        </w:rPr>
      </w:pPr>
    </w:p>
    <w:p w14:paraId="23627A2A" w14:textId="77777777" w:rsidR="00D075FF" w:rsidRPr="00973028" w:rsidRDefault="00D075FF" w:rsidP="00D572EA">
      <w:pPr>
        <w:widowControl w:val="0"/>
        <w:suppressAutoHyphens/>
        <w:autoSpaceDN w:val="0"/>
        <w:spacing w:after="0" w:line="276" w:lineRule="auto"/>
        <w:jc w:val="both"/>
        <w:textAlignment w:val="baseline"/>
        <w:rPr>
          <w:rFonts w:ascii="Arial" w:eastAsia="Droid Sans Fallback" w:hAnsi="Arial" w:cs="Arial"/>
          <w:kern w:val="3"/>
          <w:sz w:val="20"/>
          <w:szCs w:val="20"/>
          <w:lang w:eastAsia="zh-CN" w:bidi="hi-IN"/>
        </w:rPr>
      </w:pPr>
    </w:p>
    <w:p w14:paraId="07C34D74" w14:textId="37D1592A" w:rsidR="00CE79BF" w:rsidRDefault="00901650" w:rsidP="00A41A12">
      <w:pPr>
        <w:pStyle w:val="NormalWeb"/>
        <w:numPr>
          <w:ilvl w:val="0"/>
          <w:numId w:val="27"/>
        </w:numPr>
        <w:spacing w:before="360" w:beforeAutospacing="0" w:after="240" w:line="276" w:lineRule="auto"/>
        <w:ind w:left="0" w:firstLine="0"/>
        <w:contextualSpacing/>
        <w:outlineLvl w:val="0"/>
        <w:rPr>
          <w:rFonts w:ascii="Arial" w:hAnsi="Arial" w:cs="Arial"/>
          <w:b/>
          <w:bCs/>
          <w:color w:val="9D2235"/>
          <w:spacing w:val="-14"/>
          <w:sz w:val="32"/>
          <w:szCs w:val="32"/>
        </w:rPr>
      </w:pPr>
      <w:r w:rsidRPr="00973028">
        <w:rPr>
          <w:rFonts w:ascii="Arial" w:hAnsi="Arial" w:cs="Arial"/>
          <w:b/>
          <w:bCs/>
          <w:smallCaps/>
          <w:color w:val="9D2235"/>
          <w:spacing w:val="-14"/>
          <w:sz w:val="200"/>
          <w:szCs w:val="200"/>
        </w:rPr>
        <w:br/>
      </w:r>
      <w:bookmarkStart w:id="383" w:name="_Toc67646332"/>
      <w:r w:rsidR="002D0FF9" w:rsidRPr="00973028">
        <w:rPr>
          <w:rFonts w:ascii="Arial" w:hAnsi="Arial" w:cs="Arial"/>
          <w:b/>
          <w:bCs/>
          <w:color w:val="9D2235"/>
          <w:spacing w:val="-14"/>
          <w:sz w:val="80"/>
          <w:szCs w:val="80"/>
        </w:rPr>
        <w:t xml:space="preserve">Conclusiones y </w:t>
      </w:r>
      <w:r w:rsidR="00B97A6B" w:rsidRPr="00973028">
        <w:rPr>
          <w:rFonts w:ascii="Arial" w:hAnsi="Arial" w:cs="Arial"/>
          <w:b/>
          <w:bCs/>
          <w:color w:val="9D2235"/>
          <w:spacing w:val="-14"/>
          <w:sz w:val="80"/>
          <w:szCs w:val="80"/>
        </w:rPr>
        <w:t>r</w:t>
      </w:r>
      <w:r w:rsidR="002D0FF9" w:rsidRPr="00973028">
        <w:rPr>
          <w:rFonts w:ascii="Arial" w:hAnsi="Arial" w:cs="Arial"/>
          <w:b/>
          <w:bCs/>
          <w:color w:val="9D2235"/>
          <w:spacing w:val="-14"/>
          <w:sz w:val="80"/>
          <w:szCs w:val="80"/>
        </w:rPr>
        <w:t>e</w:t>
      </w:r>
      <w:bookmarkStart w:id="384" w:name="_Toc65759292"/>
      <w:bookmarkStart w:id="385" w:name="_Toc65759534"/>
      <w:bookmarkEnd w:id="384"/>
      <w:bookmarkEnd w:id="385"/>
      <w:r w:rsidR="00CC5ECA">
        <w:rPr>
          <w:rFonts w:ascii="Arial" w:hAnsi="Arial" w:cs="Arial"/>
          <w:b/>
          <w:bCs/>
          <w:color w:val="9D2235"/>
          <w:spacing w:val="-14"/>
          <w:sz w:val="80"/>
          <w:szCs w:val="80"/>
        </w:rPr>
        <w:t>comendaciones</w:t>
      </w:r>
      <w:bookmarkEnd w:id="383"/>
      <w:r w:rsidR="00CE79BF">
        <w:rPr>
          <w:rFonts w:ascii="Arial" w:hAnsi="Arial" w:cs="Arial"/>
          <w:b/>
          <w:bCs/>
          <w:color w:val="9D2235"/>
          <w:spacing w:val="-14"/>
          <w:sz w:val="32"/>
          <w:szCs w:val="32"/>
        </w:rPr>
        <w:br/>
      </w:r>
    </w:p>
    <w:p w14:paraId="13A1AD96" w14:textId="64F16292" w:rsidR="009A0B66" w:rsidRPr="009A0B66" w:rsidRDefault="009A0B66" w:rsidP="009A0B66">
      <w:pPr>
        <w:jc w:val="both"/>
        <w:rPr>
          <w:rFonts w:ascii="Arial" w:hAnsi="Arial" w:cs="Arial"/>
          <w:sz w:val="21"/>
          <w:szCs w:val="21"/>
        </w:rPr>
      </w:pPr>
      <w:bookmarkStart w:id="386" w:name="_Hlk67642132"/>
      <w:r w:rsidRPr="009A0B66">
        <w:rPr>
          <w:rFonts w:ascii="Arial" w:hAnsi="Arial" w:cs="Arial"/>
          <w:sz w:val="21"/>
          <w:szCs w:val="21"/>
        </w:rPr>
        <w:t>Una de las funciones propias de esta Agencia es el asesoramiento, la formulación de propuestas y recomendaciones a les Corts Valencianes, al Consell de la Generalitat y al conjunto de las administraciones públicas y entidades que se encuentran en su ámbito de actuación, en materia de prevención y lucha contra la corrupción y de integridad y ética pública en la gestión de los recursos públicos, conforme dispone el artículo 4.f) de su Ley de creación.</w:t>
      </w:r>
    </w:p>
    <w:p w14:paraId="13737DC4" w14:textId="1B5F7327" w:rsidR="009A0B66" w:rsidRPr="009A0B66" w:rsidRDefault="009A0B66" w:rsidP="009A0B66">
      <w:pPr>
        <w:jc w:val="both"/>
        <w:rPr>
          <w:rFonts w:ascii="Arial" w:hAnsi="Arial" w:cs="Arial"/>
          <w:sz w:val="21"/>
          <w:szCs w:val="21"/>
        </w:rPr>
      </w:pPr>
      <w:r w:rsidRPr="009A0B66">
        <w:rPr>
          <w:rFonts w:ascii="Arial" w:hAnsi="Arial" w:cs="Arial"/>
          <w:sz w:val="21"/>
          <w:szCs w:val="21"/>
        </w:rPr>
        <w:t>En el desarrollo de esta función la experiencia e información obtenida en el periodo al que se extiende esta Memoria aconseja hacer las siguientes recomendaciones, significando que algunas de ellas ya han sido expuestas de forma oral por el director de esta Agencia ante les Corts en sus comparecencias, o de forma singularizada en contestaciones a expedientes concretos.</w:t>
      </w:r>
      <w:bookmarkEnd w:id="386"/>
    </w:p>
    <w:p w14:paraId="05DD7F32" w14:textId="77777777" w:rsidR="009A0B66" w:rsidRPr="00CE79BF" w:rsidRDefault="009A0B66" w:rsidP="009A0B66">
      <w:pPr>
        <w:pStyle w:val="NormalWeb"/>
        <w:spacing w:after="0" w:line="240" w:lineRule="auto"/>
        <w:outlineLvl w:val="0"/>
        <w:rPr>
          <w:rFonts w:ascii="Arial" w:hAnsi="Arial" w:cs="Arial"/>
          <w:b/>
          <w:bCs/>
          <w:color w:val="9D2235"/>
          <w:spacing w:val="-14"/>
          <w:sz w:val="32"/>
          <w:szCs w:val="32"/>
        </w:rPr>
      </w:pPr>
    </w:p>
    <w:p w14:paraId="6B328442" w14:textId="2CE27C32" w:rsidR="00973028" w:rsidRPr="00CE79BF" w:rsidRDefault="00973028" w:rsidP="009202BF">
      <w:pPr>
        <w:pStyle w:val="NormalWeb"/>
        <w:numPr>
          <w:ilvl w:val="1"/>
          <w:numId w:val="27"/>
        </w:numPr>
        <w:spacing w:before="360" w:beforeAutospacing="0" w:after="240" w:line="276" w:lineRule="auto"/>
        <w:ind w:left="851" w:hanging="851"/>
        <w:contextualSpacing/>
        <w:jc w:val="both"/>
        <w:outlineLvl w:val="1"/>
        <w:rPr>
          <w:rFonts w:ascii="Arial" w:hAnsi="Arial" w:cs="Arial"/>
          <w:b/>
          <w:bCs/>
          <w:color w:val="9D2235"/>
          <w:spacing w:val="-14"/>
          <w:sz w:val="32"/>
          <w:szCs w:val="32"/>
        </w:rPr>
      </w:pPr>
      <w:bookmarkStart w:id="387" w:name="_Toc67646333"/>
      <w:r w:rsidRPr="00CE79BF">
        <w:rPr>
          <w:rFonts w:ascii="Arial" w:hAnsi="Arial" w:cs="Arial"/>
          <w:b/>
          <w:bCs/>
          <w:color w:val="9D2235" w:themeColor="accent1"/>
          <w:sz w:val="32"/>
          <w:szCs w:val="32"/>
        </w:rPr>
        <w:t>Sobre la necesidad de mecanismos de prevención e integridad en la gestión pública de la COVID-19</w:t>
      </w:r>
      <w:bookmarkEnd w:id="387"/>
    </w:p>
    <w:p w14:paraId="0C08C959" w14:textId="77777777" w:rsidR="00973028" w:rsidRPr="00973028" w:rsidRDefault="00973028" w:rsidP="00973028">
      <w:pPr>
        <w:spacing w:after="240" w:line="276" w:lineRule="auto"/>
        <w:jc w:val="both"/>
        <w:rPr>
          <w:rFonts w:ascii="Arial" w:hAnsi="Arial" w:cs="Arial"/>
          <w:sz w:val="21"/>
          <w:szCs w:val="21"/>
        </w:rPr>
      </w:pPr>
      <w:r w:rsidRPr="00973028">
        <w:rPr>
          <w:rFonts w:ascii="Arial" w:hAnsi="Arial" w:cs="Arial"/>
          <w:sz w:val="21"/>
          <w:szCs w:val="21"/>
        </w:rPr>
        <w:t>La crisis ha protagonizado el ejercicio 2020 con la expansión de la pandemia internacional COVID-19. Es hora de extraer actuaciones y aprendizajes que contribuyan a prevenir su repetición o a minimizar sus consecuencias, desterrando los comportamientos corruptos y la obtención de réditos ilícitos de esta situación de excepcionalidad.</w:t>
      </w:r>
    </w:p>
    <w:p w14:paraId="48210810" w14:textId="77777777" w:rsidR="00973028" w:rsidRPr="00973028" w:rsidRDefault="00973028" w:rsidP="00973028">
      <w:pPr>
        <w:spacing w:after="240" w:line="276" w:lineRule="auto"/>
        <w:jc w:val="both"/>
        <w:rPr>
          <w:rFonts w:ascii="Arial" w:hAnsi="Arial" w:cs="Arial"/>
          <w:sz w:val="21"/>
          <w:szCs w:val="21"/>
        </w:rPr>
      </w:pPr>
      <w:r w:rsidRPr="00973028">
        <w:rPr>
          <w:rFonts w:ascii="Arial" w:hAnsi="Arial" w:cs="Arial"/>
          <w:sz w:val="21"/>
          <w:szCs w:val="21"/>
        </w:rPr>
        <w:t>No en vano, organizaciones no gubernamentales, como Transparencia Internacional, alertan de que en escenarios de emergencia aumenta la opacidad, la falta de transparencia y actuaciones contrarias a la integridad, riesgos que propician posibles corruptelas. Asimismo, advierten de la necesidad de adoptar medidas de control para aumentar la apertura igualitaria e íntegra de todo el sector sanitario que incluye, entre otras, la publicación abierta de investigaciones sobre vacunas y tratamientos, o la protección de los alertadores en los sistemas de salud y garantizar la igualdad de acceso a tratamientos que salvan vidas.</w:t>
      </w:r>
    </w:p>
    <w:p w14:paraId="363F3883" w14:textId="567EB9A4" w:rsidR="00973028" w:rsidRPr="00973028" w:rsidRDefault="00973028" w:rsidP="00973028">
      <w:pPr>
        <w:spacing w:after="240" w:line="276" w:lineRule="auto"/>
        <w:jc w:val="both"/>
        <w:rPr>
          <w:rFonts w:ascii="Arial" w:hAnsi="Arial" w:cs="Arial"/>
          <w:sz w:val="21"/>
          <w:szCs w:val="21"/>
        </w:rPr>
      </w:pPr>
      <w:r w:rsidRPr="00973028">
        <w:rPr>
          <w:rFonts w:ascii="Arial" w:hAnsi="Arial" w:cs="Arial"/>
          <w:sz w:val="21"/>
          <w:szCs w:val="21"/>
        </w:rPr>
        <w:t>La ejecución de las distintas medidas “excepcionales” que se han ido acordando desde el pasado 14 de marzo de 2020, fecha en la que se declaró el estado de alarma por Real Decreto 463/2020, para la gestión de la situación de crisis sanitaria ocasionada por el COVID-19, han puesto en juego elevadas cantidades de fondos públicos a repartir vía subvenciones y ayudas a diferentes personas y colectivos más afectados por la crisis social y económica o bien destinados a satisfacer rápidamente las necesidades de contratación de bienes y servicios (sanitarios, alimentación, etc.), mediante las contrataciones de emergencia.</w:t>
      </w:r>
    </w:p>
    <w:p w14:paraId="3267C63E" w14:textId="77777777" w:rsidR="00973028" w:rsidRPr="00973028" w:rsidRDefault="00973028" w:rsidP="00973028">
      <w:pPr>
        <w:spacing w:after="240" w:line="276" w:lineRule="auto"/>
        <w:jc w:val="both"/>
        <w:rPr>
          <w:rFonts w:ascii="Arial" w:hAnsi="Arial" w:cs="Arial"/>
          <w:sz w:val="21"/>
          <w:szCs w:val="21"/>
        </w:rPr>
      </w:pPr>
      <w:r w:rsidRPr="00973028">
        <w:rPr>
          <w:rFonts w:ascii="Arial" w:hAnsi="Arial" w:cs="Arial"/>
          <w:sz w:val="21"/>
          <w:szCs w:val="21"/>
        </w:rPr>
        <w:t>Desde la AVAF podemos comprobar cómo las citadas medidas que, inicialmente, se adoptaron como “excepcionales” por la emergencia de la situación que sobrevino a todas las instituciones, en ocasiones se han “normalizado” al mantenerse e incrementarse durante todo el ejercicio 2020, dejando aparcados algunos de los principales principios que deben garantizar el servicio público a los intereses generales: legalidad, eficacia y eficiencia.</w:t>
      </w:r>
    </w:p>
    <w:p w14:paraId="522D0B65" w14:textId="371A14C1" w:rsidR="00973028" w:rsidRPr="00973028" w:rsidRDefault="00973028" w:rsidP="00973028">
      <w:pPr>
        <w:spacing w:after="240" w:line="276" w:lineRule="auto"/>
        <w:jc w:val="both"/>
        <w:rPr>
          <w:rFonts w:ascii="Arial" w:hAnsi="Arial" w:cs="Arial"/>
          <w:sz w:val="21"/>
          <w:szCs w:val="21"/>
        </w:rPr>
      </w:pPr>
      <w:r w:rsidRPr="00973028">
        <w:rPr>
          <w:rFonts w:ascii="Arial" w:hAnsi="Arial" w:cs="Arial"/>
          <w:sz w:val="21"/>
          <w:szCs w:val="21"/>
        </w:rPr>
        <w:t>En efecto, el mantenimiento prolongado de contrataciones de emergencia ha generalizado adjudicaciones directas quizás más allá de lo estrictamente requerido en el estado de necesidad colectiva, a menudo pagando precios muy superiores a los de mercado, al no existir concurrencia competitiva, por ejemplo.</w:t>
      </w:r>
    </w:p>
    <w:p w14:paraId="251AF77C" w14:textId="77777777" w:rsidR="00973028" w:rsidRPr="00973028" w:rsidRDefault="00973028" w:rsidP="00973028">
      <w:pPr>
        <w:spacing w:after="240" w:line="276" w:lineRule="auto"/>
        <w:jc w:val="both"/>
        <w:rPr>
          <w:rFonts w:ascii="Arial" w:hAnsi="Arial" w:cs="Arial"/>
          <w:sz w:val="21"/>
          <w:szCs w:val="21"/>
        </w:rPr>
      </w:pPr>
      <w:r w:rsidRPr="00973028">
        <w:rPr>
          <w:rFonts w:ascii="Arial" w:hAnsi="Arial" w:cs="Arial"/>
          <w:sz w:val="21"/>
          <w:szCs w:val="21"/>
        </w:rPr>
        <w:t>Por ello, entendemos que resulta imprescindible que las instituciones públicas se doten de mecanismos de prevención e integridad pública que les permitan gestionar crisis como la provocada por la pandemia COVID-19 minimizando los riesgos de corrupción y de detraer recursos públicos de su destino por excelencia: la satisfacción de los intereses generales de cada administración en función de sus necesidades. Así, sostenemos que los mecanismos imprescindibles a adoptar son (entre otros):</w:t>
      </w:r>
    </w:p>
    <w:p w14:paraId="16952911" w14:textId="77777777" w:rsidR="00973028" w:rsidRPr="00973028" w:rsidRDefault="00973028" w:rsidP="00973028">
      <w:pPr>
        <w:pStyle w:val="VietaAVAF"/>
        <w:spacing w:after="120"/>
        <w:ind w:left="714" w:hanging="357"/>
        <w:textAlignment w:val="baseline"/>
        <w:rPr>
          <w:szCs w:val="21"/>
        </w:rPr>
      </w:pPr>
      <w:r w:rsidRPr="00973028">
        <w:rPr>
          <w:szCs w:val="21"/>
        </w:rPr>
        <w:t>Planificar las políticas públicas y su gestión con mecanismos flexibles de priorización de objetivos (y su seguimiento) que doten a nuestras instituciones de la suficiente capacidad estratégica de anticipación, por ejemplo, reasignando sus recursos humanos, materiales y tecnológicos a los servicios considerados esenciales en la pandemia y adoptando decisiones de forma ágil;</w:t>
      </w:r>
    </w:p>
    <w:p w14:paraId="73551C8E" w14:textId="77777777" w:rsidR="00973028" w:rsidRPr="00973028" w:rsidRDefault="00973028" w:rsidP="00973028">
      <w:pPr>
        <w:pStyle w:val="VietaAVAF"/>
        <w:spacing w:after="120"/>
        <w:ind w:left="714" w:hanging="357"/>
        <w:textAlignment w:val="baseline"/>
        <w:rPr>
          <w:szCs w:val="21"/>
        </w:rPr>
      </w:pPr>
      <w:r w:rsidRPr="00973028">
        <w:rPr>
          <w:szCs w:val="21"/>
        </w:rPr>
        <w:t>Mantener y seguir los procedimientos legales previstos en la normativa para que el dinero público llegue pronto a las personas y entidades que realmente lo necesitan, mediante una gestión rápida y transparente de los mismos que posibilite la detección y control de alguna anomalía o incidencia generadora de situaciones corruptas;</w:t>
      </w:r>
    </w:p>
    <w:p w14:paraId="23357A4F" w14:textId="77777777" w:rsidR="00973028" w:rsidRPr="00973028" w:rsidRDefault="00973028" w:rsidP="00973028">
      <w:pPr>
        <w:pStyle w:val="VietaAVAF"/>
        <w:spacing w:after="120"/>
        <w:ind w:left="714" w:hanging="357"/>
        <w:textAlignment w:val="baseline"/>
        <w:rPr>
          <w:szCs w:val="21"/>
        </w:rPr>
      </w:pPr>
      <w:r w:rsidRPr="00973028">
        <w:rPr>
          <w:szCs w:val="21"/>
        </w:rPr>
        <w:t>No renunciar a los controles internos de cada institución (cosa que ocurrió a nivel estatal y autonómico al sustituir los controles previos por el control financiero posterior) ni renunciar a la comprobación material de las inversiones del dinero público;</w:t>
      </w:r>
    </w:p>
    <w:p w14:paraId="55A1F2F4" w14:textId="77777777" w:rsidR="00973028" w:rsidRPr="00973028" w:rsidRDefault="00973028" w:rsidP="00973028">
      <w:pPr>
        <w:pStyle w:val="VietaAVAF"/>
        <w:spacing w:after="120"/>
        <w:ind w:left="714" w:hanging="357"/>
        <w:textAlignment w:val="baseline"/>
        <w:rPr>
          <w:szCs w:val="21"/>
        </w:rPr>
      </w:pPr>
      <w:r w:rsidRPr="00973028">
        <w:rPr>
          <w:szCs w:val="21"/>
        </w:rPr>
        <w:t>Adoptar decisiones públicas y transparentes también en ejercicio de poderes excepcionales, publicando los diferentes avances en vacunas y tratamientos y los protocolos de reparto de las mismas entre la población, alejando toda sombra de favoritismo y/o corrupción;</w:t>
      </w:r>
    </w:p>
    <w:p w14:paraId="40F254B4" w14:textId="064AE549" w:rsidR="00973028" w:rsidRPr="00973028" w:rsidRDefault="00973028" w:rsidP="00973028">
      <w:pPr>
        <w:pStyle w:val="VietaAVAF"/>
        <w:ind w:left="714" w:hanging="357"/>
        <w:textAlignment w:val="baseline"/>
        <w:rPr>
          <w:szCs w:val="21"/>
        </w:rPr>
      </w:pPr>
      <w:r w:rsidRPr="00973028">
        <w:rPr>
          <w:szCs w:val="21"/>
        </w:rPr>
        <w:t>Tomar las medidas y precauciones posibles en el ámbito de la ciberseguridad, especialmente ante el marcado descenso de la actividad presencial y el auge de la no presencial (teletrabajo, comercio digital, etc.).</w:t>
      </w:r>
    </w:p>
    <w:p w14:paraId="2BA863F8" w14:textId="77777777" w:rsidR="00973028" w:rsidRPr="00973028" w:rsidRDefault="00973028" w:rsidP="00973028">
      <w:pPr>
        <w:spacing w:after="240" w:line="276" w:lineRule="auto"/>
        <w:jc w:val="both"/>
        <w:rPr>
          <w:rFonts w:ascii="Arial" w:hAnsi="Arial" w:cs="Arial"/>
          <w:sz w:val="21"/>
          <w:szCs w:val="21"/>
        </w:rPr>
      </w:pPr>
      <w:r w:rsidRPr="00973028">
        <w:rPr>
          <w:rFonts w:ascii="Arial" w:hAnsi="Arial" w:cs="Arial"/>
          <w:sz w:val="21"/>
          <w:szCs w:val="21"/>
        </w:rPr>
        <w:t>Deseamos que el final de la crisis motivada por la pandemia que atravesamos llegue pronto y que no se repitan crisis tan devastadoras para la sociedad y la economía, pero es momento de reflexionar y de actuar haciendo acopio de los mecanismos preventivos indicados para minimizar los riesgos lo máximo posible y para que, si desafortunadamente vivimos otra crisis, estemos preparados y actuemos con celeridad y eficacia.</w:t>
      </w:r>
    </w:p>
    <w:p w14:paraId="760FEE1E" w14:textId="06829641" w:rsidR="00973028" w:rsidRPr="00973028" w:rsidRDefault="00973028" w:rsidP="009202BF">
      <w:pPr>
        <w:pStyle w:val="NormalWeb"/>
        <w:numPr>
          <w:ilvl w:val="1"/>
          <w:numId w:val="27"/>
        </w:numPr>
        <w:spacing w:before="360" w:beforeAutospacing="0" w:after="240" w:line="276" w:lineRule="auto"/>
        <w:ind w:left="851" w:hanging="851"/>
        <w:contextualSpacing/>
        <w:jc w:val="both"/>
        <w:outlineLvl w:val="1"/>
        <w:rPr>
          <w:rFonts w:ascii="Arial" w:hAnsi="Arial" w:cs="Arial"/>
          <w:b/>
          <w:bCs/>
          <w:color w:val="9D2235" w:themeColor="accent1"/>
          <w:sz w:val="32"/>
          <w:szCs w:val="32"/>
        </w:rPr>
      </w:pPr>
      <w:bookmarkStart w:id="388" w:name="_Toc67646334"/>
      <w:r w:rsidRPr="00973028">
        <w:rPr>
          <w:rFonts w:ascii="Arial" w:hAnsi="Arial" w:cs="Arial"/>
          <w:b/>
          <w:bCs/>
          <w:color w:val="9D2235" w:themeColor="accent1"/>
          <w:sz w:val="32"/>
          <w:szCs w:val="32"/>
        </w:rPr>
        <w:t>Sobre la necesidad de frenar el abuso del enriquecimiento injusto para “pagar” encargos alegales</w:t>
      </w:r>
      <w:bookmarkEnd w:id="388"/>
    </w:p>
    <w:p w14:paraId="5C2EEA9C" w14:textId="77777777" w:rsidR="00973028" w:rsidRPr="00973028" w:rsidRDefault="00973028" w:rsidP="00973028">
      <w:pPr>
        <w:spacing w:after="240" w:line="276" w:lineRule="auto"/>
        <w:jc w:val="both"/>
        <w:rPr>
          <w:rFonts w:ascii="Arial" w:hAnsi="Arial" w:cs="Arial"/>
          <w:sz w:val="21"/>
          <w:szCs w:val="21"/>
        </w:rPr>
      </w:pPr>
      <w:r w:rsidRPr="00973028">
        <w:rPr>
          <w:rFonts w:ascii="Arial" w:hAnsi="Arial" w:cs="Arial"/>
          <w:sz w:val="21"/>
          <w:szCs w:val="21"/>
        </w:rPr>
        <w:t>Durante el ejercicio 2020 han aumentado los expedientes de resarcimiento por “enriquecimiento injusto” por parte del sector público de nuestra Comunitat, normalizando así elevadísimas compensaciones económicas a quienes realizan prestaciones para las Administraciones, por encargo de éstas, para evitar su empobrecimiento patrimonial y el correlativo enriquecimiento de aquellas.</w:t>
      </w:r>
    </w:p>
    <w:p w14:paraId="0EEB4A4D" w14:textId="1E65FAB3" w:rsidR="00973028" w:rsidRPr="00973028" w:rsidRDefault="00973028" w:rsidP="00973028">
      <w:pPr>
        <w:spacing w:after="240" w:line="276" w:lineRule="auto"/>
        <w:jc w:val="both"/>
        <w:rPr>
          <w:rFonts w:ascii="Arial" w:hAnsi="Arial" w:cs="Arial"/>
          <w:sz w:val="21"/>
          <w:szCs w:val="21"/>
        </w:rPr>
      </w:pPr>
      <w:r w:rsidRPr="00973028">
        <w:rPr>
          <w:rFonts w:ascii="Arial" w:hAnsi="Arial" w:cs="Arial"/>
          <w:sz w:val="21"/>
          <w:szCs w:val="21"/>
        </w:rPr>
        <w:t xml:space="preserve">Tal y como pusimos de manifiesto en nuestra Recomendación general: </w:t>
      </w:r>
      <w:r w:rsidRPr="00156DAB">
        <w:rPr>
          <w:rFonts w:ascii="Arial" w:hAnsi="Arial" w:cs="Arial"/>
          <w:color w:val="000000"/>
          <w:sz w:val="21"/>
          <w:szCs w:val="21"/>
        </w:rPr>
        <w:t>“La vía del enriquecimiento injusto en el sector público: ¿uso o abuso?”,</w:t>
      </w:r>
      <w:r w:rsidRPr="00096249">
        <w:rPr>
          <w:rFonts w:ascii="Arial" w:hAnsi="Arial" w:cs="Arial"/>
          <w:color w:val="000000"/>
          <w:sz w:val="21"/>
          <w:szCs w:val="21"/>
        </w:rPr>
        <w:t xml:space="preserve"> aprobada por </w:t>
      </w:r>
      <w:r w:rsidRPr="00096249">
        <w:rPr>
          <w:rFonts w:ascii="Arial" w:hAnsi="Arial" w:cs="Arial"/>
          <w:color w:val="000000"/>
          <w:spacing w:val="-2"/>
          <w:sz w:val="21"/>
          <w:szCs w:val="21"/>
        </w:rPr>
        <w:t xml:space="preserve">Resolución del </w:t>
      </w:r>
      <w:r w:rsidR="000D6D22" w:rsidRPr="00096249">
        <w:rPr>
          <w:rFonts w:ascii="Arial" w:hAnsi="Arial" w:cs="Arial"/>
          <w:color w:val="000000"/>
          <w:spacing w:val="-2"/>
          <w:sz w:val="21"/>
          <w:szCs w:val="21"/>
        </w:rPr>
        <w:t>d</w:t>
      </w:r>
      <w:r w:rsidRPr="00096249">
        <w:rPr>
          <w:rFonts w:ascii="Arial" w:hAnsi="Arial" w:cs="Arial"/>
          <w:color w:val="000000"/>
          <w:spacing w:val="-2"/>
          <w:sz w:val="21"/>
          <w:szCs w:val="21"/>
        </w:rPr>
        <w:t>irector núm. 122/2020, de 11 de mayo, el abuso de esta figura, por naturaleza excepcional, es un</w:t>
      </w:r>
      <w:r w:rsidRPr="00973028">
        <w:rPr>
          <w:rFonts w:ascii="Arial" w:hAnsi="Arial" w:cs="Arial"/>
          <w:color w:val="000000"/>
          <w:spacing w:val="-2"/>
          <w:sz w:val="21"/>
          <w:szCs w:val="21"/>
        </w:rPr>
        <w:t xml:space="preserve"> grave riesgo de corrupción especialmente en el ámbito de la contratación del sector público al </w:t>
      </w:r>
      <w:r w:rsidRPr="00973028">
        <w:rPr>
          <w:rFonts w:ascii="Arial" w:hAnsi="Arial" w:cs="Arial"/>
          <w:sz w:val="21"/>
          <w:szCs w:val="21"/>
        </w:rPr>
        <w:t xml:space="preserve">“normalizar” la huida de la legítima condición de contratista por los cauces legales, en colisión frontal con los principios de legalidad, igualdad, transparencia y libre concurrencia, así como con las reglas que protegen la libre competencia en el normal funcionamiento de los mercados. </w:t>
      </w:r>
    </w:p>
    <w:p w14:paraId="738E2777" w14:textId="77777777" w:rsidR="00973028" w:rsidRPr="00973028" w:rsidRDefault="00973028" w:rsidP="00973028">
      <w:pPr>
        <w:spacing w:after="240" w:line="276" w:lineRule="auto"/>
        <w:jc w:val="both"/>
        <w:rPr>
          <w:rFonts w:ascii="Arial" w:hAnsi="Arial" w:cs="Arial"/>
          <w:sz w:val="21"/>
          <w:szCs w:val="21"/>
        </w:rPr>
      </w:pPr>
      <w:r w:rsidRPr="00973028">
        <w:rPr>
          <w:rFonts w:ascii="Arial" w:hAnsi="Arial" w:cs="Arial"/>
          <w:sz w:val="21"/>
          <w:szCs w:val="21"/>
        </w:rPr>
        <w:t>Asimismo, cabe destacar el presumible quebranto económico que el uso abusivo del enriquecimiento injusto puede ocasionar. El perjuicio que para las arcas públicas suponen los encargos de prestaciones sin concurrencia competitiva y, por ende, sin que exista una comparativa de precios que permitan equiparar su precio a su justo valor de mercado, poniendo en tela de juicio los principios de necesidad, eficacia, eficiencia y economía que, entre otros, deben guiar el gasto público. A su vez, el abuso de esta vía invisibiliza sendos conflictos de intereses e impide o dificulta sobremanera el control de la ejecución de la prestación.</w:t>
      </w:r>
    </w:p>
    <w:p w14:paraId="2F8CE29D" w14:textId="77777777" w:rsidR="00973028" w:rsidRPr="00973028" w:rsidRDefault="00973028" w:rsidP="00973028">
      <w:pPr>
        <w:spacing w:after="240" w:line="276" w:lineRule="auto"/>
        <w:jc w:val="both"/>
        <w:rPr>
          <w:rFonts w:ascii="Arial" w:hAnsi="Arial" w:cs="Arial"/>
          <w:sz w:val="21"/>
          <w:szCs w:val="21"/>
        </w:rPr>
      </w:pPr>
      <w:r w:rsidRPr="00973028">
        <w:rPr>
          <w:rFonts w:ascii="Arial" w:hAnsi="Arial" w:cs="Arial"/>
          <w:sz w:val="21"/>
          <w:szCs w:val="21"/>
        </w:rPr>
        <w:t xml:space="preserve">En la práctica, la mayor parte de actos o actuaciones viciadas de nulidad de pleno derecho en el ámbito material del enriquecimiento injusto no son depuradas del ordenamiento jurídico vía revisión. El legislador y los aplicadores del Derecho se limitan a articular un procedimiento </w:t>
      </w:r>
      <w:r w:rsidRPr="00973028">
        <w:rPr>
          <w:rFonts w:ascii="Arial" w:hAnsi="Arial" w:cs="Arial"/>
          <w:i/>
          <w:iCs/>
          <w:sz w:val="21"/>
          <w:szCs w:val="21"/>
        </w:rPr>
        <w:t>ad hoc</w:t>
      </w:r>
      <w:r w:rsidRPr="00973028">
        <w:rPr>
          <w:rFonts w:ascii="Arial" w:hAnsi="Arial" w:cs="Arial"/>
          <w:sz w:val="21"/>
          <w:szCs w:val="21"/>
        </w:rPr>
        <w:t xml:space="preserve"> de convalidación de la inexistencia de crédito para pagar las facturas sin soporte legal o contractual, mediante un mero acuerdo </w:t>
      </w:r>
      <w:r w:rsidRPr="00156DAB">
        <w:rPr>
          <w:rFonts w:ascii="Arial" w:hAnsi="Arial" w:cs="Arial"/>
          <w:sz w:val="21"/>
          <w:szCs w:val="21"/>
        </w:rPr>
        <w:t xml:space="preserve">de “Resarcimiento por enriquecimiento injusto” </w:t>
      </w:r>
      <w:r w:rsidRPr="00973028">
        <w:rPr>
          <w:rFonts w:ascii="Arial" w:hAnsi="Arial" w:cs="Arial"/>
          <w:sz w:val="21"/>
          <w:szCs w:val="21"/>
        </w:rPr>
        <w:t>(en el ámbito autonómico)</w:t>
      </w:r>
      <w:r w:rsidRPr="00973028">
        <w:rPr>
          <w:rFonts w:ascii="Arial" w:hAnsi="Arial" w:cs="Arial"/>
          <w:i/>
          <w:iCs/>
          <w:sz w:val="21"/>
          <w:szCs w:val="21"/>
        </w:rPr>
        <w:t xml:space="preserve"> </w:t>
      </w:r>
      <w:r w:rsidRPr="00973028">
        <w:rPr>
          <w:rFonts w:ascii="Arial" w:hAnsi="Arial" w:cs="Arial"/>
          <w:sz w:val="21"/>
          <w:szCs w:val="21"/>
        </w:rPr>
        <w:t>o</w:t>
      </w:r>
      <w:r w:rsidRPr="00973028">
        <w:rPr>
          <w:rFonts w:ascii="Arial" w:hAnsi="Arial" w:cs="Arial"/>
          <w:i/>
          <w:iCs/>
          <w:sz w:val="21"/>
          <w:szCs w:val="21"/>
        </w:rPr>
        <w:t xml:space="preserve"> </w:t>
      </w:r>
      <w:r w:rsidRPr="00156DAB">
        <w:rPr>
          <w:rFonts w:ascii="Arial" w:hAnsi="Arial" w:cs="Arial"/>
          <w:sz w:val="21"/>
          <w:szCs w:val="21"/>
        </w:rPr>
        <w:t>“Reconocimiento Extrajudicial de Créditos”</w:t>
      </w:r>
      <w:r w:rsidRPr="00973028">
        <w:rPr>
          <w:rFonts w:ascii="Arial" w:hAnsi="Arial" w:cs="Arial"/>
          <w:i/>
          <w:iCs/>
          <w:sz w:val="21"/>
          <w:szCs w:val="21"/>
        </w:rPr>
        <w:t xml:space="preserve"> </w:t>
      </w:r>
      <w:r w:rsidRPr="00973028">
        <w:rPr>
          <w:rFonts w:ascii="Arial" w:hAnsi="Arial" w:cs="Arial"/>
          <w:sz w:val="21"/>
          <w:szCs w:val="21"/>
        </w:rPr>
        <w:t xml:space="preserve">(en el ámbito local) que, en la práctica totalidad de las administraciones territoriales, se articula sin que los órganos de control interno puedan ejercer su función interventora, bastando con la aprobación del crédito por parte del Consell a propuesta de los titulares de las respectivas </w:t>
      </w:r>
      <w:r w:rsidRPr="00973028">
        <w:rPr>
          <w:rFonts w:ascii="Arial" w:hAnsi="Arial" w:cs="Arial"/>
          <w:i/>
          <w:iCs/>
          <w:sz w:val="21"/>
          <w:szCs w:val="21"/>
        </w:rPr>
        <w:t>consellerias</w:t>
      </w:r>
      <w:r w:rsidRPr="00973028">
        <w:rPr>
          <w:rFonts w:ascii="Arial" w:hAnsi="Arial" w:cs="Arial"/>
          <w:sz w:val="21"/>
          <w:szCs w:val="21"/>
        </w:rPr>
        <w:t xml:space="preserve"> (Comunitat Valenciana) o del Pleno (entidades locales) para convalidar las actuaciones y amparar el pago al “acreedor”.</w:t>
      </w:r>
    </w:p>
    <w:p w14:paraId="4ADE678B" w14:textId="6D0D5D1B" w:rsidR="00973028" w:rsidRPr="00973028" w:rsidRDefault="00973028" w:rsidP="00973028">
      <w:pPr>
        <w:spacing w:after="240" w:line="276" w:lineRule="auto"/>
        <w:jc w:val="both"/>
        <w:rPr>
          <w:rFonts w:ascii="Arial" w:hAnsi="Arial" w:cs="Arial"/>
          <w:sz w:val="21"/>
          <w:szCs w:val="21"/>
        </w:rPr>
      </w:pPr>
      <w:r w:rsidRPr="00973028">
        <w:rPr>
          <w:rFonts w:ascii="Arial" w:hAnsi="Arial" w:cs="Arial"/>
          <w:sz w:val="21"/>
          <w:szCs w:val="21"/>
        </w:rPr>
        <w:t>Como muestra, citaremos el Acuerdo del Consell de 27 de marzo de 2020 (DO</w:t>
      </w:r>
      <w:r w:rsidR="003803CD">
        <w:rPr>
          <w:rFonts w:ascii="Arial" w:hAnsi="Arial" w:cs="Arial"/>
          <w:sz w:val="21"/>
          <w:szCs w:val="21"/>
        </w:rPr>
        <w:t>G</w:t>
      </w:r>
      <w:r w:rsidRPr="00973028">
        <w:rPr>
          <w:rFonts w:ascii="Arial" w:hAnsi="Arial" w:cs="Arial"/>
          <w:sz w:val="21"/>
          <w:szCs w:val="21"/>
        </w:rPr>
        <w:t xml:space="preserve">V núm. 8777, de 31/03/2020), autorizando la aprobación por la </w:t>
      </w:r>
      <w:r w:rsidRPr="00973028">
        <w:rPr>
          <w:rFonts w:ascii="Arial" w:hAnsi="Arial" w:cs="Arial"/>
          <w:i/>
          <w:iCs/>
          <w:sz w:val="21"/>
          <w:szCs w:val="21"/>
        </w:rPr>
        <w:t>Conselleria de Sanitat Universal i Salut Pública</w:t>
      </w:r>
      <w:r w:rsidRPr="00973028">
        <w:rPr>
          <w:rFonts w:ascii="Arial" w:hAnsi="Arial" w:cs="Arial"/>
          <w:sz w:val="21"/>
          <w:szCs w:val="21"/>
        </w:rPr>
        <w:t xml:space="preserve"> del expediente de REI 01/2020 por obligaciones contraídas como consecuencia de los servicios y suministros prestados en los diferentes departamentos de salud y centros de gestión entre 2016 y 2019, por importe de 481.206.143,19€ (IVA incluido).</w:t>
      </w:r>
    </w:p>
    <w:p w14:paraId="5137166A" w14:textId="77777777" w:rsidR="00973028" w:rsidRPr="00973028" w:rsidRDefault="00973028" w:rsidP="00973028">
      <w:pPr>
        <w:spacing w:after="240" w:line="276" w:lineRule="auto"/>
        <w:jc w:val="both"/>
        <w:rPr>
          <w:rFonts w:ascii="Arial" w:hAnsi="Arial" w:cs="Arial"/>
          <w:sz w:val="21"/>
          <w:szCs w:val="21"/>
        </w:rPr>
      </w:pPr>
      <w:r w:rsidRPr="00973028">
        <w:rPr>
          <w:rFonts w:ascii="Arial" w:hAnsi="Arial" w:cs="Arial"/>
          <w:sz w:val="21"/>
          <w:szCs w:val="21"/>
        </w:rPr>
        <w:t>Todo ello es de especial trascendencia en el vigente contexto de excepcionalidad, en plena crisis social y económica motivada por la pandemia COVID-19, que podría propiciar dar carta blanca a este abuso general del enriquecimiento injusto.</w:t>
      </w:r>
    </w:p>
    <w:p w14:paraId="4963AEF5" w14:textId="77777777" w:rsidR="00973028" w:rsidRPr="00973028" w:rsidRDefault="00973028" w:rsidP="00973028">
      <w:pPr>
        <w:spacing w:after="240" w:line="276" w:lineRule="auto"/>
        <w:jc w:val="both"/>
        <w:rPr>
          <w:rFonts w:ascii="Arial" w:hAnsi="Arial" w:cs="Arial"/>
          <w:sz w:val="21"/>
          <w:szCs w:val="21"/>
        </w:rPr>
      </w:pPr>
      <w:r w:rsidRPr="00973028">
        <w:rPr>
          <w:rFonts w:ascii="Arial" w:hAnsi="Arial" w:cs="Arial"/>
          <w:sz w:val="21"/>
          <w:szCs w:val="21"/>
        </w:rPr>
        <w:t>Desde la AVAF insistimos en estas Reflexiones generales en la importancia de que las autoridades y operadores jurídicos y de control apliquen los procedimientos legalmente previstos en las diversas normas sectoriales; tanto los que regulan el íter y los requisitos a seguir para realizar el encargo o contrato con un particular, como los que las leyes ya contemplan para compensar o resarcir trabajos realizados. Y, de igual modo, también insistimos que deben cumplirse necesariamente los procedimientos legales de control de la ejecución, resultando esencial que se valore la prestación efectivamente realizada y no la totalidad del importe facturado que reclama el ejecutante de dicha prestación.</w:t>
      </w:r>
    </w:p>
    <w:p w14:paraId="103BCDAA" w14:textId="77777777" w:rsidR="00973028" w:rsidRPr="00973028" w:rsidRDefault="00973028" w:rsidP="00973028">
      <w:pPr>
        <w:spacing w:after="240" w:line="276" w:lineRule="auto"/>
        <w:jc w:val="both"/>
        <w:rPr>
          <w:rFonts w:ascii="Arial" w:hAnsi="Arial" w:cs="Arial"/>
          <w:sz w:val="21"/>
          <w:szCs w:val="21"/>
        </w:rPr>
      </w:pPr>
      <w:r w:rsidRPr="00973028">
        <w:rPr>
          <w:rFonts w:ascii="Arial" w:hAnsi="Arial" w:cs="Arial"/>
          <w:sz w:val="21"/>
          <w:szCs w:val="21"/>
        </w:rPr>
        <w:t>Asimismo, reiteramos aquí la necesidad de</w:t>
      </w:r>
      <w:r w:rsidRPr="00973028">
        <w:rPr>
          <w:rFonts w:ascii="Arial" w:hAnsi="Arial" w:cs="Arial"/>
          <w:color w:val="000000"/>
          <w:sz w:val="21"/>
          <w:szCs w:val="21"/>
        </w:rPr>
        <w:t xml:space="preserve"> reforzar el control interno en su función de control permanente, en los supuestos y con el alcance que se decida acometer en los respectivos ámbitos, del reconocimiento de las obligaciones derivadas de expedientes de enriquecimiento injusto.</w:t>
      </w:r>
    </w:p>
    <w:p w14:paraId="614DB25F" w14:textId="77777777" w:rsidR="00973028" w:rsidRPr="00973028" w:rsidRDefault="00973028" w:rsidP="00973028">
      <w:pPr>
        <w:spacing w:after="240" w:line="276" w:lineRule="auto"/>
        <w:jc w:val="both"/>
        <w:rPr>
          <w:rFonts w:ascii="Arial" w:hAnsi="Arial" w:cs="Arial"/>
          <w:sz w:val="21"/>
          <w:szCs w:val="21"/>
        </w:rPr>
      </w:pPr>
      <w:r w:rsidRPr="00973028">
        <w:rPr>
          <w:rFonts w:ascii="Arial" w:hAnsi="Arial" w:cs="Arial"/>
          <w:color w:val="000000"/>
          <w:sz w:val="21"/>
          <w:szCs w:val="21"/>
        </w:rPr>
        <w:t>De igual modo, recordamos la importancia de que se depuren, previos los oportunos procedimientos contradictorios al efecto, las responsabilidades de quienes ordenaron por su cuenta y riesgo la ejecución de una prestación al margen del ordenamiento jurídico aplicable (esto es, motivadora de un enriquecimiento sin causa) y/o de las entidades públicas o privadas que voluntaria o conscientemente de su ilegalidad, decidieron ejecutar dicha prestación para garantizarse el cobro de la misma, desviando así a la Administración de su misión de servicio público en beneficio particular.</w:t>
      </w:r>
    </w:p>
    <w:p w14:paraId="7CC0C884" w14:textId="2A7D155B" w:rsidR="00973028" w:rsidRPr="00973028" w:rsidRDefault="00973028" w:rsidP="00973028">
      <w:pPr>
        <w:spacing w:after="240" w:line="276" w:lineRule="auto"/>
        <w:jc w:val="both"/>
        <w:rPr>
          <w:rFonts w:ascii="Arial" w:hAnsi="Arial" w:cs="Arial"/>
          <w:sz w:val="21"/>
          <w:szCs w:val="21"/>
        </w:rPr>
      </w:pPr>
      <w:r w:rsidRPr="00973028">
        <w:rPr>
          <w:rFonts w:ascii="Arial" w:hAnsi="Arial" w:cs="Arial"/>
          <w:sz w:val="21"/>
          <w:szCs w:val="21"/>
        </w:rPr>
        <w:t>Todo lo anterior, desarrollado en profundidad en nuestra Recomendación general publicada sobre la materia contribuiría, sin duda alguna, a frenar el abuso del remedio subsidiario del enriquecimiento injusto y a cumplir el principio de legalidad, sin perjuicio de otras posibles medidas que atiendan a otras causas y disciplinas como las vinculadas a la financiación autonómica y local o a las cuestiones organizativas.</w:t>
      </w:r>
    </w:p>
    <w:p w14:paraId="0AD96046" w14:textId="77777777" w:rsidR="00973028" w:rsidRPr="00973028" w:rsidRDefault="00973028" w:rsidP="00973028">
      <w:pPr>
        <w:jc w:val="both"/>
        <w:rPr>
          <w:rFonts w:ascii="Arial" w:hAnsi="Arial" w:cs="Arial"/>
        </w:rPr>
      </w:pPr>
      <w:r w:rsidRPr="00973028">
        <w:rPr>
          <w:rFonts w:ascii="Arial" w:hAnsi="Arial" w:cs="Arial"/>
        </w:rPr>
        <w:br w:type="page"/>
      </w:r>
    </w:p>
    <w:p w14:paraId="504F1BB2" w14:textId="433CF9A7" w:rsidR="00973028" w:rsidRPr="00973028" w:rsidRDefault="00096F00" w:rsidP="009202BF">
      <w:pPr>
        <w:pStyle w:val="NormalWeb"/>
        <w:numPr>
          <w:ilvl w:val="1"/>
          <w:numId w:val="27"/>
        </w:numPr>
        <w:spacing w:before="360" w:beforeAutospacing="0" w:after="240" w:line="276" w:lineRule="auto"/>
        <w:ind w:left="851" w:hanging="851"/>
        <w:contextualSpacing/>
        <w:jc w:val="both"/>
        <w:outlineLvl w:val="1"/>
        <w:rPr>
          <w:rFonts w:ascii="Arial" w:hAnsi="Arial" w:cs="Arial"/>
          <w:b/>
          <w:bCs/>
          <w:color w:val="9D2235" w:themeColor="accent1"/>
          <w:sz w:val="32"/>
          <w:szCs w:val="32"/>
        </w:rPr>
      </w:pPr>
      <w:bookmarkStart w:id="389" w:name="_Toc67646335"/>
      <w:r>
        <w:rPr>
          <w:rFonts w:ascii="Arial" w:hAnsi="Arial" w:cs="Arial"/>
          <w:b/>
          <w:bCs/>
          <w:color w:val="9D2235" w:themeColor="accent1"/>
          <w:sz w:val="32"/>
          <w:szCs w:val="32"/>
        </w:rPr>
        <w:t>Sobre l</w:t>
      </w:r>
      <w:r w:rsidR="00973028" w:rsidRPr="00973028">
        <w:rPr>
          <w:rFonts w:ascii="Arial" w:hAnsi="Arial" w:cs="Arial"/>
          <w:b/>
          <w:bCs/>
          <w:color w:val="9D2235" w:themeColor="accent1"/>
          <w:sz w:val="32"/>
          <w:szCs w:val="32"/>
        </w:rPr>
        <w:t>a formación y la lucha contra la corrupción</w:t>
      </w:r>
      <w:bookmarkEnd w:id="389"/>
    </w:p>
    <w:p w14:paraId="05E65356" w14:textId="77777777" w:rsidR="00973028" w:rsidRPr="00E54ACC" w:rsidRDefault="00973028" w:rsidP="00973028">
      <w:pPr>
        <w:spacing w:after="240" w:line="276" w:lineRule="auto"/>
        <w:jc w:val="both"/>
        <w:rPr>
          <w:rFonts w:ascii="Arial" w:hAnsi="Arial" w:cs="Arial"/>
          <w:sz w:val="21"/>
          <w:szCs w:val="21"/>
        </w:rPr>
      </w:pPr>
      <w:r w:rsidRPr="00E54ACC">
        <w:rPr>
          <w:rFonts w:ascii="Arial" w:hAnsi="Arial" w:cs="Arial"/>
          <w:sz w:val="21"/>
          <w:szCs w:val="21"/>
        </w:rPr>
        <w:t xml:space="preserve">Control, castigo y formación. Estos son los pilares en los que se ha basado históricamente la lucha contra la corrupción en cualquier sociedad. Sin embargo, nunca han tenido la misma importancia. De hecho, también en nuestros días, la cuestión central es determinar cuál de estos tres aspectos es el elemento nuclear y cómo se establece el orden estratégico de los otros dos. La respuesta que se dé al dilema y el eje o pilar sobre el que descanse la lucha contra la corrupción nos informará no solo sobre el tipo de sociedad ante la que nos encontramos, sino también y de manera especial sobre la calidad institucional de la misma y sobre la capacidad real, dejando a un lado la retórica y la propaganda, de luchar contra la corrupción y de convertirla en un fenómeno marginal y socialmente rechazado. </w:t>
      </w:r>
    </w:p>
    <w:p w14:paraId="7017AB48" w14:textId="77777777" w:rsidR="00973028" w:rsidRPr="00E54ACC" w:rsidRDefault="00973028" w:rsidP="00973028">
      <w:pPr>
        <w:spacing w:after="240" w:line="276" w:lineRule="auto"/>
        <w:jc w:val="both"/>
        <w:rPr>
          <w:rFonts w:ascii="Arial" w:hAnsi="Arial" w:cs="Arial"/>
          <w:sz w:val="21"/>
          <w:szCs w:val="21"/>
        </w:rPr>
      </w:pPr>
      <w:r w:rsidRPr="00E54ACC">
        <w:rPr>
          <w:rFonts w:ascii="Arial" w:hAnsi="Arial" w:cs="Arial"/>
          <w:sz w:val="21"/>
          <w:szCs w:val="21"/>
        </w:rPr>
        <w:t xml:space="preserve">En fecha tan temprana como 1787, el teórico del sistema de contrapoderes de la primera Constitución escrita, James Madison, estableció que el control era el eje nuclear contra la corrupción y el abuso de poder en su conocida afirmación de </w:t>
      </w:r>
      <w:r w:rsidRPr="009D51B5">
        <w:rPr>
          <w:rFonts w:ascii="Arial" w:hAnsi="Arial" w:cs="Arial"/>
          <w:sz w:val="21"/>
          <w:szCs w:val="21"/>
        </w:rPr>
        <w:t>“si el gobierno de las personas lo llevaran a cabo ángeles no sería necesario ningún control externo o interno al gobierno”,</w:t>
      </w:r>
      <w:r w:rsidRPr="00E54ACC">
        <w:rPr>
          <w:rFonts w:ascii="Arial" w:hAnsi="Arial" w:cs="Arial"/>
          <w:i/>
          <w:iCs/>
          <w:sz w:val="21"/>
          <w:szCs w:val="21"/>
        </w:rPr>
        <w:t xml:space="preserve"> </w:t>
      </w:r>
      <w:r w:rsidRPr="00E54ACC">
        <w:rPr>
          <w:rFonts w:ascii="Arial" w:hAnsi="Arial" w:cs="Arial"/>
          <w:sz w:val="21"/>
          <w:szCs w:val="21"/>
        </w:rPr>
        <w:t>pero como no somos ángeles, el control del poder es el fundamento de las democracias contemporáneas</w:t>
      </w:r>
      <w:r w:rsidRPr="00E54ACC">
        <w:rPr>
          <w:rFonts w:ascii="Arial" w:hAnsi="Arial" w:cs="Arial"/>
          <w:i/>
          <w:iCs/>
          <w:sz w:val="21"/>
          <w:szCs w:val="21"/>
        </w:rPr>
        <w:t xml:space="preserve">. </w:t>
      </w:r>
      <w:r w:rsidRPr="00E54ACC">
        <w:rPr>
          <w:rFonts w:ascii="Arial" w:hAnsi="Arial" w:cs="Arial"/>
          <w:sz w:val="21"/>
          <w:szCs w:val="21"/>
        </w:rPr>
        <w:t xml:space="preserve">Un control entendido como sistema de </w:t>
      </w:r>
      <w:r w:rsidRPr="00E54ACC">
        <w:rPr>
          <w:rFonts w:ascii="Arial" w:hAnsi="Arial" w:cs="Arial"/>
          <w:i/>
          <w:iCs/>
          <w:sz w:val="21"/>
          <w:szCs w:val="21"/>
        </w:rPr>
        <w:t xml:space="preserve">checks and balances, </w:t>
      </w:r>
      <w:r w:rsidRPr="00E54ACC">
        <w:rPr>
          <w:rFonts w:ascii="Arial" w:hAnsi="Arial" w:cs="Arial"/>
          <w:sz w:val="21"/>
          <w:szCs w:val="21"/>
        </w:rPr>
        <w:t>de rendimiento de cuentas y contrapoderes. Dicho de otro modo, no se trataba de establecer instituciones de control fuera o por encima de las instituciones contraladas, sino de desarrollar un sistema de instituciones que se controlan y limitan el poder práctico del resto de las instituciones, y a la vez son controladas y limitadas en su poder por las otras instituciones. El poder controlando al poder ese es el elemento central de las democracias contemporáneas han establecido, con mayor o menor éxito según los casos, para combatir de manera eficaz la corrupción.</w:t>
      </w:r>
    </w:p>
    <w:p w14:paraId="5712ED54" w14:textId="77777777" w:rsidR="00973028" w:rsidRPr="00E54ACC" w:rsidRDefault="00973028" w:rsidP="00973028">
      <w:pPr>
        <w:spacing w:after="240" w:line="276" w:lineRule="auto"/>
        <w:jc w:val="both"/>
        <w:rPr>
          <w:rFonts w:ascii="Arial" w:hAnsi="Arial" w:cs="Arial"/>
          <w:sz w:val="21"/>
          <w:szCs w:val="21"/>
        </w:rPr>
      </w:pPr>
      <w:r w:rsidRPr="00E54ACC">
        <w:rPr>
          <w:rFonts w:ascii="Arial" w:hAnsi="Arial" w:cs="Arial"/>
          <w:sz w:val="21"/>
          <w:szCs w:val="21"/>
        </w:rPr>
        <w:t xml:space="preserve">¿Qué ocurre, entonces, con los otros dos pilares contra la corrupción: el castigo y la formación? ¿Desaparecen? ¿Se subordinan al control? En el fondo ni lo uno ni lo otro: lo complementan; pero con matices.   </w:t>
      </w:r>
    </w:p>
    <w:p w14:paraId="0C27993E" w14:textId="5E3B1B6B" w:rsidR="00973028" w:rsidRPr="00E54ACC" w:rsidRDefault="00973028" w:rsidP="00973028">
      <w:pPr>
        <w:spacing w:after="240" w:line="276" w:lineRule="auto"/>
        <w:jc w:val="both"/>
        <w:rPr>
          <w:rFonts w:ascii="Arial" w:hAnsi="Arial" w:cs="Arial"/>
          <w:sz w:val="21"/>
          <w:szCs w:val="21"/>
        </w:rPr>
      </w:pPr>
      <w:r w:rsidRPr="00E54ACC">
        <w:rPr>
          <w:rFonts w:ascii="Arial" w:hAnsi="Arial" w:cs="Arial"/>
          <w:sz w:val="21"/>
          <w:szCs w:val="21"/>
        </w:rPr>
        <w:t>Generalmente y de manera paradójica, los regímenes autocráticos y autoritarios en todas sus variantes, desde las dictaduras totalitarias y las semidemocrácias, utilizan el castigo y la punición como forma preferente de lucha contra la corrupción, siempre con un componente supuestamente ejemplarizante. El control de la corrupción lo ejerce un poder que no es controlado por nadie y usa la acusación de corrupción como sistema de purga y legitimación políticas.  Se pretende de este modo asentar la idea de que la mano dura, la punición inmisericorde, con pena de muerte o condenas de prisión de muchos años son una muestra del compromiso del régimen contra la corrupción y contra quienes abusan de la buena fe de los gobernantes. Sin embargo, esta práctica propagandística no cambia el hecho de que toda dictadura y todo sistema político autoritario y antipluralista es estructuralmente corrupto, y que el supuesto control contra las prácticas corruptas es falso y la punición es arbitraria.</w:t>
      </w:r>
    </w:p>
    <w:p w14:paraId="662E9E50" w14:textId="77777777" w:rsidR="00973028" w:rsidRPr="00E54ACC" w:rsidRDefault="00973028" w:rsidP="00973028">
      <w:pPr>
        <w:spacing w:after="240" w:line="276" w:lineRule="auto"/>
        <w:jc w:val="both"/>
        <w:rPr>
          <w:rFonts w:ascii="Arial" w:hAnsi="Arial" w:cs="Arial"/>
          <w:sz w:val="21"/>
          <w:szCs w:val="21"/>
        </w:rPr>
      </w:pPr>
      <w:r w:rsidRPr="00E54ACC">
        <w:rPr>
          <w:rFonts w:ascii="Arial" w:hAnsi="Arial" w:cs="Arial"/>
          <w:sz w:val="21"/>
          <w:szCs w:val="21"/>
        </w:rPr>
        <w:t xml:space="preserve">De hecho, hay estudios que subrayan que existe una correlación entre democracias con menor calidad institucional, una cultura democrática frágil e índices de corrupción más elevados, y unas legislaciones contra la corrupción más extensas y detalladas y, a menudo, unas formas de castigo penal formalmente más ejemplarizante. Aún más, pueden ser sociedades en las que el castigo penal, medido en años de cárcel, no se corresponden ni con un rechazo social real y generalizado, ni con una pérdida de los recursos económicos y del estatus social conseguido de manera ilícita y corrupta. </w:t>
      </w:r>
    </w:p>
    <w:p w14:paraId="257C4525" w14:textId="77777777" w:rsidR="00973028" w:rsidRPr="00E54ACC" w:rsidRDefault="00973028" w:rsidP="00973028">
      <w:pPr>
        <w:spacing w:after="240" w:line="276" w:lineRule="auto"/>
        <w:jc w:val="both"/>
        <w:rPr>
          <w:rFonts w:ascii="Arial" w:hAnsi="Arial" w:cs="Arial"/>
          <w:sz w:val="21"/>
          <w:szCs w:val="21"/>
        </w:rPr>
      </w:pPr>
      <w:r w:rsidRPr="00E54ACC">
        <w:rPr>
          <w:rFonts w:ascii="Arial" w:hAnsi="Arial" w:cs="Arial"/>
          <w:sz w:val="21"/>
          <w:szCs w:val="21"/>
        </w:rPr>
        <w:t xml:space="preserve">Por el contrario, las democracias con mayor calidad, con mejor sistema de contrapoderes, social y políticamente más inclusivas, con mayor respeto por sus minorías internas, más pluralistas y menos autoritarias, son la que ocupan las posiciones mejores en el ranking anual de percepción de la corrupción de Transparencia Internacional. Son sociedades con buenos mecanismos y sistemas de control, transparencia, rendimiento de cuentas y contrapoderes, y han consolidado e institucionalizado órganos específicos de lucha contra la corrupción y el fraude. La superioridad de estas sociedades deriva de un bien sistema de control unido, antes que nada, a la formación y no al castigo; por ello son sociedades con un grado autoexigencia cívica elevado, con una ética colectiva fuerte, una cultura política democrática y una formación cívica comparativamente muy superior a la de los de los países con tradiciones más punitivas y autoritarias. </w:t>
      </w:r>
    </w:p>
    <w:p w14:paraId="2B756D5E" w14:textId="77777777" w:rsidR="00973028" w:rsidRPr="00E54ACC" w:rsidRDefault="00973028" w:rsidP="00973028">
      <w:pPr>
        <w:spacing w:after="240" w:line="276" w:lineRule="auto"/>
        <w:jc w:val="both"/>
        <w:rPr>
          <w:rFonts w:ascii="Arial" w:hAnsi="Arial" w:cs="Arial"/>
          <w:sz w:val="21"/>
          <w:szCs w:val="21"/>
        </w:rPr>
      </w:pPr>
      <w:r w:rsidRPr="00E54ACC">
        <w:rPr>
          <w:rFonts w:ascii="Arial" w:hAnsi="Arial" w:cs="Arial"/>
          <w:sz w:val="21"/>
          <w:szCs w:val="21"/>
        </w:rPr>
        <w:t>Contrariamente al refrán castizo que afirma que el miedo guarda la viña, Byung-Chul Han subraya que, en la actualidad y a diferencia de las sociedades del pasado, el poder se muestra más débil y frágil cuanto más tiene que recurrir a la violencia y al castigo penal. La potencial punición establecida en las leyes no disuade necesariamente del delito, sino que establece una frontera entre lo que una frágil mayoría política y social entiende como punible y las prácticas de una parte de la sociedad, circunstancialmente minoritaria, que impugna en la práctica la validez de esas normas. El poder es fuerte y sólido cuando se transforma en consentimiento, ética compartida, y sistema de valores comunes, porque sólo entonces las normas dejan de ser dominio de unos sobre otros y pasan a ser expresión de un proyecto político realmente mayoritario y convierte a las minorías corruptas en grupos marginales y sin capacidad de transcendencia social importante. La punición puntual no desaparece, pero las democracias son más fuertes porque colectivamente hay un sistema de formación cívica social que aísla y combate los comportamientos corruptos.</w:t>
      </w:r>
    </w:p>
    <w:p w14:paraId="52F16938" w14:textId="77777777" w:rsidR="00973028" w:rsidRPr="00E54ACC" w:rsidRDefault="00973028" w:rsidP="00973028">
      <w:pPr>
        <w:spacing w:after="240" w:line="276" w:lineRule="auto"/>
        <w:jc w:val="both"/>
        <w:rPr>
          <w:rFonts w:ascii="Arial" w:hAnsi="Arial" w:cs="Arial"/>
          <w:sz w:val="21"/>
          <w:szCs w:val="21"/>
        </w:rPr>
      </w:pPr>
      <w:r w:rsidRPr="00E54ACC">
        <w:rPr>
          <w:rFonts w:ascii="Arial" w:hAnsi="Arial" w:cs="Arial"/>
          <w:sz w:val="21"/>
          <w:szCs w:val="21"/>
        </w:rPr>
        <w:t xml:space="preserve">No se trata únicamente de que los servidores públicos tengan mejor formación técnica y mayor capacitación en todos los aspectos que son necesarios para el desarrollo de su función pública. Se trata de que la formación cívica forme parte de la agenda de las personas que ocupan transitoriamente responsabilidades políticas en las instituciones para tengan también un buen conocimiento de los límites de su acción pública, tengan conciencia de los conflictos de intereses en los que pueden incurrir. Se trata, especialmente y por encima de todo, de contar con una sociedad fuerte, crítica, sensibilizada, organizada y con capacidad para exigir y autoexigirse comportamientos éticos en todas las dimensiones de la vida social. Una sociedad donde desaparezcan, en definitiva, las formas antiguas de cinismo social que combina, de manera aparentemente contradictoria, el escándalo ante los casos concretos de corrupción, pero sigue admirando al corrupto en proporciones notables porque cree que los bienes públicos no son de nadie y están abiertos siempre al beneficio personal, y a la ventaja que ofrecen las relaciones de grupo. Las sociedades democráticas avanzadas con formación cívica fuerte no dudan del valor colectivo de los bienes comunes ni de la importancia para la propia cohesión social del principio de igualdad de oportunidades.  </w:t>
      </w:r>
    </w:p>
    <w:p w14:paraId="125E5A6B" w14:textId="3A0311E1" w:rsidR="00973028" w:rsidRDefault="00973028" w:rsidP="00176FCA">
      <w:pPr>
        <w:spacing w:after="240" w:line="276" w:lineRule="auto"/>
        <w:jc w:val="both"/>
        <w:rPr>
          <w:rFonts w:ascii="Arial" w:hAnsi="Arial" w:cs="Arial"/>
          <w:sz w:val="21"/>
          <w:szCs w:val="21"/>
        </w:rPr>
      </w:pPr>
      <w:r w:rsidRPr="00E54ACC">
        <w:rPr>
          <w:rFonts w:ascii="Arial" w:hAnsi="Arial" w:cs="Arial"/>
          <w:sz w:val="21"/>
          <w:szCs w:val="21"/>
        </w:rPr>
        <w:t xml:space="preserve">Estamos lejos de estos modelos. El valor de la punición penal, sin que genere necesariamente castigo social y económico a los corruptos, sigue teniendo un peso fuerte entre nosotros. La cultura institucional de control externo o interno no </w:t>
      </w:r>
      <w:r w:rsidR="00B7616C">
        <w:rPr>
          <w:rFonts w:ascii="Arial" w:hAnsi="Arial" w:cs="Arial"/>
          <w:sz w:val="21"/>
          <w:szCs w:val="21"/>
        </w:rPr>
        <w:t>y</w:t>
      </w:r>
      <w:r w:rsidRPr="00E54ACC">
        <w:rPr>
          <w:rFonts w:ascii="Arial" w:hAnsi="Arial" w:cs="Arial"/>
          <w:sz w:val="21"/>
          <w:szCs w:val="21"/>
        </w:rPr>
        <w:t xml:space="preserve">a asentado todavía un sistema de </w:t>
      </w:r>
      <w:r w:rsidRPr="00E54ACC">
        <w:rPr>
          <w:rFonts w:ascii="Arial" w:hAnsi="Arial" w:cs="Arial"/>
          <w:i/>
          <w:iCs/>
          <w:sz w:val="21"/>
          <w:szCs w:val="21"/>
        </w:rPr>
        <w:t xml:space="preserve">checks and balances </w:t>
      </w:r>
      <w:r w:rsidRPr="00E54ACC">
        <w:rPr>
          <w:rFonts w:ascii="Arial" w:hAnsi="Arial" w:cs="Arial"/>
          <w:sz w:val="21"/>
          <w:szCs w:val="21"/>
        </w:rPr>
        <w:t>equilibrado que controle al controlador y que refuerce la ética pública y, por descontado, nuestra inversión en formación cívica es aún muy baja, como es débil nuestra cultura política democrática. Pero ese es el camino a seguir si queremos combatir eficazmente la corrupción: control y formación. Los atajos no sirven.</w:t>
      </w:r>
    </w:p>
    <w:p w14:paraId="080E3512" w14:textId="21014EF2" w:rsidR="00A41A12" w:rsidRPr="00176FCA" w:rsidRDefault="00A41A12" w:rsidP="00176FCA">
      <w:pPr>
        <w:pStyle w:val="NormalWeb"/>
        <w:numPr>
          <w:ilvl w:val="1"/>
          <w:numId w:val="27"/>
        </w:numPr>
        <w:spacing w:before="360" w:beforeAutospacing="0" w:after="240" w:line="276" w:lineRule="auto"/>
        <w:ind w:left="851" w:hanging="851"/>
        <w:jc w:val="both"/>
        <w:outlineLvl w:val="1"/>
        <w:rPr>
          <w:rFonts w:ascii="Arial" w:hAnsi="Arial" w:cs="Arial"/>
          <w:b/>
          <w:bCs/>
          <w:color w:val="9D2235" w:themeColor="accent1"/>
          <w:sz w:val="32"/>
          <w:szCs w:val="32"/>
        </w:rPr>
      </w:pPr>
      <w:bookmarkStart w:id="390" w:name="_Toc67646336"/>
      <w:r w:rsidRPr="00176FCA">
        <w:rPr>
          <w:rFonts w:ascii="Arial" w:hAnsi="Arial" w:cs="Arial"/>
          <w:b/>
          <w:bCs/>
          <w:color w:val="9D2235" w:themeColor="accent1"/>
          <w:sz w:val="32"/>
          <w:szCs w:val="32"/>
        </w:rPr>
        <w:t>Sobre el importante a</w:t>
      </w:r>
      <w:r w:rsidR="00176FCA" w:rsidRPr="00176FCA">
        <w:rPr>
          <w:rFonts w:ascii="Arial" w:hAnsi="Arial" w:cs="Arial"/>
          <w:b/>
          <w:bCs/>
          <w:color w:val="9D2235" w:themeColor="accent1"/>
          <w:sz w:val="32"/>
          <w:szCs w:val="32"/>
        </w:rPr>
        <w:t>v</w:t>
      </w:r>
      <w:r w:rsidRPr="00176FCA">
        <w:rPr>
          <w:rFonts w:ascii="Arial" w:hAnsi="Arial" w:cs="Arial"/>
          <w:b/>
          <w:bCs/>
          <w:color w:val="9D2235" w:themeColor="accent1"/>
          <w:sz w:val="32"/>
          <w:szCs w:val="32"/>
        </w:rPr>
        <w:t xml:space="preserve">ance en el control de las </w:t>
      </w:r>
      <w:r w:rsidR="00176FCA" w:rsidRPr="00176FCA">
        <w:rPr>
          <w:rFonts w:ascii="Arial" w:hAnsi="Arial" w:cs="Arial"/>
          <w:b/>
          <w:bCs/>
          <w:color w:val="9D2235" w:themeColor="accent1"/>
          <w:sz w:val="32"/>
          <w:szCs w:val="32"/>
        </w:rPr>
        <w:t>subvenciones asignadas a los grupos parlamentarios en las Corts Valencianes</w:t>
      </w:r>
      <w:bookmarkEnd w:id="390"/>
    </w:p>
    <w:p w14:paraId="5E49AAD5" w14:textId="77777777" w:rsidR="00A41A12" w:rsidRDefault="00A41A12" w:rsidP="00A41A12">
      <w:pPr>
        <w:spacing w:after="0" w:line="276" w:lineRule="auto"/>
        <w:jc w:val="both"/>
        <w:rPr>
          <w:rFonts w:ascii="Arial" w:hAnsi="Arial" w:cs="Arial"/>
          <w:sz w:val="21"/>
          <w:szCs w:val="20"/>
        </w:rPr>
      </w:pPr>
      <w:r>
        <w:rPr>
          <w:rFonts w:ascii="Arial" w:hAnsi="Arial" w:cs="Arial"/>
          <w:sz w:val="21"/>
          <w:szCs w:val="20"/>
        </w:rPr>
        <w:t xml:space="preserve">En la </w:t>
      </w:r>
      <w:hyperlink r:id="rId240" w:history="1">
        <w:r w:rsidRPr="00807FEE">
          <w:rPr>
            <w:rStyle w:val="Hipervnculo"/>
            <w:rFonts w:ascii="Arial" w:hAnsi="Arial" w:cs="Arial"/>
            <w:sz w:val="21"/>
            <w:szCs w:val="20"/>
          </w:rPr>
          <w:t>Memoria de actividad de esta Agencia anterior a la presente, correspondiente al año 2019</w:t>
        </w:r>
      </w:hyperlink>
      <w:r>
        <w:rPr>
          <w:rFonts w:ascii="Arial" w:hAnsi="Arial" w:cs="Arial"/>
          <w:sz w:val="21"/>
          <w:szCs w:val="20"/>
        </w:rPr>
        <w:t xml:space="preserve">, en este mismo apartado dedicado a “Conclusiones y recomendaciones”, bajo la rúbrica “Sobre la transparencia de los gastos de grupos parlamentarios y subvenciones a partidos políticos”, se reiteraba, con mayor nivel de detalle y análisis, lo ya expresado en la </w:t>
      </w:r>
      <w:hyperlink r:id="rId241" w:history="1">
        <w:r w:rsidRPr="00807FEE">
          <w:rPr>
            <w:rStyle w:val="Hipervnculo"/>
            <w:rFonts w:ascii="Arial" w:hAnsi="Arial" w:cs="Arial"/>
            <w:sz w:val="21"/>
            <w:szCs w:val="20"/>
          </w:rPr>
          <w:t>Memoria del ejercicio anterior, año 2018</w:t>
        </w:r>
      </w:hyperlink>
      <w:r>
        <w:rPr>
          <w:rFonts w:ascii="Arial" w:hAnsi="Arial" w:cs="Arial"/>
          <w:sz w:val="21"/>
          <w:szCs w:val="20"/>
        </w:rPr>
        <w:t xml:space="preserve">, sobre </w:t>
      </w:r>
      <w:r w:rsidRPr="007B3495">
        <w:rPr>
          <w:rFonts w:ascii="Arial" w:hAnsi="Arial" w:cs="Arial"/>
          <w:sz w:val="21"/>
          <w:szCs w:val="20"/>
        </w:rPr>
        <w:t xml:space="preserve">la necesidad de </w:t>
      </w:r>
      <w:r>
        <w:rPr>
          <w:rFonts w:ascii="Arial" w:hAnsi="Arial" w:cs="Arial"/>
          <w:sz w:val="21"/>
          <w:szCs w:val="20"/>
        </w:rPr>
        <w:t xml:space="preserve">justificar y </w:t>
      </w:r>
      <w:r w:rsidRPr="007B3495">
        <w:rPr>
          <w:rFonts w:ascii="Arial" w:hAnsi="Arial" w:cs="Arial"/>
          <w:sz w:val="21"/>
          <w:szCs w:val="20"/>
        </w:rPr>
        <w:t xml:space="preserve">dotar de publicidad </w:t>
      </w:r>
      <w:r>
        <w:rPr>
          <w:rFonts w:ascii="Arial" w:hAnsi="Arial" w:cs="Arial"/>
          <w:sz w:val="21"/>
          <w:szCs w:val="20"/>
        </w:rPr>
        <w:t>e</w:t>
      </w:r>
      <w:r w:rsidRPr="007B3495">
        <w:rPr>
          <w:rFonts w:ascii="Arial" w:hAnsi="Arial" w:cs="Arial"/>
          <w:sz w:val="21"/>
          <w:szCs w:val="20"/>
        </w:rPr>
        <w:t>l destino de las subvenciones percibidas por los diferentes grupos p</w:t>
      </w:r>
      <w:r>
        <w:rPr>
          <w:rFonts w:ascii="Arial" w:hAnsi="Arial" w:cs="Arial"/>
          <w:sz w:val="21"/>
          <w:szCs w:val="20"/>
        </w:rPr>
        <w:t>arlamentarios</w:t>
      </w:r>
      <w:r w:rsidRPr="007B3495">
        <w:rPr>
          <w:rFonts w:ascii="Arial" w:hAnsi="Arial" w:cs="Arial"/>
          <w:sz w:val="21"/>
          <w:szCs w:val="20"/>
        </w:rPr>
        <w:t xml:space="preserve"> para su sostenimiento, </w:t>
      </w:r>
      <w:r>
        <w:rPr>
          <w:rFonts w:ascii="Arial" w:hAnsi="Arial" w:cs="Arial"/>
          <w:sz w:val="21"/>
          <w:szCs w:val="20"/>
        </w:rPr>
        <w:t xml:space="preserve">pues su naturaleza de </w:t>
      </w:r>
      <w:r w:rsidRPr="007B3495">
        <w:rPr>
          <w:rFonts w:ascii="Arial" w:hAnsi="Arial" w:cs="Arial"/>
          <w:sz w:val="21"/>
          <w:szCs w:val="20"/>
        </w:rPr>
        <w:t xml:space="preserve">recursos públicos </w:t>
      </w:r>
      <w:r>
        <w:rPr>
          <w:rFonts w:ascii="Arial" w:hAnsi="Arial" w:cs="Arial"/>
          <w:sz w:val="21"/>
          <w:szCs w:val="20"/>
        </w:rPr>
        <w:t xml:space="preserve">hace que </w:t>
      </w:r>
      <w:r w:rsidRPr="007B3495">
        <w:rPr>
          <w:rFonts w:ascii="Arial" w:hAnsi="Arial" w:cs="Arial"/>
          <w:sz w:val="21"/>
          <w:szCs w:val="20"/>
        </w:rPr>
        <w:t xml:space="preserve">sobre </w:t>
      </w:r>
      <w:r>
        <w:rPr>
          <w:rFonts w:ascii="Arial" w:hAnsi="Arial" w:cs="Arial"/>
          <w:sz w:val="21"/>
          <w:szCs w:val="20"/>
        </w:rPr>
        <w:t>aquella</w:t>
      </w:r>
      <w:r w:rsidRPr="007B3495">
        <w:rPr>
          <w:rFonts w:ascii="Arial" w:hAnsi="Arial" w:cs="Arial"/>
          <w:sz w:val="21"/>
          <w:szCs w:val="20"/>
        </w:rPr>
        <w:t xml:space="preserve">s </w:t>
      </w:r>
      <w:r>
        <w:rPr>
          <w:rFonts w:ascii="Arial" w:hAnsi="Arial" w:cs="Arial"/>
          <w:sz w:val="21"/>
          <w:szCs w:val="20"/>
        </w:rPr>
        <w:t>deba</w:t>
      </w:r>
      <w:r w:rsidRPr="007B3495">
        <w:rPr>
          <w:rFonts w:ascii="Arial" w:hAnsi="Arial" w:cs="Arial"/>
          <w:sz w:val="21"/>
          <w:szCs w:val="20"/>
        </w:rPr>
        <w:t xml:space="preserve"> recaer igual tratamiento de </w:t>
      </w:r>
      <w:r>
        <w:rPr>
          <w:rFonts w:ascii="Arial" w:hAnsi="Arial" w:cs="Arial"/>
          <w:sz w:val="21"/>
          <w:szCs w:val="20"/>
        </w:rPr>
        <w:t xml:space="preserve">control, </w:t>
      </w:r>
      <w:r w:rsidRPr="007B3495">
        <w:rPr>
          <w:rFonts w:ascii="Arial" w:hAnsi="Arial" w:cs="Arial"/>
          <w:sz w:val="21"/>
          <w:szCs w:val="20"/>
        </w:rPr>
        <w:t>transparencia y acceso a la información que respecto del resto de las administraciones públicas.</w:t>
      </w:r>
      <w:r>
        <w:rPr>
          <w:rFonts w:ascii="Arial" w:hAnsi="Arial" w:cs="Arial"/>
          <w:sz w:val="21"/>
          <w:szCs w:val="20"/>
        </w:rPr>
        <w:t xml:space="preserve"> </w:t>
      </w:r>
    </w:p>
    <w:p w14:paraId="4B2B87EE" w14:textId="77777777" w:rsidR="00A41A12" w:rsidRDefault="00A41A12" w:rsidP="00A41A12">
      <w:pPr>
        <w:spacing w:after="0" w:line="276" w:lineRule="auto"/>
        <w:jc w:val="both"/>
        <w:rPr>
          <w:rFonts w:ascii="Arial" w:hAnsi="Arial" w:cs="Arial"/>
          <w:sz w:val="21"/>
          <w:szCs w:val="20"/>
        </w:rPr>
      </w:pPr>
    </w:p>
    <w:p w14:paraId="600A8FD3" w14:textId="77777777" w:rsidR="00A41A12" w:rsidRPr="007B3495" w:rsidRDefault="00A41A12" w:rsidP="00A41A12">
      <w:pPr>
        <w:spacing w:after="0" w:line="276" w:lineRule="auto"/>
        <w:jc w:val="both"/>
        <w:rPr>
          <w:rFonts w:ascii="Arial" w:hAnsi="Arial" w:cs="Arial"/>
          <w:sz w:val="21"/>
          <w:szCs w:val="20"/>
        </w:rPr>
      </w:pPr>
      <w:r>
        <w:rPr>
          <w:rFonts w:ascii="Arial" w:hAnsi="Arial" w:cs="Arial"/>
          <w:sz w:val="21"/>
          <w:szCs w:val="20"/>
        </w:rPr>
        <w:t>Se instaba, pues, a las Corts Valencianes, a la autorregulación en ejercicio de su autonomía institucional y financiera y a la creación de normas específicas a fin de suprimir posibles dinámicas clientelares y fomentar la profesionalización en la gestión.</w:t>
      </w:r>
    </w:p>
    <w:p w14:paraId="103C6DBE" w14:textId="77777777" w:rsidR="00A41A12" w:rsidRDefault="00A41A12" w:rsidP="00A41A12">
      <w:pPr>
        <w:spacing w:after="0" w:line="276" w:lineRule="auto"/>
        <w:jc w:val="both"/>
        <w:rPr>
          <w:rFonts w:ascii="Arial" w:hAnsi="Arial" w:cs="Arial"/>
          <w:sz w:val="21"/>
          <w:szCs w:val="20"/>
        </w:rPr>
      </w:pPr>
    </w:p>
    <w:p w14:paraId="794ACE90" w14:textId="77777777" w:rsidR="00A41A12" w:rsidRDefault="00A41A12" w:rsidP="00A41A12">
      <w:pPr>
        <w:spacing w:after="0" w:line="276" w:lineRule="auto"/>
        <w:jc w:val="both"/>
        <w:rPr>
          <w:rFonts w:ascii="Arial" w:hAnsi="Arial" w:cs="Arial"/>
          <w:sz w:val="21"/>
          <w:szCs w:val="20"/>
        </w:rPr>
      </w:pPr>
      <w:r>
        <w:rPr>
          <w:rFonts w:ascii="Arial" w:hAnsi="Arial" w:cs="Arial"/>
          <w:sz w:val="21"/>
          <w:szCs w:val="20"/>
        </w:rPr>
        <w:t xml:space="preserve">La citada recomendación, contenida en la Memoria de la AVAF de 2019, se cerraba con una cita de Victoria Camps, </w:t>
      </w:r>
      <w:r w:rsidRPr="007B3495">
        <w:rPr>
          <w:rFonts w:ascii="Arial" w:hAnsi="Arial" w:cs="Arial"/>
          <w:sz w:val="21"/>
          <w:szCs w:val="20"/>
        </w:rPr>
        <w:t xml:space="preserve">filósofa y Consejera Permanente del Consejo de Estado, que </w:t>
      </w:r>
      <w:r>
        <w:rPr>
          <w:rFonts w:ascii="Arial" w:hAnsi="Arial" w:cs="Arial"/>
          <w:sz w:val="21"/>
          <w:szCs w:val="20"/>
        </w:rPr>
        <w:t xml:space="preserve">nos </w:t>
      </w:r>
      <w:r w:rsidRPr="007B3495">
        <w:rPr>
          <w:rFonts w:ascii="Arial" w:hAnsi="Arial" w:cs="Arial"/>
          <w:sz w:val="21"/>
          <w:szCs w:val="20"/>
        </w:rPr>
        <w:t>recuerda que los protagonistas visibles de la vida pública tienen un deber de ejemplaridad, coherente con los valores que dan sentido a las sociedades democráticas. A través del ejemplo, se enseña cómo vivir bien desde un punto de vista ético: no se trata solo de los contenidos de las propuestas políticas, sino que también cuenta la forma de hacerlo, y ahí es donde se da la ejemplaridad.</w:t>
      </w:r>
    </w:p>
    <w:p w14:paraId="45E36186" w14:textId="77777777" w:rsidR="00A41A12" w:rsidRDefault="00A41A12" w:rsidP="00A41A12">
      <w:pPr>
        <w:spacing w:after="0" w:line="276" w:lineRule="auto"/>
        <w:jc w:val="both"/>
        <w:rPr>
          <w:rFonts w:ascii="Arial" w:hAnsi="Arial" w:cs="Arial"/>
          <w:sz w:val="21"/>
          <w:szCs w:val="20"/>
        </w:rPr>
      </w:pPr>
    </w:p>
    <w:p w14:paraId="3F212B38" w14:textId="62231CD5" w:rsidR="00A41A12" w:rsidRPr="00B010EA" w:rsidRDefault="00A41A12" w:rsidP="00A41A12">
      <w:pPr>
        <w:spacing w:after="0" w:line="276" w:lineRule="auto"/>
        <w:jc w:val="both"/>
        <w:rPr>
          <w:rFonts w:ascii="Arial" w:hAnsi="Arial" w:cs="Arial"/>
          <w:sz w:val="21"/>
          <w:szCs w:val="20"/>
        </w:rPr>
      </w:pPr>
      <w:r>
        <w:rPr>
          <w:rFonts w:ascii="Arial" w:hAnsi="Arial" w:cs="Arial"/>
          <w:sz w:val="21"/>
          <w:szCs w:val="20"/>
        </w:rPr>
        <w:t xml:space="preserve">Nos congratula decir que en las semanas previas a la presentación de esta Memoria de actividad correspondiente al ejercicio 2020, los grupos parlamentarios presentes en las Corts Valencianes han aprobado por unanimidad el establecimiento de </w:t>
      </w:r>
      <w:r w:rsidR="00024070">
        <w:rPr>
          <w:rFonts w:ascii="Arial" w:hAnsi="Arial" w:cs="Arial"/>
          <w:sz w:val="21"/>
          <w:szCs w:val="20"/>
        </w:rPr>
        <w:t>unas</w:t>
      </w:r>
      <w:r>
        <w:rPr>
          <w:rFonts w:ascii="Arial" w:hAnsi="Arial" w:cs="Arial"/>
          <w:sz w:val="21"/>
          <w:szCs w:val="20"/>
        </w:rPr>
        <w:t xml:space="preserve"> normas reguladoras de la contabilidad y el control de las subvenciones asignadas a los mismos, que regirán a partir de 1 de enero de 2022.</w:t>
      </w:r>
    </w:p>
    <w:p w14:paraId="7683DF81" w14:textId="77777777" w:rsidR="00A41A12" w:rsidRPr="007B3495" w:rsidRDefault="00A41A12" w:rsidP="00A41A12">
      <w:pPr>
        <w:spacing w:after="0" w:line="276" w:lineRule="auto"/>
        <w:jc w:val="both"/>
        <w:rPr>
          <w:rFonts w:ascii="Arial" w:hAnsi="Arial" w:cs="Arial"/>
          <w:strike/>
          <w:sz w:val="21"/>
          <w:szCs w:val="20"/>
        </w:rPr>
      </w:pPr>
    </w:p>
    <w:p w14:paraId="3C2241BD" w14:textId="201B4AC7" w:rsidR="00A41A12" w:rsidRDefault="00A41A12" w:rsidP="00A41A12">
      <w:pPr>
        <w:spacing w:after="0" w:line="276" w:lineRule="auto"/>
        <w:jc w:val="both"/>
        <w:rPr>
          <w:rFonts w:ascii="Arial" w:hAnsi="Arial" w:cs="Arial"/>
          <w:sz w:val="21"/>
          <w:szCs w:val="20"/>
        </w:rPr>
      </w:pPr>
      <w:r w:rsidRPr="007B3495">
        <w:rPr>
          <w:rFonts w:ascii="Arial" w:hAnsi="Arial" w:cs="Arial"/>
          <w:sz w:val="21"/>
          <w:szCs w:val="20"/>
        </w:rPr>
        <w:t>La ausencia de transparencia y justificación en el destino de estos fondos públicos</w:t>
      </w:r>
      <w:r>
        <w:rPr>
          <w:rFonts w:ascii="Arial" w:hAnsi="Arial" w:cs="Arial"/>
          <w:sz w:val="21"/>
          <w:szCs w:val="20"/>
        </w:rPr>
        <w:t xml:space="preserve"> </w:t>
      </w:r>
      <w:r w:rsidRPr="007B3495">
        <w:rPr>
          <w:rFonts w:ascii="Arial" w:hAnsi="Arial" w:cs="Arial"/>
          <w:sz w:val="21"/>
          <w:szCs w:val="20"/>
        </w:rPr>
        <w:t>que</w:t>
      </w:r>
      <w:r>
        <w:rPr>
          <w:rFonts w:ascii="Arial" w:hAnsi="Arial" w:cs="Arial"/>
          <w:sz w:val="21"/>
          <w:szCs w:val="20"/>
        </w:rPr>
        <w:t>,</w:t>
      </w:r>
      <w:r w:rsidRPr="007B3495">
        <w:rPr>
          <w:rFonts w:ascii="Arial" w:hAnsi="Arial" w:cs="Arial"/>
          <w:sz w:val="21"/>
          <w:szCs w:val="20"/>
        </w:rPr>
        <w:t xml:space="preserve"> en s</w:t>
      </w:r>
      <w:r>
        <w:rPr>
          <w:rFonts w:ascii="Arial" w:hAnsi="Arial" w:cs="Arial"/>
          <w:sz w:val="21"/>
          <w:szCs w:val="20"/>
        </w:rPr>
        <w:t>í</w:t>
      </w:r>
      <w:r w:rsidRPr="007B3495">
        <w:rPr>
          <w:rFonts w:ascii="Arial" w:hAnsi="Arial" w:cs="Arial"/>
          <w:sz w:val="21"/>
          <w:szCs w:val="20"/>
        </w:rPr>
        <w:t xml:space="preserve"> misma</w:t>
      </w:r>
      <w:r>
        <w:rPr>
          <w:rFonts w:ascii="Arial" w:hAnsi="Arial" w:cs="Arial"/>
          <w:sz w:val="21"/>
          <w:szCs w:val="20"/>
        </w:rPr>
        <w:t>,</w:t>
      </w:r>
      <w:r w:rsidRPr="007B3495">
        <w:rPr>
          <w:rFonts w:ascii="Arial" w:hAnsi="Arial" w:cs="Arial"/>
          <w:sz w:val="21"/>
          <w:szCs w:val="20"/>
        </w:rPr>
        <w:t xml:space="preserve"> supon</w:t>
      </w:r>
      <w:r>
        <w:rPr>
          <w:rFonts w:ascii="Arial" w:hAnsi="Arial" w:cs="Arial"/>
          <w:sz w:val="21"/>
          <w:szCs w:val="20"/>
        </w:rPr>
        <w:t>e</w:t>
      </w:r>
      <w:r w:rsidRPr="007B3495">
        <w:rPr>
          <w:rFonts w:ascii="Arial" w:hAnsi="Arial" w:cs="Arial"/>
          <w:sz w:val="21"/>
          <w:szCs w:val="20"/>
        </w:rPr>
        <w:t xml:space="preserve"> una quiebra del principio de igualdad </w:t>
      </w:r>
      <w:r>
        <w:rPr>
          <w:rFonts w:ascii="Arial" w:hAnsi="Arial" w:cs="Arial"/>
          <w:sz w:val="21"/>
          <w:szCs w:val="20"/>
        </w:rPr>
        <w:t>frente a las obligaciones legales exigidas dentro de este ámbito a cualquier otro organismo o entidad, público o privado</w:t>
      </w:r>
      <w:r w:rsidRPr="007B3495">
        <w:rPr>
          <w:rFonts w:ascii="Arial" w:hAnsi="Arial" w:cs="Arial"/>
          <w:sz w:val="21"/>
          <w:szCs w:val="20"/>
        </w:rPr>
        <w:t>, mereció la profunda atención</w:t>
      </w:r>
      <w:r>
        <w:rPr>
          <w:rFonts w:ascii="Arial" w:hAnsi="Arial" w:cs="Arial"/>
          <w:sz w:val="21"/>
          <w:szCs w:val="20"/>
        </w:rPr>
        <w:t xml:space="preserve"> de la Sindicatura de Comptes que, </w:t>
      </w:r>
      <w:r w:rsidRPr="0067621E">
        <w:rPr>
          <w:rFonts w:ascii="Arial" w:hAnsi="Arial" w:cs="Arial"/>
          <w:sz w:val="21"/>
          <w:szCs w:val="20"/>
        </w:rPr>
        <w:t xml:space="preserve">en los informes de fiscalización elaborados a petición de las Corts Valencianes sobre </w:t>
      </w:r>
      <w:r>
        <w:rPr>
          <w:rFonts w:ascii="Arial" w:hAnsi="Arial" w:cs="Arial"/>
          <w:sz w:val="21"/>
          <w:szCs w:val="20"/>
        </w:rPr>
        <w:t>su</w:t>
      </w:r>
      <w:r w:rsidRPr="0067621E">
        <w:rPr>
          <w:rFonts w:ascii="Arial" w:hAnsi="Arial" w:cs="Arial"/>
          <w:sz w:val="21"/>
          <w:szCs w:val="20"/>
        </w:rPr>
        <w:t xml:space="preserve"> cuenta general de los ejercicios 2015, 2016, 2017</w:t>
      </w:r>
      <w:r w:rsidR="00024070">
        <w:rPr>
          <w:rFonts w:ascii="Arial" w:hAnsi="Arial" w:cs="Arial"/>
          <w:sz w:val="21"/>
          <w:szCs w:val="20"/>
        </w:rPr>
        <w:t xml:space="preserve"> y</w:t>
      </w:r>
      <w:r w:rsidRPr="0067621E">
        <w:rPr>
          <w:rFonts w:ascii="Arial" w:hAnsi="Arial" w:cs="Arial"/>
          <w:sz w:val="21"/>
          <w:szCs w:val="20"/>
        </w:rPr>
        <w:t xml:space="preserve"> 2018, </w:t>
      </w:r>
      <w:r>
        <w:rPr>
          <w:rFonts w:ascii="Arial" w:hAnsi="Arial" w:cs="Arial"/>
          <w:sz w:val="21"/>
          <w:szCs w:val="20"/>
        </w:rPr>
        <w:t xml:space="preserve">formuló </w:t>
      </w:r>
      <w:r w:rsidRPr="0067621E">
        <w:rPr>
          <w:rFonts w:ascii="Arial" w:hAnsi="Arial" w:cs="Arial"/>
          <w:sz w:val="21"/>
          <w:szCs w:val="20"/>
        </w:rPr>
        <w:t xml:space="preserve">reiteradas recomendaciones relativas a </w:t>
      </w:r>
      <w:r>
        <w:rPr>
          <w:rFonts w:ascii="Arial" w:hAnsi="Arial" w:cs="Arial"/>
          <w:sz w:val="21"/>
          <w:szCs w:val="20"/>
        </w:rPr>
        <w:t xml:space="preserve">la necesidad de incorporar </w:t>
      </w:r>
      <w:r w:rsidRPr="0067621E">
        <w:rPr>
          <w:rFonts w:ascii="Arial" w:hAnsi="Arial" w:cs="Arial"/>
          <w:sz w:val="21"/>
          <w:szCs w:val="20"/>
        </w:rPr>
        <w:t>una mayor regulación de la contabilidad y justificación de las subvenciones asignadas por las Corts Valencianes a los grupos parlamentarios</w:t>
      </w:r>
      <w:r>
        <w:rPr>
          <w:rFonts w:ascii="Arial" w:hAnsi="Arial" w:cs="Arial"/>
          <w:sz w:val="21"/>
          <w:szCs w:val="20"/>
        </w:rPr>
        <w:t>.</w:t>
      </w:r>
    </w:p>
    <w:p w14:paraId="0940BC77" w14:textId="77777777" w:rsidR="00A41A12" w:rsidRDefault="00A41A12" w:rsidP="00A41A12">
      <w:pPr>
        <w:spacing w:after="0" w:line="276" w:lineRule="auto"/>
        <w:jc w:val="both"/>
        <w:rPr>
          <w:rFonts w:ascii="Arial" w:hAnsi="Arial" w:cs="Arial"/>
          <w:sz w:val="21"/>
          <w:szCs w:val="20"/>
        </w:rPr>
      </w:pPr>
    </w:p>
    <w:p w14:paraId="138ADBAD" w14:textId="2C6195F5" w:rsidR="00A41A12" w:rsidRPr="007B3495" w:rsidRDefault="00024070" w:rsidP="00A41A12">
      <w:pPr>
        <w:spacing w:after="0" w:line="276" w:lineRule="auto"/>
        <w:jc w:val="both"/>
        <w:rPr>
          <w:rFonts w:ascii="Arial" w:hAnsi="Arial" w:cs="Arial"/>
          <w:sz w:val="21"/>
          <w:szCs w:val="20"/>
        </w:rPr>
      </w:pPr>
      <w:r>
        <w:rPr>
          <w:rFonts w:ascii="Arial" w:hAnsi="Arial" w:cs="Arial"/>
          <w:sz w:val="21"/>
          <w:szCs w:val="20"/>
        </w:rPr>
        <w:t>Además</w:t>
      </w:r>
      <w:r w:rsidR="00A41A12">
        <w:rPr>
          <w:rFonts w:ascii="Arial" w:hAnsi="Arial" w:cs="Arial"/>
          <w:sz w:val="21"/>
          <w:szCs w:val="20"/>
        </w:rPr>
        <w:t xml:space="preserve">, </w:t>
      </w:r>
      <w:r w:rsidR="00A41A12" w:rsidRPr="007B3495">
        <w:rPr>
          <w:rFonts w:ascii="Arial" w:hAnsi="Arial" w:cs="Arial"/>
          <w:sz w:val="21"/>
          <w:szCs w:val="20"/>
        </w:rPr>
        <w:t xml:space="preserve">en enero de 2021, la Sindicatura de Comptes publicó su </w:t>
      </w:r>
      <w:hyperlink r:id="rId242" w:history="1">
        <w:r w:rsidR="00A41A12" w:rsidRPr="007B3495">
          <w:rPr>
            <w:rStyle w:val="Hipervnculo"/>
            <w:rFonts w:ascii="Arial" w:hAnsi="Arial" w:cs="Arial"/>
            <w:sz w:val="21"/>
            <w:szCs w:val="20"/>
          </w:rPr>
          <w:t>Informe sobre las cuentas anuales de las Corts Valencianes del ejercicio 2019</w:t>
        </w:r>
      </w:hyperlink>
      <w:r w:rsidR="00A41A12" w:rsidRPr="007B3495">
        <w:rPr>
          <w:rFonts w:ascii="Arial" w:hAnsi="Arial" w:cs="Arial"/>
          <w:sz w:val="21"/>
          <w:szCs w:val="20"/>
        </w:rPr>
        <w:t>, en el que analiza</w:t>
      </w:r>
      <w:r w:rsidR="00A41A12">
        <w:rPr>
          <w:rFonts w:ascii="Arial" w:hAnsi="Arial" w:cs="Arial"/>
          <w:sz w:val="21"/>
          <w:szCs w:val="20"/>
        </w:rPr>
        <w:t>ba</w:t>
      </w:r>
      <w:r w:rsidR="00A41A12" w:rsidRPr="007B3495">
        <w:rPr>
          <w:rFonts w:ascii="Arial" w:hAnsi="Arial" w:cs="Arial"/>
          <w:sz w:val="21"/>
          <w:szCs w:val="20"/>
        </w:rPr>
        <w:t xml:space="preserve"> las subvenciones a los grupos parlamentarios y formula</w:t>
      </w:r>
      <w:r w:rsidR="00A41A12">
        <w:rPr>
          <w:rFonts w:ascii="Arial" w:hAnsi="Arial" w:cs="Arial"/>
          <w:sz w:val="21"/>
          <w:szCs w:val="20"/>
        </w:rPr>
        <w:t>ba</w:t>
      </w:r>
      <w:r w:rsidR="00A41A12" w:rsidRPr="007B3495">
        <w:rPr>
          <w:rFonts w:ascii="Arial" w:hAnsi="Arial" w:cs="Arial"/>
          <w:sz w:val="21"/>
          <w:szCs w:val="20"/>
        </w:rPr>
        <w:t xml:space="preserve"> salvedad a los mismos. La razón de la excepción de la Sindicatura de Comptes se funda en la ausencia de control, documentación y evidencia para determinar si las subvenciones otorgadas a los grupos parlamentarios se han destinado a financiar gastos relacionados con su actividad parlamentaria. Y así textualmente se dejó señalado que:</w:t>
      </w:r>
    </w:p>
    <w:p w14:paraId="511A4966" w14:textId="77777777" w:rsidR="00A41A12" w:rsidRPr="007B3495" w:rsidRDefault="00A41A12" w:rsidP="00A41A12">
      <w:pPr>
        <w:spacing w:after="0" w:line="276" w:lineRule="auto"/>
        <w:jc w:val="both"/>
        <w:rPr>
          <w:rFonts w:ascii="Arial" w:hAnsi="Arial" w:cs="Arial"/>
          <w:sz w:val="21"/>
          <w:szCs w:val="20"/>
        </w:rPr>
      </w:pPr>
    </w:p>
    <w:p w14:paraId="787EA7D1" w14:textId="77777777" w:rsidR="00A41A12" w:rsidRPr="007B3495" w:rsidRDefault="00A41A12" w:rsidP="00A41A12">
      <w:pPr>
        <w:spacing w:after="0" w:line="276" w:lineRule="auto"/>
        <w:ind w:left="567"/>
        <w:jc w:val="both"/>
        <w:rPr>
          <w:rFonts w:ascii="Arial" w:hAnsi="Arial" w:cs="Arial"/>
          <w:sz w:val="20"/>
          <w:szCs w:val="20"/>
        </w:rPr>
      </w:pPr>
      <w:r w:rsidRPr="007B3495">
        <w:rPr>
          <w:rFonts w:ascii="Arial" w:hAnsi="Arial" w:cs="Arial"/>
          <w:sz w:val="20"/>
          <w:szCs w:val="20"/>
        </w:rPr>
        <w:t>“Las subvenciones de las Corts a los grupos parlamentarios han ascendido a 3.687.780 euros durante 2019, importe que representa el 13,2% del total de las obligaciones reconocidas en dicho año. En la nota 9.14 de la memoria se desglosan por grupos parlamentarios y tipos de subvención, que comprenden los siguientes conceptos e importes: 3.577.397 euros de subvenciones fijas y variables (por número de diputados), 50.846 euros de subvenciones variables para contratación de personal y 59.537 euros de subvenciones finalistas para gastos de aparcamiento. Las subvenciones a los grupos parlamentarios están contempladas en la normativa interna de las Corts, principalmente en el artículo 28 de su reglamento y en la disposición adicional segunda de las bases de ejecución presupuestaria para el ejercicio 2019. Esta normativa requiere que los grupos parlamentarios lleven una contabilidad específica y rindan anualmente a las Corts unas cuentas comprensivas del balance, la cuenta de resultados y la memoria, aunque excluye dichas cuentas del régimen de control interno y fiscalización por parte de la Intervención. En consecuencia, los expedientes de la mayor parte de estas subvenciones carecen de la documentación necesaria que permita a esta Sindicatura de Comptes obtener evidencia de auditoría suficiente y adecuada para determinar si los grupos parlamentarios han destinado las subvenciones recibidas a financiar gastos relacionados con su actividad parlamentaria, si las cuentas que han presentado muestran la imagen fiel del resultado de sus actividades durante el ejercicio 2019 y si, en su caso, se deriva un posible derecho de cobro por las Corts en concepto de subvenciones concedidas no justificadas. Esta limitación al alcance no afecta a las subvenciones para aparcamiento y para los diputados no adscritos, en tanto que la normativa de las Corts condiciona su pago a la previa presentación por los beneficiarios de la documentación justificativa y de la comprobación de conformidad por la Intervención de las Corts.”</w:t>
      </w:r>
    </w:p>
    <w:p w14:paraId="2DF8EDFE" w14:textId="77777777" w:rsidR="00A41A12" w:rsidRPr="007B3495" w:rsidRDefault="00A41A12" w:rsidP="00A41A12">
      <w:pPr>
        <w:spacing w:after="0" w:line="276" w:lineRule="auto"/>
        <w:jc w:val="both"/>
        <w:rPr>
          <w:rFonts w:ascii="Arial" w:hAnsi="Arial" w:cs="Arial"/>
          <w:sz w:val="21"/>
          <w:szCs w:val="20"/>
        </w:rPr>
      </w:pPr>
    </w:p>
    <w:p w14:paraId="41CF06DC" w14:textId="77777777" w:rsidR="00A41A12" w:rsidRPr="007B3495" w:rsidRDefault="00A41A12" w:rsidP="00A41A12">
      <w:pPr>
        <w:spacing w:after="0" w:line="276" w:lineRule="auto"/>
        <w:jc w:val="both"/>
        <w:rPr>
          <w:rFonts w:ascii="Arial" w:hAnsi="Arial" w:cs="Arial"/>
          <w:sz w:val="21"/>
          <w:szCs w:val="20"/>
        </w:rPr>
      </w:pPr>
      <w:r w:rsidRPr="007B3495">
        <w:rPr>
          <w:rFonts w:ascii="Arial" w:hAnsi="Arial" w:cs="Arial"/>
          <w:sz w:val="21"/>
          <w:szCs w:val="20"/>
        </w:rPr>
        <w:t>E</w:t>
      </w:r>
      <w:r>
        <w:rPr>
          <w:rFonts w:ascii="Arial" w:hAnsi="Arial" w:cs="Arial"/>
          <w:sz w:val="21"/>
          <w:szCs w:val="20"/>
        </w:rPr>
        <w:t xml:space="preserve">n idéntica </w:t>
      </w:r>
      <w:r w:rsidRPr="007B3495">
        <w:rPr>
          <w:rFonts w:ascii="Arial" w:hAnsi="Arial" w:cs="Arial"/>
          <w:sz w:val="21"/>
          <w:szCs w:val="20"/>
        </w:rPr>
        <w:t>l</w:t>
      </w:r>
      <w:r>
        <w:rPr>
          <w:rFonts w:ascii="Arial" w:hAnsi="Arial" w:cs="Arial"/>
          <w:sz w:val="21"/>
          <w:szCs w:val="20"/>
        </w:rPr>
        <w:t>ínea, el</w:t>
      </w:r>
      <w:r w:rsidRPr="007B3495">
        <w:rPr>
          <w:rFonts w:ascii="Arial" w:hAnsi="Arial" w:cs="Arial"/>
          <w:sz w:val="21"/>
          <w:szCs w:val="20"/>
        </w:rPr>
        <w:t xml:space="preserve"> Tribunal de Cuentas</w:t>
      </w:r>
      <w:r w:rsidRPr="00526EFA">
        <w:rPr>
          <w:rFonts w:ascii="Arial" w:hAnsi="Arial" w:cs="Arial"/>
          <w:sz w:val="21"/>
          <w:szCs w:val="20"/>
        </w:rPr>
        <w:t xml:space="preserve"> </w:t>
      </w:r>
      <w:r w:rsidRPr="007B3495">
        <w:rPr>
          <w:rFonts w:ascii="Arial" w:hAnsi="Arial" w:cs="Arial"/>
          <w:sz w:val="21"/>
          <w:szCs w:val="20"/>
        </w:rPr>
        <w:t>expon</w:t>
      </w:r>
      <w:r>
        <w:rPr>
          <w:rFonts w:ascii="Arial" w:hAnsi="Arial" w:cs="Arial"/>
          <w:sz w:val="21"/>
          <w:szCs w:val="20"/>
        </w:rPr>
        <w:t>ía</w:t>
      </w:r>
      <w:r w:rsidRPr="007B3495">
        <w:rPr>
          <w:rFonts w:ascii="Arial" w:hAnsi="Arial" w:cs="Arial"/>
          <w:sz w:val="21"/>
          <w:szCs w:val="20"/>
        </w:rPr>
        <w:t xml:space="preserve"> en relación con las formaciones políticas</w:t>
      </w:r>
      <w:r>
        <w:rPr>
          <w:rFonts w:ascii="Arial" w:hAnsi="Arial" w:cs="Arial"/>
          <w:sz w:val="21"/>
          <w:szCs w:val="20"/>
        </w:rPr>
        <w:t xml:space="preserve"> con carácter general</w:t>
      </w:r>
      <w:r w:rsidRPr="007B3495">
        <w:rPr>
          <w:rFonts w:ascii="Arial" w:hAnsi="Arial" w:cs="Arial"/>
          <w:sz w:val="21"/>
          <w:szCs w:val="20"/>
        </w:rPr>
        <w:t xml:space="preserve">, en su último </w:t>
      </w:r>
      <w:hyperlink r:id="rId243" w:history="1">
        <w:r w:rsidRPr="007B3495">
          <w:rPr>
            <w:rStyle w:val="Hipervnculo"/>
            <w:rFonts w:ascii="Arial" w:hAnsi="Arial" w:cs="Arial"/>
            <w:sz w:val="21"/>
            <w:szCs w:val="20"/>
          </w:rPr>
          <w:t xml:space="preserve">Informe de 2020 </w:t>
        </w:r>
        <w:r>
          <w:rPr>
            <w:rStyle w:val="Hipervnculo"/>
            <w:rFonts w:ascii="Arial" w:hAnsi="Arial" w:cs="Arial"/>
            <w:sz w:val="21"/>
            <w:szCs w:val="20"/>
          </w:rPr>
          <w:t>sobre</w:t>
        </w:r>
        <w:r w:rsidRPr="007B3495">
          <w:rPr>
            <w:rStyle w:val="Hipervnculo"/>
            <w:rFonts w:ascii="Arial" w:hAnsi="Arial" w:cs="Arial"/>
            <w:sz w:val="21"/>
            <w:szCs w:val="20"/>
          </w:rPr>
          <w:t xml:space="preserve"> fiscalización de las cuentas de los partidos políticos de 2016</w:t>
        </w:r>
      </w:hyperlink>
      <w:r w:rsidRPr="007B3495">
        <w:rPr>
          <w:rFonts w:ascii="Arial" w:hAnsi="Arial" w:cs="Arial"/>
          <w:sz w:val="21"/>
          <w:szCs w:val="20"/>
        </w:rPr>
        <w:t xml:space="preserve">, lo siguiente: </w:t>
      </w:r>
    </w:p>
    <w:p w14:paraId="3E46FABE" w14:textId="77777777" w:rsidR="00A41A12" w:rsidRPr="007B3495" w:rsidRDefault="00A41A12" w:rsidP="00A41A12">
      <w:pPr>
        <w:spacing w:after="0" w:line="276" w:lineRule="auto"/>
        <w:ind w:left="567"/>
        <w:jc w:val="both"/>
        <w:rPr>
          <w:rFonts w:ascii="Arial" w:hAnsi="Arial" w:cs="Arial"/>
          <w:sz w:val="20"/>
          <w:szCs w:val="20"/>
        </w:rPr>
      </w:pPr>
    </w:p>
    <w:p w14:paraId="440E162D" w14:textId="77777777" w:rsidR="00A41A12" w:rsidRPr="007B3495" w:rsidRDefault="00A41A12" w:rsidP="00A41A12">
      <w:pPr>
        <w:spacing w:after="0" w:line="276" w:lineRule="auto"/>
        <w:ind w:left="567"/>
        <w:jc w:val="both"/>
        <w:rPr>
          <w:rFonts w:ascii="Arial" w:hAnsi="Arial" w:cs="Arial"/>
          <w:sz w:val="20"/>
          <w:szCs w:val="20"/>
        </w:rPr>
      </w:pPr>
      <w:r w:rsidRPr="007B3495">
        <w:rPr>
          <w:rFonts w:ascii="Arial" w:hAnsi="Arial" w:cs="Arial"/>
          <w:sz w:val="20"/>
          <w:szCs w:val="20"/>
        </w:rPr>
        <w:t>“Se estima conveniente que la legislación aplicable a los grupos institucionales -los respectivos reglamentos y el artículo 73.3 de la Ley 7/1985, de 2 de abril, Reguladora de las Bases del Régimen Local- especificara en mayor medida las condiciones y requisitos con las que aquellos pudieran efectuar aportaciones a los partidos políticos, como prevé el artículo 2.1 e) de la LOFPP, y que deberían responder, en todo caso, a la finalidad de la dotación económica que se les asigna, estando, por lo tanto, vinculadas dichas aportaciones al cumplimiento de las funciones que los grupos institucionales tienen atribuidas”.</w:t>
      </w:r>
      <w:r w:rsidRPr="007B3495">
        <w:rPr>
          <w:rFonts w:ascii="Arial" w:hAnsi="Arial" w:cs="Arial"/>
          <w:sz w:val="20"/>
          <w:szCs w:val="20"/>
        </w:rPr>
        <w:cr/>
      </w:r>
    </w:p>
    <w:p w14:paraId="6B759D4D" w14:textId="77777777" w:rsidR="00A41A12" w:rsidRDefault="00A41A12" w:rsidP="00A41A12">
      <w:pPr>
        <w:spacing w:after="0" w:line="276" w:lineRule="auto"/>
        <w:jc w:val="both"/>
        <w:rPr>
          <w:rFonts w:ascii="Arial" w:hAnsi="Arial" w:cs="Arial"/>
          <w:sz w:val="21"/>
          <w:szCs w:val="20"/>
        </w:rPr>
      </w:pPr>
      <w:r w:rsidRPr="007B3495">
        <w:rPr>
          <w:rFonts w:ascii="Arial" w:hAnsi="Arial" w:cs="Arial"/>
          <w:sz w:val="21"/>
          <w:szCs w:val="20"/>
        </w:rPr>
        <w:t xml:space="preserve">Las recomendaciones de la Sindicatura de Comptes </w:t>
      </w:r>
      <w:r>
        <w:rPr>
          <w:rFonts w:ascii="Arial" w:hAnsi="Arial" w:cs="Arial"/>
          <w:sz w:val="21"/>
          <w:szCs w:val="20"/>
        </w:rPr>
        <w:t xml:space="preserve">y </w:t>
      </w:r>
      <w:r w:rsidRPr="007B3495">
        <w:rPr>
          <w:rFonts w:ascii="Arial" w:hAnsi="Arial" w:cs="Arial"/>
          <w:sz w:val="21"/>
          <w:szCs w:val="20"/>
        </w:rPr>
        <w:t>del Tribunal de Cuentas</w:t>
      </w:r>
      <w:r>
        <w:rPr>
          <w:rFonts w:ascii="Arial" w:hAnsi="Arial" w:cs="Arial"/>
          <w:sz w:val="21"/>
          <w:szCs w:val="20"/>
        </w:rPr>
        <w:t xml:space="preserve">, así como de esta Agencia </w:t>
      </w:r>
      <w:r w:rsidRPr="007B3495">
        <w:rPr>
          <w:rFonts w:ascii="Arial" w:hAnsi="Arial" w:cs="Arial"/>
          <w:sz w:val="21"/>
          <w:szCs w:val="20"/>
        </w:rPr>
        <w:t>Valenciana Antifraude</w:t>
      </w:r>
      <w:r>
        <w:rPr>
          <w:rFonts w:ascii="Arial" w:hAnsi="Arial" w:cs="Arial"/>
          <w:sz w:val="21"/>
          <w:szCs w:val="20"/>
        </w:rPr>
        <w:t>,</w:t>
      </w:r>
      <w:r w:rsidRPr="007B3495">
        <w:rPr>
          <w:rFonts w:ascii="Arial" w:hAnsi="Arial" w:cs="Arial"/>
          <w:sz w:val="21"/>
          <w:szCs w:val="20"/>
        </w:rPr>
        <w:t xml:space="preserve"> han </w:t>
      </w:r>
      <w:r>
        <w:rPr>
          <w:rFonts w:ascii="Arial" w:hAnsi="Arial" w:cs="Arial"/>
          <w:sz w:val="21"/>
          <w:szCs w:val="20"/>
        </w:rPr>
        <w:t xml:space="preserve">tenido una </w:t>
      </w:r>
      <w:r w:rsidRPr="007B3495">
        <w:rPr>
          <w:rFonts w:ascii="Arial" w:hAnsi="Arial" w:cs="Arial"/>
          <w:sz w:val="21"/>
          <w:szCs w:val="20"/>
        </w:rPr>
        <w:t xml:space="preserve">acertada </w:t>
      </w:r>
      <w:r>
        <w:rPr>
          <w:rFonts w:ascii="Arial" w:hAnsi="Arial" w:cs="Arial"/>
          <w:sz w:val="21"/>
          <w:szCs w:val="20"/>
        </w:rPr>
        <w:t>respuesta d</w:t>
      </w:r>
      <w:r w:rsidRPr="007B3495">
        <w:rPr>
          <w:rFonts w:ascii="Arial" w:hAnsi="Arial" w:cs="Arial"/>
          <w:sz w:val="21"/>
          <w:szCs w:val="20"/>
        </w:rPr>
        <w:t xml:space="preserve">el legislador valenciano </w:t>
      </w:r>
      <w:r>
        <w:rPr>
          <w:rFonts w:ascii="Arial" w:hAnsi="Arial" w:cs="Arial"/>
          <w:sz w:val="21"/>
          <w:szCs w:val="20"/>
        </w:rPr>
        <w:t xml:space="preserve">por </w:t>
      </w:r>
      <w:r w:rsidRPr="007B3495">
        <w:rPr>
          <w:rFonts w:ascii="Arial" w:hAnsi="Arial" w:cs="Arial"/>
          <w:sz w:val="21"/>
          <w:szCs w:val="20"/>
        </w:rPr>
        <w:t xml:space="preserve">medio del </w:t>
      </w:r>
      <w:hyperlink r:id="rId244" w:history="1">
        <w:r w:rsidRPr="00526EFA">
          <w:rPr>
            <w:rStyle w:val="Hipervnculo"/>
            <w:rFonts w:ascii="Arial" w:hAnsi="Arial" w:cs="Arial"/>
            <w:b/>
            <w:bCs/>
            <w:sz w:val="21"/>
            <w:szCs w:val="20"/>
          </w:rPr>
          <w:t>Acuerdo 1284/X, de 2 de marzo, de la Mesa de las Corts Valencianes, de conformidad con la Comisión de Gobierno Interior, sobre las Normas reguladoras de la contabilidad y control de las subvenciones asignadas a los grupos parlamentarios de las Corts Valencianes</w:t>
        </w:r>
      </w:hyperlink>
      <w:r w:rsidRPr="00526EFA">
        <w:rPr>
          <w:rFonts w:ascii="Arial" w:hAnsi="Arial" w:cs="Arial"/>
          <w:b/>
          <w:bCs/>
          <w:sz w:val="21"/>
          <w:szCs w:val="20"/>
        </w:rPr>
        <w:t>,</w:t>
      </w:r>
      <w:r w:rsidRPr="007B3495">
        <w:rPr>
          <w:rFonts w:ascii="Arial" w:hAnsi="Arial" w:cs="Arial"/>
          <w:sz w:val="21"/>
          <w:szCs w:val="20"/>
        </w:rPr>
        <w:t xml:space="preserve"> publicado en el </w:t>
      </w:r>
      <w:r w:rsidRPr="00526EFA">
        <w:rPr>
          <w:rFonts w:ascii="Arial" w:hAnsi="Arial" w:cs="Arial"/>
          <w:i/>
          <w:iCs/>
          <w:sz w:val="21"/>
          <w:szCs w:val="20"/>
        </w:rPr>
        <w:t>Diari Oficial de la Generalitat Valenciana</w:t>
      </w:r>
      <w:r w:rsidRPr="007B3495">
        <w:rPr>
          <w:rFonts w:ascii="Arial" w:hAnsi="Arial" w:cs="Arial"/>
          <w:sz w:val="21"/>
          <w:szCs w:val="20"/>
        </w:rPr>
        <w:t xml:space="preserve"> núm. 9041 de fecha 15 de marzo de 2021. </w:t>
      </w:r>
    </w:p>
    <w:p w14:paraId="1A2094D3" w14:textId="77777777" w:rsidR="00A41A12" w:rsidRPr="007B3495" w:rsidRDefault="00A41A12" w:rsidP="00A41A12">
      <w:pPr>
        <w:spacing w:after="0" w:line="276" w:lineRule="auto"/>
        <w:jc w:val="both"/>
        <w:rPr>
          <w:rFonts w:ascii="Arial" w:hAnsi="Arial" w:cs="Arial"/>
          <w:sz w:val="21"/>
          <w:szCs w:val="20"/>
        </w:rPr>
      </w:pPr>
    </w:p>
    <w:p w14:paraId="6EFA343F" w14:textId="77777777" w:rsidR="00A41A12" w:rsidRDefault="00A41A12" w:rsidP="00A41A12">
      <w:pPr>
        <w:spacing w:after="0" w:line="276" w:lineRule="auto"/>
        <w:jc w:val="both"/>
        <w:rPr>
          <w:rFonts w:ascii="Arial" w:hAnsi="Arial" w:cs="Arial"/>
          <w:sz w:val="21"/>
          <w:szCs w:val="20"/>
        </w:rPr>
      </w:pPr>
      <w:r w:rsidRPr="007B3495">
        <w:rPr>
          <w:rFonts w:ascii="Arial" w:hAnsi="Arial" w:cs="Arial"/>
          <w:sz w:val="21"/>
          <w:szCs w:val="20"/>
        </w:rPr>
        <w:t xml:space="preserve">El nuevo sistema de </w:t>
      </w:r>
      <w:r>
        <w:rPr>
          <w:rFonts w:ascii="Arial" w:hAnsi="Arial" w:cs="Arial"/>
          <w:sz w:val="21"/>
          <w:szCs w:val="20"/>
        </w:rPr>
        <w:t xml:space="preserve">justificación </w:t>
      </w:r>
      <w:r w:rsidRPr="007B3495">
        <w:rPr>
          <w:rFonts w:ascii="Arial" w:hAnsi="Arial" w:cs="Arial"/>
          <w:sz w:val="21"/>
          <w:szCs w:val="20"/>
        </w:rPr>
        <w:t xml:space="preserve">de las subvenciones asignadas a los grupos parlamentarios de las Corts Valencianas resulta ser notablemente avanzado, situando al parlamento autonómico valenciano a la vanguardia en la regulación de esta materia, en la que la innegable consideración de fondos públicos que </w:t>
      </w:r>
      <w:r>
        <w:rPr>
          <w:rFonts w:ascii="Arial" w:hAnsi="Arial" w:cs="Arial"/>
          <w:sz w:val="21"/>
          <w:szCs w:val="20"/>
        </w:rPr>
        <w:t xml:space="preserve">ostentan </w:t>
      </w:r>
      <w:r w:rsidRPr="007B3495">
        <w:rPr>
          <w:rFonts w:ascii="Arial" w:hAnsi="Arial" w:cs="Arial"/>
          <w:sz w:val="21"/>
          <w:szCs w:val="20"/>
        </w:rPr>
        <w:t xml:space="preserve">las subvenciones a los grupos parlamentarios impone que su destino deba de estar presidido por los principios de </w:t>
      </w:r>
      <w:r>
        <w:rPr>
          <w:rFonts w:ascii="Arial" w:hAnsi="Arial" w:cs="Arial"/>
          <w:sz w:val="21"/>
          <w:szCs w:val="20"/>
        </w:rPr>
        <w:t xml:space="preserve">control y </w:t>
      </w:r>
      <w:r w:rsidRPr="007B3495">
        <w:rPr>
          <w:rFonts w:ascii="Arial" w:hAnsi="Arial" w:cs="Arial"/>
          <w:sz w:val="21"/>
          <w:szCs w:val="20"/>
        </w:rPr>
        <w:t xml:space="preserve">transparencia, pues nada excusa su contravención. La necesidad de que los grupos políticos justifiquen razonadamente </w:t>
      </w:r>
      <w:r>
        <w:rPr>
          <w:rFonts w:ascii="Arial" w:hAnsi="Arial" w:cs="Arial"/>
          <w:sz w:val="21"/>
          <w:szCs w:val="20"/>
        </w:rPr>
        <w:t>la asignación dada a</w:t>
      </w:r>
      <w:r w:rsidRPr="007B3495">
        <w:rPr>
          <w:rFonts w:ascii="Arial" w:hAnsi="Arial" w:cs="Arial"/>
          <w:sz w:val="21"/>
          <w:szCs w:val="20"/>
        </w:rPr>
        <w:t xml:space="preserve"> las subvenciones percibidas constituye un pilar fundamental de la rendición de cuentas que </w:t>
      </w:r>
      <w:r>
        <w:rPr>
          <w:rFonts w:ascii="Arial" w:hAnsi="Arial" w:cs="Arial"/>
          <w:sz w:val="21"/>
          <w:szCs w:val="20"/>
        </w:rPr>
        <w:t xml:space="preserve">estos </w:t>
      </w:r>
      <w:r w:rsidRPr="007B3495">
        <w:rPr>
          <w:rFonts w:ascii="Arial" w:hAnsi="Arial" w:cs="Arial"/>
          <w:sz w:val="21"/>
          <w:szCs w:val="20"/>
        </w:rPr>
        <w:t>debe</w:t>
      </w:r>
      <w:r>
        <w:rPr>
          <w:rFonts w:ascii="Arial" w:hAnsi="Arial" w:cs="Arial"/>
          <w:sz w:val="21"/>
          <w:szCs w:val="20"/>
        </w:rPr>
        <w:t>n</w:t>
      </w:r>
      <w:r w:rsidRPr="007B3495">
        <w:rPr>
          <w:rFonts w:ascii="Arial" w:hAnsi="Arial" w:cs="Arial"/>
          <w:sz w:val="21"/>
          <w:szCs w:val="20"/>
        </w:rPr>
        <w:t xml:space="preserve"> hacer ante la ciudadanía.</w:t>
      </w:r>
    </w:p>
    <w:p w14:paraId="0FB34DAD" w14:textId="77777777" w:rsidR="00A41A12" w:rsidRDefault="00A41A12" w:rsidP="00A41A12">
      <w:pPr>
        <w:spacing w:after="0" w:line="276" w:lineRule="auto"/>
        <w:jc w:val="both"/>
        <w:rPr>
          <w:rFonts w:ascii="Arial" w:hAnsi="Arial" w:cs="Arial"/>
          <w:sz w:val="21"/>
          <w:szCs w:val="20"/>
        </w:rPr>
      </w:pPr>
    </w:p>
    <w:p w14:paraId="6CB791D4" w14:textId="77777777" w:rsidR="00A41A12" w:rsidRDefault="00A41A12" w:rsidP="00A41A12">
      <w:pPr>
        <w:spacing w:after="0" w:line="276" w:lineRule="auto"/>
        <w:jc w:val="both"/>
        <w:rPr>
          <w:rFonts w:ascii="Arial" w:hAnsi="Arial" w:cs="Arial"/>
          <w:sz w:val="21"/>
          <w:szCs w:val="20"/>
        </w:rPr>
      </w:pPr>
      <w:r>
        <w:rPr>
          <w:rFonts w:ascii="Arial" w:hAnsi="Arial" w:cs="Arial"/>
          <w:sz w:val="21"/>
          <w:szCs w:val="20"/>
        </w:rPr>
        <w:t xml:space="preserve">De gran trascendencia es la reivindicación del carácter finalista de las subvenciones, </w:t>
      </w:r>
      <w:r w:rsidRPr="007B3495">
        <w:rPr>
          <w:rFonts w:ascii="Arial" w:hAnsi="Arial" w:cs="Arial"/>
          <w:sz w:val="21"/>
          <w:szCs w:val="20"/>
        </w:rPr>
        <w:t>recordada en numerosas ocasiones por la doctrina y por el Tribunal de Cuentas</w:t>
      </w:r>
      <w:r>
        <w:rPr>
          <w:rFonts w:ascii="Arial" w:hAnsi="Arial" w:cs="Arial"/>
          <w:sz w:val="21"/>
          <w:szCs w:val="20"/>
        </w:rPr>
        <w:t>, y ahora</w:t>
      </w:r>
      <w:r w:rsidRPr="007B3495">
        <w:rPr>
          <w:rFonts w:ascii="Arial" w:hAnsi="Arial" w:cs="Arial"/>
          <w:sz w:val="21"/>
          <w:szCs w:val="20"/>
        </w:rPr>
        <w:t xml:space="preserve"> </w:t>
      </w:r>
      <w:r>
        <w:rPr>
          <w:rFonts w:ascii="Arial" w:hAnsi="Arial" w:cs="Arial"/>
          <w:sz w:val="21"/>
          <w:szCs w:val="20"/>
        </w:rPr>
        <w:t>contenida en la primera de las citadas Normas de 2 de marzo de 2021, reguladoras de la contabilidad y el control de las subvenciones asignadas a los grupos parlamentarios por las Corts Valencianes. A tenor de dicha Norma primera, las subvenciones deben</w:t>
      </w:r>
      <w:r w:rsidRPr="008B62CA">
        <w:rPr>
          <w:rFonts w:ascii="Arial" w:hAnsi="Arial" w:cs="Arial"/>
          <w:sz w:val="21"/>
          <w:szCs w:val="20"/>
        </w:rPr>
        <w:t xml:space="preserve"> ser destinadas por </w:t>
      </w:r>
      <w:r>
        <w:rPr>
          <w:rFonts w:ascii="Arial" w:hAnsi="Arial" w:cs="Arial"/>
          <w:sz w:val="21"/>
          <w:szCs w:val="20"/>
        </w:rPr>
        <w:t>los grupos parlamentarios</w:t>
      </w:r>
      <w:r w:rsidRPr="008B62CA">
        <w:rPr>
          <w:rFonts w:ascii="Arial" w:hAnsi="Arial" w:cs="Arial"/>
          <w:sz w:val="21"/>
          <w:szCs w:val="20"/>
        </w:rPr>
        <w:t xml:space="preserve"> a financiar los gastos corrientes necesarios para la realización de sus funciones parlamentarias, sin que puedan destinarse a financiar la adquisición de bienes de inversión.</w:t>
      </w:r>
    </w:p>
    <w:p w14:paraId="596263C1" w14:textId="77777777" w:rsidR="00A41A12" w:rsidRDefault="00A41A12" w:rsidP="00A41A12">
      <w:pPr>
        <w:spacing w:after="0" w:line="276" w:lineRule="auto"/>
        <w:jc w:val="both"/>
        <w:rPr>
          <w:rFonts w:ascii="Arial" w:hAnsi="Arial" w:cs="Arial"/>
          <w:sz w:val="21"/>
          <w:szCs w:val="20"/>
        </w:rPr>
      </w:pPr>
    </w:p>
    <w:p w14:paraId="2E99D920" w14:textId="77777777" w:rsidR="00A41A12" w:rsidRDefault="00A41A12" w:rsidP="00A41A12">
      <w:pPr>
        <w:spacing w:after="0" w:line="276" w:lineRule="auto"/>
        <w:jc w:val="both"/>
        <w:rPr>
          <w:rFonts w:ascii="Arial" w:hAnsi="Arial" w:cs="Arial"/>
          <w:sz w:val="21"/>
          <w:szCs w:val="20"/>
        </w:rPr>
      </w:pPr>
      <w:r>
        <w:rPr>
          <w:rFonts w:ascii="Arial" w:hAnsi="Arial" w:cs="Arial"/>
          <w:sz w:val="21"/>
          <w:szCs w:val="20"/>
        </w:rPr>
        <w:t>Dicho esto, e</w:t>
      </w:r>
      <w:r w:rsidRPr="007B3495">
        <w:rPr>
          <w:rFonts w:ascii="Arial" w:hAnsi="Arial" w:cs="Arial"/>
          <w:sz w:val="21"/>
          <w:szCs w:val="20"/>
        </w:rPr>
        <w:t>l núcleo de la nueva regulación reside en el sistema de control interno de las subvenciones, a realizar por la Intervención de las Corts Valencianes, en su modalidad de control financiero. El control financiero posterior es una técnica ya utilizada por las Cortes de Castilla</w:t>
      </w:r>
      <w:r>
        <w:rPr>
          <w:rFonts w:ascii="Arial" w:hAnsi="Arial" w:cs="Arial"/>
          <w:sz w:val="21"/>
          <w:szCs w:val="20"/>
        </w:rPr>
        <w:t>-</w:t>
      </w:r>
      <w:r w:rsidRPr="007B3495">
        <w:rPr>
          <w:rFonts w:ascii="Arial" w:hAnsi="Arial" w:cs="Arial"/>
          <w:sz w:val="21"/>
          <w:szCs w:val="20"/>
        </w:rPr>
        <w:t>La Mancha, por la Asamblea Regional de Murcia y por el Parlamento de Andalucía.</w:t>
      </w:r>
    </w:p>
    <w:p w14:paraId="5F2B7DAF" w14:textId="77777777" w:rsidR="00A41A12" w:rsidRDefault="00A41A12" w:rsidP="00A41A12">
      <w:pPr>
        <w:spacing w:after="0" w:line="276" w:lineRule="auto"/>
        <w:jc w:val="both"/>
        <w:rPr>
          <w:rFonts w:ascii="Arial" w:hAnsi="Arial" w:cs="Arial"/>
          <w:sz w:val="21"/>
          <w:szCs w:val="20"/>
        </w:rPr>
      </w:pPr>
    </w:p>
    <w:p w14:paraId="22819358" w14:textId="77777777" w:rsidR="00A41A12" w:rsidRDefault="00A41A12" w:rsidP="00A41A12">
      <w:pPr>
        <w:spacing w:after="0" w:line="276" w:lineRule="auto"/>
        <w:jc w:val="both"/>
        <w:rPr>
          <w:rFonts w:ascii="Arial" w:hAnsi="Arial" w:cs="Arial"/>
          <w:sz w:val="21"/>
          <w:szCs w:val="20"/>
        </w:rPr>
      </w:pPr>
      <w:r>
        <w:rPr>
          <w:rFonts w:ascii="Arial" w:hAnsi="Arial" w:cs="Arial"/>
          <w:sz w:val="21"/>
          <w:szCs w:val="20"/>
        </w:rPr>
        <w:t xml:space="preserve">En el caso de las Corts Valencianes, se sigue el sistema de cuenta justificativa de las subvenciones recibidas, debiendo aportar cada grupo parlamentario las cuentas anuales </w:t>
      </w:r>
      <w:r w:rsidRPr="00D52842">
        <w:rPr>
          <w:rFonts w:ascii="Arial" w:hAnsi="Arial" w:cs="Arial"/>
          <w:sz w:val="21"/>
          <w:szCs w:val="20"/>
        </w:rPr>
        <w:t xml:space="preserve">conforme al plan de contabilidad adaptado a las formaciones políticas, </w:t>
      </w:r>
      <w:r>
        <w:rPr>
          <w:rFonts w:ascii="Arial" w:hAnsi="Arial" w:cs="Arial"/>
          <w:sz w:val="21"/>
          <w:szCs w:val="20"/>
        </w:rPr>
        <w:t>el b</w:t>
      </w:r>
      <w:r w:rsidRPr="00D52842">
        <w:rPr>
          <w:rFonts w:ascii="Arial" w:hAnsi="Arial" w:cs="Arial"/>
          <w:sz w:val="21"/>
          <w:szCs w:val="20"/>
        </w:rPr>
        <w:t>alanc</w:t>
      </w:r>
      <w:r>
        <w:rPr>
          <w:rFonts w:ascii="Arial" w:hAnsi="Arial" w:cs="Arial"/>
          <w:sz w:val="21"/>
          <w:szCs w:val="20"/>
        </w:rPr>
        <w:t>e, la c</w:t>
      </w:r>
      <w:r w:rsidRPr="00D52842">
        <w:rPr>
          <w:rFonts w:ascii="Arial" w:hAnsi="Arial" w:cs="Arial"/>
          <w:sz w:val="21"/>
          <w:szCs w:val="20"/>
        </w:rPr>
        <w:t>uenta de resultados</w:t>
      </w:r>
      <w:r>
        <w:rPr>
          <w:rFonts w:ascii="Arial" w:hAnsi="Arial" w:cs="Arial"/>
          <w:sz w:val="21"/>
          <w:szCs w:val="20"/>
        </w:rPr>
        <w:t>, una m</w:t>
      </w:r>
      <w:r w:rsidRPr="00D52842">
        <w:rPr>
          <w:rFonts w:ascii="Arial" w:hAnsi="Arial" w:cs="Arial"/>
          <w:sz w:val="21"/>
          <w:szCs w:val="20"/>
        </w:rPr>
        <w:t>emoria</w:t>
      </w:r>
      <w:r>
        <w:rPr>
          <w:rFonts w:ascii="Arial" w:hAnsi="Arial" w:cs="Arial"/>
          <w:sz w:val="21"/>
          <w:szCs w:val="20"/>
        </w:rPr>
        <w:t>, c</w:t>
      </w:r>
      <w:r w:rsidRPr="00D52842">
        <w:rPr>
          <w:rFonts w:ascii="Arial" w:hAnsi="Arial" w:cs="Arial"/>
          <w:sz w:val="21"/>
          <w:szCs w:val="20"/>
        </w:rPr>
        <w:t xml:space="preserve">ertificado de estar al corriente </w:t>
      </w:r>
      <w:r>
        <w:rPr>
          <w:rFonts w:ascii="Arial" w:hAnsi="Arial" w:cs="Arial"/>
          <w:sz w:val="21"/>
          <w:szCs w:val="20"/>
        </w:rPr>
        <w:t>en las</w:t>
      </w:r>
      <w:r w:rsidRPr="00D52842">
        <w:rPr>
          <w:rFonts w:ascii="Arial" w:hAnsi="Arial" w:cs="Arial"/>
          <w:sz w:val="21"/>
          <w:szCs w:val="20"/>
        </w:rPr>
        <w:t xml:space="preserve"> obligaciones tributarias y con la seguridad social</w:t>
      </w:r>
      <w:r>
        <w:rPr>
          <w:rFonts w:ascii="Arial" w:hAnsi="Arial" w:cs="Arial"/>
          <w:sz w:val="21"/>
          <w:szCs w:val="20"/>
        </w:rPr>
        <w:t>, así como el s</w:t>
      </w:r>
      <w:r w:rsidRPr="00D52842">
        <w:rPr>
          <w:rFonts w:ascii="Arial" w:hAnsi="Arial" w:cs="Arial"/>
          <w:sz w:val="21"/>
          <w:szCs w:val="20"/>
        </w:rPr>
        <w:t>oporte documental de los gastos contabilizados</w:t>
      </w:r>
      <w:r>
        <w:rPr>
          <w:rFonts w:ascii="Arial" w:hAnsi="Arial" w:cs="Arial"/>
          <w:sz w:val="21"/>
          <w:szCs w:val="20"/>
        </w:rPr>
        <w:t xml:space="preserve">. Deberá tratarse de </w:t>
      </w:r>
      <w:r w:rsidRPr="00D52842">
        <w:rPr>
          <w:rFonts w:ascii="Arial" w:hAnsi="Arial" w:cs="Arial"/>
          <w:sz w:val="21"/>
          <w:szCs w:val="20"/>
        </w:rPr>
        <w:t xml:space="preserve">documentos originales que </w:t>
      </w:r>
      <w:r>
        <w:rPr>
          <w:rFonts w:ascii="Arial" w:hAnsi="Arial" w:cs="Arial"/>
          <w:sz w:val="21"/>
          <w:szCs w:val="20"/>
        </w:rPr>
        <w:t>acrediten</w:t>
      </w:r>
      <w:r w:rsidRPr="00D52842">
        <w:rPr>
          <w:rFonts w:ascii="Arial" w:hAnsi="Arial" w:cs="Arial"/>
          <w:sz w:val="21"/>
          <w:szCs w:val="20"/>
        </w:rPr>
        <w:t xml:space="preserve"> el gasto subvencionado</w:t>
      </w:r>
      <w:r>
        <w:rPr>
          <w:rFonts w:ascii="Arial" w:hAnsi="Arial" w:cs="Arial"/>
          <w:sz w:val="21"/>
          <w:szCs w:val="20"/>
        </w:rPr>
        <w:t xml:space="preserve"> </w:t>
      </w:r>
      <w:r w:rsidRPr="00D52842">
        <w:rPr>
          <w:rFonts w:ascii="Arial" w:hAnsi="Arial" w:cs="Arial"/>
          <w:sz w:val="21"/>
          <w:szCs w:val="20"/>
        </w:rPr>
        <w:t xml:space="preserve">con el detalle que permita conocer su destinatario individualizado, </w:t>
      </w:r>
      <w:r>
        <w:rPr>
          <w:rFonts w:ascii="Arial" w:hAnsi="Arial" w:cs="Arial"/>
          <w:sz w:val="21"/>
          <w:szCs w:val="20"/>
        </w:rPr>
        <w:t xml:space="preserve">y </w:t>
      </w:r>
      <w:r w:rsidRPr="00D52842">
        <w:rPr>
          <w:rFonts w:ascii="Arial" w:hAnsi="Arial" w:cs="Arial"/>
          <w:sz w:val="21"/>
          <w:szCs w:val="20"/>
        </w:rPr>
        <w:t>el concepto y motivo que dio lugar a ello</w:t>
      </w:r>
      <w:r>
        <w:rPr>
          <w:rFonts w:ascii="Arial" w:hAnsi="Arial" w:cs="Arial"/>
          <w:sz w:val="21"/>
          <w:szCs w:val="20"/>
        </w:rPr>
        <w:t>. Los originales que hayan sido utilizados como justificantes serán con posterioridad debidamente estampillados.</w:t>
      </w:r>
    </w:p>
    <w:p w14:paraId="5FFE589B" w14:textId="77777777" w:rsidR="00A41A12" w:rsidRDefault="00A41A12" w:rsidP="00A41A12">
      <w:pPr>
        <w:spacing w:after="0" w:line="276" w:lineRule="auto"/>
        <w:jc w:val="both"/>
        <w:rPr>
          <w:rFonts w:ascii="Arial" w:hAnsi="Arial" w:cs="Arial"/>
          <w:sz w:val="21"/>
          <w:szCs w:val="20"/>
        </w:rPr>
      </w:pPr>
    </w:p>
    <w:p w14:paraId="3B9A10A5" w14:textId="77777777" w:rsidR="00A41A12" w:rsidRDefault="00A41A12" w:rsidP="00A41A12">
      <w:pPr>
        <w:spacing w:after="0" w:line="276" w:lineRule="auto"/>
        <w:jc w:val="both"/>
        <w:rPr>
          <w:rFonts w:ascii="Arial" w:hAnsi="Arial" w:cs="Arial"/>
          <w:sz w:val="21"/>
          <w:szCs w:val="20"/>
        </w:rPr>
      </w:pPr>
      <w:r>
        <w:rPr>
          <w:rFonts w:ascii="Arial" w:hAnsi="Arial" w:cs="Arial"/>
          <w:sz w:val="21"/>
          <w:szCs w:val="20"/>
        </w:rPr>
        <w:t xml:space="preserve">Asimismo, se especifican los documentos a presentar para la justificación de los gastos de personal, la </w:t>
      </w:r>
      <w:r w:rsidRPr="00D52842">
        <w:rPr>
          <w:rFonts w:ascii="Arial" w:hAnsi="Arial" w:cs="Arial"/>
          <w:sz w:val="21"/>
          <w:szCs w:val="20"/>
        </w:rPr>
        <w:t>adquisición de bienes, servicios o suministros</w:t>
      </w:r>
      <w:r>
        <w:rPr>
          <w:rFonts w:ascii="Arial" w:hAnsi="Arial" w:cs="Arial"/>
          <w:sz w:val="21"/>
          <w:szCs w:val="20"/>
        </w:rPr>
        <w:t xml:space="preserve">, y las dietas. Además, se concreta cómo deben justificarse las aportaciones a los partidos políticos, lo que </w:t>
      </w:r>
      <w:r w:rsidRPr="00D52842">
        <w:rPr>
          <w:rFonts w:ascii="Arial" w:hAnsi="Arial" w:cs="Arial"/>
          <w:sz w:val="21"/>
          <w:szCs w:val="20"/>
        </w:rPr>
        <w:t>incluirá una memoria o convenio que recoja el detalle de los servicios prestados por el partido político al grupo parlamentario.</w:t>
      </w:r>
    </w:p>
    <w:p w14:paraId="207D57B8" w14:textId="77777777" w:rsidR="00A41A12" w:rsidRDefault="00A41A12" w:rsidP="00A41A12">
      <w:pPr>
        <w:spacing w:after="0" w:line="276" w:lineRule="auto"/>
        <w:jc w:val="both"/>
        <w:rPr>
          <w:rFonts w:ascii="Arial" w:hAnsi="Arial" w:cs="Arial"/>
          <w:sz w:val="21"/>
          <w:szCs w:val="20"/>
        </w:rPr>
      </w:pPr>
    </w:p>
    <w:p w14:paraId="039AF627" w14:textId="77777777" w:rsidR="00A41A12" w:rsidRDefault="00A41A12" w:rsidP="00A41A12">
      <w:pPr>
        <w:spacing w:after="0" w:line="276" w:lineRule="auto"/>
        <w:jc w:val="both"/>
        <w:rPr>
          <w:rFonts w:ascii="Arial" w:hAnsi="Arial" w:cs="Arial"/>
          <w:sz w:val="21"/>
          <w:szCs w:val="20"/>
        </w:rPr>
      </w:pPr>
      <w:r>
        <w:rPr>
          <w:rFonts w:ascii="Arial" w:hAnsi="Arial" w:cs="Arial"/>
          <w:sz w:val="21"/>
          <w:szCs w:val="20"/>
        </w:rPr>
        <w:t xml:space="preserve">Como cláusula de cierre, que certifica que las mencionadas Normas no son una mera declaración de intenciones, se señala que, en caso de </w:t>
      </w:r>
      <w:r w:rsidRPr="00D52842">
        <w:rPr>
          <w:rFonts w:ascii="Arial" w:hAnsi="Arial" w:cs="Arial"/>
          <w:sz w:val="21"/>
          <w:szCs w:val="20"/>
        </w:rPr>
        <w:t>no presentación o presentación inadecuada de la documentación</w:t>
      </w:r>
      <w:r>
        <w:rPr>
          <w:rFonts w:ascii="Arial" w:hAnsi="Arial" w:cs="Arial"/>
          <w:sz w:val="21"/>
          <w:szCs w:val="20"/>
        </w:rPr>
        <w:t xml:space="preserve"> justificativa</w:t>
      </w:r>
      <w:r w:rsidRPr="00D52842">
        <w:rPr>
          <w:rFonts w:ascii="Arial" w:hAnsi="Arial" w:cs="Arial"/>
          <w:sz w:val="21"/>
          <w:szCs w:val="20"/>
        </w:rPr>
        <w:t>, previa instrucción del correspondiente expediente de reintegro</w:t>
      </w:r>
      <w:r>
        <w:rPr>
          <w:rFonts w:ascii="Arial" w:hAnsi="Arial" w:cs="Arial"/>
          <w:sz w:val="21"/>
          <w:szCs w:val="20"/>
        </w:rPr>
        <w:t>,</w:t>
      </w:r>
      <w:r w:rsidRPr="00D52842">
        <w:rPr>
          <w:rFonts w:ascii="Arial" w:hAnsi="Arial" w:cs="Arial"/>
          <w:sz w:val="21"/>
          <w:szCs w:val="20"/>
        </w:rPr>
        <w:t xml:space="preserve"> </w:t>
      </w:r>
      <w:r>
        <w:rPr>
          <w:rFonts w:ascii="Arial" w:hAnsi="Arial" w:cs="Arial"/>
          <w:sz w:val="21"/>
          <w:szCs w:val="20"/>
        </w:rPr>
        <w:t xml:space="preserve">se detraerán las cantidades que procedan </w:t>
      </w:r>
      <w:r w:rsidRPr="00D52842">
        <w:rPr>
          <w:rFonts w:ascii="Arial" w:hAnsi="Arial" w:cs="Arial"/>
          <w:sz w:val="21"/>
          <w:szCs w:val="20"/>
        </w:rPr>
        <w:t>con cargo a subvenciones futuras</w:t>
      </w:r>
      <w:r>
        <w:rPr>
          <w:rFonts w:ascii="Arial" w:hAnsi="Arial" w:cs="Arial"/>
          <w:sz w:val="21"/>
          <w:szCs w:val="20"/>
        </w:rPr>
        <w:t>.</w:t>
      </w:r>
    </w:p>
    <w:p w14:paraId="6AE1F482" w14:textId="77777777" w:rsidR="00A41A12" w:rsidRDefault="00A41A12" w:rsidP="00A41A12">
      <w:pPr>
        <w:spacing w:after="0" w:line="276" w:lineRule="auto"/>
        <w:jc w:val="both"/>
        <w:rPr>
          <w:rFonts w:ascii="Arial" w:hAnsi="Arial" w:cs="Arial"/>
          <w:sz w:val="21"/>
          <w:szCs w:val="20"/>
        </w:rPr>
      </w:pPr>
    </w:p>
    <w:p w14:paraId="411C39D5" w14:textId="3EA61610" w:rsidR="00096F00" w:rsidRDefault="00A41A12" w:rsidP="00096F00">
      <w:pPr>
        <w:spacing w:after="240" w:line="276" w:lineRule="auto"/>
        <w:jc w:val="both"/>
        <w:rPr>
          <w:rFonts w:ascii="Arial" w:hAnsi="Arial" w:cs="Arial"/>
          <w:sz w:val="21"/>
          <w:szCs w:val="20"/>
        </w:rPr>
      </w:pPr>
      <w:r>
        <w:rPr>
          <w:rFonts w:ascii="Arial" w:hAnsi="Arial" w:cs="Arial"/>
          <w:sz w:val="21"/>
          <w:szCs w:val="20"/>
        </w:rPr>
        <w:t xml:space="preserve">Es de resaltar que </w:t>
      </w:r>
      <w:r w:rsidRPr="00926D4D">
        <w:rPr>
          <w:rFonts w:ascii="Arial" w:hAnsi="Arial" w:cs="Arial"/>
          <w:sz w:val="21"/>
          <w:szCs w:val="20"/>
        </w:rPr>
        <w:t xml:space="preserve">la aplicación de </w:t>
      </w:r>
      <w:r>
        <w:rPr>
          <w:rFonts w:ascii="Arial" w:hAnsi="Arial" w:cs="Arial"/>
          <w:sz w:val="21"/>
          <w:szCs w:val="20"/>
        </w:rPr>
        <w:t>esta</w:t>
      </w:r>
      <w:r w:rsidRPr="00926D4D">
        <w:rPr>
          <w:rFonts w:ascii="Arial" w:hAnsi="Arial" w:cs="Arial"/>
          <w:sz w:val="21"/>
          <w:szCs w:val="20"/>
        </w:rPr>
        <w:t xml:space="preserve"> normativa interna aprobada por las Corts Valencianes lo es sin perjuicio del control y fiscalización de la actividad económico-financiera de los partidos políticos que corresponde en exclusiva al Tribunal de Cuentas, en virtud de lo dispuesto por el artículo 16</w:t>
      </w:r>
      <w:r>
        <w:rPr>
          <w:rFonts w:ascii="Arial" w:hAnsi="Arial" w:cs="Arial"/>
          <w:sz w:val="21"/>
          <w:szCs w:val="20"/>
        </w:rPr>
        <w:t xml:space="preserve"> </w:t>
      </w:r>
      <w:r w:rsidRPr="00926D4D">
        <w:rPr>
          <w:rFonts w:ascii="Arial" w:hAnsi="Arial" w:cs="Arial"/>
          <w:sz w:val="21"/>
          <w:szCs w:val="20"/>
        </w:rPr>
        <w:t xml:space="preserve">de la Ley </w:t>
      </w:r>
      <w:r>
        <w:rPr>
          <w:rFonts w:ascii="Arial" w:hAnsi="Arial" w:cs="Arial"/>
          <w:sz w:val="21"/>
          <w:szCs w:val="20"/>
        </w:rPr>
        <w:t>O</w:t>
      </w:r>
      <w:r w:rsidRPr="00926D4D">
        <w:rPr>
          <w:rFonts w:ascii="Arial" w:hAnsi="Arial" w:cs="Arial"/>
          <w:sz w:val="21"/>
          <w:szCs w:val="20"/>
        </w:rPr>
        <w:t>rgánica 8/2007, de 4 de julio, de financiación de los partidos políticos</w:t>
      </w:r>
      <w:r>
        <w:rPr>
          <w:rFonts w:ascii="Arial" w:hAnsi="Arial" w:cs="Arial"/>
          <w:sz w:val="21"/>
          <w:szCs w:val="20"/>
        </w:rPr>
        <w:t>;</w:t>
      </w:r>
      <w:r w:rsidRPr="009E2846">
        <w:rPr>
          <w:rFonts w:ascii="Arial" w:hAnsi="Arial" w:cs="Arial"/>
          <w:sz w:val="21"/>
          <w:szCs w:val="20"/>
        </w:rPr>
        <w:t xml:space="preserve"> </w:t>
      </w:r>
      <w:r>
        <w:rPr>
          <w:rFonts w:ascii="Arial" w:hAnsi="Arial" w:cs="Arial"/>
          <w:sz w:val="21"/>
          <w:szCs w:val="20"/>
        </w:rPr>
        <w:t xml:space="preserve">y </w:t>
      </w:r>
      <w:r w:rsidRPr="009E2846">
        <w:rPr>
          <w:rFonts w:ascii="Arial" w:hAnsi="Arial" w:cs="Arial"/>
          <w:sz w:val="21"/>
          <w:szCs w:val="20"/>
        </w:rPr>
        <w:t>est</w:t>
      </w:r>
      <w:r>
        <w:rPr>
          <w:rFonts w:ascii="Arial" w:hAnsi="Arial" w:cs="Arial"/>
          <w:sz w:val="21"/>
          <w:szCs w:val="20"/>
        </w:rPr>
        <w:t>á sometida, adicionalmente,</w:t>
      </w:r>
      <w:r w:rsidRPr="009E2846">
        <w:rPr>
          <w:rFonts w:ascii="Arial" w:hAnsi="Arial" w:cs="Arial"/>
          <w:sz w:val="21"/>
          <w:szCs w:val="20"/>
        </w:rPr>
        <w:t xml:space="preserve"> a la auditoría </w:t>
      </w:r>
      <w:r>
        <w:rPr>
          <w:rFonts w:ascii="Arial" w:hAnsi="Arial" w:cs="Arial"/>
          <w:sz w:val="21"/>
          <w:szCs w:val="20"/>
        </w:rPr>
        <w:t xml:space="preserve">anual </w:t>
      </w:r>
      <w:r w:rsidRPr="009E2846">
        <w:rPr>
          <w:rFonts w:ascii="Arial" w:hAnsi="Arial" w:cs="Arial"/>
          <w:sz w:val="21"/>
          <w:szCs w:val="20"/>
        </w:rPr>
        <w:t>de la Sindicatura de Comptes de la cuenta general de las Corts Valencianes</w:t>
      </w:r>
      <w:r>
        <w:rPr>
          <w:rFonts w:ascii="Arial" w:hAnsi="Arial" w:cs="Arial"/>
          <w:sz w:val="21"/>
          <w:szCs w:val="20"/>
        </w:rPr>
        <w:t>.</w:t>
      </w:r>
    </w:p>
    <w:p w14:paraId="04A941B4" w14:textId="5BD536A3" w:rsidR="00024070" w:rsidRDefault="00024070" w:rsidP="00096F00">
      <w:pPr>
        <w:spacing w:after="240" w:line="276" w:lineRule="auto"/>
        <w:jc w:val="both"/>
        <w:rPr>
          <w:rFonts w:ascii="Arial" w:hAnsi="Arial" w:cs="Arial"/>
          <w:sz w:val="21"/>
          <w:szCs w:val="20"/>
        </w:rPr>
      </w:pPr>
      <w:r w:rsidRPr="00024070">
        <w:rPr>
          <w:rFonts w:ascii="Arial" w:hAnsi="Arial" w:cs="Arial"/>
          <w:sz w:val="21"/>
          <w:szCs w:val="20"/>
        </w:rPr>
        <w:t>Además de la sujeción al principio de legalidad, con la aprobación de las Normas reguladoras de la contabilidad y control de las subvenciones asignadas a los grupos parlamentarios de las Corts Valencianas de 2 de marzo de 2021, el parlamento valenciano se muestra como un buen ejemplo a seguir, al acordar que el plan general de contabilidad de sus grupos parlamentarios se sujete al régimen de contabilidad adaptado a las formaciones políticas que establece el Tribunal de Cuentas, lo que permite, de forma operativa y eficaz, consolidar las cuentas de los grupos parlamentarios con las de los respectivos partidos políticos y, en suma, posibilita un mejor y más transparente control externo de dichos fondos públicos.</w:t>
      </w:r>
    </w:p>
    <w:p w14:paraId="48BF82E1" w14:textId="7A10F535" w:rsidR="00973028" w:rsidRPr="00E54ACC" w:rsidRDefault="00A41A12" w:rsidP="00096F00">
      <w:pPr>
        <w:pStyle w:val="NormalWeb"/>
        <w:spacing w:before="0" w:beforeAutospacing="0" w:after="240" w:line="276" w:lineRule="auto"/>
        <w:jc w:val="both"/>
        <w:rPr>
          <w:rFonts w:ascii="Arial" w:hAnsi="Arial" w:cs="Arial"/>
          <w:sz w:val="21"/>
          <w:szCs w:val="21"/>
        </w:rPr>
      </w:pPr>
      <w:r>
        <w:rPr>
          <w:rFonts w:ascii="Arial" w:hAnsi="Arial" w:cs="Arial"/>
          <w:sz w:val="21"/>
          <w:szCs w:val="20"/>
        </w:rPr>
        <w:t xml:space="preserve">En definitiva, debe ponerse de manifiesto que la aprobación de las citadas </w:t>
      </w:r>
      <w:r w:rsidRPr="00C61E39">
        <w:rPr>
          <w:rFonts w:ascii="Arial" w:hAnsi="Arial" w:cs="Arial"/>
          <w:sz w:val="21"/>
          <w:szCs w:val="20"/>
        </w:rPr>
        <w:t>Normas reguladoras de la contabilidad y control de las subvenciones asignadas a los grupos parlamentarios de las Corts Valencianes constituirá un importante hito de esta X Legislatura, impulsado por la Presidencia y la Mesa de las Corts.</w:t>
      </w:r>
    </w:p>
    <w:p w14:paraId="121BD31F" w14:textId="77777777" w:rsidR="000D0217" w:rsidRPr="000D0217" w:rsidRDefault="00096F00" w:rsidP="000D0217">
      <w:pPr>
        <w:pStyle w:val="NormalWeb"/>
        <w:numPr>
          <w:ilvl w:val="1"/>
          <w:numId w:val="27"/>
        </w:numPr>
        <w:spacing w:before="360" w:beforeAutospacing="0" w:after="240" w:line="276" w:lineRule="auto"/>
        <w:ind w:left="851" w:hanging="851"/>
        <w:jc w:val="both"/>
        <w:outlineLvl w:val="1"/>
        <w:rPr>
          <w:rFonts w:ascii="Arial" w:hAnsi="Arial" w:cs="Arial"/>
          <w:color w:val="000000" w:themeColor="text1"/>
          <w:sz w:val="21"/>
          <w:szCs w:val="21"/>
        </w:rPr>
      </w:pPr>
      <w:bookmarkStart w:id="391" w:name="_Toc67646337"/>
      <w:r w:rsidRPr="00096F00">
        <w:rPr>
          <w:rFonts w:ascii="Arial" w:hAnsi="Arial" w:cs="Arial"/>
          <w:b/>
          <w:bCs/>
          <w:color w:val="9D2235" w:themeColor="accent1"/>
          <w:sz w:val="32"/>
          <w:szCs w:val="32"/>
        </w:rPr>
        <w:t>Hacia una estrategia nacional de lucha contra el fraude y la corrupción</w:t>
      </w:r>
      <w:bookmarkEnd w:id="391"/>
    </w:p>
    <w:p w14:paraId="594AABF7" w14:textId="5746225C" w:rsidR="003A6E34" w:rsidRPr="003A6E34" w:rsidRDefault="003A6E34" w:rsidP="005D6D8B">
      <w:pPr>
        <w:pStyle w:val="NormalWeb"/>
        <w:spacing w:before="0" w:beforeAutospacing="0" w:after="240" w:line="276" w:lineRule="auto"/>
        <w:jc w:val="both"/>
        <w:rPr>
          <w:rFonts w:ascii="Arial" w:hAnsi="Arial" w:cs="Arial"/>
          <w:color w:val="000000"/>
          <w:sz w:val="21"/>
          <w:szCs w:val="21"/>
        </w:rPr>
      </w:pPr>
      <w:r w:rsidRPr="003A6E34">
        <w:rPr>
          <w:rFonts w:ascii="Arial" w:hAnsi="Arial" w:cs="Arial"/>
          <w:color w:val="000000"/>
          <w:sz w:val="21"/>
          <w:szCs w:val="21"/>
        </w:rPr>
        <w:t xml:space="preserve">En las Memorias de esta Agencia de los años 2018 y 2019 se exponía que España carece de una estrategia nacional de prevención y lucha contra la corrupción acorde con lo dispuesto en la </w:t>
      </w:r>
      <w:hyperlink r:id="rId245" w:history="1">
        <w:r w:rsidRPr="003A6E34">
          <w:rPr>
            <w:rStyle w:val="Hipervnculo"/>
            <w:rFonts w:ascii="Arial" w:hAnsi="Arial" w:cs="Arial"/>
            <w:sz w:val="21"/>
            <w:szCs w:val="21"/>
          </w:rPr>
          <w:t>Convención de Naciones Unidas contra la Corrupción</w:t>
        </w:r>
      </w:hyperlink>
      <w:r w:rsidRPr="003A6E34">
        <w:rPr>
          <w:rFonts w:ascii="Arial" w:hAnsi="Arial" w:cs="Arial"/>
          <w:color w:val="000000"/>
          <w:sz w:val="21"/>
          <w:szCs w:val="21"/>
        </w:rPr>
        <w:t xml:space="preserve">, aprobada por su Asamblea General en 2003 y ratificada por las Cortes Generales en 2006, vigente en España desde </w:t>
      </w:r>
      <w:r w:rsidRPr="005D6D8B">
        <w:rPr>
          <w:rFonts w:ascii="Arial" w:hAnsi="Arial" w:cs="Arial"/>
          <w:sz w:val="21"/>
          <w:szCs w:val="21"/>
        </w:rPr>
        <w:t xml:space="preserve">dicho </w:t>
      </w:r>
      <w:r w:rsidRPr="003A6E34">
        <w:rPr>
          <w:rFonts w:ascii="Arial" w:hAnsi="Arial" w:cs="Arial"/>
          <w:color w:val="000000"/>
          <w:sz w:val="21"/>
          <w:szCs w:val="21"/>
        </w:rPr>
        <w:t>año por aplicación del artículo 96 de nuestra Carta Magna.</w:t>
      </w:r>
    </w:p>
    <w:p w14:paraId="20B40770" w14:textId="77777777" w:rsidR="003A6E34" w:rsidRPr="003A6E34" w:rsidRDefault="003A6E34" w:rsidP="005D6D8B">
      <w:pPr>
        <w:pStyle w:val="NormalWeb"/>
        <w:spacing w:before="0" w:beforeAutospacing="0" w:after="240" w:line="276" w:lineRule="auto"/>
        <w:jc w:val="both"/>
        <w:rPr>
          <w:rFonts w:ascii="Arial" w:hAnsi="Arial" w:cs="Arial"/>
          <w:b/>
          <w:bCs/>
          <w:color w:val="000000"/>
          <w:sz w:val="21"/>
          <w:szCs w:val="21"/>
        </w:rPr>
      </w:pPr>
      <w:r w:rsidRPr="003A6E34">
        <w:rPr>
          <w:rFonts w:ascii="Arial" w:hAnsi="Arial" w:cs="Arial"/>
          <w:color w:val="000000"/>
          <w:sz w:val="21"/>
          <w:szCs w:val="21"/>
        </w:rPr>
        <w:t xml:space="preserve">Esta advertencia es, en idénticos términos, reiterada sistemáticamente por la Comisión Europea, que en sus últimos informes anuales de lucha contra el fraude viene recordando la carencia en el Estado Español de la necesaria estrategia nacional de lucha contra el fraude. En tal sentido se pronunció el 3 de septiembre de 2020 la Comisión Europea en su </w:t>
      </w:r>
      <w:hyperlink r:id="rId246" w:history="1">
        <w:r w:rsidRPr="003A6E34">
          <w:rPr>
            <w:rStyle w:val="Hipervnculo"/>
            <w:rFonts w:ascii="Arial" w:hAnsi="Arial" w:cs="Arial"/>
            <w:sz w:val="21"/>
            <w:szCs w:val="21"/>
          </w:rPr>
          <w:t>31ª Informe anual sobre la protección de los intereses financieros de la Unión Europea y la lucha contra el fraude</w:t>
        </w:r>
      </w:hyperlink>
      <w:r w:rsidRPr="003A6E34">
        <w:rPr>
          <w:rFonts w:ascii="Arial" w:hAnsi="Arial" w:cs="Arial"/>
          <w:color w:val="000000"/>
          <w:sz w:val="21"/>
          <w:szCs w:val="21"/>
        </w:rPr>
        <w:t xml:space="preserve">. Sobre esta consideración la Comisión perseveraba nuevamente en el </w:t>
      </w:r>
      <w:hyperlink r:id="rId247" w:history="1">
        <w:r w:rsidRPr="003A6E34">
          <w:rPr>
            <w:rStyle w:val="Hipervnculo"/>
            <w:rFonts w:ascii="Arial" w:hAnsi="Arial" w:cs="Arial"/>
            <w:sz w:val="21"/>
            <w:szCs w:val="21"/>
          </w:rPr>
          <w:t>Informe sobre el Estado de Derecho en 2020</w:t>
        </w:r>
      </w:hyperlink>
      <w:r w:rsidRPr="003A6E34">
        <w:rPr>
          <w:rFonts w:ascii="Arial" w:hAnsi="Arial" w:cs="Arial"/>
          <w:color w:val="000000"/>
          <w:sz w:val="21"/>
          <w:szCs w:val="21"/>
        </w:rPr>
        <w:t xml:space="preserve"> de fecha 30 de septiembre de 2020, en el que dejó señalado textualmente que en nuestro país </w:t>
      </w:r>
      <w:r w:rsidRPr="003A6E34">
        <w:rPr>
          <w:rFonts w:ascii="Arial" w:hAnsi="Arial" w:cs="Arial"/>
          <w:b/>
          <w:bCs/>
          <w:color w:val="000000"/>
          <w:sz w:val="21"/>
          <w:szCs w:val="21"/>
        </w:rPr>
        <w:t>“No se ha implantado una estrategia global específica de lucha contra la corrupción.”</w:t>
      </w:r>
    </w:p>
    <w:p w14:paraId="7992A7DA" w14:textId="00135C4F" w:rsidR="003A6E34" w:rsidRPr="003A6E34" w:rsidRDefault="003A6E34" w:rsidP="005D6D8B">
      <w:pPr>
        <w:pStyle w:val="NormalWeb"/>
        <w:spacing w:before="0" w:beforeAutospacing="0" w:after="240" w:line="276" w:lineRule="auto"/>
        <w:jc w:val="both"/>
        <w:rPr>
          <w:rFonts w:ascii="Arial" w:hAnsi="Arial" w:cs="Arial"/>
          <w:color w:val="000000"/>
          <w:sz w:val="21"/>
          <w:szCs w:val="21"/>
        </w:rPr>
      </w:pPr>
      <w:r w:rsidRPr="003A6E34">
        <w:rPr>
          <w:rFonts w:ascii="Arial" w:hAnsi="Arial" w:cs="Arial"/>
          <w:color w:val="000000"/>
          <w:sz w:val="21"/>
          <w:szCs w:val="21"/>
        </w:rPr>
        <w:t>La situación, a lo largo del periodo a que atiende esta Memoria, no ha variado significativamente, debiendo por ello volver a insistirse en esta recomendación, no sin dejar de destacar que esta exigencia de una estrategia nacional puede y debe ser impulsada en el momento actual, en el que la confluencia en la tramitación de una serie de modificaciones legislativas supone una auténtica ventana de oportunidad.</w:t>
      </w:r>
    </w:p>
    <w:p w14:paraId="109FE59B" w14:textId="01C8FFC5" w:rsidR="003A6E34" w:rsidRPr="003A6E34" w:rsidRDefault="003A6E34" w:rsidP="005D6D8B">
      <w:pPr>
        <w:pStyle w:val="NormalWeb"/>
        <w:spacing w:before="0" w:beforeAutospacing="0" w:after="240" w:line="276" w:lineRule="auto"/>
        <w:jc w:val="both"/>
        <w:rPr>
          <w:rFonts w:ascii="Arial" w:hAnsi="Arial" w:cs="Arial"/>
          <w:color w:val="000000"/>
          <w:sz w:val="21"/>
          <w:szCs w:val="21"/>
        </w:rPr>
      </w:pPr>
      <w:r w:rsidRPr="003A6E34">
        <w:rPr>
          <w:rFonts w:ascii="Arial" w:hAnsi="Arial" w:cs="Arial"/>
          <w:color w:val="000000"/>
          <w:sz w:val="21"/>
          <w:szCs w:val="21"/>
        </w:rPr>
        <w:t xml:space="preserve">Así, como hemos dejado anotado en el punto 4 de esta Memoria, la publicación en el Diario Oficial de la Unión Europea (DOUE) el 26 de noviembre de 2019 de la Directiva (UE) 2019/1937 del Parlamento Europeo y del Consejo, de 23 de octubre de 2019, relativa a la protección de las personas que informan sobre infracciones del Derecho de la Unión, conllevará su necesaria transposición al ordenamiento jurídico interno, lo que debería producirse antes de 17 de diciembre de 2021. </w:t>
      </w:r>
    </w:p>
    <w:p w14:paraId="4285E53C" w14:textId="1708DD78" w:rsidR="003A6E34" w:rsidRPr="003A6E34" w:rsidRDefault="003A6E34" w:rsidP="005D6D8B">
      <w:pPr>
        <w:pStyle w:val="NormalWeb"/>
        <w:spacing w:before="0" w:beforeAutospacing="0" w:after="240" w:line="276" w:lineRule="auto"/>
        <w:jc w:val="both"/>
        <w:rPr>
          <w:rFonts w:ascii="Arial" w:hAnsi="Arial" w:cs="Arial"/>
          <w:color w:val="0070C0"/>
          <w:sz w:val="21"/>
          <w:szCs w:val="21"/>
          <w:u w:val="single"/>
        </w:rPr>
      </w:pPr>
      <w:r w:rsidRPr="003A6E34">
        <w:rPr>
          <w:rFonts w:ascii="Arial" w:hAnsi="Arial" w:cs="Arial"/>
          <w:color w:val="000000"/>
          <w:sz w:val="21"/>
          <w:szCs w:val="21"/>
        </w:rPr>
        <w:t>En relación con dicha transposición, abierto por el Ministerio de Justicia plazo de consulta pública previa a principios del año en curso, la AVAF formuló y remitió, como ha quedado dicho también en esta Memoria</w:t>
      </w:r>
      <w:hyperlink r:id="rId248" w:history="1">
        <w:r w:rsidRPr="003A6E34">
          <w:rPr>
            <w:rStyle w:val="Hipervnculo"/>
            <w:rFonts w:ascii="Arial" w:hAnsi="Arial" w:cs="Arial"/>
            <w:sz w:val="21"/>
            <w:szCs w:val="21"/>
          </w:rPr>
          <w:t>, escrito de alegaciones en fecha de 27 de enero de 2021</w:t>
        </w:r>
      </w:hyperlink>
      <w:r w:rsidRPr="003A6E34">
        <w:rPr>
          <w:rFonts w:ascii="Arial" w:hAnsi="Arial" w:cs="Arial"/>
          <w:color w:val="0070C0"/>
          <w:sz w:val="21"/>
          <w:szCs w:val="21"/>
          <w:u w:val="single"/>
        </w:rPr>
        <w:t>.</w:t>
      </w:r>
    </w:p>
    <w:p w14:paraId="1D3C28E7" w14:textId="4A250EDE" w:rsidR="003A6E34" w:rsidRPr="003A6E34" w:rsidRDefault="003A6E34" w:rsidP="005D6D8B">
      <w:pPr>
        <w:pStyle w:val="NormalWeb"/>
        <w:spacing w:before="0" w:beforeAutospacing="0" w:after="240" w:line="276" w:lineRule="auto"/>
        <w:jc w:val="both"/>
        <w:rPr>
          <w:rFonts w:ascii="Arial" w:hAnsi="Arial" w:cs="Arial"/>
          <w:color w:val="000000"/>
          <w:sz w:val="21"/>
          <w:szCs w:val="21"/>
        </w:rPr>
      </w:pPr>
      <w:r w:rsidRPr="003A6E34">
        <w:rPr>
          <w:rFonts w:ascii="Arial" w:hAnsi="Arial" w:cs="Arial"/>
          <w:color w:val="000000"/>
          <w:sz w:val="21"/>
          <w:szCs w:val="21"/>
        </w:rPr>
        <w:t xml:space="preserve">El nuevo marco jurídico fijado por la Directiva comunitaria 2019/1937 en materia de protección a personas que denuncian o alertan de hechos o conductas contrarios al interés público coincide temporalmente con la anhelada modificación de la Ley de Enjuiciamiento Criminal. El proceso penal en España es una reforma constante pero siempre inacabada. La infructuosa búsqueda de una regulación global e integral del sistema procesal penal, que continúa regido por una ley decimonónica, tiene en el momento actual una ocasión histórica, pues se está tramitando una nueva Ley de Enjuiciamiento Criminal que, lejos de modificaciones puntuales, persigue la creación de un nuevo marco procesal penal. Sobre aspectos concretos de la nueva regulación de la Ley de Enjuiciamiento Criminal debe subrayarse que a fecha de esta Memoria fueron realizadas, </w:t>
      </w:r>
      <w:hyperlink r:id="rId249" w:history="1">
        <w:r w:rsidRPr="003A6E34">
          <w:rPr>
            <w:rStyle w:val="Hipervnculo"/>
            <w:rFonts w:ascii="Arial" w:hAnsi="Arial" w:cs="Arial"/>
            <w:sz w:val="21"/>
            <w:szCs w:val="21"/>
          </w:rPr>
          <w:t>alegaciones por esta Agencia en el trámite de audiencia e información pública del Anteproyecto de Ley de Enjuiciamiento Criminal</w:t>
        </w:r>
      </w:hyperlink>
      <w:r w:rsidRPr="003A6E34">
        <w:rPr>
          <w:rFonts w:ascii="Arial" w:hAnsi="Arial" w:cs="Arial"/>
          <w:color w:val="000000"/>
          <w:sz w:val="21"/>
          <w:szCs w:val="21"/>
        </w:rPr>
        <w:t>, cuyo contenido, damos por reproducido.</w:t>
      </w:r>
    </w:p>
    <w:p w14:paraId="38775975" w14:textId="0AB82CDE" w:rsidR="003A6E34" w:rsidRPr="003A6E34" w:rsidRDefault="003A6E34" w:rsidP="005D6D8B">
      <w:pPr>
        <w:pStyle w:val="NormalWeb"/>
        <w:spacing w:before="0" w:beforeAutospacing="0" w:after="240" w:line="276" w:lineRule="auto"/>
        <w:jc w:val="both"/>
        <w:rPr>
          <w:rFonts w:ascii="Arial" w:hAnsi="Arial" w:cs="Arial"/>
          <w:color w:val="000000"/>
          <w:sz w:val="21"/>
          <w:szCs w:val="21"/>
        </w:rPr>
      </w:pPr>
      <w:r w:rsidRPr="003A6E34">
        <w:rPr>
          <w:rFonts w:ascii="Arial" w:hAnsi="Arial" w:cs="Arial"/>
          <w:color w:val="000000"/>
          <w:sz w:val="21"/>
          <w:szCs w:val="21"/>
        </w:rPr>
        <w:t>Ambas actuaciones, tanto la correcta transposición de la Directiva como la reforma integral del proceso penal, deben estar imbuidas, para alcanzar las aspiraciones de una sociedad moderna del siglo XXI, del propósito de luchar contra el fraude y la corrupción, con la fijación de marcos de integridad y ética pública, anhelos innegables de la actual sociedad, cuyas metas y propósitos son bien diferentes de los del siglo XIX.</w:t>
      </w:r>
    </w:p>
    <w:p w14:paraId="4FCEEB83" w14:textId="569DF639" w:rsidR="003A6E34" w:rsidRPr="003A6E34" w:rsidRDefault="003A6E34" w:rsidP="005D6D8B">
      <w:pPr>
        <w:pStyle w:val="NormalWeb"/>
        <w:spacing w:before="0" w:beforeAutospacing="0" w:after="240" w:line="276" w:lineRule="auto"/>
        <w:jc w:val="both"/>
        <w:rPr>
          <w:rFonts w:ascii="Arial" w:hAnsi="Arial" w:cs="Arial"/>
          <w:color w:val="000000"/>
          <w:sz w:val="21"/>
          <w:szCs w:val="21"/>
        </w:rPr>
      </w:pPr>
      <w:r w:rsidRPr="003A6E34">
        <w:rPr>
          <w:rFonts w:ascii="Arial" w:hAnsi="Arial" w:cs="Arial"/>
          <w:color w:val="000000"/>
          <w:sz w:val="21"/>
          <w:szCs w:val="21"/>
        </w:rPr>
        <w:t>La persecución del fraude y la corrupción mediante una estratégica nacional integral no puede quedarse limitada exclusivamente por la transposición de la Directiva y la nueva regulación del proceso penal, sino que deberá ser acompañada de la adopción de importantes reformas en nuestro ordenamiento jurídico estatal, que deberán guardar la debida coherencia y responder a finalidades comunes.</w:t>
      </w:r>
    </w:p>
    <w:p w14:paraId="0C188901" w14:textId="04FBBDAE" w:rsidR="003A6E34" w:rsidRPr="003A6E34" w:rsidRDefault="003A6E34" w:rsidP="005D6D8B">
      <w:pPr>
        <w:pStyle w:val="NormalWeb"/>
        <w:spacing w:before="0" w:beforeAutospacing="0" w:after="240" w:line="276" w:lineRule="auto"/>
        <w:jc w:val="both"/>
        <w:rPr>
          <w:rFonts w:ascii="Arial" w:hAnsi="Arial" w:cs="Arial"/>
          <w:color w:val="000000"/>
          <w:sz w:val="21"/>
          <w:szCs w:val="21"/>
        </w:rPr>
      </w:pPr>
      <w:r w:rsidRPr="003A6E34">
        <w:rPr>
          <w:rFonts w:ascii="Arial" w:hAnsi="Arial" w:cs="Arial"/>
          <w:color w:val="000000"/>
          <w:sz w:val="21"/>
          <w:szCs w:val="21"/>
        </w:rPr>
        <w:t xml:space="preserve">La piedra angular de esta estructura, como venimos exponiendo a lo largo de esta Memoria, deberá ser la aprobación de una </w:t>
      </w:r>
      <w:r w:rsidRPr="003A6E34">
        <w:rPr>
          <w:rFonts w:ascii="Arial" w:hAnsi="Arial" w:cs="Arial"/>
          <w:b/>
          <w:bCs/>
          <w:sz w:val="21"/>
          <w:szCs w:val="21"/>
        </w:rPr>
        <w:t>Ley específica e integral de lucha contra la corrupción</w:t>
      </w:r>
      <w:r w:rsidRPr="003A6E34">
        <w:rPr>
          <w:rFonts w:ascii="Arial" w:hAnsi="Arial" w:cs="Arial"/>
          <w:color w:val="000000"/>
          <w:sz w:val="21"/>
          <w:szCs w:val="21"/>
        </w:rPr>
        <w:t>, con la que el sistema legal dispondrá de una serie de mecanismos más eficaces y contundentes en la lucha contra la corrupción, hasta ahora poco abordada en nuestro ordenamiento jurídico. Dichos mecanismos deben permitir a la ciudadanía dotarse de instrumentos para la real y efectiva protección de las personas que denuncian, informan o alertan sobre hechos que pueden ser constitutivos de infracciones o irregularidades que deben ser corregidas o subsanadas en aras al interés general, al tiempo que refuercen la confianza en nuestras instituciones.</w:t>
      </w:r>
    </w:p>
    <w:p w14:paraId="2B8D433C" w14:textId="48A86EF0" w:rsidR="003A6E34" w:rsidRPr="003A6E34" w:rsidRDefault="003A6E34" w:rsidP="005D6D8B">
      <w:pPr>
        <w:pStyle w:val="NormalWeb"/>
        <w:spacing w:before="0" w:beforeAutospacing="0" w:after="240" w:line="276" w:lineRule="auto"/>
        <w:jc w:val="both"/>
        <w:rPr>
          <w:rFonts w:ascii="Arial" w:hAnsi="Arial" w:cs="Arial"/>
          <w:color w:val="000000"/>
          <w:sz w:val="21"/>
          <w:szCs w:val="21"/>
        </w:rPr>
      </w:pPr>
      <w:r w:rsidRPr="003A6E34">
        <w:rPr>
          <w:rFonts w:ascii="Arial" w:hAnsi="Arial" w:cs="Arial"/>
          <w:color w:val="000000"/>
          <w:sz w:val="21"/>
          <w:szCs w:val="21"/>
        </w:rPr>
        <w:t>Muchas propuestas de regulación sobre esta materia se han presentado desde el año 2016 hasta el momento ante el Congreso de los Diputados por las diferentes fuerzas políticas, pero ninguna de ellas ha tenido el mínimo consenso que haya permitido continuar con su tramitación.</w:t>
      </w:r>
    </w:p>
    <w:p w14:paraId="26E3B178" w14:textId="00B4C5E8" w:rsidR="003A6E34" w:rsidRPr="003A6E34" w:rsidRDefault="003A6E34" w:rsidP="005D6D8B">
      <w:pPr>
        <w:pStyle w:val="Standard"/>
        <w:spacing w:after="240" w:line="276" w:lineRule="auto"/>
        <w:jc w:val="both"/>
        <w:rPr>
          <w:rFonts w:ascii="Arial" w:hAnsi="Arial"/>
          <w:color w:val="000000"/>
          <w:sz w:val="21"/>
          <w:szCs w:val="21"/>
        </w:rPr>
      </w:pPr>
      <w:r w:rsidRPr="003A6E34">
        <w:rPr>
          <w:rFonts w:ascii="Arial" w:hAnsi="Arial"/>
          <w:color w:val="000000"/>
          <w:sz w:val="21"/>
          <w:szCs w:val="21"/>
        </w:rPr>
        <w:t>Además de la indicada norma integral, y sin que sea objeto de estas reflexiones descender al detalle de todos y cada uno de los preceptos legales que quedarían afectados, consideramos conveniente apuntar las líneas maestras de aquellas modificaciones de nuestro ordenamiento jurídico que, de acuerdo con nuestra experiencia, deberán ser tenidas en consideración por el legislador.</w:t>
      </w:r>
    </w:p>
    <w:p w14:paraId="38D23FF9" w14:textId="32190B28" w:rsidR="003A6E34" w:rsidRPr="003A6E34" w:rsidRDefault="003A6E34" w:rsidP="005D6D8B">
      <w:pPr>
        <w:pStyle w:val="Standard"/>
        <w:spacing w:after="240" w:line="276" w:lineRule="auto"/>
        <w:jc w:val="both"/>
        <w:rPr>
          <w:rFonts w:ascii="Arial" w:hAnsi="Arial"/>
          <w:color w:val="000000"/>
          <w:sz w:val="21"/>
          <w:szCs w:val="21"/>
        </w:rPr>
      </w:pPr>
      <w:r w:rsidRPr="003A6E34">
        <w:rPr>
          <w:rFonts w:ascii="Arial" w:hAnsi="Arial"/>
          <w:color w:val="000000"/>
          <w:sz w:val="21"/>
          <w:szCs w:val="21"/>
        </w:rPr>
        <w:t xml:space="preserve">En primer lugar, la transposición de la Directiva deberá incidir de forma determinante en la configuración del </w:t>
      </w:r>
      <w:r w:rsidRPr="003A6E34">
        <w:rPr>
          <w:rFonts w:ascii="Arial" w:hAnsi="Arial"/>
          <w:b/>
          <w:bCs/>
          <w:sz w:val="21"/>
          <w:szCs w:val="21"/>
        </w:rPr>
        <w:t>delito de revelación de secretos</w:t>
      </w:r>
      <w:r w:rsidRPr="003A6E34">
        <w:rPr>
          <w:rFonts w:ascii="Arial" w:hAnsi="Arial"/>
          <w:color w:val="000000"/>
          <w:sz w:val="21"/>
          <w:szCs w:val="21"/>
        </w:rPr>
        <w:t>. La actual tipificación de este delito se alza de forma contraria tanto al espíritu de la Directiva como a la real y efectiva persecución del fraude y la corrupción, convirtiéndose en una amenaza con la que conviven las personas que han dado el paso de denunciar o que se resisten a hacerlo por miedo a acusaciones de este tipo.</w:t>
      </w:r>
    </w:p>
    <w:p w14:paraId="44AE1395" w14:textId="05CDC804" w:rsidR="003A6E34" w:rsidRPr="003A6E34" w:rsidRDefault="003A6E34" w:rsidP="005D6D8B">
      <w:pPr>
        <w:pStyle w:val="Standard"/>
        <w:spacing w:after="240" w:line="276" w:lineRule="auto"/>
        <w:jc w:val="both"/>
        <w:rPr>
          <w:rFonts w:ascii="Arial" w:hAnsi="Arial"/>
          <w:color w:val="000000"/>
          <w:sz w:val="21"/>
          <w:szCs w:val="21"/>
        </w:rPr>
      </w:pPr>
      <w:r w:rsidRPr="003A6E34">
        <w:rPr>
          <w:rFonts w:ascii="Arial" w:hAnsi="Arial"/>
          <w:color w:val="000000"/>
          <w:sz w:val="21"/>
          <w:szCs w:val="21"/>
        </w:rPr>
        <w:t xml:space="preserve">La regulación actual produce disfunciones y tensiones, dejando en manos de interpretaciones futuras y diferentes de los Juzgados y Tribunales la determinación de si existe o no responsabilidad penal como consecuencia de la colisión de los diferentes deberes con los que carga la persona denunciante de corrupción. </w:t>
      </w:r>
    </w:p>
    <w:p w14:paraId="4F9FE5A4" w14:textId="427EEF32" w:rsidR="003A6E34" w:rsidRPr="003A6E34" w:rsidRDefault="003A6E34" w:rsidP="005D6D8B">
      <w:pPr>
        <w:pStyle w:val="Standard"/>
        <w:spacing w:after="240" w:line="276" w:lineRule="auto"/>
        <w:jc w:val="both"/>
        <w:rPr>
          <w:rFonts w:ascii="Arial" w:hAnsi="Arial"/>
          <w:color w:val="000000"/>
          <w:sz w:val="21"/>
          <w:szCs w:val="21"/>
        </w:rPr>
      </w:pPr>
      <w:r w:rsidRPr="003A6E34">
        <w:rPr>
          <w:rFonts w:ascii="Arial" w:hAnsi="Arial"/>
          <w:color w:val="000000"/>
          <w:sz w:val="21"/>
          <w:szCs w:val="21"/>
        </w:rPr>
        <w:t xml:space="preserve">El conflicto resulta, por un lado, del deber de denunciar o incluso de evitar delitos y, por otro, del supuesto deber de guardar secreto sobre dichas infracciones. La situación debe de ser corregida por el legislador, pues no es conforme a los principios de persecución del fraude y la corrupción que estas personas se vean obligadas a ponderar, previamente a interponer una denuncia, si deben o no hacerlo, cuando se tiene conocimiento de la existencia de daños al interés general. </w:t>
      </w:r>
    </w:p>
    <w:p w14:paraId="7328AD66" w14:textId="1AAB3A07" w:rsidR="003A6E34" w:rsidRPr="003A6E34" w:rsidRDefault="003A6E34" w:rsidP="005D6D8B">
      <w:pPr>
        <w:pStyle w:val="Standard"/>
        <w:spacing w:after="240" w:line="276" w:lineRule="auto"/>
        <w:jc w:val="both"/>
        <w:rPr>
          <w:rFonts w:ascii="Arial" w:hAnsi="Arial"/>
          <w:color w:val="000000"/>
          <w:sz w:val="21"/>
          <w:szCs w:val="21"/>
        </w:rPr>
      </w:pPr>
      <w:r w:rsidRPr="003A6E34">
        <w:rPr>
          <w:rFonts w:ascii="Arial" w:hAnsi="Arial"/>
          <w:color w:val="000000"/>
          <w:sz w:val="21"/>
          <w:szCs w:val="21"/>
        </w:rPr>
        <w:t xml:space="preserve">La limitación al denunciante opera como un aliciente para los promotores de fraude y corrupción, que ven favorecida su impunidad y, además, provoca la paradoja de que la persona que denuncia y colabora en la salvaguarda del ordenamiento jurídico, se puede ver investigada en un procedimiento penal distinto, contrariamente a lo que pretendía, que era precisamente proteger el propio ordenamiento del fraude y la corrupción. </w:t>
      </w:r>
    </w:p>
    <w:p w14:paraId="2D6049C7" w14:textId="35DDED12" w:rsidR="003A6E34" w:rsidRPr="003A6E34" w:rsidRDefault="003A6E34" w:rsidP="005D6D8B">
      <w:pPr>
        <w:pStyle w:val="Standard"/>
        <w:spacing w:after="240" w:line="276" w:lineRule="auto"/>
        <w:jc w:val="both"/>
        <w:rPr>
          <w:rFonts w:ascii="Arial" w:hAnsi="Arial"/>
          <w:color w:val="000000"/>
          <w:sz w:val="21"/>
          <w:szCs w:val="21"/>
        </w:rPr>
      </w:pPr>
      <w:r w:rsidRPr="003A6E34">
        <w:rPr>
          <w:rFonts w:ascii="Arial" w:hAnsi="Arial"/>
          <w:color w:val="000000"/>
          <w:sz w:val="21"/>
          <w:szCs w:val="21"/>
        </w:rPr>
        <w:t>Para evitar esto, la transposición de la Directiva a nuestro ordenamiento jurídico interno deberá recoger adecuadamente lo señalado en su artículo 21.4, a cuyo tenor:</w:t>
      </w:r>
    </w:p>
    <w:p w14:paraId="61FB139C" w14:textId="1DDC8CCE" w:rsidR="003A6E34" w:rsidRPr="003A6E34" w:rsidRDefault="003A6E34" w:rsidP="005D6D8B">
      <w:pPr>
        <w:pStyle w:val="Standard"/>
        <w:spacing w:after="240" w:line="276" w:lineRule="auto"/>
        <w:ind w:left="567"/>
        <w:jc w:val="both"/>
        <w:rPr>
          <w:rFonts w:ascii="Arial" w:hAnsi="Arial"/>
          <w:color w:val="000000"/>
          <w:sz w:val="21"/>
          <w:szCs w:val="21"/>
        </w:rPr>
      </w:pPr>
      <w:r w:rsidRPr="003A6E34">
        <w:rPr>
          <w:rFonts w:ascii="Arial" w:hAnsi="Arial"/>
          <w:color w:val="000000"/>
          <w:sz w:val="21"/>
          <w:szCs w:val="21"/>
        </w:rPr>
        <w:t>“En los procesos judiciales, incluidos los relativos a difamación, violación de derechos de autor, vulneración de secreto, infracción de las normas de protección de datos, revelación de secretos comerciales, o a solicitudes de indemnización basadas en el Derecho laboral privado, público o colectivo, las personas a que se refiere el artículo 4 no incurrirán en responsabilidad de ningún tipo como consecuencia de denuncias o de revelaciones públicas en virtud de la presente Directiva. Dichas personas tendrán derecho a alegar en su descargo el haber denunciado o haber hecho una revelación pública, siempre que tuvieran motivos razonables para pensar que la denuncia o revelación pública era necesaria para poner de manifiesto una infracción en virtud de la presente Directiva”.</w:t>
      </w:r>
    </w:p>
    <w:p w14:paraId="515341A6" w14:textId="31127655" w:rsidR="003A6E34" w:rsidRPr="003A6E34" w:rsidRDefault="003A6E34" w:rsidP="005D6D8B">
      <w:pPr>
        <w:pStyle w:val="Standard"/>
        <w:spacing w:after="240" w:line="276" w:lineRule="auto"/>
        <w:jc w:val="both"/>
        <w:rPr>
          <w:rFonts w:ascii="Arial" w:hAnsi="Arial"/>
          <w:color w:val="000000"/>
          <w:sz w:val="21"/>
          <w:szCs w:val="21"/>
        </w:rPr>
      </w:pPr>
      <w:r w:rsidRPr="003A6E34">
        <w:rPr>
          <w:rFonts w:ascii="Arial" w:hAnsi="Arial"/>
          <w:color w:val="000000"/>
          <w:sz w:val="21"/>
          <w:szCs w:val="21"/>
        </w:rPr>
        <w:t>En este mismo sentido se expresa el artículo 41.4 del Reglamento de funcionamiento y régimen interior de la Agencia de Prevención y Lucha contra el Fraude y la Corrupción de la Comunitat Valenciana, conforme al cual:</w:t>
      </w:r>
    </w:p>
    <w:p w14:paraId="60E381F1" w14:textId="2C5256E6" w:rsidR="003A6E34" w:rsidRPr="003A6E34" w:rsidRDefault="003A6E34" w:rsidP="003E7826">
      <w:pPr>
        <w:pStyle w:val="Standard"/>
        <w:spacing w:after="120" w:line="276" w:lineRule="auto"/>
        <w:ind w:left="567"/>
        <w:jc w:val="both"/>
        <w:rPr>
          <w:rFonts w:ascii="Arial" w:hAnsi="Arial"/>
          <w:color w:val="000000"/>
          <w:sz w:val="21"/>
          <w:szCs w:val="21"/>
        </w:rPr>
      </w:pPr>
      <w:r w:rsidRPr="003A6E34">
        <w:rPr>
          <w:rFonts w:ascii="Arial" w:hAnsi="Arial"/>
          <w:color w:val="000000"/>
          <w:sz w:val="21"/>
          <w:szCs w:val="21"/>
        </w:rPr>
        <w:t>“En ningún caso, la denuncia de estos hechos o conductas supondrá una infracción del deber de sigilo impuesto al personal empleado respecto de los asuntos que conozcan por razón de sus funciones, ni tampoco responsabilidad de ningún tipo en relación con dicha revelación”.</w:t>
      </w:r>
    </w:p>
    <w:p w14:paraId="094D1EEB" w14:textId="6DDC7BFC" w:rsidR="003A6E34" w:rsidRPr="003A6E34" w:rsidRDefault="003A6E34" w:rsidP="005D6D8B">
      <w:pPr>
        <w:pStyle w:val="Standard"/>
        <w:spacing w:after="240" w:line="276" w:lineRule="auto"/>
        <w:jc w:val="both"/>
        <w:rPr>
          <w:rFonts w:ascii="Arial" w:hAnsi="Arial"/>
          <w:color w:val="000000"/>
          <w:sz w:val="21"/>
          <w:szCs w:val="21"/>
        </w:rPr>
      </w:pPr>
      <w:r w:rsidRPr="003A6E34">
        <w:rPr>
          <w:rFonts w:ascii="Arial" w:hAnsi="Arial"/>
          <w:color w:val="000000"/>
          <w:sz w:val="21"/>
          <w:szCs w:val="21"/>
        </w:rPr>
        <w:t xml:space="preserve">Igualmente, deberá efectuarse una profunda </w:t>
      </w:r>
      <w:r w:rsidRPr="003A6E34">
        <w:rPr>
          <w:rFonts w:ascii="Arial" w:hAnsi="Arial"/>
          <w:b/>
          <w:bCs/>
          <w:color w:val="000000"/>
          <w:sz w:val="21"/>
          <w:szCs w:val="21"/>
        </w:rPr>
        <w:t xml:space="preserve">revisión </w:t>
      </w:r>
      <w:r w:rsidRPr="003A6E34">
        <w:rPr>
          <w:rFonts w:ascii="Arial" w:hAnsi="Arial"/>
          <w:color w:val="000000"/>
          <w:sz w:val="21"/>
          <w:szCs w:val="21"/>
        </w:rPr>
        <w:t>de la parte general del</w:t>
      </w:r>
      <w:r w:rsidRPr="003A6E34">
        <w:rPr>
          <w:rFonts w:ascii="Arial" w:hAnsi="Arial"/>
          <w:b/>
          <w:bCs/>
          <w:color w:val="000000"/>
          <w:sz w:val="21"/>
          <w:szCs w:val="21"/>
        </w:rPr>
        <w:t xml:space="preserve"> Código Penal </w:t>
      </w:r>
      <w:r w:rsidRPr="003A6E34">
        <w:rPr>
          <w:rFonts w:ascii="Arial" w:hAnsi="Arial"/>
          <w:color w:val="000000"/>
          <w:sz w:val="21"/>
          <w:szCs w:val="21"/>
        </w:rPr>
        <w:t>en dos de sus tradicionales institutos, la</w:t>
      </w:r>
      <w:r w:rsidRPr="003A6E34">
        <w:rPr>
          <w:rFonts w:ascii="Arial" w:hAnsi="Arial"/>
          <w:b/>
          <w:bCs/>
          <w:color w:val="000000"/>
          <w:sz w:val="21"/>
          <w:szCs w:val="21"/>
        </w:rPr>
        <w:t xml:space="preserve"> eximente y </w:t>
      </w:r>
      <w:r w:rsidRPr="003A6E34">
        <w:rPr>
          <w:rFonts w:ascii="Arial" w:hAnsi="Arial"/>
          <w:color w:val="000000"/>
          <w:sz w:val="21"/>
          <w:szCs w:val="21"/>
        </w:rPr>
        <w:t>la</w:t>
      </w:r>
      <w:r w:rsidRPr="003A6E34">
        <w:rPr>
          <w:rFonts w:ascii="Arial" w:hAnsi="Arial"/>
          <w:b/>
          <w:bCs/>
          <w:color w:val="000000"/>
          <w:sz w:val="21"/>
          <w:szCs w:val="21"/>
        </w:rPr>
        <w:t xml:space="preserve"> prescripción.</w:t>
      </w:r>
      <w:r w:rsidRPr="003A6E34">
        <w:rPr>
          <w:rFonts w:ascii="Arial" w:hAnsi="Arial"/>
          <w:color w:val="000000"/>
          <w:sz w:val="21"/>
          <w:szCs w:val="21"/>
        </w:rPr>
        <w:t xml:space="preserve"> </w:t>
      </w:r>
    </w:p>
    <w:p w14:paraId="3928EDCE" w14:textId="3E8D68DC" w:rsidR="003A6E34" w:rsidRPr="003A6E34" w:rsidRDefault="003A6E34" w:rsidP="003E7826">
      <w:pPr>
        <w:pStyle w:val="Standard"/>
        <w:spacing w:after="120" w:line="276" w:lineRule="auto"/>
        <w:jc w:val="both"/>
        <w:rPr>
          <w:rFonts w:ascii="Arial" w:hAnsi="Arial"/>
          <w:sz w:val="21"/>
          <w:szCs w:val="21"/>
        </w:rPr>
      </w:pPr>
      <w:r w:rsidRPr="003A6E34">
        <w:rPr>
          <w:rFonts w:ascii="Arial" w:hAnsi="Arial"/>
          <w:color w:val="000000"/>
          <w:sz w:val="21"/>
          <w:szCs w:val="21"/>
        </w:rPr>
        <w:t xml:space="preserve">Los delitos de corrupción y fraude se caracterizan por una marcada bilateralidad, e incluso en las formas más complejas por su naturaleza plurisubjetiva. Esta característica es </w:t>
      </w:r>
      <w:r w:rsidRPr="003A6E34">
        <w:rPr>
          <w:rFonts w:ascii="Arial" w:hAnsi="Arial"/>
          <w:sz w:val="21"/>
          <w:szCs w:val="21"/>
        </w:rPr>
        <w:t xml:space="preserve">determinante para entender la figura del arrepentido como herramienta de persecución al servicio de la investigación penal, con el objetivo de conseguir que afloren los ilícitos mediante la ruptura de los entramados internos y opacos que se forman en la corrupción y el fraude. </w:t>
      </w:r>
    </w:p>
    <w:p w14:paraId="5F6B8E70" w14:textId="51FC9291" w:rsidR="003A6E34" w:rsidRPr="003A6E34" w:rsidRDefault="003A6E34" w:rsidP="005D6D8B">
      <w:pPr>
        <w:pStyle w:val="Standard"/>
        <w:spacing w:after="240" w:line="276" w:lineRule="auto"/>
        <w:jc w:val="both"/>
        <w:rPr>
          <w:rFonts w:ascii="Arial" w:hAnsi="Arial"/>
          <w:sz w:val="21"/>
          <w:szCs w:val="21"/>
        </w:rPr>
      </w:pPr>
      <w:r w:rsidRPr="003A6E34">
        <w:rPr>
          <w:rFonts w:ascii="Arial" w:hAnsi="Arial"/>
          <w:sz w:val="21"/>
          <w:szCs w:val="21"/>
        </w:rPr>
        <w:t>La revisión de las circunstancias modificativas de la responsabilidad penal resulta necesaria en orden a favorecer que el fraude y la corrupción salgan a la luz y puedan ser perseguidos, por lo que la eximente (o atenuante muy cualificada) deberá constituirse como elemento que permita luchar contra esta lacra, premiando al verdadero y genuino arrepentido que denuncia situaciones ocultas y no descubiertas. Esto es, el denominado</w:t>
      </w:r>
      <w:r w:rsidRPr="003A6E34">
        <w:rPr>
          <w:rFonts w:ascii="Arial" w:hAnsi="Arial"/>
          <w:b/>
          <w:bCs/>
          <w:sz w:val="21"/>
          <w:szCs w:val="21"/>
        </w:rPr>
        <w:t xml:space="preserve"> arrepentimiento eficaz, que aporta información clave para la investigación</w:t>
      </w:r>
      <w:r w:rsidRPr="003A6E34">
        <w:rPr>
          <w:rFonts w:ascii="Arial" w:hAnsi="Arial"/>
          <w:sz w:val="21"/>
          <w:szCs w:val="21"/>
        </w:rPr>
        <w:t xml:space="preserve">. </w:t>
      </w:r>
    </w:p>
    <w:p w14:paraId="202DE53C" w14:textId="618FABED" w:rsidR="003A6E34" w:rsidRPr="003A6E34" w:rsidRDefault="003A6E34" w:rsidP="005D6D8B">
      <w:pPr>
        <w:pStyle w:val="Standard"/>
        <w:spacing w:after="240" w:line="276" w:lineRule="auto"/>
        <w:jc w:val="both"/>
        <w:rPr>
          <w:rFonts w:ascii="Arial" w:hAnsi="Arial"/>
          <w:sz w:val="21"/>
          <w:szCs w:val="21"/>
        </w:rPr>
      </w:pPr>
      <w:r w:rsidRPr="003A6E34">
        <w:rPr>
          <w:rFonts w:ascii="Arial" w:hAnsi="Arial"/>
          <w:sz w:val="21"/>
          <w:szCs w:val="21"/>
        </w:rPr>
        <w:t xml:space="preserve">Desde el punto de vista del derecho comparado, el soborno constituye la columna vertebral de la corrupción, y si bien numerosas legislaciones reconocen la indulgencia especialmente para figuras como las del cohecho activo, es decir, para las personas que han ofrecido un soborno, se olvidan sin embargo de la posible presencia dentro de este ámbito del cohecho pasivo, </w:t>
      </w:r>
      <w:r w:rsidRPr="003A6E34">
        <w:rPr>
          <w:rFonts w:ascii="Arial" w:hAnsi="Arial"/>
          <w:color w:val="000000"/>
          <w:sz w:val="21"/>
          <w:szCs w:val="21"/>
        </w:rPr>
        <w:t xml:space="preserve">es decir, de aquellos que aceptan un soborno. </w:t>
      </w:r>
    </w:p>
    <w:p w14:paraId="2DBF8D6D" w14:textId="5FC38879" w:rsidR="003A6E34" w:rsidRPr="003A6E34" w:rsidRDefault="003A6E34" w:rsidP="005D6D8B">
      <w:pPr>
        <w:pStyle w:val="Standard"/>
        <w:spacing w:after="240" w:line="276" w:lineRule="auto"/>
        <w:jc w:val="both"/>
        <w:rPr>
          <w:rFonts w:ascii="Arial" w:hAnsi="Arial"/>
          <w:color w:val="000000"/>
          <w:sz w:val="21"/>
          <w:szCs w:val="21"/>
        </w:rPr>
      </w:pPr>
      <w:r w:rsidRPr="003A6E34">
        <w:rPr>
          <w:rFonts w:ascii="Arial" w:hAnsi="Arial"/>
          <w:color w:val="000000"/>
          <w:sz w:val="21"/>
          <w:szCs w:val="21"/>
        </w:rPr>
        <w:t xml:space="preserve">Este marco es precisamente el que prevé la Convención de las Naciones Unidas contra la Corrupción en su artículo 37 apartados 2 y 3, en el que se señala lo siguiente: </w:t>
      </w:r>
    </w:p>
    <w:p w14:paraId="5330625C" w14:textId="6B5780F1" w:rsidR="003A6E34" w:rsidRPr="003A6E34" w:rsidRDefault="003A6E34" w:rsidP="005D6D8B">
      <w:pPr>
        <w:pStyle w:val="Standard"/>
        <w:spacing w:after="240" w:line="276" w:lineRule="auto"/>
        <w:ind w:left="708"/>
        <w:jc w:val="both"/>
        <w:rPr>
          <w:rFonts w:ascii="Arial" w:hAnsi="Arial"/>
          <w:sz w:val="21"/>
          <w:szCs w:val="21"/>
        </w:rPr>
      </w:pPr>
      <w:r w:rsidRPr="003A6E34">
        <w:rPr>
          <w:rFonts w:ascii="Arial" w:hAnsi="Arial"/>
          <w:color w:val="000000"/>
          <w:sz w:val="21"/>
          <w:szCs w:val="21"/>
        </w:rPr>
        <w:t xml:space="preserve">“Artículo 37.2. </w:t>
      </w:r>
      <w:r w:rsidRPr="003A6E34">
        <w:rPr>
          <w:rFonts w:ascii="Arial" w:hAnsi="Arial"/>
          <w:sz w:val="21"/>
          <w:szCs w:val="21"/>
        </w:rPr>
        <w:t xml:space="preserve">Cada Estado Parte considerará la posibilidad de prever, en casos apropiados, la mitigación de la pena de toda persona acusada que preste cooperación sustancial en la investigación o el enjuiciamiento de los delitos tipificados con arreglo a la presente Convención”. </w:t>
      </w:r>
    </w:p>
    <w:p w14:paraId="0F3BC5CA" w14:textId="16FA887A" w:rsidR="003A6E34" w:rsidRPr="003A6E34" w:rsidRDefault="003A6E34" w:rsidP="005D6D8B">
      <w:pPr>
        <w:pStyle w:val="Standard"/>
        <w:spacing w:after="240" w:line="276" w:lineRule="auto"/>
        <w:ind w:left="708"/>
        <w:jc w:val="both"/>
        <w:rPr>
          <w:rFonts w:ascii="Arial" w:hAnsi="Arial"/>
          <w:sz w:val="21"/>
          <w:szCs w:val="21"/>
        </w:rPr>
      </w:pPr>
      <w:r w:rsidRPr="003A6E34">
        <w:rPr>
          <w:rFonts w:ascii="Arial" w:hAnsi="Arial"/>
          <w:sz w:val="21"/>
          <w:szCs w:val="21"/>
        </w:rPr>
        <w:t>“Artículo 37.3. Cada Estado Parte considerará la posibilidad de prever, de conformidad con los principios fundamentales de su derecho interno, la concesión de inmunidad judicial a toda persona que preste cooperación sustancial en la investigación o el enjuiciamiento de los delitos tipificados con arreglo a la presente Convención”.</w:t>
      </w:r>
    </w:p>
    <w:p w14:paraId="6F9BFBB1" w14:textId="24526B97" w:rsidR="003A6E34" w:rsidRPr="003A6E34" w:rsidRDefault="003A6E34" w:rsidP="005D6D8B">
      <w:pPr>
        <w:pStyle w:val="Standard"/>
        <w:spacing w:after="240" w:line="276" w:lineRule="auto"/>
        <w:jc w:val="both"/>
        <w:rPr>
          <w:rFonts w:ascii="Arial" w:hAnsi="Arial"/>
          <w:sz w:val="21"/>
          <w:szCs w:val="21"/>
        </w:rPr>
      </w:pPr>
      <w:r w:rsidRPr="003A6E34">
        <w:rPr>
          <w:rFonts w:ascii="Arial" w:hAnsi="Arial"/>
          <w:sz w:val="21"/>
          <w:szCs w:val="21"/>
        </w:rPr>
        <w:t xml:space="preserve">En cuanto a la prevención y lucha contra la corrupción, la regulación de </w:t>
      </w:r>
      <w:r w:rsidRPr="003A6E34">
        <w:rPr>
          <w:rFonts w:ascii="Arial" w:hAnsi="Arial"/>
          <w:b/>
          <w:bCs/>
          <w:sz w:val="21"/>
          <w:szCs w:val="21"/>
        </w:rPr>
        <w:t>la prescripción</w:t>
      </w:r>
      <w:r w:rsidRPr="003A6E34">
        <w:rPr>
          <w:rFonts w:ascii="Arial" w:hAnsi="Arial"/>
          <w:sz w:val="21"/>
          <w:szCs w:val="21"/>
        </w:rPr>
        <w:t xml:space="preserve"> deberá evitar impunidades en los delitos relacionados con la corrupción, que como la experiencia nos enseña, son delitos cuya revelación y afloramiento se dilata en el tiempo, mereciendo significarse que tal previsión también es contemplada por la Convención de Naciones Unidas en su artículo 29, cuando señala: </w:t>
      </w:r>
    </w:p>
    <w:p w14:paraId="64D9621A" w14:textId="08F64D56" w:rsidR="003A6E34" w:rsidRPr="003A6E34" w:rsidRDefault="003A6E34" w:rsidP="005D6D8B">
      <w:pPr>
        <w:pStyle w:val="Standard"/>
        <w:spacing w:after="240" w:line="276" w:lineRule="auto"/>
        <w:ind w:left="708"/>
        <w:jc w:val="both"/>
        <w:rPr>
          <w:rFonts w:ascii="Arial" w:hAnsi="Arial"/>
          <w:sz w:val="21"/>
          <w:szCs w:val="21"/>
        </w:rPr>
      </w:pPr>
      <w:r w:rsidRPr="003A6E34">
        <w:rPr>
          <w:rFonts w:ascii="Arial" w:hAnsi="Arial"/>
          <w:sz w:val="21"/>
          <w:szCs w:val="21"/>
        </w:rPr>
        <w:t>“Artículo 29. Prescripción. Cada Estado Parte establecerá, cuando proceda, con arreglo a su derecho interno, un plazo de prescripción amplio para iniciar procesos por cualesquiera de los delitos tipificados con arreglo a la presente Convención y establecerá un plazo mayor o interrumpirá la prescripción cuando el presunto delincuente haya eludido la administración de justicia.”</w:t>
      </w:r>
    </w:p>
    <w:p w14:paraId="3B5A7FF8" w14:textId="6C0188AC" w:rsidR="003A6E34" w:rsidRPr="003A6E34" w:rsidRDefault="003A6E34" w:rsidP="005D6D8B">
      <w:pPr>
        <w:pStyle w:val="Standard"/>
        <w:spacing w:after="240" w:line="276" w:lineRule="auto"/>
        <w:jc w:val="both"/>
        <w:rPr>
          <w:rFonts w:ascii="Arial" w:hAnsi="Arial"/>
          <w:sz w:val="21"/>
          <w:szCs w:val="21"/>
        </w:rPr>
      </w:pPr>
      <w:r w:rsidRPr="003A6E34">
        <w:rPr>
          <w:rFonts w:ascii="Arial" w:hAnsi="Arial"/>
          <w:sz w:val="21"/>
          <w:szCs w:val="21"/>
        </w:rPr>
        <w:t xml:space="preserve">Finalmente, en cuanto a las cuestiones sustantivas penales, no podemos olvidar que la tan citada </w:t>
      </w:r>
      <w:r w:rsidRPr="003A6E34">
        <w:rPr>
          <w:rStyle w:val="EnlacedeInternet"/>
          <w:rFonts w:ascii="Arial" w:hAnsi="Arial"/>
          <w:sz w:val="21"/>
          <w:szCs w:val="21"/>
        </w:rPr>
        <w:t>Convención de Naciones Unidas contra la Corrupción</w:t>
      </w:r>
      <w:r w:rsidRPr="003A6E34">
        <w:rPr>
          <w:rFonts w:ascii="Arial" w:hAnsi="Arial"/>
          <w:sz w:val="21"/>
          <w:szCs w:val="21"/>
        </w:rPr>
        <w:t xml:space="preserve"> establece que deberá de ser introducido en el Código Penal el</w:t>
      </w:r>
      <w:r w:rsidRPr="003A6E34">
        <w:rPr>
          <w:rFonts w:ascii="Arial" w:hAnsi="Arial"/>
          <w:b/>
          <w:bCs/>
          <w:sz w:val="21"/>
          <w:szCs w:val="21"/>
        </w:rPr>
        <w:t xml:space="preserve"> delito el enriquecimiento ilícito</w:t>
      </w:r>
      <w:r w:rsidRPr="003A6E34">
        <w:rPr>
          <w:rFonts w:ascii="Arial" w:hAnsi="Arial"/>
          <w:sz w:val="21"/>
          <w:szCs w:val="21"/>
        </w:rPr>
        <w:t xml:space="preserve">, o incremento significativo del patrimonio de una autoridad o funcionario público respecto de sus ingresos legítimos (las llamadas </w:t>
      </w:r>
      <w:r w:rsidRPr="003A6E34">
        <w:rPr>
          <w:rFonts w:ascii="Arial" w:hAnsi="Arial"/>
          <w:i/>
          <w:iCs/>
          <w:sz w:val="21"/>
          <w:szCs w:val="21"/>
        </w:rPr>
        <w:t>fortunas sucias</w:t>
      </w:r>
      <w:r w:rsidRPr="003A6E34">
        <w:rPr>
          <w:rFonts w:ascii="Arial" w:hAnsi="Arial"/>
          <w:sz w:val="21"/>
          <w:szCs w:val="21"/>
        </w:rPr>
        <w:t>), cuando el mismo no pueda ser razonablemente justificado, con inversión de la carga de la prueba.</w:t>
      </w:r>
    </w:p>
    <w:p w14:paraId="144DDF9D" w14:textId="11E523AD" w:rsidR="003A6E34" w:rsidRPr="003A6E34" w:rsidRDefault="003A6E34" w:rsidP="005D6D8B">
      <w:pPr>
        <w:pStyle w:val="Standard"/>
        <w:spacing w:after="240" w:line="276" w:lineRule="auto"/>
        <w:jc w:val="both"/>
        <w:rPr>
          <w:rFonts w:ascii="Arial" w:hAnsi="Arial"/>
          <w:color w:val="000000"/>
          <w:sz w:val="21"/>
          <w:szCs w:val="21"/>
        </w:rPr>
      </w:pPr>
      <w:r w:rsidRPr="003A6E34">
        <w:rPr>
          <w:rFonts w:ascii="Arial" w:hAnsi="Arial"/>
          <w:color w:val="000000"/>
          <w:sz w:val="21"/>
          <w:szCs w:val="21"/>
        </w:rPr>
        <w:t xml:space="preserve">La tipificación en el Código Penal del delito de enriquecimiento ilícito es una demanda constante y reiterada tanto de la doctrina como de los operadores jurídicos, debiendo recordarse que en la XXIV Reunión Nacional de Jueces Decanos de España realizada en Valencia en diciembre de 2014 se propuso en sus </w:t>
      </w:r>
      <w:hyperlink r:id="rId250" w:history="1">
        <w:r w:rsidRPr="003A6E34">
          <w:rPr>
            <w:rStyle w:val="Hipervnculo"/>
            <w:rFonts w:ascii="Arial" w:hAnsi="Arial"/>
            <w:sz w:val="21"/>
            <w:szCs w:val="21"/>
          </w:rPr>
          <w:t>conclusiones</w:t>
        </w:r>
      </w:hyperlink>
      <w:r w:rsidRPr="003A6E34">
        <w:rPr>
          <w:rFonts w:ascii="Arial" w:hAnsi="Arial"/>
          <w:color w:val="000000"/>
          <w:sz w:val="21"/>
          <w:szCs w:val="21"/>
        </w:rPr>
        <w:t>, precisamente la introducción de este tipo penal.</w:t>
      </w:r>
    </w:p>
    <w:p w14:paraId="28D1CF12" w14:textId="1E965A9F" w:rsidR="003A6E34" w:rsidRPr="003A6E34" w:rsidRDefault="003A6E34" w:rsidP="005D6D8B">
      <w:pPr>
        <w:pStyle w:val="Standard"/>
        <w:spacing w:after="240" w:line="276" w:lineRule="auto"/>
        <w:jc w:val="both"/>
        <w:rPr>
          <w:rFonts w:ascii="Arial" w:hAnsi="Arial"/>
          <w:color w:val="000000"/>
          <w:sz w:val="21"/>
          <w:szCs w:val="21"/>
        </w:rPr>
      </w:pPr>
      <w:r w:rsidRPr="003A6E34">
        <w:rPr>
          <w:rFonts w:ascii="Arial" w:hAnsi="Arial"/>
          <w:color w:val="000000"/>
          <w:sz w:val="21"/>
          <w:szCs w:val="21"/>
        </w:rPr>
        <w:t>El delito de enriquecimiento ilícito permite sancionar a quien se enriquece durante el mandato político o ejercicio de funciones públicas, siendo bastante para colmar el tipo penal el elemento cierto y objetivo de que se descubra a aquel un patrimonio que desborde sus ingresos ordinarios. El incremento patrimonial injustificado constituye en sí mismo el tipo penal, siendo el investigado quien deberá probar el origen lícito de sus bienes y derechos.</w:t>
      </w:r>
    </w:p>
    <w:p w14:paraId="2245BBD8" w14:textId="091F5723" w:rsidR="003A6E34" w:rsidRPr="003A6E34" w:rsidRDefault="003A6E34" w:rsidP="005D6D8B">
      <w:pPr>
        <w:pStyle w:val="Standard"/>
        <w:spacing w:after="240" w:line="276" w:lineRule="auto"/>
        <w:jc w:val="both"/>
        <w:rPr>
          <w:rFonts w:ascii="Arial" w:hAnsi="Arial"/>
          <w:sz w:val="21"/>
          <w:szCs w:val="21"/>
        </w:rPr>
      </w:pPr>
      <w:r w:rsidRPr="003A6E34">
        <w:rPr>
          <w:rFonts w:ascii="Arial" w:hAnsi="Arial"/>
          <w:color w:val="000000"/>
          <w:sz w:val="21"/>
          <w:szCs w:val="21"/>
        </w:rPr>
        <w:t xml:space="preserve">Adicionalmente, deberá revisarse la Ley Orgánica 19/1994, de 23 de diciembre, de </w:t>
      </w:r>
      <w:r w:rsidRPr="003A6E34">
        <w:rPr>
          <w:rFonts w:ascii="Arial" w:hAnsi="Arial"/>
          <w:b/>
          <w:bCs/>
          <w:sz w:val="21"/>
          <w:szCs w:val="21"/>
        </w:rPr>
        <w:t>protección a testigos y peritos</w:t>
      </w:r>
      <w:r w:rsidRPr="003A6E34">
        <w:rPr>
          <w:rFonts w:ascii="Arial" w:hAnsi="Arial"/>
          <w:sz w:val="21"/>
          <w:szCs w:val="21"/>
        </w:rPr>
        <w:t xml:space="preserve"> en causas criminales, cuya aplicación y efectividad hasta el momento ha sido muy limitada como viene reconociéndose desde los mismos sectores judiciales y fiscales. Es necesario que dicha regulación se adapte al contenido de la nueva normativa que se dicte para la transposición de la Directiva con objeto de procurar la salvaguarda real de la identidad del denunciante, también de los datos, documentos o información de los que pueda deducirse su identidad, y su protección efectiva.</w:t>
      </w:r>
    </w:p>
    <w:p w14:paraId="1571C3BE" w14:textId="125E973C" w:rsidR="003A6E34" w:rsidRPr="003A6E34" w:rsidRDefault="003A6E34" w:rsidP="005D6D8B">
      <w:pPr>
        <w:pStyle w:val="Standard"/>
        <w:spacing w:after="240" w:line="276" w:lineRule="auto"/>
        <w:jc w:val="both"/>
        <w:rPr>
          <w:rFonts w:ascii="Arial" w:hAnsi="Arial"/>
          <w:color w:val="000000"/>
          <w:sz w:val="21"/>
          <w:szCs w:val="21"/>
        </w:rPr>
      </w:pPr>
      <w:r w:rsidRPr="003A6E34">
        <w:rPr>
          <w:rFonts w:ascii="Arial" w:hAnsi="Arial"/>
          <w:sz w:val="21"/>
          <w:szCs w:val="21"/>
        </w:rPr>
        <w:t xml:space="preserve">Lógicamente, la modificación legislativa no se agota en el ámbito penal, sino que deberá extenderse a la </w:t>
      </w:r>
      <w:r w:rsidRPr="003A6E34">
        <w:rPr>
          <w:rFonts w:ascii="Arial" w:hAnsi="Arial"/>
          <w:b/>
          <w:bCs/>
          <w:sz w:val="21"/>
          <w:szCs w:val="21"/>
        </w:rPr>
        <w:t>regulación administrativa sancionadora</w:t>
      </w:r>
      <w:r w:rsidRPr="003A6E34">
        <w:rPr>
          <w:rFonts w:ascii="Arial" w:hAnsi="Arial"/>
          <w:sz w:val="21"/>
          <w:szCs w:val="21"/>
        </w:rPr>
        <w:t xml:space="preserve">, con la adecuación de los principios del derecho administrativo sancionador en orden a la persecución del fraude, la corrupción y las irregularidades de cualquier tipo. El recurso al derecho penal deberá quedar limitado a los supuestos </w:t>
      </w:r>
      <w:r w:rsidRPr="003A6E34">
        <w:rPr>
          <w:rFonts w:ascii="Arial" w:hAnsi="Arial"/>
          <w:color w:val="000000"/>
          <w:sz w:val="21"/>
          <w:szCs w:val="21"/>
        </w:rPr>
        <w:t xml:space="preserve">más graves de conformidad con el principio de intervención mínima. De forma simultánea, deberá regularse convenientemente un derecho administrativo sancionador eficaz y disuasorio, que establezca un procedimiento en el que su impulso no dependa, como es obvio, del mismo órgano administrativo que precisamente provocó, alentó o consintió el fraude o la corrupción. Este derecho administrativo sancionador deberá estar dotado de una mayor certeza en la imposición de sanciones, con un alcance en las mismas que impulse a desistir de plano en sucesivas ocasiones del incumplimiento de la norma. </w:t>
      </w:r>
    </w:p>
    <w:p w14:paraId="66D78C4E" w14:textId="51DC9124" w:rsidR="003A6E34" w:rsidRPr="003A6E34" w:rsidRDefault="003A6E34" w:rsidP="005D6D8B">
      <w:pPr>
        <w:pStyle w:val="Standard"/>
        <w:spacing w:after="240" w:line="276" w:lineRule="auto"/>
        <w:jc w:val="both"/>
        <w:rPr>
          <w:rFonts w:ascii="Arial" w:hAnsi="Arial"/>
          <w:sz w:val="21"/>
          <w:szCs w:val="21"/>
        </w:rPr>
      </w:pPr>
      <w:r w:rsidRPr="003A6E34">
        <w:rPr>
          <w:rFonts w:ascii="Arial" w:hAnsi="Arial"/>
          <w:color w:val="000000"/>
          <w:sz w:val="21"/>
          <w:szCs w:val="21"/>
        </w:rPr>
        <w:t xml:space="preserve">El reforzamiento de la protección administrativa pasa necesariamente por la imprescindible </w:t>
      </w:r>
      <w:r w:rsidRPr="003A6E34">
        <w:rPr>
          <w:rFonts w:ascii="Arial" w:hAnsi="Arial"/>
          <w:b/>
          <w:bCs/>
          <w:color w:val="000000"/>
          <w:sz w:val="21"/>
          <w:szCs w:val="21"/>
        </w:rPr>
        <w:t>dotación del personal funcionario de la Agencia Nacional</w:t>
      </w:r>
      <w:r w:rsidRPr="003A6E34">
        <w:rPr>
          <w:rFonts w:ascii="Arial" w:hAnsi="Arial"/>
          <w:color w:val="000000"/>
          <w:sz w:val="21"/>
          <w:szCs w:val="21"/>
        </w:rPr>
        <w:t xml:space="preserve"> (y las análogas autonómicas), y deberá conllevar la correspondiente modificación de la normativa reguladora de los empleados públicos, y ello porque es necesario establecer un sistema de singular protección para todo su personal, que deberá ser equiparable al del personal del Defensor del Pueblo, del Tribunal de Cuentas o del Tribunal Constitucional, y de los órganos autonómicos </w:t>
      </w:r>
      <w:r w:rsidRPr="003A6E34">
        <w:rPr>
          <w:rFonts w:ascii="Arial" w:hAnsi="Arial"/>
          <w:sz w:val="21"/>
          <w:szCs w:val="21"/>
        </w:rPr>
        <w:t>análogos a los dos primeros, para garantizar su independencia, imparcialidad y neutralidad en el ejercicio de las potestades de prevención, de investigación e inspección, de sanción y de protección a las personas denunciantes.</w:t>
      </w:r>
    </w:p>
    <w:p w14:paraId="729E9E21" w14:textId="15B902B3" w:rsidR="003A6E34" w:rsidRPr="003A6E34" w:rsidRDefault="003A6E34" w:rsidP="005D6D8B">
      <w:pPr>
        <w:pStyle w:val="Standard"/>
        <w:spacing w:after="240" w:line="276" w:lineRule="auto"/>
        <w:jc w:val="both"/>
        <w:rPr>
          <w:rFonts w:ascii="Arial" w:hAnsi="Arial"/>
          <w:color w:val="000000"/>
          <w:sz w:val="21"/>
          <w:szCs w:val="21"/>
        </w:rPr>
      </w:pPr>
      <w:r w:rsidRPr="003A6E34">
        <w:rPr>
          <w:rFonts w:ascii="Arial" w:hAnsi="Arial"/>
          <w:sz w:val="21"/>
          <w:szCs w:val="21"/>
        </w:rPr>
        <w:t xml:space="preserve">Desde este prisma, resulta necesario que la transposición de la Directiva efectúe las modificaciones oportunas en el </w:t>
      </w:r>
      <w:r w:rsidRPr="003A6E34">
        <w:rPr>
          <w:rFonts w:ascii="Arial" w:hAnsi="Arial"/>
          <w:b/>
          <w:bCs/>
          <w:sz w:val="21"/>
          <w:szCs w:val="21"/>
        </w:rPr>
        <w:t>Estatuto Básico del Empleado Público</w:t>
      </w:r>
      <w:r w:rsidRPr="003A6E34">
        <w:rPr>
          <w:rFonts w:ascii="Arial" w:hAnsi="Arial"/>
          <w:sz w:val="21"/>
          <w:szCs w:val="21"/>
        </w:rPr>
        <w:t xml:space="preserve">, a fin de que la regulación de la situación administrativa de servicios especiales, a que se refiere </w:t>
      </w:r>
      <w:r w:rsidRPr="003A6E34">
        <w:rPr>
          <w:rFonts w:ascii="Arial" w:hAnsi="Arial"/>
          <w:color w:val="000000"/>
          <w:sz w:val="21"/>
          <w:szCs w:val="21"/>
        </w:rPr>
        <w:t xml:space="preserve">su artículo 87, contemple al personal de otras administraciones públicas que pasa a prestar servicios en estos organismos adscritos a los órganos de poder legislativo. En todo caso, esta incorporación a la norma conllevaría la positivización de un derecho que ya es reconocido de forma reiterada por la jurisprudencia. A favor de ello se pronuncia el </w:t>
      </w:r>
      <w:hyperlink r:id="rId251">
        <w:r w:rsidRPr="003A6E34">
          <w:rPr>
            <w:rStyle w:val="EnlacedeInternet"/>
            <w:rFonts w:ascii="Arial" w:hAnsi="Arial"/>
            <w:sz w:val="21"/>
            <w:szCs w:val="21"/>
          </w:rPr>
          <w:t>Acuerdo adoptado por el Pleno del Consejo General del Poder Judicial en su reunión del día 26 de marzo de 2020</w:t>
        </w:r>
      </w:hyperlink>
      <w:r w:rsidRPr="003A6E34">
        <w:rPr>
          <w:rFonts w:ascii="Arial" w:hAnsi="Arial"/>
          <w:color w:val="000000"/>
          <w:sz w:val="21"/>
          <w:szCs w:val="21"/>
        </w:rPr>
        <w:t xml:space="preserve">, por el que se aprueba el Informe sobre el Anteproyecto de Ley de Lucha contra el Fraude y la Corrupción en Andalucía y protección de la persona denunciante (punto 108, páginas 35 y 36). El reconocimiento de este derecho por los jueces y tribunales debe de ser debidamente positivizado, y ello tanto al efecto de favorecer la seguridad jurídica como, en su caso, de evitar la litigiosidad en aquellos supuestos en que el derecho no es reconocido inicialmente al efectuarse una interpretación literal y no integradora de la ley. </w:t>
      </w:r>
    </w:p>
    <w:p w14:paraId="154226B9" w14:textId="75A940BA" w:rsidR="003A6E34" w:rsidRPr="003A6E34" w:rsidRDefault="003A6E34" w:rsidP="005D6D8B">
      <w:pPr>
        <w:pStyle w:val="Standard"/>
        <w:spacing w:after="240" w:line="276" w:lineRule="auto"/>
        <w:jc w:val="both"/>
        <w:rPr>
          <w:rFonts w:ascii="Arial" w:hAnsi="Arial"/>
          <w:color w:val="000000"/>
          <w:sz w:val="21"/>
          <w:szCs w:val="21"/>
        </w:rPr>
      </w:pPr>
      <w:r w:rsidRPr="003A6E34">
        <w:rPr>
          <w:rFonts w:ascii="Arial" w:hAnsi="Arial"/>
          <w:color w:val="000000"/>
          <w:sz w:val="21"/>
          <w:szCs w:val="21"/>
        </w:rPr>
        <w:t xml:space="preserve">Paralelamente, el </w:t>
      </w:r>
      <w:r w:rsidRPr="003A6E34">
        <w:rPr>
          <w:rFonts w:ascii="Arial" w:hAnsi="Arial"/>
          <w:b/>
          <w:bCs/>
          <w:color w:val="000000"/>
          <w:sz w:val="21"/>
          <w:szCs w:val="21"/>
        </w:rPr>
        <w:t>Derecho de Función Pública</w:t>
      </w:r>
      <w:r w:rsidRPr="003A6E34">
        <w:rPr>
          <w:rFonts w:ascii="Arial" w:hAnsi="Arial"/>
          <w:color w:val="000000"/>
          <w:sz w:val="21"/>
          <w:szCs w:val="21"/>
        </w:rPr>
        <w:t xml:space="preserve">, y en similares términos, el Estatuto de los Trabajadores deberán recoger los derechos y deberes derivados de la transposición de la Directiva (UE) 2019/1937, incluido el derecho a la protección de los trabajadores que denuncian o revelan información de interés general y para la empresa, y la prohibición de represalias. </w:t>
      </w:r>
    </w:p>
    <w:p w14:paraId="5C8B1E56" w14:textId="79250625" w:rsidR="003A6E34" w:rsidRPr="003A6E34" w:rsidRDefault="003A6E34" w:rsidP="005D6D8B">
      <w:pPr>
        <w:pStyle w:val="Standard"/>
        <w:spacing w:after="240" w:line="276" w:lineRule="auto"/>
        <w:jc w:val="both"/>
        <w:rPr>
          <w:rFonts w:ascii="Arial" w:hAnsi="Arial"/>
          <w:color w:val="000000"/>
          <w:sz w:val="21"/>
          <w:szCs w:val="21"/>
        </w:rPr>
      </w:pPr>
      <w:r w:rsidRPr="003A6E34">
        <w:rPr>
          <w:rFonts w:ascii="Arial" w:hAnsi="Arial"/>
          <w:color w:val="000000"/>
          <w:sz w:val="21"/>
          <w:szCs w:val="21"/>
        </w:rPr>
        <w:t>También deberán modificarse las leyes procesales, tanto la Ley 29/1998, de 13 de julio, reguladora de la Jurisdicción Contencioso-administrativa, como la Ley 36/2011, de 10 de octubre, reguladora de la Jurisdicción Social, a fin de adecuar la inversión de la carga de la prueba sobre cualquier empeoramiento que en las condiciones de trabajo sufra la persona denunciante en el contexto laboral como consecuencia de la denuncia interpuesta. Así, debe recordarse que la Directiva comunitaria en su artículo 21, apartado 5, dispone lo siguiente:</w:t>
      </w:r>
    </w:p>
    <w:p w14:paraId="6017AF25" w14:textId="1C69ACE9" w:rsidR="003A6E34" w:rsidRPr="003A6E34" w:rsidRDefault="003A6E34" w:rsidP="00BB76EE">
      <w:pPr>
        <w:pStyle w:val="Standard"/>
        <w:spacing w:after="120" w:line="276" w:lineRule="auto"/>
        <w:ind w:left="709"/>
        <w:jc w:val="both"/>
        <w:rPr>
          <w:rFonts w:ascii="Arial" w:hAnsi="Arial"/>
          <w:color w:val="000000"/>
          <w:sz w:val="21"/>
          <w:szCs w:val="21"/>
        </w:rPr>
      </w:pPr>
      <w:r w:rsidRPr="003A6E34">
        <w:rPr>
          <w:rFonts w:ascii="Arial" w:hAnsi="Arial"/>
          <w:color w:val="000000"/>
          <w:sz w:val="21"/>
          <w:szCs w:val="21"/>
        </w:rPr>
        <w:t>“En los procedimientos ante un órgano jurisdiccional u otra autoridad relativos a los perjuicios sufridos por los denunciantes, y a reserva de que dicha persona establezca que ha denunciado o ha hecho una revelación pública y que ha sufrido un perjuicio, se presumirá que el perjuicio se produjo como represalia por denunciar o hacer una revelación pública. En tales casos, corresponderá a la persona que haya tomado la medida perjudicial probar que esa medida se basó en motivos debidamente justificados.”</w:t>
      </w:r>
    </w:p>
    <w:p w14:paraId="2BBDB1C3" w14:textId="1D1B16AD" w:rsidR="003A6E34" w:rsidRPr="003A6E34" w:rsidRDefault="003A6E34" w:rsidP="00BB76EE">
      <w:pPr>
        <w:pStyle w:val="Standard"/>
        <w:spacing w:after="120" w:line="276" w:lineRule="auto"/>
        <w:jc w:val="both"/>
        <w:rPr>
          <w:rFonts w:ascii="Arial" w:hAnsi="Arial"/>
          <w:sz w:val="21"/>
          <w:szCs w:val="21"/>
        </w:rPr>
      </w:pPr>
      <w:r w:rsidRPr="003A6E34">
        <w:rPr>
          <w:rFonts w:ascii="Arial" w:hAnsi="Arial"/>
          <w:color w:val="000000"/>
          <w:sz w:val="21"/>
          <w:szCs w:val="21"/>
        </w:rPr>
        <w:t xml:space="preserve">Asimismo, </w:t>
      </w:r>
      <w:r w:rsidRPr="003A6E34">
        <w:rPr>
          <w:rFonts w:ascii="Arial" w:hAnsi="Arial"/>
          <w:sz w:val="21"/>
          <w:szCs w:val="21"/>
        </w:rPr>
        <w:t xml:space="preserve">deberá recogerse expresamente en las normas de función pública, estatal y autonómicas, el derecho de los funcionarios a la protección en el caso de que denuncien, informen o alerten de hechos que pueden dar lugar a responsabilidades legales, la prohibición de represalias, y el establecimiento de </w:t>
      </w:r>
      <w:r w:rsidRPr="003A6E34">
        <w:rPr>
          <w:rFonts w:ascii="Arial" w:hAnsi="Arial"/>
          <w:b/>
          <w:bCs/>
          <w:sz w:val="21"/>
          <w:szCs w:val="21"/>
        </w:rPr>
        <w:t>canales de denuncia, internos y externos</w:t>
      </w:r>
      <w:r w:rsidRPr="003A6E34">
        <w:rPr>
          <w:rFonts w:ascii="Arial" w:hAnsi="Arial"/>
          <w:sz w:val="21"/>
          <w:szCs w:val="21"/>
        </w:rPr>
        <w:t xml:space="preserve">. </w:t>
      </w:r>
    </w:p>
    <w:p w14:paraId="26855841" w14:textId="5570682E" w:rsidR="003A6E34" w:rsidRPr="003A6E34" w:rsidRDefault="003A6E34" w:rsidP="00BB76EE">
      <w:pPr>
        <w:pStyle w:val="Standard"/>
        <w:spacing w:after="120" w:line="276" w:lineRule="auto"/>
        <w:jc w:val="both"/>
        <w:rPr>
          <w:rFonts w:ascii="Arial" w:hAnsi="Arial"/>
          <w:color w:val="000000"/>
          <w:sz w:val="21"/>
          <w:szCs w:val="21"/>
        </w:rPr>
      </w:pPr>
      <w:r w:rsidRPr="003A6E34">
        <w:rPr>
          <w:rFonts w:ascii="Arial" w:hAnsi="Arial"/>
          <w:sz w:val="21"/>
          <w:szCs w:val="21"/>
        </w:rPr>
        <w:t xml:space="preserve">Los canales de denuncia ya sean internos o externos, deberán contar con la posibilidad de permitir la admisión de </w:t>
      </w:r>
      <w:r w:rsidRPr="003A6E34">
        <w:rPr>
          <w:rFonts w:ascii="Arial" w:hAnsi="Arial"/>
          <w:b/>
          <w:bCs/>
          <w:sz w:val="21"/>
          <w:szCs w:val="21"/>
        </w:rPr>
        <w:t>denuncias anónimas</w:t>
      </w:r>
      <w:r w:rsidRPr="003A6E34">
        <w:rPr>
          <w:rFonts w:ascii="Arial" w:hAnsi="Arial"/>
          <w:sz w:val="21"/>
          <w:szCs w:val="21"/>
        </w:rPr>
        <w:t xml:space="preserve"> como fuente de información, como viene apoyando nuestra jurisprudencia del Tribunal Supremo. La configuración técnica </w:t>
      </w:r>
      <w:r w:rsidRPr="003A6E34">
        <w:rPr>
          <w:rFonts w:ascii="Arial" w:hAnsi="Arial"/>
          <w:color w:val="000000"/>
          <w:sz w:val="21"/>
          <w:szCs w:val="21"/>
        </w:rPr>
        <w:t xml:space="preserve">de estos canales de denuncia deberá permitir la interacción con las personas denunciantes, anónimas o identificadas, tal y como en la actualidad realiza el Buzón de Denuncias de esta Agencia, en los términos fijados por la </w:t>
      </w:r>
      <w:hyperlink r:id="rId252" w:history="1">
        <w:r w:rsidRPr="003A6E34">
          <w:rPr>
            <w:rStyle w:val="Hipervnculo"/>
            <w:rFonts w:ascii="Arial" w:hAnsi="Arial"/>
            <w:sz w:val="21"/>
            <w:szCs w:val="21"/>
          </w:rPr>
          <w:t>Resolución de 25 de abril de 2018, del director de la Agencia de Prevención y Lucha contra el Fraude y la Corrupción de la Comunitat Valenciana, por la que se crea el Buzón de Denuncias de la Agencia y se regula su funcionamiento.</w:t>
        </w:r>
      </w:hyperlink>
      <w:r w:rsidRPr="003A6E34">
        <w:rPr>
          <w:rFonts w:ascii="Arial" w:hAnsi="Arial"/>
          <w:color w:val="000000"/>
          <w:sz w:val="21"/>
          <w:szCs w:val="21"/>
        </w:rPr>
        <w:t xml:space="preserve"> </w:t>
      </w:r>
    </w:p>
    <w:p w14:paraId="2098DE2B" w14:textId="79DEEB3D" w:rsidR="003A6E34" w:rsidRPr="003A6E34" w:rsidRDefault="003A6E34" w:rsidP="00BB76EE">
      <w:pPr>
        <w:pStyle w:val="Standard"/>
        <w:spacing w:after="120" w:line="276" w:lineRule="auto"/>
        <w:jc w:val="both"/>
        <w:rPr>
          <w:rFonts w:ascii="Arial" w:hAnsi="Arial"/>
          <w:sz w:val="21"/>
          <w:szCs w:val="21"/>
        </w:rPr>
      </w:pPr>
      <w:r w:rsidRPr="003A6E34">
        <w:rPr>
          <w:rFonts w:ascii="Arial" w:hAnsi="Arial"/>
          <w:sz w:val="21"/>
          <w:szCs w:val="21"/>
        </w:rPr>
        <w:t xml:space="preserve">Debe dejarse constancia de la importancia, en aras al buen funcionamiento del sistema de detección de fraude y corrupción, de que </w:t>
      </w:r>
      <w:r w:rsidRPr="003A6E34">
        <w:rPr>
          <w:rFonts w:ascii="Arial" w:hAnsi="Arial"/>
          <w:b/>
          <w:bCs/>
          <w:sz w:val="21"/>
          <w:szCs w:val="21"/>
        </w:rPr>
        <w:t>la gestión de los canales de denuncia</w:t>
      </w:r>
      <w:r w:rsidRPr="003A6E34">
        <w:rPr>
          <w:rFonts w:ascii="Arial" w:hAnsi="Arial"/>
          <w:sz w:val="21"/>
          <w:szCs w:val="21"/>
        </w:rPr>
        <w:t xml:space="preserve"> se realice por personal independiente, neutral, capaz y formado, que actúe con imparcialidad y objetividad y con garantías de que sus derechos no se verán perjudicados como consecuencia de las funciones desarrolladas.</w:t>
      </w:r>
    </w:p>
    <w:p w14:paraId="5E3B9215" w14:textId="5459A1D3" w:rsidR="003A6E34" w:rsidRPr="003A6E34" w:rsidRDefault="003A6E34" w:rsidP="00BB76EE">
      <w:pPr>
        <w:pStyle w:val="Standard"/>
        <w:spacing w:after="120" w:line="276" w:lineRule="auto"/>
        <w:jc w:val="both"/>
        <w:rPr>
          <w:rFonts w:ascii="Arial" w:hAnsi="Arial"/>
          <w:sz w:val="21"/>
          <w:szCs w:val="21"/>
        </w:rPr>
      </w:pPr>
      <w:r w:rsidRPr="003A6E34">
        <w:rPr>
          <w:rFonts w:ascii="Arial" w:hAnsi="Arial"/>
          <w:sz w:val="21"/>
          <w:szCs w:val="21"/>
        </w:rPr>
        <w:t xml:space="preserve">La regulación de estos canales de denuncias deberá garantizar la </w:t>
      </w:r>
      <w:r w:rsidRPr="003A6E34">
        <w:rPr>
          <w:rFonts w:ascii="Arial" w:hAnsi="Arial"/>
          <w:b/>
          <w:bCs/>
          <w:sz w:val="21"/>
          <w:szCs w:val="21"/>
        </w:rPr>
        <w:t>confidencialidad</w:t>
      </w:r>
      <w:r w:rsidRPr="003A6E34">
        <w:rPr>
          <w:rFonts w:ascii="Arial" w:hAnsi="Arial"/>
          <w:sz w:val="21"/>
          <w:szCs w:val="21"/>
        </w:rPr>
        <w:t xml:space="preserve"> de la información obtenida así como la necesaria salvaguarda de la identidad del denunciante, debiendo preverse en la regulación normativa que se adopte sobre la materia que ninguna persona o institución tendrá acceso ni a la denuncia, ni a la identidad del denunciante, ni a las actuaciones previas y de investigación que se realicen en el curso del procedimiento, excepto a requerimiento de un juez en una causa penal. </w:t>
      </w:r>
    </w:p>
    <w:p w14:paraId="34E51771" w14:textId="0DA1F1D3" w:rsidR="003A6E34" w:rsidRPr="003A6E34" w:rsidRDefault="003A6E34" w:rsidP="00BB76EE">
      <w:pPr>
        <w:pStyle w:val="Standard"/>
        <w:spacing w:after="120" w:line="276" w:lineRule="auto"/>
        <w:jc w:val="both"/>
        <w:rPr>
          <w:rFonts w:ascii="Arial" w:hAnsi="Arial"/>
          <w:color w:val="000000"/>
          <w:sz w:val="21"/>
          <w:szCs w:val="21"/>
        </w:rPr>
      </w:pPr>
      <w:r w:rsidRPr="003A6E34">
        <w:rPr>
          <w:rFonts w:ascii="Arial" w:hAnsi="Arial"/>
          <w:sz w:val="21"/>
          <w:szCs w:val="21"/>
        </w:rPr>
        <w:t xml:space="preserve">Con base en la confidencialidad como elemento indiscutible en la lucha contra el fraude que tanto daña los intereses generales, la </w:t>
      </w:r>
      <w:hyperlink r:id="rId253" w:history="1">
        <w:r w:rsidRPr="003A6E34">
          <w:rPr>
            <w:rStyle w:val="Hipervnculo"/>
            <w:rFonts w:ascii="Arial" w:hAnsi="Arial"/>
            <w:sz w:val="21"/>
            <w:szCs w:val="21"/>
          </w:rPr>
          <w:t>Directiva (UE) 2019/1937</w:t>
        </w:r>
      </w:hyperlink>
      <w:r w:rsidRPr="003A6E34">
        <w:rPr>
          <w:rFonts w:ascii="Arial" w:hAnsi="Arial"/>
          <w:color w:val="0070C0"/>
          <w:sz w:val="21"/>
          <w:szCs w:val="21"/>
        </w:rPr>
        <w:t xml:space="preserve"> </w:t>
      </w:r>
      <w:r w:rsidRPr="003A6E34">
        <w:rPr>
          <w:rFonts w:ascii="Arial" w:hAnsi="Arial"/>
          <w:sz w:val="21"/>
          <w:szCs w:val="21"/>
        </w:rPr>
        <w:t xml:space="preserve">contempla hasta 34 referencias a la misma: considerandos 3, 26, 28, 36, 49, 53, 54, 55, 60, 62, 69, 73, 77, 82, 84, 85, 89, 91, 97 y 100, y artículos 5, 8, 9, 12, </w:t>
      </w:r>
      <w:r w:rsidRPr="003A6E34">
        <w:rPr>
          <w:rFonts w:ascii="Arial" w:hAnsi="Arial"/>
          <w:color w:val="000000"/>
          <w:sz w:val="21"/>
          <w:szCs w:val="21"/>
        </w:rPr>
        <w:t>13, 16, 18 y 23. En dichas normas, la Directiva obliga a implantar en los Estados miembros canales de denuncia efectivos, confidenciales y seguros, a proteger la integridad de las investigaciones y procedimientos y los derechos de defensa de las personas afectadas, a salvaguardar la confidencialidad de la identidad del denunciante durante el proceso de denuncia y las investigaciones desencadenadas por la denuncia, permite investigar con total confidencialidad denuncias e incluso exige sancionar a quienes incumplan el deber de confidencialidad.</w:t>
      </w:r>
    </w:p>
    <w:p w14:paraId="2F6EA2D6" w14:textId="18C6DAC9" w:rsidR="003A6E34" w:rsidRPr="003A6E34" w:rsidRDefault="003A6E34" w:rsidP="00BB76EE">
      <w:pPr>
        <w:pStyle w:val="Standard"/>
        <w:spacing w:after="120" w:line="276" w:lineRule="auto"/>
        <w:jc w:val="both"/>
        <w:rPr>
          <w:rFonts w:ascii="Arial" w:hAnsi="Arial"/>
          <w:color w:val="000000"/>
          <w:sz w:val="21"/>
          <w:szCs w:val="21"/>
        </w:rPr>
      </w:pPr>
      <w:r w:rsidRPr="003A6E34">
        <w:rPr>
          <w:rFonts w:ascii="Arial" w:hAnsi="Arial"/>
          <w:color w:val="000000"/>
          <w:sz w:val="21"/>
          <w:szCs w:val="21"/>
        </w:rPr>
        <w:t xml:space="preserve">Asimismo, a la confidencialidad se refiere el citado </w:t>
      </w:r>
      <w:hyperlink r:id="rId254" w:history="1">
        <w:r w:rsidRPr="003A6E34">
          <w:rPr>
            <w:rStyle w:val="Hipervnculo"/>
            <w:rFonts w:ascii="Arial" w:hAnsi="Arial"/>
            <w:sz w:val="21"/>
            <w:szCs w:val="21"/>
          </w:rPr>
          <w:t>Acuerdo adoptado por el Pleno del Consejo General del Poder Judicial en su reunión del día 26 de marzo de 2020</w:t>
        </w:r>
      </w:hyperlink>
      <w:r w:rsidRPr="003A6E34">
        <w:rPr>
          <w:rFonts w:ascii="Arial" w:hAnsi="Arial"/>
          <w:color w:val="000000"/>
          <w:sz w:val="21"/>
          <w:szCs w:val="21"/>
        </w:rPr>
        <w:t>, de manera especial en sus puntos 45, 96 y 129.</w:t>
      </w:r>
    </w:p>
    <w:p w14:paraId="6ACE64D7" w14:textId="1FC40E2A" w:rsidR="003A6E34" w:rsidRPr="003A6E34" w:rsidRDefault="003A6E34" w:rsidP="00BB76EE">
      <w:pPr>
        <w:pStyle w:val="Default"/>
        <w:spacing w:after="120" w:line="276" w:lineRule="auto"/>
        <w:jc w:val="both"/>
        <w:rPr>
          <w:sz w:val="21"/>
          <w:szCs w:val="21"/>
        </w:rPr>
      </w:pPr>
      <w:r w:rsidRPr="003A6E34">
        <w:rPr>
          <w:sz w:val="21"/>
          <w:szCs w:val="21"/>
        </w:rPr>
        <w:t xml:space="preserve">La confidencialidad y reserva de las actuaciones de investigación abiertas o en curso está plenamente justificada, pues no puede entenderse sino como una auténtica necesidad para evitar perjuicios tanto a la persona o entidad investigada, como a la persona que denuncia, informa o colabora y, fundamentalmente, para la consecución del éxito y buen fin de la investigación, de forma neutral e independiente, y sin filtraciones ni injerencias. Es decir, la confidencialidad es imprescindible para la eficacia de la investigación y al mismo tiempo para la necesaria protección de los derechos de denunciantes y denunciados: </w:t>
      </w:r>
      <w:r w:rsidRPr="003A6E34">
        <w:rPr>
          <w:bCs/>
          <w:sz w:val="21"/>
          <w:szCs w:val="21"/>
        </w:rPr>
        <w:t>la seguridad personal de los afectados en el procedimiento de investigación (artículo 17 CE), el derecho a su intimidad e integridad y el secreto de las comunicaciones (artículo 18 CE), y la garantía de indemnidad, el derecho a un proceso sin dilaciones indebidas y con todas las garantías y la presunción de inocencia (artículo 24 CE).</w:t>
      </w:r>
    </w:p>
    <w:p w14:paraId="0449F768" w14:textId="3F601D20" w:rsidR="003A6E34" w:rsidRPr="003A6E34" w:rsidRDefault="003A6E34" w:rsidP="00BB76EE">
      <w:pPr>
        <w:spacing w:after="120" w:line="276" w:lineRule="auto"/>
        <w:jc w:val="both"/>
        <w:rPr>
          <w:rFonts w:ascii="Arial" w:eastAsia="Times New Roman" w:hAnsi="Arial" w:cs="Arial"/>
          <w:sz w:val="21"/>
          <w:szCs w:val="21"/>
          <w:lang w:eastAsia="es-ES"/>
        </w:rPr>
      </w:pPr>
      <w:r w:rsidRPr="003A6E34">
        <w:rPr>
          <w:rFonts w:ascii="Arial" w:eastAsia="Times New Roman" w:hAnsi="Arial" w:cs="Arial"/>
          <w:sz w:val="21"/>
          <w:szCs w:val="21"/>
          <w:lang w:eastAsia="es-ES"/>
        </w:rPr>
        <w:t>Por lo que se refiere a las solicitudes de documentación dirigidas a la AVAF sobre expedientes de investigación en curso, que vienen realizando algunos grupos políticos con presencia en el Parlamento valenciano, en fecha reciente esta Agencia formuló consulta a los Estados miembros de la Red de Autoridades Europeas de Integridad y Alertadores (en sus siglas en inglés, NEIWA), acerca de si en sus respectivos países habían tenido una experiencia similar. La respuesta fue taxativa: No.</w:t>
      </w:r>
    </w:p>
    <w:p w14:paraId="66B8AB24" w14:textId="654A337B" w:rsidR="003A6E34" w:rsidRPr="003A6E34" w:rsidRDefault="003A6E34" w:rsidP="00BB76EE">
      <w:pPr>
        <w:spacing w:after="120" w:line="276" w:lineRule="auto"/>
        <w:jc w:val="both"/>
        <w:rPr>
          <w:rFonts w:ascii="Arial" w:eastAsia="Times New Roman" w:hAnsi="Arial" w:cs="Arial"/>
          <w:sz w:val="21"/>
          <w:szCs w:val="21"/>
          <w:lang w:eastAsia="es-ES"/>
        </w:rPr>
      </w:pPr>
      <w:r w:rsidRPr="003A6E34">
        <w:rPr>
          <w:rFonts w:ascii="Arial" w:eastAsia="Times New Roman" w:hAnsi="Arial" w:cs="Arial"/>
          <w:sz w:val="21"/>
          <w:szCs w:val="21"/>
          <w:lang w:eastAsia="es-ES"/>
        </w:rPr>
        <w:t>La Red NEIWA, de la que forma parte la AVAF y sobre la que ya hemos hablado en anteriores epígrafes de esta Memoria, está compuesta por diferentes autoridades públicas especializadas que representan a veintiún Estados europeos que tienen como objetivo la promoción y salvaguarda de la integridad en sus respectivos Estados, gestionan e investigan denuncias como órganos de control externo, y asesoran y protegen a personas que denuncian o alertan sobre hechos irregulares en aras al bien común.</w:t>
      </w:r>
    </w:p>
    <w:p w14:paraId="3CEABC60" w14:textId="6AA5F43C" w:rsidR="003A6E34" w:rsidRPr="003A6E34" w:rsidRDefault="003A6E34" w:rsidP="00BB76EE">
      <w:pPr>
        <w:spacing w:after="120" w:line="276" w:lineRule="auto"/>
        <w:jc w:val="both"/>
        <w:rPr>
          <w:rFonts w:ascii="Arial" w:eastAsia="Times New Roman" w:hAnsi="Arial" w:cs="Arial"/>
          <w:sz w:val="21"/>
          <w:szCs w:val="21"/>
          <w:lang w:eastAsia="es-ES"/>
        </w:rPr>
      </w:pPr>
      <w:r w:rsidRPr="003A6E34">
        <w:rPr>
          <w:rFonts w:ascii="Arial" w:eastAsia="Times New Roman" w:hAnsi="Arial" w:cs="Arial"/>
          <w:sz w:val="21"/>
          <w:szCs w:val="21"/>
          <w:lang w:eastAsia="es-ES"/>
        </w:rPr>
        <w:t xml:space="preserve">El propio presidente de la citada Red, la autoridad holandesa </w:t>
      </w:r>
      <w:r w:rsidRPr="003A6E34">
        <w:rPr>
          <w:rFonts w:ascii="Arial" w:eastAsia="Times New Roman" w:hAnsi="Arial" w:cs="Arial"/>
          <w:i/>
          <w:iCs/>
          <w:sz w:val="21"/>
          <w:szCs w:val="21"/>
          <w:lang w:eastAsia="es-ES"/>
        </w:rPr>
        <w:t>Huis Voor Klokkenluiders</w:t>
      </w:r>
      <w:r w:rsidRPr="003A6E34">
        <w:rPr>
          <w:rFonts w:ascii="Arial" w:eastAsia="Times New Roman" w:hAnsi="Arial" w:cs="Arial"/>
          <w:sz w:val="21"/>
          <w:szCs w:val="21"/>
          <w:lang w:eastAsia="es-ES"/>
        </w:rPr>
        <w:t xml:space="preserve">, manifestó que dicha situación no se ha producido nunca en los Países Bajos y que las agencias u oficinas públicas que tienen este cometido no deben ofrecer, a quienes se dirigen a ella, ninguna duda sobre la confidencialidad puesto que ello podría provocar una grave alarma y generar desconfianza. Refería, sin embargo, como caso particular que se había producido en el seno de su institución, precisamente lo contrario: el Parlamento holandés había reprendido mediante una moción, dirigida </w:t>
      </w:r>
      <w:r w:rsidRPr="005D6D8B">
        <w:rPr>
          <w:rFonts w:ascii="Arial" w:eastAsia="Times New Roman" w:hAnsi="Arial" w:cs="Arial"/>
          <w:sz w:val="21"/>
          <w:szCs w:val="21"/>
          <w:lang w:eastAsia="es-ES"/>
        </w:rPr>
        <w:t xml:space="preserve">a un ministro, la filtración </w:t>
      </w:r>
      <w:r w:rsidRPr="003A6E34">
        <w:rPr>
          <w:rFonts w:ascii="Arial" w:eastAsia="Times New Roman" w:hAnsi="Arial" w:cs="Arial"/>
          <w:sz w:val="21"/>
          <w:szCs w:val="21"/>
          <w:lang w:eastAsia="es-ES"/>
        </w:rPr>
        <w:t>en sus investigaciones e informes que, posiblemente (no se llegó a acreditar), se había originado en un departamento a su servicio.</w:t>
      </w:r>
    </w:p>
    <w:p w14:paraId="60A7AD56" w14:textId="7B9799FB" w:rsidR="003A6E34" w:rsidRPr="003A6E34" w:rsidRDefault="003A6E34" w:rsidP="00BB76EE">
      <w:pPr>
        <w:spacing w:after="120" w:line="276" w:lineRule="auto"/>
        <w:jc w:val="both"/>
        <w:rPr>
          <w:rFonts w:ascii="Arial" w:eastAsia="Times New Roman" w:hAnsi="Arial" w:cs="Arial"/>
          <w:sz w:val="21"/>
          <w:szCs w:val="21"/>
          <w:lang w:eastAsia="es-ES"/>
        </w:rPr>
      </w:pPr>
      <w:r w:rsidRPr="003A6E34">
        <w:rPr>
          <w:rFonts w:ascii="Arial" w:eastAsia="Times New Roman" w:hAnsi="Arial" w:cs="Arial"/>
          <w:sz w:val="21"/>
          <w:szCs w:val="21"/>
          <w:lang w:eastAsia="es-ES"/>
        </w:rPr>
        <w:t>Por su parte, señalaba otra autoridad presente en NEIWA que nadie debe tener acceso al informe de investigación, excepto el juez de instrucción, requiriéndolo explícita y formalmente en el contexto de una causa penal. La confidencialidad de la investigación es una condición clave para la existencia de un sistema de denuncias que ofrezca confianza.</w:t>
      </w:r>
    </w:p>
    <w:p w14:paraId="257DAC6E" w14:textId="547EC5CC" w:rsidR="00C66AF3" w:rsidRDefault="003A6E34" w:rsidP="00BB76EE">
      <w:pPr>
        <w:pStyle w:val="NormalWeb"/>
        <w:spacing w:before="0" w:beforeAutospacing="0" w:after="120" w:line="276" w:lineRule="auto"/>
        <w:jc w:val="both"/>
        <w:rPr>
          <w:rFonts w:ascii="Arial" w:hAnsi="Arial" w:cs="Arial"/>
          <w:sz w:val="21"/>
          <w:szCs w:val="21"/>
        </w:rPr>
      </w:pPr>
      <w:r w:rsidRPr="003A6E34">
        <w:rPr>
          <w:rFonts w:ascii="Arial" w:hAnsi="Arial" w:cs="Arial"/>
          <w:sz w:val="21"/>
          <w:szCs w:val="21"/>
        </w:rPr>
        <w:t>Todos los miembros de la Red de Autoridades Europeas de Integridad y Alertadores (NEIWA), sin excepción, señalan que respetar la confidencialidad es una de las condiciones básicas de la Directiva de la Unión Europea.</w:t>
      </w:r>
    </w:p>
    <w:p w14:paraId="1E76FF20" w14:textId="0A945348" w:rsidR="00BB76EE" w:rsidRPr="00BB76EE" w:rsidRDefault="00BB76EE" w:rsidP="00BB76EE">
      <w:pPr>
        <w:pStyle w:val="NormalWeb"/>
        <w:spacing w:before="0" w:beforeAutospacing="0" w:after="120" w:line="276" w:lineRule="auto"/>
        <w:jc w:val="both"/>
        <w:rPr>
          <w:rFonts w:ascii="Arial" w:hAnsi="Arial" w:cs="Arial"/>
          <w:sz w:val="21"/>
          <w:szCs w:val="21"/>
        </w:rPr>
      </w:pPr>
      <w:r w:rsidRPr="00BB76EE">
        <w:rPr>
          <w:rFonts w:ascii="Arial" w:hAnsi="Arial" w:cs="Arial"/>
          <w:sz w:val="21"/>
          <w:szCs w:val="21"/>
        </w:rPr>
        <w:t xml:space="preserve">Para finalizar esta Memoria, que se presenta en el año en que vence el plazo para la transposición al ordenamiento jurídico español de la Directiva (EU) 2019/1937, </w:t>
      </w:r>
      <w:r w:rsidRPr="00BB76EE">
        <w:rPr>
          <w:rFonts w:ascii="Arial" w:hAnsi="Arial" w:cs="Arial"/>
          <w:color w:val="000000"/>
          <w:sz w:val="21"/>
          <w:szCs w:val="21"/>
          <w:lang w:eastAsia="zh-CN"/>
        </w:rPr>
        <w:t xml:space="preserve">relativa a la protección de los </w:t>
      </w:r>
      <w:r w:rsidRPr="00BB76EE">
        <w:rPr>
          <w:rFonts w:ascii="Arial" w:hAnsi="Arial" w:cs="Arial"/>
          <w:i/>
          <w:iCs/>
          <w:color w:val="000000"/>
          <w:sz w:val="21"/>
          <w:szCs w:val="21"/>
          <w:lang w:eastAsia="zh-CN"/>
        </w:rPr>
        <w:t xml:space="preserve">whistleblowers, </w:t>
      </w:r>
      <w:r w:rsidRPr="00BB76EE">
        <w:rPr>
          <w:rFonts w:ascii="Arial" w:hAnsi="Arial" w:cs="Arial"/>
          <w:color w:val="000000"/>
          <w:sz w:val="21"/>
          <w:szCs w:val="21"/>
          <w:lang w:eastAsia="zh-CN"/>
        </w:rPr>
        <w:t>y cuyo hito más relevante, además de la protección a las personas denunciantes y su asesoramiento jurídico, es el establecimiento generalizado de cauces de denuncia, internos y externos, en el sector público y en el privado, junto con la designación de una autoridad estatal responsable en este ámbito, se recomienda a las Corts Valencianes a instar al Congreso de los Diputados al cumplimiento definitivo en España de la Convención de Naciones Unidas contra la Corrupción, y en consecuencia, a proceder a la mayor brevedad posible al diseño y aprobación de la necesaria estrategia nacional.</w:t>
      </w:r>
    </w:p>
    <w:p w14:paraId="736F6240" w14:textId="1697FA6F" w:rsidR="00DF3EAE" w:rsidRDefault="00C66AF3" w:rsidP="009F6D85">
      <w:pPr>
        <w:rPr>
          <w:rFonts w:ascii="Arial" w:hAnsi="Arial" w:cs="Arial"/>
          <w:color w:val="000000" w:themeColor="text1"/>
          <w:sz w:val="21"/>
          <w:szCs w:val="21"/>
        </w:rPr>
      </w:pPr>
      <w:r>
        <w:rPr>
          <w:rFonts w:ascii="Arial" w:hAnsi="Arial" w:cs="Arial"/>
          <w:sz w:val="21"/>
          <w:szCs w:val="21"/>
        </w:rPr>
        <w:br w:type="page"/>
      </w:r>
    </w:p>
    <w:p w14:paraId="52EF72A5" w14:textId="77777777" w:rsidR="00096F00" w:rsidRPr="00096F00" w:rsidRDefault="00096F00" w:rsidP="000D0217">
      <w:pPr>
        <w:pStyle w:val="NormalWeb"/>
        <w:spacing w:before="360" w:beforeAutospacing="0" w:after="240" w:line="276" w:lineRule="auto"/>
        <w:jc w:val="both"/>
        <w:outlineLvl w:val="1"/>
        <w:rPr>
          <w:rFonts w:ascii="Arial" w:hAnsi="Arial" w:cs="Arial"/>
          <w:color w:val="000000" w:themeColor="text1"/>
          <w:sz w:val="21"/>
          <w:szCs w:val="21"/>
        </w:rPr>
      </w:pPr>
    </w:p>
    <w:p w14:paraId="3D434E44" w14:textId="273D3D8F" w:rsidR="00176040" w:rsidRPr="00973028" w:rsidRDefault="00176040" w:rsidP="00176040">
      <w:pPr>
        <w:rPr>
          <w:rFonts w:ascii="Arial" w:hAnsi="Arial" w:cs="Arial"/>
          <w:color w:val="000000" w:themeColor="text1"/>
          <w:sz w:val="21"/>
          <w:szCs w:val="21"/>
        </w:rPr>
      </w:pPr>
      <w:r w:rsidRPr="00973028">
        <w:rPr>
          <w:rFonts w:ascii="Arial" w:hAnsi="Arial" w:cs="Arial"/>
          <w:noProof/>
          <w:color w:val="000000" w:themeColor="text1"/>
          <w:sz w:val="21"/>
          <w:szCs w:val="21"/>
        </w:rPr>
        <w:drawing>
          <wp:anchor distT="0" distB="0" distL="114300" distR="114300" simplePos="0" relativeHeight="251739136" behindDoc="1" locked="0" layoutInCell="1" allowOverlap="1" wp14:anchorId="63522785" wp14:editId="16AACD56">
            <wp:simplePos x="0" y="0"/>
            <wp:positionH relativeFrom="margin">
              <wp:align>center</wp:align>
            </wp:positionH>
            <wp:positionV relativeFrom="paragraph">
              <wp:posOffset>3404482</wp:posOffset>
            </wp:positionV>
            <wp:extent cx="4733925" cy="1156970"/>
            <wp:effectExtent l="0" t="0" r="9525" b="5080"/>
            <wp:wrapTight wrapText="bothSides">
              <wp:wrapPolygon edited="0">
                <wp:start x="0" y="0"/>
                <wp:lineTo x="0" y="21339"/>
                <wp:lineTo x="21557" y="21339"/>
                <wp:lineTo x="21557" y="0"/>
                <wp:lineTo x="0" y="0"/>
              </wp:wrapPolygon>
            </wp:wrapTight>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4733925" cy="1156970"/>
                    </a:xfrm>
                    <a:prstGeom prst="rect">
                      <a:avLst/>
                    </a:prstGeom>
                  </pic:spPr>
                </pic:pic>
              </a:graphicData>
            </a:graphic>
            <wp14:sizeRelH relativeFrom="margin">
              <wp14:pctWidth>0</wp14:pctWidth>
            </wp14:sizeRelH>
            <wp14:sizeRelV relativeFrom="margin">
              <wp14:pctHeight>0</wp14:pctHeight>
            </wp14:sizeRelV>
          </wp:anchor>
        </w:drawing>
      </w:r>
    </w:p>
    <w:sectPr w:rsidR="00176040" w:rsidRPr="00973028" w:rsidSect="00DD0CB6">
      <w:headerReference w:type="even" r:id="rId256"/>
      <w:headerReference w:type="default" r:id="rId257"/>
      <w:headerReference w:type="first" r:id="rId258"/>
      <w:footerReference w:type="first" r:id="rId259"/>
      <w:pgSz w:w="11906" w:h="16838" w:code="9"/>
      <w:pgMar w:top="1134" w:right="1701" w:bottom="1985"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CFB8D" w14:textId="77777777" w:rsidR="0049312F" w:rsidRDefault="0049312F" w:rsidP="000E2A66">
      <w:pPr>
        <w:spacing w:after="0" w:line="240" w:lineRule="auto"/>
      </w:pPr>
      <w:r>
        <w:separator/>
      </w:r>
    </w:p>
  </w:endnote>
  <w:endnote w:type="continuationSeparator" w:id="0">
    <w:p w14:paraId="634814E6" w14:textId="77777777" w:rsidR="0049312F" w:rsidRDefault="0049312F" w:rsidP="000E2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OpenSymbol;Arial Unicode MS">
    <w:altName w:val="Cambria"/>
    <w:panose1 w:val="00000000000000000000"/>
    <w:charset w:val="00"/>
    <w:family w:val="roman"/>
    <w:notTrueType/>
    <w:pitch w:val="default"/>
  </w:font>
  <w:font w:name="Liberation Sans;Arial">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iberation Serif">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Droid Sans Fallback">
    <w:altName w:val="Segoe UI"/>
    <w:charset w:val="00"/>
    <w:family w:val="auto"/>
    <w:pitch w:val="variable"/>
  </w:font>
  <w:font w:name="FreeSans">
    <w:altName w:val="Calibri"/>
    <w:charset w:val="00"/>
    <w:family w:val="auto"/>
    <w:pitch w:val="variable"/>
  </w:font>
  <w:font w:name="Liberation Sans">
    <w:panose1 w:val="020B0604020202020204"/>
    <w:charset w:val="00"/>
    <w:family w:val="swiss"/>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Liberation Mono">
    <w:panose1 w:val="02070409020205020404"/>
    <w:charset w:val="00"/>
    <w:family w:val="modern"/>
    <w:pitch w:val="fixed"/>
    <w:sig w:usb0="E0000AFF" w:usb1="400078FF" w:usb2="0000000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iberation Sans1">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Open Sans Light">
    <w:charset w:val="00"/>
    <w:family w:val="swiss"/>
    <w:pitch w:val="variable"/>
    <w:sig w:usb0="E00002EF" w:usb1="4000205B" w:usb2="00000028" w:usb3="00000000" w:csb0="0000019F" w:csb1="00000000"/>
  </w:font>
  <w:font w:name="TimesNewRomanPSMT">
    <w:panose1 w:val="00000000000000000000"/>
    <w:charset w:val="00"/>
    <w:family w:val="roman"/>
    <w:notTrueType/>
    <w:pitch w:val="default"/>
  </w:font>
  <w:font w:name="ArialMT">
    <w:altName w:val="Arial"/>
    <w:charset w:val="00"/>
    <w:family w:val="roman"/>
    <w:pitch w:val="variable"/>
  </w:font>
  <w:font w:name="MillerText-Roman">
    <w:panose1 w:val="00000000000000000000"/>
    <w:charset w:val="00"/>
    <w:family w:val="roman"/>
    <w:notTrueType/>
    <w:pitch w:val="default"/>
  </w:font>
  <w:font w:name="HelveticaNeue-Bold">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CC788" w14:textId="28F06A08" w:rsidR="004D416C" w:rsidRDefault="004D416C">
    <w:pPr>
      <w:pStyle w:val="Piedepgina"/>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4D416C" w14:paraId="476E1F00" w14:textId="77777777" w:rsidTr="00C57B6C">
      <w:trPr>
        <w:trHeight w:val="323"/>
        <w:jc w:val="center"/>
      </w:trPr>
      <w:tc>
        <w:tcPr>
          <w:tcW w:w="8494" w:type="dxa"/>
        </w:tcPr>
        <w:p w14:paraId="08B94A90" w14:textId="0BC65E48" w:rsidR="004D416C" w:rsidRPr="00B46EE6" w:rsidRDefault="004D416C" w:rsidP="00C57B6C">
          <w:pPr>
            <w:pStyle w:val="Piedepgina"/>
            <w:jc w:val="center"/>
            <w:rPr>
              <w:b/>
            </w:rPr>
          </w:pPr>
          <w:r>
            <w:rPr>
              <w:b/>
              <w:noProof/>
            </w:rPr>
            <w:drawing>
              <wp:inline distT="0" distB="0" distL="0" distR="0" wp14:anchorId="541BAD26" wp14:editId="01EEF6B0">
                <wp:extent cx="457200" cy="262800"/>
                <wp:effectExtent l="0" t="0" r="0" b="4445"/>
                <wp:docPr id="1" name="Imagen 1" descr="Imagen que contiene utensilios de cocina,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utensilios de cocina,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57200" cy="262800"/>
                        </a:xfrm>
                        <a:prstGeom prst="rect">
                          <a:avLst/>
                        </a:prstGeom>
                      </pic:spPr>
                    </pic:pic>
                  </a:graphicData>
                </a:graphic>
              </wp:inline>
            </w:drawing>
          </w:r>
        </w:p>
      </w:tc>
    </w:tr>
    <w:tr w:rsidR="004D416C" w14:paraId="4A831B97" w14:textId="77777777" w:rsidTr="00C57B6C">
      <w:trPr>
        <w:trHeight w:val="323"/>
        <w:jc w:val="center"/>
      </w:trPr>
      <w:tc>
        <w:tcPr>
          <w:tcW w:w="8494" w:type="dxa"/>
        </w:tcPr>
        <w:p w14:paraId="53038E9E" w14:textId="1C5CF65A" w:rsidR="004D416C" w:rsidRPr="00AB7CD4" w:rsidRDefault="004D416C" w:rsidP="004B45BE">
          <w:pPr>
            <w:pStyle w:val="Piedepgina"/>
            <w:tabs>
              <w:tab w:val="left" w:pos="210"/>
              <w:tab w:val="center" w:pos="4139"/>
            </w:tabs>
            <w:jc w:val="center"/>
            <w:rPr>
              <w:noProof/>
            </w:rPr>
          </w:pPr>
          <w:r w:rsidRPr="000915ED">
            <w:rPr>
              <w:b/>
            </w:rPr>
            <w:fldChar w:fldCharType="begin"/>
          </w:r>
          <w:r w:rsidRPr="000915ED">
            <w:rPr>
              <w:b/>
            </w:rPr>
            <w:instrText>PAGE   \* MERGEFORMAT</w:instrText>
          </w:r>
          <w:r w:rsidRPr="000915ED">
            <w:rPr>
              <w:b/>
            </w:rPr>
            <w:fldChar w:fldCharType="separate"/>
          </w:r>
          <w:r>
            <w:rPr>
              <w:b/>
            </w:rPr>
            <w:t>4</w:t>
          </w:r>
          <w:r w:rsidRPr="000915ED">
            <w:rPr>
              <w:b/>
            </w:rPr>
            <w:fldChar w:fldCharType="end"/>
          </w:r>
        </w:p>
      </w:tc>
    </w:tr>
  </w:tbl>
  <w:p w14:paraId="534B2CFA" w14:textId="77777777" w:rsidR="004D416C" w:rsidRPr="00F43152" w:rsidRDefault="004D416C">
    <w:pPr>
      <w:pStyle w:val="Piedepgina"/>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4D416C" w14:paraId="3AB18072" w14:textId="77777777" w:rsidTr="00B90EA4">
      <w:trPr>
        <w:jc w:val="center"/>
      </w:trPr>
      <w:tc>
        <w:tcPr>
          <w:tcW w:w="8494" w:type="dxa"/>
        </w:tcPr>
        <w:p w14:paraId="16078CCE" w14:textId="190622BC" w:rsidR="004D416C" w:rsidRDefault="004D416C" w:rsidP="007C1729">
          <w:pPr>
            <w:pStyle w:val="Piedepgina"/>
            <w:jc w:val="center"/>
            <w:rPr>
              <w:b/>
              <w:sz w:val="10"/>
              <w:szCs w:val="10"/>
            </w:rPr>
          </w:pPr>
        </w:p>
      </w:tc>
    </w:tr>
  </w:tbl>
  <w:p w14:paraId="107A8772" w14:textId="64FAA04B" w:rsidR="004D416C" w:rsidRPr="00E71133" w:rsidRDefault="004D416C">
    <w:pPr>
      <w:pStyle w:val="Piedepgina"/>
      <w:rPr>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E4926" w14:textId="67FCFE15" w:rsidR="004D416C" w:rsidRDefault="004D416C" w:rsidP="00FD5832">
    <w:pPr>
      <w:pStyle w:val="Piedepgina"/>
      <w:rPr>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4D416C" w14:paraId="11C4A02F" w14:textId="77777777" w:rsidTr="00C57B6C">
      <w:trPr>
        <w:trHeight w:val="323"/>
        <w:jc w:val="center"/>
      </w:trPr>
      <w:tc>
        <w:tcPr>
          <w:tcW w:w="8494" w:type="dxa"/>
        </w:tcPr>
        <w:p w14:paraId="76F435E6" w14:textId="2A5EE375" w:rsidR="004D416C" w:rsidRPr="00C649A9" w:rsidRDefault="004D416C" w:rsidP="00C57B6C">
          <w:pPr>
            <w:pStyle w:val="Piedepgina"/>
            <w:jc w:val="center"/>
            <w:rPr>
              <w:b/>
            </w:rPr>
          </w:pPr>
          <w:r>
            <w:rPr>
              <w:b/>
              <w:noProof/>
            </w:rPr>
            <w:drawing>
              <wp:inline distT="0" distB="0" distL="0" distR="0" wp14:anchorId="1548CEEE" wp14:editId="26FB6C5F">
                <wp:extent cx="457200" cy="262800"/>
                <wp:effectExtent l="0" t="0" r="0" b="4445"/>
                <wp:docPr id="278" name="Imagen 278" descr="Imagen que contiene utensilios de cocina,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utensilios de cocina,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57200" cy="262800"/>
                        </a:xfrm>
                        <a:prstGeom prst="rect">
                          <a:avLst/>
                        </a:prstGeom>
                      </pic:spPr>
                    </pic:pic>
                  </a:graphicData>
                </a:graphic>
              </wp:inline>
            </w:drawing>
          </w:r>
        </w:p>
      </w:tc>
    </w:tr>
    <w:tr w:rsidR="004D416C" w14:paraId="0BBA9249" w14:textId="77777777" w:rsidTr="00C57B6C">
      <w:trPr>
        <w:trHeight w:val="323"/>
        <w:jc w:val="center"/>
      </w:trPr>
      <w:tc>
        <w:tcPr>
          <w:tcW w:w="8494" w:type="dxa"/>
        </w:tcPr>
        <w:p w14:paraId="04354C3E" w14:textId="5374CAF0" w:rsidR="004D416C" w:rsidRPr="00AB7CD4" w:rsidRDefault="004D416C" w:rsidP="00C57B6C">
          <w:pPr>
            <w:pStyle w:val="Piedepgina"/>
            <w:jc w:val="center"/>
            <w:rPr>
              <w:noProof/>
            </w:rPr>
          </w:pPr>
          <w:r w:rsidRPr="000915ED">
            <w:rPr>
              <w:b/>
            </w:rPr>
            <w:fldChar w:fldCharType="begin"/>
          </w:r>
          <w:r w:rsidRPr="000915ED">
            <w:rPr>
              <w:b/>
            </w:rPr>
            <w:instrText>PAGE   \* MERGEFORMAT</w:instrText>
          </w:r>
          <w:r w:rsidRPr="000915ED">
            <w:rPr>
              <w:b/>
            </w:rPr>
            <w:fldChar w:fldCharType="separate"/>
          </w:r>
          <w:r>
            <w:rPr>
              <w:b/>
            </w:rPr>
            <w:t>5</w:t>
          </w:r>
          <w:r w:rsidRPr="000915ED">
            <w:rPr>
              <w:b/>
            </w:rPr>
            <w:fldChar w:fldCharType="end"/>
          </w:r>
        </w:p>
      </w:tc>
    </w:tr>
  </w:tbl>
  <w:p w14:paraId="4C12C828" w14:textId="77777777" w:rsidR="004D416C" w:rsidRPr="00A140F9" w:rsidRDefault="004D416C" w:rsidP="00FD5832">
    <w:pPr>
      <w:pStyle w:val="Piedepgina"/>
      <w:rPr>
        <w:b/>
        <w:sz w:val="10"/>
        <w:szCs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D7713" w14:textId="231769A6" w:rsidR="004D416C" w:rsidRPr="00C12B0A" w:rsidRDefault="004D416C">
    <w:pPr>
      <w:pStyle w:val="Piedepgina"/>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4D416C" w14:paraId="2A30DDFB" w14:textId="77777777" w:rsidTr="00017E5E">
      <w:trPr>
        <w:jc w:val="center"/>
      </w:trPr>
      <w:tc>
        <w:tcPr>
          <w:tcW w:w="8494" w:type="dxa"/>
        </w:tcPr>
        <w:p w14:paraId="7A16D51B" w14:textId="77777777" w:rsidR="004D416C" w:rsidRPr="000915ED" w:rsidRDefault="004D416C" w:rsidP="00C12B0A">
          <w:pPr>
            <w:pStyle w:val="Piedepgina"/>
            <w:jc w:val="center"/>
            <w:rPr>
              <w:sz w:val="10"/>
              <w:szCs w:val="10"/>
            </w:rPr>
          </w:pPr>
          <w:r w:rsidRPr="00AB7CD4">
            <w:rPr>
              <w:noProof/>
            </w:rPr>
            <w:drawing>
              <wp:inline distT="0" distB="0" distL="0" distR="0" wp14:anchorId="2FC0B6E2" wp14:editId="0F34C7A2">
                <wp:extent cx="496800" cy="208800"/>
                <wp:effectExtent l="0" t="0" r="0" b="127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96800" cy="208800"/>
                        </a:xfrm>
                        <a:prstGeom prst="rect">
                          <a:avLst/>
                        </a:prstGeom>
                      </pic:spPr>
                    </pic:pic>
                  </a:graphicData>
                </a:graphic>
              </wp:inline>
            </w:drawing>
          </w:r>
        </w:p>
        <w:sdt>
          <w:sdtPr>
            <w:rPr>
              <w:sz w:val="10"/>
              <w:szCs w:val="10"/>
            </w:rPr>
            <w:id w:val="-1363742566"/>
            <w:docPartObj>
              <w:docPartGallery w:val="Page Numbers (Bottom of Page)"/>
              <w:docPartUnique/>
            </w:docPartObj>
          </w:sdtPr>
          <w:sdtEndPr>
            <w:rPr>
              <w:b/>
              <w:sz w:val="24"/>
              <w:szCs w:val="24"/>
            </w:rPr>
          </w:sdtEndPr>
          <w:sdtContent>
            <w:p w14:paraId="58FA7600" w14:textId="77777777" w:rsidR="004D416C" w:rsidRPr="000915ED" w:rsidRDefault="004D416C" w:rsidP="00C12B0A">
              <w:pPr>
                <w:pStyle w:val="Piedepgina"/>
                <w:jc w:val="center"/>
                <w:rPr>
                  <w:sz w:val="10"/>
                  <w:szCs w:val="10"/>
                </w:rPr>
              </w:pPr>
              <w:r w:rsidRPr="000915ED">
                <w:rPr>
                  <w:b/>
                  <w:noProof/>
                  <w:sz w:val="10"/>
                  <w:szCs w:val="10"/>
                </w:rPr>
                <mc:AlternateContent>
                  <mc:Choice Requires="wps">
                    <w:drawing>
                      <wp:anchor distT="0" distB="0" distL="114300" distR="114300" simplePos="0" relativeHeight="251699200" behindDoc="0" locked="0" layoutInCell="1" allowOverlap="1" wp14:anchorId="76DB48EC" wp14:editId="1B4D0464">
                        <wp:simplePos x="0" y="0"/>
                        <wp:positionH relativeFrom="margin">
                          <wp:posOffset>2248535</wp:posOffset>
                        </wp:positionH>
                        <wp:positionV relativeFrom="paragraph">
                          <wp:posOffset>44449</wp:posOffset>
                        </wp:positionV>
                        <wp:extent cx="742950" cy="0"/>
                        <wp:effectExtent l="0" t="0" r="0" b="0"/>
                        <wp:wrapNone/>
                        <wp:docPr id="202" name="Conector recto 202"/>
                        <wp:cNvGraphicFramePr/>
                        <a:graphic xmlns:a="http://schemas.openxmlformats.org/drawingml/2006/main">
                          <a:graphicData uri="http://schemas.microsoft.com/office/word/2010/wordprocessingShape">
                            <wps:wsp>
                              <wps:cNvCnPr/>
                              <wps:spPr>
                                <a:xfrm flipV="1">
                                  <a:off x="0" y="0"/>
                                  <a:ext cx="742950" cy="0"/>
                                </a:xfrm>
                                <a:prstGeom prst="line">
                                  <a:avLst/>
                                </a:prstGeom>
                                <a:noFill/>
                                <a:ln w="12700" cap="flat" cmpd="sng" algn="ctr">
                                  <a:solidFill>
                                    <a:srgbClr val="9D223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EB05E8" id="Conector recto 202" o:spid="_x0000_s1026" style="position:absolute;flip: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7.05pt,3.5pt" to="235.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Z5EzQEAAH4DAAAOAAAAZHJzL2Uyb0RvYy54bWysU01v2zAMvQ/YfxB0X+x669oacXpI0F2G&#10;LsDa3RVZsgXoC6QWJ/++lOwGXXcb5oNMifSj3uPz+v7kLDsqQBN8x69WNWfKy9AbP3T8+enh0y1n&#10;mITvhQ1edfyskN9vPn5YT7FVTRiD7RUwAvHYTrHjY0qxrSqUo3ICVyEqT0kdwIlEWxiqHsRE6M5W&#10;TV1/raYAfYQgFSKd7uYk3xR8rZVMP7RGlZjtON0tlRXKeshrtVmLdgARRyOXa4h/uIUTxlPTC9RO&#10;JMF+g/kLyhkJAYNOKxlcFbQ2UhUOxOaqfsfm5yiiKlxIHIwXmfD/wcrH4x6Y6Tve1A1nXjga0pZG&#10;JVMABvnFcoZ0miK2VL71e1h2GPeQSZ80OKatib/IAkUGIsZOReXzRWV1SkzS4c2X5u6aZiFfU9WM&#10;kJEiYPqmgmM56Lg1PvMXrTh+x0RdqfS1JB/78GCsLTO0nk3UvbmpM7QgK2krEoUuEjn0A2fCDuRR&#10;maBAYrCmz59nIIThsLXAjoJ8crdrms/XmTK1+6Ms994JHOe6kpod5EwiG1vjOn5b52f52vqMrooR&#10;FwZZxlm4HB1Cfy56VnlHQy5NF0NmF73dU/z2t9m8AAAA//8DAFBLAwQUAAYACAAAACEATscpOtoA&#10;AAAHAQAADwAAAGRycy9kb3ducmV2LnhtbEyPy07DMBBF90j8gzVI7KiTUghK41QVAqEs27Jh58RT&#10;O6ofUew24e8Z2NDl0b26c6bazM6yC46xD15AvsiAoe+C6r0W8Hl4f3gBFpP0StrgUcA3RtjUtzeV&#10;LFWY/A4v+6QZjfhYSgEmpaHkPHYGnYyLMKCn7BhGJxPhqLka5UTjzvJllj1zJ3tPF4wc8NVgd9qf&#10;nYCd0Qcsjq1upo9t0X81zdvSDkLc383bNbCEc/ovw68+qUNNTm04exWZFfD4tMqpKqCglyhfFTlx&#10;+8e8rvi1f/0DAAD//wMAUEsBAi0AFAAGAAgAAAAhALaDOJL+AAAA4QEAABMAAAAAAAAAAAAAAAAA&#10;AAAAAFtDb250ZW50X1R5cGVzXS54bWxQSwECLQAUAAYACAAAACEAOP0h/9YAAACUAQAACwAAAAAA&#10;AAAAAAAAAAAvAQAAX3JlbHMvLnJlbHNQSwECLQAUAAYACAAAACEAFNmeRM0BAAB+AwAADgAAAAAA&#10;AAAAAAAAAAAuAgAAZHJzL2Uyb0RvYy54bWxQSwECLQAUAAYACAAAACEATscpOtoAAAAHAQAADwAA&#10;AAAAAAAAAAAAAAAnBAAAZHJzL2Rvd25yZXYueG1sUEsFBgAAAAAEAAQA8wAAAC4FAAAAAA==&#10;" strokecolor="#9d2235" strokeweight="1pt">
                        <v:stroke joinstyle="miter"/>
                        <w10:wrap anchorx="margin"/>
                      </v:line>
                    </w:pict>
                  </mc:Fallback>
                </mc:AlternateContent>
              </w:r>
            </w:p>
            <w:p w14:paraId="1B8DCE52" w14:textId="77777777" w:rsidR="004D416C" w:rsidRDefault="004D416C" w:rsidP="00C12B0A">
              <w:pPr>
                <w:pStyle w:val="Piedepgina"/>
                <w:jc w:val="center"/>
                <w:rPr>
                  <w:b/>
                  <w:sz w:val="10"/>
                  <w:szCs w:val="10"/>
                </w:rPr>
              </w:pPr>
              <w:r w:rsidRPr="000915ED">
                <w:rPr>
                  <w:b/>
                </w:rPr>
                <w:fldChar w:fldCharType="begin"/>
              </w:r>
              <w:r w:rsidRPr="000915ED">
                <w:rPr>
                  <w:b/>
                </w:rPr>
                <w:instrText>PAGE   \* MERGEFORMAT</w:instrText>
              </w:r>
              <w:r w:rsidRPr="000915ED">
                <w:rPr>
                  <w:b/>
                </w:rPr>
                <w:fldChar w:fldCharType="separate"/>
              </w:r>
              <w:r>
                <w:rPr>
                  <w:b/>
                </w:rPr>
                <w:t>202</w:t>
              </w:r>
              <w:r w:rsidRPr="000915ED">
                <w:rPr>
                  <w:b/>
                </w:rPr>
                <w:fldChar w:fldCharType="end"/>
              </w:r>
            </w:p>
          </w:sdtContent>
        </w:sdt>
      </w:tc>
    </w:tr>
  </w:tbl>
  <w:p w14:paraId="543CC3B8" w14:textId="77777777" w:rsidR="004D416C" w:rsidRPr="00E71133" w:rsidRDefault="004D416C">
    <w:pPr>
      <w:pStyle w:val="Piedepgina"/>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A62F2" w14:textId="77777777" w:rsidR="0049312F" w:rsidRDefault="0049312F" w:rsidP="000E2A66">
      <w:pPr>
        <w:spacing w:after="0" w:line="240" w:lineRule="auto"/>
      </w:pPr>
      <w:r>
        <w:separator/>
      </w:r>
    </w:p>
  </w:footnote>
  <w:footnote w:type="continuationSeparator" w:id="0">
    <w:p w14:paraId="2C9B4C72" w14:textId="77777777" w:rsidR="0049312F" w:rsidRDefault="0049312F" w:rsidP="000E2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4D416C" w14:paraId="4827B884" w14:textId="1AC85977" w:rsidTr="0095711F">
      <w:tc>
        <w:tcPr>
          <w:tcW w:w="8494" w:type="dxa"/>
        </w:tcPr>
        <w:p w14:paraId="7E88BBB4" w14:textId="7F2C3942" w:rsidR="004D416C" w:rsidRPr="008145AC" w:rsidRDefault="004D416C" w:rsidP="000826AD">
          <w:pPr>
            <w:spacing w:line="288" w:lineRule="auto"/>
            <w:rPr>
              <w:rFonts w:ascii="Arial" w:eastAsia="Times New Roman" w:hAnsi="Arial" w:cs="Arial"/>
              <w:smallCaps/>
              <w:color w:val="9D2235"/>
              <w:sz w:val="19"/>
              <w:szCs w:val="19"/>
              <w:lang w:eastAsia="es-ES"/>
            </w:rPr>
          </w:pPr>
          <w:bookmarkStart w:id="0" w:name="_Hlk35951285"/>
          <w:r>
            <w:rPr>
              <w:rFonts w:ascii="Arial" w:eastAsia="Times New Roman" w:hAnsi="Arial" w:cs="Arial"/>
              <w:b/>
              <w:bCs/>
              <w:smallCaps/>
              <w:color w:val="9D2235"/>
              <w:sz w:val="19"/>
              <w:szCs w:val="19"/>
              <w:lang w:eastAsia="es-ES"/>
            </w:rPr>
            <w:t>Memoria de actividad de la Agencia Valenciana Antifraude</w:t>
          </w:r>
        </w:p>
        <w:p w14:paraId="5E95D51C" w14:textId="0BEDE8CA" w:rsidR="004D416C" w:rsidRPr="004D194D" w:rsidRDefault="004D416C" w:rsidP="000826AD">
          <w:pPr>
            <w:spacing w:line="288" w:lineRule="auto"/>
            <w:rPr>
              <w:rFonts w:ascii="Arial" w:hAnsi="Arial" w:cs="Arial"/>
              <w:b/>
              <w:bCs/>
              <w:smallCaps/>
              <w:color w:val="FFFFFF" w:themeColor="background1"/>
              <w:sz w:val="19"/>
              <w:szCs w:val="19"/>
              <w:highlight w:val="darkRed"/>
            </w:rPr>
          </w:pPr>
          <w:r w:rsidRPr="004D194D">
            <w:rPr>
              <w:rFonts w:ascii="Arial" w:hAnsi="Arial" w:cs="Arial"/>
              <w:b/>
              <w:bCs/>
              <w:smallCaps/>
              <w:color w:val="FFFFFF" w:themeColor="background1"/>
              <w:sz w:val="19"/>
              <w:szCs w:val="19"/>
              <w:highlight w:val="darkRed"/>
            </w:rPr>
            <w:t>2020</w:t>
          </w:r>
        </w:p>
        <w:p w14:paraId="351D8297" w14:textId="77777777" w:rsidR="004D416C" w:rsidRDefault="004D416C" w:rsidP="000826AD">
          <w:pPr>
            <w:spacing w:line="288" w:lineRule="auto"/>
            <w:rPr>
              <w:rFonts w:ascii="Open Sans" w:eastAsia="Times New Roman" w:hAnsi="Open Sans" w:cs="Open Sans"/>
              <w:b/>
              <w:bCs/>
              <w:smallCaps/>
              <w:color w:val="94070A"/>
              <w:sz w:val="18"/>
              <w:szCs w:val="18"/>
              <w:lang w:eastAsia="es-ES"/>
            </w:rPr>
          </w:pPr>
        </w:p>
      </w:tc>
    </w:tr>
    <w:bookmarkEnd w:id="0"/>
  </w:tbl>
  <w:p w14:paraId="36DE7BBE" w14:textId="5DDCE777" w:rsidR="004D416C" w:rsidRPr="00E71133" w:rsidRDefault="004D416C">
    <w:pPr>
      <w:pStyle w:val="Encabezado"/>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tblGrid>
    <w:tr w:rsidR="004D416C" w:rsidRPr="008637FD" w14:paraId="551740F5" w14:textId="77777777" w:rsidTr="000826AD">
      <w:tc>
        <w:tcPr>
          <w:tcW w:w="8500" w:type="dxa"/>
        </w:tcPr>
        <w:p w14:paraId="38209595" w14:textId="77777777" w:rsidR="004D416C" w:rsidRPr="008637FD" w:rsidRDefault="004D416C" w:rsidP="0049550C">
          <w:pPr>
            <w:spacing w:line="288" w:lineRule="auto"/>
            <w:jc w:val="right"/>
            <w:rPr>
              <w:rFonts w:ascii="Open Sans" w:eastAsia="Times New Roman" w:hAnsi="Open Sans" w:cs="Open Sans"/>
              <w:b/>
              <w:bCs/>
              <w:smallCaps/>
              <w:color w:val="9D2235"/>
              <w:sz w:val="19"/>
              <w:szCs w:val="19"/>
              <w:lang w:eastAsia="es-ES"/>
            </w:rPr>
          </w:pPr>
          <w:bookmarkStart w:id="1" w:name="_Hlk34119562"/>
        </w:p>
      </w:tc>
    </w:tr>
    <w:bookmarkEnd w:id="1"/>
  </w:tbl>
  <w:p w14:paraId="7823C9F2" w14:textId="77777777" w:rsidR="004D416C" w:rsidRPr="00E71133" w:rsidRDefault="004D416C" w:rsidP="00851C2E">
    <w:pPr>
      <w:spacing w:after="0" w:line="288" w:lineRule="auto"/>
      <w:rPr>
        <w:rFonts w:ascii="Open Sans" w:eastAsia="Times New Roman" w:hAnsi="Open Sans" w:cs="Open Sans"/>
        <w:b/>
        <w:bCs/>
        <w:smallCaps/>
        <w:color w:val="94070A"/>
        <w:sz w:val="10"/>
        <w:szCs w:val="10"/>
        <w:lang w:eastAsia="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tblGrid>
    <w:tr w:rsidR="004D416C" w:rsidRPr="008637FD" w14:paraId="34B38B6C" w14:textId="77777777" w:rsidTr="000826AD">
      <w:tc>
        <w:tcPr>
          <w:tcW w:w="8500" w:type="dxa"/>
        </w:tcPr>
        <w:p w14:paraId="15626B20" w14:textId="77777777" w:rsidR="004D416C" w:rsidRPr="008145AC" w:rsidRDefault="004D416C" w:rsidP="00A03993">
          <w:pPr>
            <w:spacing w:line="288" w:lineRule="auto"/>
            <w:jc w:val="right"/>
            <w:rPr>
              <w:rFonts w:ascii="Arial" w:eastAsia="Times New Roman" w:hAnsi="Arial" w:cs="Arial"/>
              <w:color w:val="9D2235"/>
              <w:sz w:val="19"/>
              <w:szCs w:val="19"/>
              <w:lang w:eastAsia="es-ES"/>
            </w:rPr>
          </w:pPr>
          <w:r w:rsidRPr="008145AC">
            <w:rPr>
              <w:rFonts w:ascii="Arial" w:eastAsia="Times New Roman" w:hAnsi="Arial" w:cs="Arial"/>
              <w:b/>
              <w:bCs/>
              <w:smallCaps/>
              <w:color w:val="9D2235"/>
              <w:sz w:val="19"/>
              <w:szCs w:val="19"/>
              <w:lang w:eastAsia="es-ES"/>
            </w:rPr>
            <w:t>Memoria de actividad de la Agencia Valenciana Antifraude</w:t>
          </w:r>
        </w:p>
        <w:p w14:paraId="7BB467FD" w14:textId="191AF1CB" w:rsidR="004D416C" w:rsidRPr="004D194D" w:rsidRDefault="004D416C" w:rsidP="00A03993">
          <w:pPr>
            <w:spacing w:line="288" w:lineRule="auto"/>
            <w:jc w:val="right"/>
            <w:rPr>
              <w:rFonts w:ascii="Arial" w:hAnsi="Arial" w:cs="Arial"/>
              <w:b/>
              <w:bCs/>
              <w:smallCaps/>
              <w:color w:val="FFFFFF" w:themeColor="background1"/>
              <w:sz w:val="19"/>
              <w:szCs w:val="19"/>
              <w:highlight w:val="darkRed"/>
            </w:rPr>
          </w:pPr>
          <w:r w:rsidRPr="004D194D">
            <w:rPr>
              <w:rFonts w:ascii="Arial" w:hAnsi="Arial" w:cs="Arial"/>
              <w:b/>
              <w:bCs/>
              <w:smallCaps/>
              <w:color w:val="FFFFFF" w:themeColor="background1"/>
              <w:sz w:val="19"/>
              <w:szCs w:val="19"/>
              <w:highlight w:val="darkRed"/>
            </w:rPr>
            <w:t>2020</w:t>
          </w:r>
        </w:p>
        <w:p w14:paraId="79F48587" w14:textId="77777777" w:rsidR="004D416C" w:rsidRPr="008637FD" w:rsidRDefault="004D416C" w:rsidP="0049550C">
          <w:pPr>
            <w:spacing w:line="288" w:lineRule="auto"/>
            <w:jc w:val="right"/>
            <w:rPr>
              <w:rFonts w:ascii="Open Sans" w:eastAsia="Times New Roman" w:hAnsi="Open Sans" w:cs="Open Sans"/>
              <w:b/>
              <w:bCs/>
              <w:smallCaps/>
              <w:color w:val="9D2235"/>
              <w:sz w:val="19"/>
              <w:szCs w:val="19"/>
              <w:lang w:eastAsia="es-ES"/>
            </w:rPr>
          </w:pPr>
        </w:p>
      </w:tc>
    </w:tr>
  </w:tbl>
  <w:p w14:paraId="66F87FFB" w14:textId="77777777" w:rsidR="004D416C" w:rsidRPr="00E71133" w:rsidRDefault="004D416C" w:rsidP="00851C2E">
    <w:pPr>
      <w:spacing w:after="0" w:line="288" w:lineRule="auto"/>
      <w:rPr>
        <w:rFonts w:ascii="Open Sans" w:eastAsia="Times New Roman" w:hAnsi="Open Sans" w:cs="Open Sans"/>
        <w:b/>
        <w:bCs/>
        <w:smallCaps/>
        <w:color w:val="94070A"/>
        <w:sz w:val="10"/>
        <w:szCs w:val="10"/>
        <w:lang w:eastAsia="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7"/>
    </w:tblGrid>
    <w:tr w:rsidR="004D416C" w:rsidRPr="008637FD" w14:paraId="7FC0E825" w14:textId="77777777" w:rsidTr="003B28A6">
      <w:tc>
        <w:tcPr>
          <w:tcW w:w="13467" w:type="dxa"/>
        </w:tcPr>
        <w:p w14:paraId="260BA05F" w14:textId="77777777" w:rsidR="004D416C" w:rsidRPr="008145AC" w:rsidRDefault="004D416C" w:rsidP="00A03993">
          <w:pPr>
            <w:spacing w:line="288" w:lineRule="auto"/>
            <w:jc w:val="right"/>
            <w:rPr>
              <w:rFonts w:ascii="Arial" w:eastAsia="Times New Roman" w:hAnsi="Arial" w:cs="Arial"/>
              <w:color w:val="9D2235"/>
              <w:sz w:val="19"/>
              <w:szCs w:val="19"/>
              <w:lang w:eastAsia="es-ES"/>
            </w:rPr>
          </w:pPr>
          <w:r w:rsidRPr="008145AC">
            <w:rPr>
              <w:rFonts w:ascii="Arial" w:eastAsia="Times New Roman" w:hAnsi="Arial" w:cs="Arial"/>
              <w:b/>
              <w:bCs/>
              <w:smallCaps/>
              <w:color w:val="9D2235"/>
              <w:sz w:val="19"/>
              <w:szCs w:val="19"/>
              <w:lang w:eastAsia="es-ES"/>
            </w:rPr>
            <w:t>Memoria de actividad de la Agencia Valenciana Antifraude</w:t>
          </w:r>
        </w:p>
        <w:p w14:paraId="271417C8" w14:textId="77777777" w:rsidR="004D416C" w:rsidRPr="004D194D" w:rsidRDefault="004D416C" w:rsidP="00A03993">
          <w:pPr>
            <w:spacing w:line="288" w:lineRule="auto"/>
            <w:jc w:val="right"/>
            <w:rPr>
              <w:rFonts w:ascii="Arial" w:hAnsi="Arial" w:cs="Arial"/>
              <w:b/>
              <w:bCs/>
              <w:smallCaps/>
              <w:color w:val="FFFFFF" w:themeColor="background1"/>
              <w:sz w:val="19"/>
              <w:szCs w:val="19"/>
              <w:highlight w:val="darkRed"/>
            </w:rPr>
          </w:pPr>
          <w:r w:rsidRPr="004D194D">
            <w:rPr>
              <w:rFonts w:ascii="Arial" w:hAnsi="Arial" w:cs="Arial"/>
              <w:b/>
              <w:bCs/>
              <w:smallCaps/>
              <w:color w:val="FFFFFF" w:themeColor="background1"/>
              <w:sz w:val="19"/>
              <w:szCs w:val="19"/>
              <w:highlight w:val="darkRed"/>
            </w:rPr>
            <w:t>2020</w:t>
          </w:r>
        </w:p>
        <w:p w14:paraId="48E12122" w14:textId="77777777" w:rsidR="004D416C" w:rsidRPr="008637FD" w:rsidRDefault="004D416C" w:rsidP="0049550C">
          <w:pPr>
            <w:spacing w:line="288" w:lineRule="auto"/>
            <w:jc w:val="right"/>
            <w:rPr>
              <w:rFonts w:ascii="Open Sans" w:eastAsia="Times New Roman" w:hAnsi="Open Sans" w:cs="Open Sans"/>
              <w:b/>
              <w:bCs/>
              <w:smallCaps/>
              <w:color w:val="9D2235"/>
              <w:sz w:val="19"/>
              <w:szCs w:val="19"/>
              <w:lang w:eastAsia="es-ES"/>
            </w:rPr>
          </w:pPr>
        </w:p>
      </w:tc>
    </w:tr>
  </w:tbl>
  <w:p w14:paraId="2696C8A2" w14:textId="77777777" w:rsidR="004D416C" w:rsidRPr="00E71133" w:rsidRDefault="004D416C" w:rsidP="00851C2E">
    <w:pPr>
      <w:spacing w:after="0" w:line="288" w:lineRule="auto"/>
      <w:rPr>
        <w:rFonts w:ascii="Open Sans" w:eastAsia="Times New Roman" w:hAnsi="Open Sans" w:cs="Open Sans"/>
        <w:b/>
        <w:bCs/>
        <w:smallCaps/>
        <w:color w:val="94070A"/>
        <w:sz w:val="10"/>
        <w:szCs w:val="10"/>
        <w:lang w:eastAsia="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9F6D85" w14:paraId="31F7D1F9" w14:textId="77777777" w:rsidTr="0095711F">
      <w:tc>
        <w:tcPr>
          <w:tcW w:w="8494" w:type="dxa"/>
        </w:tcPr>
        <w:p w14:paraId="5A89295B" w14:textId="77777777" w:rsidR="009F6D85" w:rsidRPr="008145AC" w:rsidRDefault="009F6D85" w:rsidP="000826AD">
          <w:pPr>
            <w:spacing w:line="288" w:lineRule="auto"/>
            <w:rPr>
              <w:rFonts w:ascii="Arial" w:eastAsia="Times New Roman" w:hAnsi="Arial" w:cs="Arial"/>
              <w:smallCaps/>
              <w:color w:val="9D2235"/>
              <w:sz w:val="19"/>
              <w:szCs w:val="19"/>
              <w:lang w:eastAsia="es-ES"/>
            </w:rPr>
          </w:pPr>
          <w:r>
            <w:rPr>
              <w:rFonts w:ascii="Arial" w:eastAsia="Times New Roman" w:hAnsi="Arial" w:cs="Arial"/>
              <w:b/>
              <w:bCs/>
              <w:smallCaps/>
              <w:color w:val="9D2235"/>
              <w:sz w:val="19"/>
              <w:szCs w:val="19"/>
              <w:lang w:eastAsia="es-ES"/>
            </w:rPr>
            <w:t>Memoria de actividad de la Agencia Valenciana Antifraude</w:t>
          </w:r>
        </w:p>
        <w:p w14:paraId="5B047C45" w14:textId="77777777" w:rsidR="009F6D85" w:rsidRPr="004D194D" w:rsidRDefault="009F6D85" w:rsidP="000826AD">
          <w:pPr>
            <w:spacing w:line="288" w:lineRule="auto"/>
            <w:rPr>
              <w:rFonts w:ascii="Arial" w:hAnsi="Arial" w:cs="Arial"/>
              <w:b/>
              <w:bCs/>
              <w:smallCaps/>
              <w:color w:val="FFFFFF" w:themeColor="background1"/>
              <w:sz w:val="19"/>
              <w:szCs w:val="19"/>
              <w:highlight w:val="darkRed"/>
            </w:rPr>
          </w:pPr>
          <w:r w:rsidRPr="004D194D">
            <w:rPr>
              <w:rFonts w:ascii="Arial" w:hAnsi="Arial" w:cs="Arial"/>
              <w:b/>
              <w:bCs/>
              <w:smallCaps/>
              <w:color w:val="FFFFFF" w:themeColor="background1"/>
              <w:sz w:val="19"/>
              <w:szCs w:val="19"/>
              <w:highlight w:val="darkRed"/>
            </w:rPr>
            <w:t>2020</w:t>
          </w:r>
        </w:p>
        <w:p w14:paraId="562058B4" w14:textId="77777777" w:rsidR="009F6D85" w:rsidRDefault="009F6D85" w:rsidP="000826AD">
          <w:pPr>
            <w:spacing w:line="288" w:lineRule="auto"/>
            <w:rPr>
              <w:rFonts w:ascii="Open Sans" w:eastAsia="Times New Roman" w:hAnsi="Open Sans" w:cs="Open Sans"/>
              <w:b/>
              <w:bCs/>
              <w:smallCaps/>
              <w:color w:val="94070A"/>
              <w:sz w:val="18"/>
              <w:szCs w:val="18"/>
              <w:lang w:eastAsia="es-ES"/>
            </w:rPr>
          </w:pPr>
        </w:p>
      </w:tc>
    </w:tr>
  </w:tbl>
  <w:p w14:paraId="0B3F1C78" w14:textId="77777777" w:rsidR="009F6D85" w:rsidRPr="00E71133" w:rsidRDefault="009F6D85">
    <w:pPr>
      <w:pStyle w:val="Encabezado"/>
      <w:rPr>
        <w:sz w:val="10"/>
        <w:szCs w:val="1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4D416C" w:rsidRPr="008637FD" w14:paraId="1353783B" w14:textId="77777777" w:rsidTr="00F8714B">
      <w:tc>
        <w:tcPr>
          <w:tcW w:w="8647" w:type="dxa"/>
        </w:tcPr>
        <w:p w14:paraId="0BAA14CA" w14:textId="77777777" w:rsidR="004D416C" w:rsidRPr="008145AC" w:rsidRDefault="004D416C" w:rsidP="00A03993">
          <w:pPr>
            <w:spacing w:line="288" w:lineRule="auto"/>
            <w:jc w:val="right"/>
            <w:rPr>
              <w:rFonts w:ascii="Arial" w:eastAsia="Times New Roman" w:hAnsi="Arial" w:cs="Arial"/>
              <w:color w:val="9D2235"/>
              <w:sz w:val="19"/>
              <w:szCs w:val="19"/>
              <w:lang w:eastAsia="es-ES"/>
            </w:rPr>
          </w:pPr>
          <w:r w:rsidRPr="008145AC">
            <w:rPr>
              <w:rFonts w:ascii="Arial" w:eastAsia="Times New Roman" w:hAnsi="Arial" w:cs="Arial"/>
              <w:b/>
              <w:bCs/>
              <w:smallCaps/>
              <w:color w:val="9D2235"/>
              <w:sz w:val="19"/>
              <w:szCs w:val="19"/>
              <w:lang w:eastAsia="es-ES"/>
            </w:rPr>
            <w:t>Memoria de actividad de la Agencia Valenciana Antifraude</w:t>
          </w:r>
        </w:p>
        <w:p w14:paraId="16EC525E" w14:textId="77777777" w:rsidR="004D416C" w:rsidRPr="004D194D" w:rsidRDefault="004D416C" w:rsidP="00A03993">
          <w:pPr>
            <w:spacing w:line="288" w:lineRule="auto"/>
            <w:jc w:val="right"/>
            <w:rPr>
              <w:rFonts w:ascii="Arial" w:hAnsi="Arial" w:cs="Arial"/>
              <w:b/>
              <w:bCs/>
              <w:smallCaps/>
              <w:color w:val="FFFFFF" w:themeColor="background1"/>
              <w:sz w:val="19"/>
              <w:szCs w:val="19"/>
              <w:highlight w:val="darkRed"/>
            </w:rPr>
          </w:pPr>
          <w:r w:rsidRPr="004D194D">
            <w:rPr>
              <w:rFonts w:ascii="Arial" w:hAnsi="Arial" w:cs="Arial"/>
              <w:b/>
              <w:bCs/>
              <w:smallCaps/>
              <w:color w:val="FFFFFF" w:themeColor="background1"/>
              <w:sz w:val="19"/>
              <w:szCs w:val="19"/>
              <w:highlight w:val="darkRed"/>
            </w:rPr>
            <w:t>2020</w:t>
          </w:r>
        </w:p>
        <w:p w14:paraId="0320907B" w14:textId="77777777" w:rsidR="004D416C" w:rsidRPr="008637FD" w:rsidRDefault="004D416C" w:rsidP="0049550C">
          <w:pPr>
            <w:spacing w:line="288" w:lineRule="auto"/>
            <w:jc w:val="right"/>
            <w:rPr>
              <w:rFonts w:ascii="Open Sans" w:eastAsia="Times New Roman" w:hAnsi="Open Sans" w:cs="Open Sans"/>
              <w:b/>
              <w:bCs/>
              <w:smallCaps/>
              <w:color w:val="9D2235"/>
              <w:sz w:val="19"/>
              <w:szCs w:val="19"/>
              <w:lang w:eastAsia="es-ES"/>
            </w:rPr>
          </w:pPr>
        </w:p>
      </w:tc>
    </w:tr>
  </w:tbl>
  <w:p w14:paraId="04383619" w14:textId="77777777" w:rsidR="004D416C" w:rsidRPr="00E71133" w:rsidRDefault="004D416C" w:rsidP="00851C2E">
    <w:pPr>
      <w:spacing w:after="0" w:line="288" w:lineRule="auto"/>
      <w:rPr>
        <w:rFonts w:ascii="Open Sans" w:eastAsia="Times New Roman" w:hAnsi="Open Sans" w:cs="Open Sans"/>
        <w:b/>
        <w:bCs/>
        <w:smallCaps/>
        <w:color w:val="94070A"/>
        <w:sz w:val="10"/>
        <w:szCs w:val="10"/>
        <w:lang w:eastAsia="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883C5" w14:textId="77777777" w:rsidR="004D416C" w:rsidRPr="008637FD" w:rsidRDefault="004D416C" w:rsidP="003C4EAD">
    <w:pPr>
      <w:spacing w:after="0" w:line="288" w:lineRule="auto"/>
      <w:jc w:val="right"/>
      <w:rPr>
        <w:rFonts w:ascii="Times New Roman" w:eastAsia="Times New Roman" w:hAnsi="Times New Roman" w:cs="Times New Roman"/>
        <w:color w:val="9D2235"/>
        <w:sz w:val="19"/>
        <w:szCs w:val="19"/>
        <w:lang w:eastAsia="es-ES"/>
      </w:rPr>
    </w:pPr>
    <w:r w:rsidRPr="008637FD">
      <w:rPr>
        <w:rFonts w:ascii="Open Sans" w:eastAsia="Times New Roman" w:hAnsi="Open Sans" w:cs="Open Sans"/>
        <w:b/>
        <w:bCs/>
        <w:smallCaps/>
        <w:color w:val="9D2235"/>
        <w:sz w:val="19"/>
        <w:szCs w:val="19"/>
        <w:lang w:eastAsia="es-ES"/>
      </w:rPr>
      <w:t xml:space="preserve">Memoria de </w:t>
    </w:r>
    <w:r>
      <w:rPr>
        <w:rFonts w:ascii="Open Sans" w:eastAsia="Times New Roman" w:hAnsi="Open Sans" w:cs="Open Sans"/>
        <w:b/>
        <w:bCs/>
        <w:smallCaps/>
        <w:color w:val="9D2235"/>
        <w:sz w:val="19"/>
        <w:szCs w:val="19"/>
        <w:lang w:eastAsia="es-ES"/>
      </w:rPr>
      <w:t>a</w:t>
    </w:r>
    <w:r w:rsidRPr="008637FD">
      <w:rPr>
        <w:rFonts w:ascii="Open Sans" w:eastAsia="Times New Roman" w:hAnsi="Open Sans" w:cs="Open Sans"/>
        <w:b/>
        <w:bCs/>
        <w:smallCaps/>
        <w:color w:val="9D2235"/>
        <w:sz w:val="19"/>
        <w:szCs w:val="19"/>
        <w:lang w:eastAsia="es-ES"/>
      </w:rPr>
      <w:t>ctividad de la Agencia Valenciana Antifraude</w:t>
    </w:r>
  </w:p>
  <w:p w14:paraId="5FF3E745" w14:textId="28201A09" w:rsidR="004D416C" w:rsidRPr="008637FD" w:rsidRDefault="004D416C" w:rsidP="003C4EAD">
    <w:pPr>
      <w:spacing w:after="0" w:line="288" w:lineRule="auto"/>
      <w:jc w:val="right"/>
      <w:rPr>
        <w:rFonts w:ascii="Open Sans" w:hAnsi="Open Sans" w:cs="Open Sans"/>
        <w:b/>
        <w:bCs/>
        <w:smallCaps/>
        <w:color w:val="FFFFFF" w:themeColor="background1"/>
        <w:sz w:val="19"/>
        <w:szCs w:val="19"/>
        <w:highlight w:val="darkRed"/>
      </w:rPr>
    </w:pPr>
    <w:r w:rsidRPr="008637FD">
      <w:rPr>
        <w:rFonts w:ascii="Open Sans" w:hAnsi="Open Sans" w:cs="Open Sans"/>
        <w:b/>
        <w:bCs/>
        <w:smallCaps/>
        <w:color w:val="FFFFFF" w:themeColor="background1"/>
        <w:sz w:val="19"/>
        <w:szCs w:val="19"/>
        <w:highlight w:val="darkRed"/>
      </w:rPr>
      <w:t>20</w:t>
    </w:r>
    <w:r>
      <w:rPr>
        <w:rFonts w:ascii="Open Sans" w:hAnsi="Open Sans" w:cs="Open Sans"/>
        <w:b/>
        <w:bCs/>
        <w:smallCaps/>
        <w:color w:val="FFFFFF" w:themeColor="background1"/>
        <w:sz w:val="19"/>
        <w:szCs w:val="19"/>
        <w:highlight w:val="darkRed"/>
      </w:rPr>
      <w:t>20</w:t>
    </w:r>
  </w:p>
  <w:p w14:paraId="6E468329" w14:textId="77777777" w:rsidR="004D416C" w:rsidRDefault="004D41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ascii="Arial" w:eastAsia="Calibri" w:hAnsi="Arial" w:cs="Arial"/>
        <w:b/>
        <w:bCs/>
        <w:i/>
        <w:iCs/>
        <w:caps w:val="0"/>
        <w:smallCaps w:val="0"/>
        <w:strike w:val="0"/>
        <w:dstrike w:val="0"/>
        <w:color w:val="000000"/>
        <w:spacing w:val="-3"/>
        <w:kern w:val="2"/>
        <w:sz w:val="24"/>
        <w:szCs w:val="24"/>
        <w:highlight w:val="lightGray"/>
        <w:u w:val="none"/>
        <w:effect w:val="none"/>
        <w:shd w:val="clear" w:color="auto" w:fill="FFFF00"/>
        <w:lang w:val="es-ES" w:eastAsia="zh-CN" w:bidi="ar-SA"/>
      </w:rPr>
    </w:lvl>
    <w:lvl w:ilvl="1">
      <w:start w:val="1"/>
      <w:numFmt w:val="none"/>
      <w:suff w:val="nothing"/>
      <w:lvlText w:val=""/>
      <w:lvlJc w:val="left"/>
      <w:pPr>
        <w:tabs>
          <w:tab w:val="num" w:pos="0"/>
        </w:tabs>
        <w:ind w:left="0" w:firstLine="0"/>
      </w:pPr>
      <w:rPr>
        <w:rFonts w:ascii="Arial" w:hAnsi="Arial" w:cs="Arial"/>
        <w:color w:val="0070C0"/>
        <w:sz w:val="24"/>
        <w:szCs w:val="24"/>
      </w:rPr>
    </w:lvl>
    <w:lvl w:ilvl="2">
      <w:start w:val="1"/>
      <w:numFmt w:val="none"/>
      <w:suff w:val="nothing"/>
      <w:lvlText w:val=""/>
      <w:lvlJc w:val="left"/>
      <w:pPr>
        <w:tabs>
          <w:tab w:val="num" w:pos="0"/>
        </w:tabs>
        <w:ind w:left="0" w:firstLine="0"/>
      </w:pPr>
      <w:rPr>
        <w:rFonts w:ascii="Arial" w:hAnsi="Arial" w:cs="Arial"/>
        <w:color w:val="0070C0"/>
        <w:sz w:val="24"/>
        <w:szCs w:val="24"/>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rPr>
        <w:rFonts w:ascii="Arial" w:hAnsi="Arial" w:cs="Arial"/>
        <w:b/>
        <w:bCs/>
        <w:color w:val="000000"/>
        <w:sz w:val="24"/>
        <w:szCs w:val="24"/>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AA25ED"/>
    <w:multiLevelType w:val="multilevel"/>
    <w:tmpl w:val="445AC5F0"/>
    <w:styleLink w:val="WWNum21"/>
    <w:lvl w:ilvl="0">
      <w:numFmt w:val="bullet"/>
      <w:lvlText w:val=""/>
      <w:lvlJc w:val="left"/>
      <w:pPr>
        <w:ind w:left="720" w:hanging="360"/>
      </w:pPr>
      <w:rPr>
        <w:rFonts w:ascii="Symbol" w:hAnsi="Symbol" w:cs="Symbol"/>
        <w:b w:val="0"/>
        <w:sz w:val="21"/>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0273323F"/>
    <w:multiLevelType w:val="multilevel"/>
    <w:tmpl w:val="B7167C20"/>
    <w:styleLink w:val="WWNum51"/>
    <w:lvl w:ilvl="0">
      <w:start w:val="1"/>
      <w:numFmt w:val="none"/>
      <w:suff w:val="nothing"/>
      <w:lvlText w:val="%1"/>
      <w:lvlJc w:val="left"/>
      <w:pPr>
        <w:ind w:left="0" w:firstLine="0"/>
      </w:pPr>
    </w:lvl>
    <w:lvl w:ilvl="1">
      <w:start w:val="1"/>
      <w:numFmt w:val="none"/>
      <w:suff w:val="nothing"/>
      <w:lvlText w:val="%2"/>
      <w:lvlJc w:val="left"/>
      <w:pPr>
        <w:ind w:left="0" w:firstLine="0"/>
      </w:p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3" w15:restartNumberingAfterBreak="0">
    <w:nsid w:val="030F0501"/>
    <w:multiLevelType w:val="hybridMultilevel"/>
    <w:tmpl w:val="581EE1E2"/>
    <w:lvl w:ilvl="0" w:tplc="42FC27E6">
      <w:start w:val="1"/>
      <w:numFmt w:val="bullet"/>
      <w:pStyle w:val="VietaAVAF"/>
      <w:lvlText w:val=""/>
      <w:lvlJc w:val="left"/>
      <w:pPr>
        <w:ind w:left="720" w:hanging="360"/>
      </w:pPr>
      <w:rPr>
        <w:rFonts w:ascii="Wingdings" w:hAnsi="Wingdings" w:hint="default"/>
        <w:color w:val="9D2235"/>
        <w:sz w:val="28"/>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5F422BA"/>
    <w:multiLevelType w:val="multilevel"/>
    <w:tmpl w:val="F746C2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6334EC"/>
    <w:multiLevelType w:val="hybridMultilevel"/>
    <w:tmpl w:val="DFA07FF0"/>
    <w:lvl w:ilvl="0" w:tplc="0C0A0017">
      <w:start w:val="1"/>
      <w:numFmt w:val="lowerLetter"/>
      <w:lvlText w:val="%1)"/>
      <w:lvlJc w:val="left"/>
      <w:pPr>
        <w:ind w:left="1286" w:hanging="360"/>
      </w:pPr>
    </w:lvl>
    <w:lvl w:ilvl="1" w:tplc="0C0A0019">
      <w:start w:val="1"/>
      <w:numFmt w:val="lowerLetter"/>
      <w:lvlText w:val="%2."/>
      <w:lvlJc w:val="left"/>
      <w:pPr>
        <w:ind w:left="2006" w:hanging="360"/>
      </w:pPr>
    </w:lvl>
    <w:lvl w:ilvl="2" w:tplc="0C0A001B" w:tentative="1">
      <w:start w:val="1"/>
      <w:numFmt w:val="lowerRoman"/>
      <w:lvlText w:val="%3."/>
      <w:lvlJc w:val="right"/>
      <w:pPr>
        <w:ind w:left="2726" w:hanging="180"/>
      </w:pPr>
    </w:lvl>
    <w:lvl w:ilvl="3" w:tplc="0C0A000F" w:tentative="1">
      <w:start w:val="1"/>
      <w:numFmt w:val="decimal"/>
      <w:lvlText w:val="%4."/>
      <w:lvlJc w:val="left"/>
      <w:pPr>
        <w:ind w:left="3446" w:hanging="360"/>
      </w:pPr>
    </w:lvl>
    <w:lvl w:ilvl="4" w:tplc="0C0A0019" w:tentative="1">
      <w:start w:val="1"/>
      <w:numFmt w:val="lowerLetter"/>
      <w:lvlText w:val="%5."/>
      <w:lvlJc w:val="left"/>
      <w:pPr>
        <w:ind w:left="4166" w:hanging="360"/>
      </w:pPr>
    </w:lvl>
    <w:lvl w:ilvl="5" w:tplc="0C0A001B" w:tentative="1">
      <w:start w:val="1"/>
      <w:numFmt w:val="lowerRoman"/>
      <w:lvlText w:val="%6."/>
      <w:lvlJc w:val="right"/>
      <w:pPr>
        <w:ind w:left="4886" w:hanging="180"/>
      </w:pPr>
    </w:lvl>
    <w:lvl w:ilvl="6" w:tplc="0C0A000F" w:tentative="1">
      <w:start w:val="1"/>
      <w:numFmt w:val="decimal"/>
      <w:lvlText w:val="%7."/>
      <w:lvlJc w:val="left"/>
      <w:pPr>
        <w:ind w:left="5606" w:hanging="360"/>
      </w:pPr>
    </w:lvl>
    <w:lvl w:ilvl="7" w:tplc="0C0A0019" w:tentative="1">
      <w:start w:val="1"/>
      <w:numFmt w:val="lowerLetter"/>
      <w:lvlText w:val="%8."/>
      <w:lvlJc w:val="left"/>
      <w:pPr>
        <w:ind w:left="6326" w:hanging="360"/>
      </w:pPr>
    </w:lvl>
    <w:lvl w:ilvl="8" w:tplc="0C0A001B" w:tentative="1">
      <w:start w:val="1"/>
      <w:numFmt w:val="lowerRoman"/>
      <w:lvlText w:val="%9."/>
      <w:lvlJc w:val="right"/>
      <w:pPr>
        <w:ind w:left="7046" w:hanging="180"/>
      </w:pPr>
    </w:lvl>
  </w:abstractNum>
  <w:abstractNum w:abstractNumId="6" w15:restartNumberingAfterBreak="0">
    <w:nsid w:val="07724BF2"/>
    <w:multiLevelType w:val="multilevel"/>
    <w:tmpl w:val="7EA89392"/>
    <w:styleLink w:val="Sinlista1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7" w15:restartNumberingAfterBreak="0">
    <w:nsid w:val="07D47513"/>
    <w:multiLevelType w:val="multilevel"/>
    <w:tmpl w:val="847858E8"/>
    <w:lvl w:ilvl="0">
      <w:start w:val="4"/>
      <w:numFmt w:val="decimal"/>
      <w:lvlText w:val="%1."/>
      <w:lvlJc w:val="left"/>
      <w:pPr>
        <w:ind w:left="360" w:hanging="360"/>
      </w:pPr>
      <w:rPr>
        <w:rFonts w:hint="default"/>
        <w:b/>
        <w:bCs/>
        <w:color w:val="9D2235" w:themeColor="accent1"/>
        <w:sz w:val="200"/>
        <w:szCs w:val="2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89202EC"/>
    <w:multiLevelType w:val="hybridMultilevel"/>
    <w:tmpl w:val="97D8D54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BA32B46"/>
    <w:multiLevelType w:val="hybridMultilevel"/>
    <w:tmpl w:val="D1FA0FBA"/>
    <w:lvl w:ilvl="0" w:tplc="7A429C3C">
      <w:start w:val="1"/>
      <w:numFmt w:val="bullet"/>
      <w:lvlText w:val=""/>
      <w:lvlJc w:val="left"/>
      <w:pPr>
        <w:ind w:left="720" w:hanging="360"/>
      </w:pPr>
      <w:rPr>
        <w:rFonts w:ascii="Wingdings" w:hAnsi="Wingdings" w:hint="default"/>
        <w:color w:val="9D2235"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C5D7D09"/>
    <w:multiLevelType w:val="hybridMultilevel"/>
    <w:tmpl w:val="0BAE7EA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D547D11"/>
    <w:multiLevelType w:val="hybridMultilevel"/>
    <w:tmpl w:val="A4E2FA46"/>
    <w:lvl w:ilvl="0" w:tplc="0C0A0017">
      <w:start w:val="1"/>
      <w:numFmt w:val="lowerLetter"/>
      <w:lvlText w:val="%1)"/>
      <w:lvlJc w:val="left"/>
      <w:pPr>
        <w:ind w:left="1428" w:hanging="360"/>
      </w:p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2" w15:restartNumberingAfterBreak="0">
    <w:nsid w:val="0DC454A8"/>
    <w:multiLevelType w:val="multilevel"/>
    <w:tmpl w:val="B70A7688"/>
    <w:lvl w:ilvl="0">
      <w:start w:val="3"/>
      <w:numFmt w:val="decimal"/>
      <w:lvlText w:val="%1."/>
      <w:lvlJc w:val="left"/>
      <w:pPr>
        <w:ind w:left="360" w:hanging="360"/>
      </w:pPr>
      <w:rPr>
        <w:rFonts w:hint="default"/>
        <w:sz w:val="200"/>
        <w:szCs w:val="2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1854FD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2F0224A"/>
    <w:multiLevelType w:val="hybridMultilevel"/>
    <w:tmpl w:val="7D00C978"/>
    <w:lvl w:ilvl="0" w:tplc="7A429C3C">
      <w:start w:val="1"/>
      <w:numFmt w:val="bullet"/>
      <w:lvlText w:val=""/>
      <w:lvlJc w:val="left"/>
      <w:pPr>
        <w:ind w:left="720" w:hanging="360"/>
      </w:pPr>
      <w:rPr>
        <w:rFonts w:ascii="Wingdings" w:hAnsi="Wingdings" w:hint="default"/>
        <w:color w:val="9D2235"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3AE3275"/>
    <w:multiLevelType w:val="multilevel"/>
    <w:tmpl w:val="1DA82508"/>
    <w:lvl w:ilvl="0">
      <w:start w:val="1"/>
      <w:numFmt w:val="upperLetter"/>
      <w:lvlText w:val="%1."/>
      <w:lvlJc w:val="left"/>
      <w:pPr>
        <w:ind w:left="680" w:hanging="680"/>
      </w:pPr>
      <w:rPr>
        <w:rFonts w:eastAsia="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5C5602D"/>
    <w:multiLevelType w:val="multilevel"/>
    <w:tmpl w:val="C7B4BCF6"/>
    <w:styleLink w:val="WWNum31"/>
    <w:lvl w:ilvl="0">
      <w:numFmt w:val="bullet"/>
      <w:lvlText w:val="•"/>
      <w:lvlJc w:val="left"/>
      <w:pPr>
        <w:ind w:left="720" w:hanging="360"/>
      </w:pPr>
      <w:rPr>
        <w:rFonts w:ascii="Symbol" w:hAnsi="Symbol" w:cs="OpenSymbol"/>
        <w:sz w:val="21"/>
        <w:szCs w:val="28"/>
      </w:rPr>
    </w:lvl>
    <w:lvl w:ilvl="1">
      <w:numFmt w:val="bullet"/>
      <w:lvlText w:val="◦"/>
      <w:lvlJc w:val="left"/>
      <w:pPr>
        <w:ind w:left="1080" w:hanging="360"/>
      </w:pPr>
      <w:rPr>
        <w:rFonts w:ascii="Symbol" w:hAnsi="Symbol" w:cs="OpenSymbol"/>
        <w:sz w:val="28"/>
        <w:szCs w:val="28"/>
      </w:rPr>
    </w:lvl>
    <w:lvl w:ilvl="2">
      <w:numFmt w:val="bullet"/>
      <w:lvlText w:val="▪"/>
      <w:lvlJc w:val="left"/>
      <w:pPr>
        <w:ind w:left="1440" w:hanging="360"/>
      </w:pPr>
      <w:rPr>
        <w:rFonts w:ascii="Symbol" w:hAnsi="Symbol" w:cs="OpenSymbol"/>
        <w:sz w:val="28"/>
        <w:szCs w:val="28"/>
      </w:rPr>
    </w:lvl>
    <w:lvl w:ilvl="3">
      <w:numFmt w:val="bullet"/>
      <w:lvlText w:val="•"/>
      <w:lvlJc w:val="left"/>
      <w:pPr>
        <w:ind w:left="1800" w:hanging="360"/>
      </w:pPr>
      <w:rPr>
        <w:rFonts w:ascii="Symbol" w:hAnsi="Symbol" w:cs="OpenSymbol"/>
        <w:sz w:val="28"/>
        <w:szCs w:val="28"/>
      </w:rPr>
    </w:lvl>
    <w:lvl w:ilvl="4">
      <w:numFmt w:val="bullet"/>
      <w:lvlText w:val="◦"/>
      <w:lvlJc w:val="left"/>
      <w:pPr>
        <w:ind w:left="2160" w:hanging="360"/>
      </w:pPr>
      <w:rPr>
        <w:rFonts w:ascii="Symbol" w:hAnsi="Symbol" w:cs="OpenSymbol"/>
        <w:sz w:val="28"/>
        <w:szCs w:val="28"/>
      </w:rPr>
    </w:lvl>
    <w:lvl w:ilvl="5">
      <w:numFmt w:val="bullet"/>
      <w:lvlText w:val="▪"/>
      <w:lvlJc w:val="left"/>
      <w:pPr>
        <w:ind w:left="2520" w:hanging="360"/>
      </w:pPr>
      <w:rPr>
        <w:rFonts w:ascii="Symbol" w:hAnsi="Symbol" w:cs="OpenSymbol"/>
        <w:sz w:val="28"/>
        <w:szCs w:val="28"/>
      </w:rPr>
    </w:lvl>
    <w:lvl w:ilvl="6">
      <w:numFmt w:val="bullet"/>
      <w:lvlText w:val="•"/>
      <w:lvlJc w:val="left"/>
      <w:pPr>
        <w:ind w:left="2880" w:hanging="360"/>
      </w:pPr>
      <w:rPr>
        <w:rFonts w:ascii="Symbol" w:hAnsi="Symbol" w:cs="OpenSymbol"/>
        <w:sz w:val="28"/>
        <w:szCs w:val="28"/>
      </w:rPr>
    </w:lvl>
    <w:lvl w:ilvl="7">
      <w:numFmt w:val="bullet"/>
      <w:lvlText w:val="◦"/>
      <w:lvlJc w:val="left"/>
      <w:pPr>
        <w:ind w:left="3240" w:hanging="360"/>
      </w:pPr>
      <w:rPr>
        <w:rFonts w:ascii="Symbol" w:hAnsi="Symbol" w:cs="OpenSymbol"/>
        <w:sz w:val="28"/>
        <w:szCs w:val="28"/>
      </w:rPr>
    </w:lvl>
    <w:lvl w:ilvl="8">
      <w:numFmt w:val="bullet"/>
      <w:lvlText w:val="▪"/>
      <w:lvlJc w:val="left"/>
      <w:pPr>
        <w:ind w:left="3600" w:hanging="360"/>
      </w:pPr>
      <w:rPr>
        <w:rFonts w:ascii="Symbol" w:hAnsi="Symbol" w:cs="OpenSymbol"/>
        <w:sz w:val="28"/>
        <w:szCs w:val="28"/>
      </w:rPr>
    </w:lvl>
  </w:abstractNum>
  <w:abstractNum w:abstractNumId="17" w15:restartNumberingAfterBreak="0">
    <w:nsid w:val="18D9007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98128CB"/>
    <w:multiLevelType w:val="hybridMultilevel"/>
    <w:tmpl w:val="3BC8D0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A0F5DC7"/>
    <w:multiLevelType w:val="multilevel"/>
    <w:tmpl w:val="BCC449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CA219F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3DC566D"/>
    <w:multiLevelType w:val="hybridMultilevel"/>
    <w:tmpl w:val="CE16997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4E81FF6"/>
    <w:multiLevelType w:val="hybridMultilevel"/>
    <w:tmpl w:val="26109B2C"/>
    <w:lvl w:ilvl="0" w:tplc="7A429C3C">
      <w:start w:val="1"/>
      <w:numFmt w:val="bullet"/>
      <w:lvlText w:val=""/>
      <w:lvlJc w:val="left"/>
      <w:pPr>
        <w:ind w:left="720" w:hanging="360"/>
      </w:pPr>
      <w:rPr>
        <w:rFonts w:ascii="Wingdings" w:hAnsi="Wingdings" w:hint="default"/>
        <w:color w:val="9D2235"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5514FDC"/>
    <w:multiLevelType w:val="hybridMultilevel"/>
    <w:tmpl w:val="C5CEED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55B4E0D"/>
    <w:multiLevelType w:val="multilevel"/>
    <w:tmpl w:val="0B9E06C2"/>
    <w:styleLink w:val="WWNum4"/>
    <w:lvl w:ilvl="0">
      <w:numFmt w:val="bullet"/>
      <w:lvlText w:val=""/>
      <w:lvlJc w:val="left"/>
      <w:pPr>
        <w:ind w:left="720" w:hanging="360"/>
      </w:pPr>
      <w:rPr>
        <w:rFonts w:ascii="Times New Roman" w:hAnsi="Times New Roman" w:cs="Symbol"/>
        <w:sz w:val="21"/>
      </w:rPr>
    </w:lvl>
    <w:lvl w:ilvl="1">
      <w:numFmt w:val="bullet"/>
      <w:lvlText w:val="o"/>
      <w:lvlJc w:val="left"/>
      <w:pPr>
        <w:ind w:left="1440" w:hanging="360"/>
      </w:pPr>
      <w:rPr>
        <w:rFonts w:cs="Courier New"/>
        <w:sz w:val="20"/>
      </w:rPr>
    </w:lvl>
    <w:lvl w:ilvl="2">
      <w:numFmt w:val="bullet"/>
      <w:lvlText w:val=""/>
      <w:lvlJc w:val="left"/>
      <w:pPr>
        <w:ind w:left="2160" w:hanging="360"/>
      </w:pPr>
      <w:rPr>
        <w:rFonts w:cs="Wingdings"/>
        <w:sz w:val="20"/>
      </w:rPr>
    </w:lvl>
    <w:lvl w:ilvl="3">
      <w:numFmt w:val="bullet"/>
      <w:lvlText w:val=""/>
      <w:lvlJc w:val="left"/>
      <w:pPr>
        <w:ind w:left="2880" w:hanging="360"/>
      </w:pPr>
      <w:rPr>
        <w:rFonts w:cs="Wingdings"/>
        <w:sz w:val="20"/>
      </w:rPr>
    </w:lvl>
    <w:lvl w:ilvl="4">
      <w:numFmt w:val="bullet"/>
      <w:lvlText w:val=""/>
      <w:lvlJc w:val="left"/>
      <w:pPr>
        <w:ind w:left="3600" w:hanging="360"/>
      </w:pPr>
      <w:rPr>
        <w:rFonts w:cs="Wingdings"/>
        <w:sz w:val="20"/>
      </w:rPr>
    </w:lvl>
    <w:lvl w:ilvl="5">
      <w:numFmt w:val="bullet"/>
      <w:lvlText w:val=""/>
      <w:lvlJc w:val="left"/>
      <w:pPr>
        <w:ind w:left="4320" w:hanging="360"/>
      </w:pPr>
      <w:rPr>
        <w:rFonts w:cs="Wingdings"/>
        <w:sz w:val="20"/>
      </w:rPr>
    </w:lvl>
    <w:lvl w:ilvl="6">
      <w:numFmt w:val="bullet"/>
      <w:lvlText w:val=""/>
      <w:lvlJc w:val="left"/>
      <w:pPr>
        <w:ind w:left="5040" w:hanging="360"/>
      </w:pPr>
      <w:rPr>
        <w:rFonts w:cs="Wingdings"/>
        <w:sz w:val="20"/>
      </w:rPr>
    </w:lvl>
    <w:lvl w:ilvl="7">
      <w:numFmt w:val="bullet"/>
      <w:lvlText w:val=""/>
      <w:lvlJc w:val="left"/>
      <w:pPr>
        <w:ind w:left="5760" w:hanging="360"/>
      </w:pPr>
      <w:rPr>
        <w:rFonts w:cs="Wingdings"/>
        <w:sz w:val="20"/>
      </w:rPr>
    </w:lvl>
    <w:lvl w:ilvl="8">
      <w:numFmt w:val="bullet"/>
      <w:lvlText w:val=""/>
      <w:lvlJc w:val="left"/>
      <w:pPr>
        <w:ind w:left="6480" w:hanging="360"/>
      </w:pPr>
      <w:rPr>
        <w:rFonts w:cs="Wingdings"/>
        <w:sz w:val="20"/>
      </w:rPr>
    </w:lvl>
  </w:abstractNum>
  <w:abstractNum w:abstractNumId="25" w15:restartNumberingAfterBreak="0">
    <w:nsid w:val="268736F8"/>
    <w:multiLevelType w:val="hybridMultilevel"/>
    <w:tmpl w:val="BD785482"/>
    <w:lvl w:ilvl="0" w:tplc="80941010">
      <w:start w:val="1"/>
      <w:numFmt w:val="decimal"/>
      <w:lvlText w:val="%1."/>
      <w:lvlJc w:val="left"/>
      <w:pPr>
        <w:ind w:left="720" w:hanging="360"/>
      </w:pPr>
      <w:rPr>
        <w:rFonts w:hint="default"/>
        <w:b/>
        <w:bCs/>
        <w:color w:val="9D2235"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7937F9D"/>
    <w:multiLevelType w:val="multilevel"/>
    <w:tmpl w:val="B8504E48"/>
    <w:lvl w:ilvl="0">
      <w:start w:val="1"/>
      <w:numFmt w:val="bullet"/>
      <w:lvlText w:val=""/>
      <w:lvlJc w:val="left"/>
      <w:pPr>
        <w:ind w:left="2700" w:hanging="360"/>
      </w:pPr>
      <w:rPr>
        <w:rFonts w:ascii="Wingdings" w:hAnsi="Wingdings" w:hint="default"/>
        <w:color w:val="9D2235" w:themeColor="accent1"/>
        <w:sz w:val="28"/>
        <w:szCs w:val="28"/>
      </w:rPr>
    </w:lvl>
    <w:lvl w:ilvl="1">
      <w:start w:val="1"/>
      <w:numFmt w:val="bullet"/>
      <w:lvlText w:val="◦"/>
      <w:lvlJc w:val="left"/>
      <w:pPr>
        <w:ind w:left="3060" w:hanging="360"/>
      </w:pPr>
      <w:rPr>
        <w:rFonts w:ascii="OpenSymbol" w:hAnsi="OpenSymbol" w:cs="OpenSymbol" w:hint="default"/>
        <w:color w:val="94070A"/>
      </w:rPr>
    </w:lvl>
    <w:lvl w:ilvl="2">
      <w:start w:val="1"/>
      <w:numFmt w:val="bullet"/>
      <w:lvlText w:val="▪"/>
      <w:lvlJc w:val="left"/>
      <w:pPr>
        <w:ind w:left="3420" w:hanging="360"/>
      </w:pPr>
      <w:rPr>
        <w:rFonts w:ascii="OpenSymbol" w:hAnsi="OpenSymbol" w:cs="OpenSymbol" w:hint="default"/>
        <w:color w:val="94070A"/>
      </w:rPr>
    </w:lvl>
    <w:lvl w:ilvl="3">
      <w:start w:val="1"/>
      <w:numFmt w:val="bullet"/>
      <w:lvlText w:val=""/>
      <w:lvlJc w:val="left"/>
      <w:pPr>
        <w:ind w:left="3780" w:hanging="360"/>
      </w:pPr>
      <w:rPr>
        <w:rFonts w:ascii="Symbol" w:hAnsi="Symbol" w:cs="OpenSymbol" w:hint="default"/>
        <w:color w:val="94070A"/>
      </w:rPr>
    </w:lvl>
    <w:lvl w:ilvl="4">
      <w:start w:val="1"/>
      <w:numFmt w:val="bullet"/>
      <w:lvlText w:val="◦"/>
      <w:lvlJc w:val="left"/>
      <w:pPr>
        <w:ind w:left="4140" w:hanging="360"/>
      </w:pPr>
      <w:rPr>
        <w:rFonts w:ascii="OpenSymbol" w:hAnsi="OpenSymbol" w:cs="OpenSymbol" w:hint="default"/>
        <w:color w:val="94070A"/>
      </w:rPr>
    </w:lvl>
    <w:lvl w:ilvl="5">
      <w:start w:val="1"/>
      <w:numFmt w:val="bullet"/>
      <w:lvlText w:val="▪"/>
      <w:lvlJc w:val="left"/>
      <w:pPr>
        <w:ind w:left="4500" w:hanging="360"/>
      </w:pPr>
      <w:rPr>
        <w:rFonts w:ascii="OpenSymbol" w:hAnsi="OpenSymbol" w:cs="OpenSymbol" w:hint="default"/>
        <w:color w:val="94070A"/>
      </w:rPr>
    </w:lvl>
    <w:lvl w:ilvl="6">
      <w:start w:val="1"/>
      <w:numFmt w:val="bullet"/>
      <w:lvlText w:val=""/>
      <w:lvlJc w:val="left"/>
      <w:pPr>
        <w:ind w:left="4860" w:hanging="360"/>
      </w:pPr>
      <w:rPr>
        <w:rFonts w:ascii="Symbol" w:hAnsi="Symbol" w:cs="OpenSymbol" w:hint="default"/>
        <w:color w:val="94070A"/>
      </w:rPr>
    </w:lvl>
    <w:lvl w:ilvl="7">
      <w:start w:val="1"/>
      <w:numFmt w:val="bullet"/>
      <w:lvlText w:val="◦"/>
      <w:lvlJc w:val="left"/>
      <w:pPr>
        <w:ind w:left="5220" w:hanging="360"/>
      </w:pPr>
      <w:rPr>
        <w:rFonts w:ascii="OpenSymbol" w:hAnsi="OpenSymbol" w:cs="OpenSymbol" w:hint="default"/>
        <w:color w:val="94070A"/>
      </w:rPr>
    </w:lvl>
    <w:lvl w:ilvl="8">
      <w:start w:val="1"/>
      <w:numFmt w:val="bullet"/>
      <w:lvlText w:val="▪"/>
      <w:lvlJc w:val="left"/>
      <w:pPr>
        <w:ind w:left="5580" w:hanging="360"/>
      </w:pPr>
      <w:rPr>
        <w:rFonts w:ascii="OpenSymbol" w:hAnsi="OpenSymbol" w:cs="OpenSymbol" w:hint="default"/>
        <w:color w:val="94070A"/>
      </w:rPr>
    </w:lvl>
  </w:abstractNum>
  <w:abstractNum w:abstractNumId="27" w15:restartNumberingAfterBreak="0">
    <w:nsid w:val="2AF068AB"/>
    <w:multiLevelType w:val="hybridMultilevel"/>
    <w:tmpl w:val="6ACEE55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D386B0A"/>
    <w:multiLevelType w:val="hybridMultilevel"/>
    <w:tmpl w:val="483A71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EF1131F"/>
    <w:multiLevelType w:val="hybridMultilevel"/>
    <w:tmpl w:val="8F7A9D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AFA4001"/>
    <w:multiLevelType w:val="hybridMultilevel"/>
    <w:tmpl w:val="3096743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C890538"/>
    <w:multiLevelType w:val="hybridMultilevel"/>
    <w:tmpl w:val="D5FCC8A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D0400C5"/>
    <w:multiLevelType w:val="multilevel"/>
    <w:tmpl w:val="6FFA45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3EC5594A"/>
    <w:multiLevelType w:val="hybridMultilevel"/>
    <w:tmpl w:val="56880E6E"/>
    <w:lvl w:ilvl="0" w:tplc="7A429C3C">
      <w:start w:val="1"/>
      <w:numFmt w:val="bullet"/>
      <w:lvlText w:val=""/>
      <w:lvlJc w:val="left"/>
      <w:pPr>
        <w:ind w:left="720" w:hanging="360"/>
      </w:pPr>
      <w:rPr>
        <w:rFonts w:ascii="Wingdings" w:hAnsi="Wingdings" w:hint="default"/>
        <w:color w:val="9D2235"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0D5653F"/>
    <w:multiLevelType w:val="multilevel"/>
    <w:tmpl w:val="E692F4F6"/>
    <w:styleLink w:val="WWNum3"/>
    <w:lvl w:ilvl="0">
      <w:numFmt w:val="bullet"/>
      <w:lvlText w:val=""/>
      <w:lvlJc w:val="left"/>
      <w:pPr>
        <w:ind w:left="720" w:hanging="360"/>
      </w:pPr>
      <w:rPr>
        <w:rFonts w:cs="Symbol"/>
        <w:sz w:val="20"/>
      </w:rPr>
    </w:lvl>
    <w:lvl w:ilvl="1">
      <w:numFmt w:val="bullet"/>
      <w:lvlText w:val="o"/>
      <w:lvlJc w:val="left"/>
      <w:pPr>
        <w:ind w:left="1440" w:hanging="360"/>
      </w:pPr>
      <w:rPr>
        <w:rFonts w:ascii="Times New Roman" w:hAnsi="Times New Roman" w:cs="Courier New"/>
        <w:sz w:val="21"/>
      </w:rPr>
    </w:lvl>
    <w:lvl w:ilvl="2">
      <w:numFmt w:val="bullet"/>
      <w:lvlText w:val=""/>
      <w:lvlJc w:val="left"/>
      <w:pPr>
        <w:ind w:left="2160" w:hanging="360"/>
      </w:pPr>
      <w:rPr>
        <w:rFonts w:cs="Wingdings"/>
        <w:sz w:val="20"/>
      </w:rPr>
    </w:lvl>
    <w:lvl w:ilvl="3">
      <w:numFmt w:val="bullet"/>
      <w:lvlText w:val=""/>
      <w:lvlJc w:val="left"/>
      <w:pPr>
        <w:ind w:left="2880" w:hanging="360"/>
      </w:pPr>
      <w:rPr>
        <w:rFonts w:cs="Wingdings"/>
        <w:sz w:val="20"/>
      </w:rPr>
    </w:lvl>
    <w:lvl w:ilvl="4">
      <w:numFmt w:val="bullet"/>
      <w:lvlText w:val=""/>
      <w:lvlJc w:val="left"/>
      <w:pPr>
        <w:ind w:left="3600" w:hanging="360"/>
      </w:pPr>
      <w:rPr>
        <w:rFonts w:cs="Wingdings"/>
        <w:sz w:val="20"/>
      </w:rPr>
    </w:lvl>
    <w:lvl w:ilvl="5">
      <w:numFmt w:val="bullet"/>
      <w:lvlText w:val=""/>
      <w:lvlJc w:val="left"/>
      <w:pPr>
        <w:ind w:left="4320" w:hanging="360"/>
      </w:pPr>
      <w:rPr>
        <w:rFonts w:cs="Wingdings"/>
        <w:sz w:val="20"/>
      </w:rPr>
    </w:lvl>
    <w:lvl w:ilvl="6">
      <w:numFmt w:val="bullet"/>
      <w:lvlText w:val=""/>
      <w:lvlJc w:val="left"/>
      <w:pPr>
        <w:ind w:left="5040" w:hanging="360"/>
      </w:pPr>
      <w:rPr>
        <w:rFonts w:cs="Wingdings"/>
        <w:sz w:val="20"/>
      </w:rPr>
    </w:lvl>
    <w:lvl w:ilvl="7">
      <w:numFmt w:val="bullet"/>
      <w:lvlText w:val=""/>
      <w:lvlJc w:val="left"/>
      <w:pPr>
        <w:ind w:left="5760" w:hanging="360"/>
      </w:pPr>
      <w:rPr>
        <w:rFonts w:cs="Wingdings"/>
        <w:sz w:val="20"/>
      </w:rPr>
    </w:lvl>
    <w:lvl w:ilvl="8">
      <w:numFmt w:val="bullet"/>
      <w:lvlText w:val=""/>
      <w:lvlJc w:val="left"/>
      <w:pPr>
        <w:ind w:left="6480" w:hanging="360"/>
      </w:pPr>
      <w:rPr>
        <w:rFonts w:cs="Wingdings"/>
        <w:sz w:val="20"/>
      </w:rPr>
    </w:lvl>
  </w:abstractNum>
  <w:abstractNum w:abstractNumId="35" w15:restartNumberingAfterBreak="0">
    <w:nsid w:val="42920BA1"/>
    <w:multiLevelType w:val="multilevel"/>
    <w:tmpl w:val="C18A7E3E"/>
    <w:styleLink w:val="Sinlista1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6" w15:restartNumberingAfterBreak="0">
    <w:nsid w:val="47722C78"/>
    <w:multiLevelType w:val="hybridMultilevel"/>
    <w:tmpl w:val="71B0E8B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47C931FF"/>
    <w:multiLevelType w:val="multilevel"/>
    <w:tmpl w:val="61521D54"/>
    <w:styleLink w:val="WW8Num3"/>
    <w:lvl w:ilvl="0">
      <w:start w:val="1"/>
      <w:numFmt w:val="none"/>
      <w:suff w:val="nothing"/>
      <w:lvlText w:val="%1"/>
      <w:lvlJc w:val="left"/>
      <w:rPr>
        <w:rFonts w:ascii="Arial" w:eastAsia="Calibri" w:hAnsi="Arial" w:cs="Arial"/>
        <w:b/>
        <w:bCs/>
        <w:i/>
        <w:iCs/>
        <w:caps w:val="0"/>
        <w:smallCaps w:val="0"/>
        <w:strike w:val="0"/>
        <w:dstrike w:val="0"/>
        <w:color w:val="000000"/>
        <w:spacing w:val="-3"/>
        <w:kern w:val="3"/>
        <w:sz w:val="24"/>
        <w:szCs w:val="24"/>
        <w:shd w:val="clear" w:color="auto" w:fill="FFFF00"/>
        <w:lang w:val="es-ES" w:bidi="ar-SA"/>
      </w:rPr>
    </w:lvl>
    <w:lvl w:ilvl="1">
      <w:start w:val="1"/>
      <w:numFmt w:val="none"/>
      <w:suff w:val="nothing"/>
      <w:lvlText w:val="%2"/>
      <w:lvlJc w:val="left"/>
      <w:rPr>
        <w:rFonts w:ascii="Arial" w:hAnsi="Arial" w:cs="Arial"/>
        <w:color w:val="0070C0"/>
        <w:sz w:val="24"/>
        <w:szCs w:val="24"/>
      </w:rPr>
    </w:lvl>
    <w:lvl w:ilvl="2">
      <w:start w:val="1"/>
      <w:numFmt w:val="none"/>
      <w:suff w:val="nothing"/>
      <w:lvlText w:val="%3"/>
      <w:lvlJc w:val="left"/>
      <w:rPr>
        <w:rFonts w:ascii="Arial" w:hAnsi="Arial" w:cs="Arial"/>
        <w:color w:val="0070C0"/>
        <w:sz w:val="24"/>
        <w:szCs w:val="24"/>
      </w:rPr>
    </w:lvl>
    <w:lvl w:ilvl="3">
      <w:start w:val="1"/>
      <w:numFmt w:val="none"/>
      <w:suff w:val="nothing"/>
      <w:lvlText w:val="%4"/>
      <w:lvlJc w:val="left"/>
    </w:lvl>
    <w:lvl w:ilvl="4">
      <w:start w:val="1"/>
      <w:numFmt w:val="none"/>
      <w:suff w:val="nothing"/>
      <w:lvlText w:val="%5"/>
      <w:lvlJc w:val="left"/>
      <w:rPr>
        <w:rFonts w:ascii="Arial" w:hAnsi="Arial" w:cs="Arial"/>
        <w:b/>
        <w:bCs/>
        <w:color w:val="000000"/>
        <w:sz w:val="24"/>
        <w:szCs w:val="24"/>
      </w:rPr>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38" w15:restartNumberingAfterBreak="0">
    <w:nsid w:val="49E7724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A6E33E8"/>
    <w:multiLevelType w:val="hybridMultilevel"/>
    <w:tmpl w:val="C63EC97C"/>
    <w:lvl w:ilvl="0" w:tplc="275C4D14">
      <w:start w:val="1"/>
      <w:numFmt w:val="lowerLetter"/>
      <w:lvlText w:val="%1)"/>
      <w:lvlJc w:val="left"/>
      <w:pPr>
        <w:ind w:left="1080" w:hanging="360"/>
      </w:pPr>
      <w:rPr>
        <w:rFonts w:hint="default"/>
        <w:b w:val="0"/>
        <w:bCs/>
        <w:i w:val="0"/>
        <w:iCs w:val="0"/>
        <w:color w:val="000000"/>
        <w:sz w:val="21"/>
        <w:szCs w:val="21"/>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0" w15:restartNumberingAfterBreak="0">
    <w:nsid w:val="4C8548D5"/>
    <w:multiLevelType w:val="multilevel"/>
    <w:tmpl w:val="8F50893A"/>
    <w:styleLink w:val="WWNum41"/>
    <w:lvl w:ilvl="0">
      <w:numFmt w:val="bullet"/>
      <w:lvlText w:val=""/>
      <w:lvlJc w:val="left"/>
      <w:pPr>
        <w:ind w:left="720" w:hanging="360"/>
      </w:pPr>
      <w:rPr>
        <w:rFonts w:ascii="Symbol" w:hAnsi="Symbol" w:cs="Symbol"/>
        <w:b w:val="0"/>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1" w15:restartNumberingAfterBreak="0">
    <w:nsid w:val="4CB4673D"/>
    <w:multiLevelType w:val="multilevel"/>
    <w:tmpl w:val="CDA8457C"/>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2" w15:restartNumberingAfterBreak="0">
    <w:nsid w:val="4CE4195A"/>
    <w:multiLevelType w:val="multilevel"/>
    <w:tmpl w:val="F746C2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D2B412D"/>
    <w:multiLevelType w:val="hybridMultilevel"/>
    <w:tmpl w:val="EAD47712"/>
    <w:lvl w:ilvl="0" w:tplc="7A429C3C">
      <w:start w:val="1"/>
      <w:numFmt w:val="bullet"/>
      <w:lvlText w:val=""/>
      <w:lvlJc w:val="left"/>
      <w:pPr>
        <w:ind w:left="720" w:hanging="360"/>
      </w:pPr>
      <w:rPr>
        <w:rFonts w:ascii="Wingdings" w:hAnsi="Wingdings" w:hint="default"/>
        <w:color w:val="9D2235" w:themeColor="accent1"/>
      </w:rPr>
    </w:lvl>
    <w:lvl w:ilvl="1" w:tplc="6C5C6A62">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0EE050B"/>
    <w:multiLevelType w:val="hybridMultilevel"/>
    <w:tmpl w:val="7096C89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8364A17"/>
    <w:multiLevelType w:val="multilevel"/>
    <w:tmpl w:val="1B865E7E"/>
    <w:lvl w:ilvl="0">
      <w:start w:val="6"/>
      <w:numFmt w:val="decimal"/>
      <w:lvlText w:val="%1."/>
      <w:lvlJc w:val="left"/>
      <w:pPr>
        <w:ind w:left="360" w:hanging="360"/>
      </w:pPr>
      <w:rPr>
        <w:rFonts w:hint="default"/>
        <w:b/>
        <w:bCs/>
        <w:sz w:val="200"/>
        <w:szCs w:val="200"/>
      </w:rPr>
    </w:lvl>
    <w:lvl w:ilvl="1">
      <w:start w:val="1"/>
      <w:numFmt w:val="decimal"/>
      <w:lvlText w:val="%1.%2."/>
      <w:lvlJc w:val="left"/>
      <w:pPr>
        <w:ind w:left="792" w:hanging="432"/>
      </w:pPr>
      <w:rPr>
        <w:rFonts w:hint="default"/>
        <w:b/>
        <w:bCs/>
        <w:color w:val="9D2235" w:themeColor="accent1"/>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9E43A73"/>
    <w:multiLevelType w:val="multilevel"/>
    <w:tmpl w:val="3D484B98"/>
    <w:styleLink w:val="WWNum2"/>
    <w:lvl w:ilvl="0">
      <w:numFmt w:val="bullet"/>
      <w:lvlText w:val=""/>
      <w:lvlJc w:val="left"/>
      <w:pPr>
        <w:ind w:left="720" w:hanging="360"/>
      </w:pPr>
      <w:rPr>
        <w:rFonts w:ascii="Times New Roman" w:hAnsi="Times New Roman" w:cs="Symbol"/>
        <w:sz w:val="21"/>
      </w:rPr>
    </w:lvl>
    <w:lvl w:ilvl="1">
      <w:numFmt w:val="bullet"/>
      <w:lvlText w:val="o"/>
      <w:lvlJc w:val="left"/>
      <w:pPr>
        <w:ind w:left="1440" w:hanging="360"/>
      </w:pPr>
      <w:rPr>
        <w:rFonts w:cs="Courier New"/>
        <w:sz w:val="20"/>
      </w:rPr>
    </w:lvl>
    <w:lvl w:ilvl="2">
      <w:numFmt w:val="bullet"/>
      <w:lvlText w:val=""/>
      <w:lvlJc w:val="left"/>
      <w:pPr>
        <w:ind w:left="2160" w:hanging="360"/>
      </w:pPr>
      <w:rPr>
        <w:rFonts w:cs="Wingdings"/>
        <w:sz w:val="20"/>
      </w:rPr>
    </w:lvl>
    <w:lvl w:ilvl="3">
      <w:numFmt w:val="bullet"/>
      <w:lvlText w:val=""/>
      <w:lvlJc w:val="left"/>
      <w:pPr>
        <w:ind w:left="2880" w:hanging="360"/>
      </w:pPr>
      <w:rPr>
        <w:rFonts w:cs="Wingdings"/>
        <w:sz w:val="20"/>
      </w:rPr>
    </w:lvl>
    <w:lvl w:ilvl="4">
      <w:numFmt w:val="bullet"/>
      <w:lvlText w:val=""/>
      <w:lvlJc w:val="left"/>
      <w:pPr>
        <w:ind w:left="3600" w:hanging="360"/>
      </w:pPr>
      <w:rPr>
        <w:rFonts w:cs="Wingdings"/>
        <w:sz w:val="20"/>
      </w:rPr>
    </w:lvl>
    <w:lvl w:ilvl="5">
      <w:numFmt w:val="bullet"/>
      <w:lvlText w:val=""/>
      <w:lvlJc w:val="left"/>
      <w:pPr>
        <w:ind w:left="4320" w:hanging="360"/>
      </w:pPr>
      <w:rPr>
        <w:rFonts w:cs="Wingdings"/>
        <w:sz w:val="20"/>
      </w:rPr>
    </w:lvl>
    <w:lvl w:ilvl="6">
      <w:numFmt w:val="bullet"/>
      <w:lvlText w:val=""/>
      <w:lvlJc w:val="left"/>
      <w:pPr>
        <w:ind w:left="5040" w:hanging="360"/>
      </w:pPr>
      <w:rPr>
        <w:rFonts w:cs="Wingdings"/>
        <w:sz w:val="20"/>
      </w:rPr>
    </w:lvl>
    <w:lvl w:ilvl="7">
      <w:numFmt w:val="bullet"/>
      <w:lvlText w:val=""/>
      <w:lvlJc w:val="left"/>
      <w:pPr>
        <w:ind w:left="5760" w:hanging="360"/>
      </w:pPr>
      <w:rPr>
        <w:rFonts w:cs="Wingdings"/>
        <w:sz w:val="20"/>
      </w:rPr>
    </w:lvl>
    <w:lvl w:ilvl="8">
      <w:numFmt w:val="bullet"/>
      <w:lvlText w:val=""/>
      <w:lvlJc w:val="left"/>
      <w:pPr>
        <w:ind w:left="6480" w:hanging="360"/>
      </w:pPr>
      <w:rPr>
        <w:rFonts w:cs="Wingdings"/>
        <w:sz w:val="20"/>
      </w:rPr>
    </w:lvl>
  </w:abstractNum>
  <w:abstractNum w:abstractNumId="47" w15:restartNumberingAfterBreak="0">
    <w:nsid w:val="5AEE34B1"/>
    <w:multiLevelType w:val="multilevel"/>
    <w:tmpl w:val="3E5A586E"/>
    <w:styleLink w:val="WWNum5"/>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48" w15:restartNumberingAfterBreak="0">
    <w:nsid w:val="5C416BF9"/>
    <w:multiLevelType w:val="multilevel"/>
    <w:tmpl w:val="1C147536"/>
    <w:styleLink w:val="WWNum11"/>
    <w:lvl w:ilvl="0">
      <w:numFmt w:val="bullet"/>
      <w:lvlText w:val=""/>
      <w:lvlJc w:val="left"/>
      <w:pPr>
        <w:ind w:left="1080" w:hanging="360"/>
      </w:pPr>
      <w:rPr>
        <w:rFonts w:ascii="Wingdings" w:hAnsi="Wingdings" w:cs="Wingdings"/>
        <w:color w:val="9D2235"/>
        <w:sz w:val="21"/>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49" w15:restartNumberingAfterBreak="0">
    <w:nsid w:val="5C4175F1"/>
    <w:multiLevelType w:val="hybridMultilevel"/>
    <w:tmpl w:val="C6F2A5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E25757A"/>
    <w:multiLevelType w:val="hybridMultilevel"/>
    <w:tmpl w:val="BAA6124C"/>
    <w:lvl w:ilvl="0" w:tplc="7A429C3C">
      <w:start w:val="1"/>
      <w:numFmt w:val="bullet"/>
      <w:lvlText w:val=""/>
      <w:lvlJc w:val="left"/>
      <w:pPr>
        <w:ind w:left="720" w:hanging="360"/>
      </w:pPr>
      <w:rPr>
        <w:rFonts w:ascii="Wingdings" w:hAnsi="Wingdings" w:hint="default"/>
        <w:color w:val="9D2235"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0A9732E"/>
    <w:multiLevelType w:val="hybridMultilevel"/>
    <w:tmpl w:val="E780A2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61E00D90"/>
    <w:multiLevelType w:val="multilevel"/>
    <w:tmpl w:val="026434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3C11FDF"/>
    <w:multiLevelType w:val="multilevel"/>
    <w:tmpl w:val="60867FB8"/>
    <w:lvl w:ilvl="0">
      <w:start w:val="1"/>
      <w:numFmt w:val="bullet"/>
      <w:lvlText w:val=""/>
      <w:lvlJc w:val="left"/>
      <w:pPr>
        <w:ind w:left="720" w:hanging="360"/>
      </w:pPr>
      <w:rPr>
        <w:rFonts w:ascii="Wingdings" w:hAnsi="Wingdings" w:hint="default"/>
        <w:color w:val="9D2235" w:themeColor="accent1"/>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15:restartNumberingAfterBreak="0">
    <w:nsid w:val="64C81342"/>
    <w:multiLevelType w:val="hybridMultilevel"/>
    <w:tmpl w:val="C836701E"/>
    <w:lvl w:ilvl="0" w:tplc="0C0A000F">
      <w:start w:val="1"/>
      <w:numFmt w:val="decimal"/>
      <w:lvlText w:val="%1."/>
      <w:lvlJc w:val="left"/>
      <w:pPr>
        <w:ind w:left="720" w:hanging="360"/>
      </w:pPr>
    </w:lvl>
    <w:lvl w:ilvl="1" w:tplc="C23CF872">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64E5005F"/>
    <w:multiLevelType w:val="multilevel"/>
    <w:tmpl w:val="2C9A7E58"/>
    <w:lvl w:ilvl="0">
      <w:start w:val="1"/>
      <w:numFmt w:val="bullet"/>
      <w:lvlText w:val=""/>
      <w:lvlJc w:val="left"/>
      <w:pPr>
        <w:ind w:left="720" w:hanging="360"/>
      </w:pPr>
      <w:rPr>
        <w:rFonts w:ascii="Wingdings" w:hAnsi="Wingdings" w:hint="default"/>
        <w:color w:val="9D2235" w:themeColor="accent1"/>
        <w:sz w:val="21"/>
      </w:rPr>
    </w:lvl>
    <w:lvl w:ilvl="1">
      <w:start w:val="2"/>
      <w:numFmt w:val="bullet"/>
      <w:lvlText w:val="•"/>
      <w:lvlJc w:val="left"/>
      <w:pPr>
        <w:ind w:left="1440" w:hanging="360"/>
      </w:pPr>
      <w:rPr>
        <w:rFonts w:ascii="Open Sans" w:hAnsi="Open Sans" w:cs="Open San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64EF65A3"/>
    <w:multiLevelType w:val="hybridMultilevel"/>
    <w:tmpl w:val="D646FB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69634678"/>
    <w:multiLevelType w:val="multilevel"/>
    <w:tmpl w:val="6A5CDFD6"/>
    <w:lvl w:ilvl="0">
      <w:start w:val="1"/>
      <w:numFmt w:val="decimal"/>
      <w:lvlText w:val="%1."/>
      <w:lvlJc w:val="left"/>
      <w:pPr>
        <w:ind w:left="360" w:hanging="360"/>
      </w:pPr>
      <w:rPr>
        <w:rFonts w:hint="default"/>
        <w:b/>
        <w:bCs/>
        <w:sz w:val="200"/>
        <w:szCs w:val="2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D051EFC"/>
    <w:multiLevelType w:val="multilevel"/>
    <w:tmpl w:val="5C524554"/>
    <w:lvl w:ilvl="0">
      <w:start w:val="2"/>
      <w:numFmt w:val="decimal"/>
      <w:lvlText w:val="%1."/>
      <w:lvlJc w:val="left"/>
      <w:pPr>
        <w:ind w:left="720" w:hanging="360"/>
      </w:pPr>
      <w:rPr>
        <w:rFonts w:hint="default"/>
        <w:b/>
        <w:bCs/>
        <w:sz w:val="200"/>
        <w:szCs w:val="200"/>
      </w:rPr>
    </w:lvl>
    <w:lvl w:ilvl="1">
      <w:start w:val="1"/>
      <w:numFmt w:val="decimal"/>
      <w:isLgl/>
      <w:lvlText w:val="%1.%2."/>
      <w:lvlJc w:val="left"/>
      <w:pPr>
        <w:ind w:left="1080" w:hanging="720"/>
      </w:pPr>
      <w:rPr>
        <w:rFonts w:hint="default"/>
        <w:b/>
        <w:bCs/>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9" w15:restartNumberingAfterBreak="0">
    <w:nsid w:val="6FA264D3"/>
    <w:multiLevelType w:val="multilevel"/>
    <w:tmpl w:val="04768132"/>
    <w:lvl w:ilvl="0">
      <w:start w:val="1"/>
      <w:numFmt w:val="bullet"/>
      <w:lvlText w:val=""/>
      <w:lvlJc w:val="left"/>
      <w:pPr>
        <w:tabs>
          <w:tab w:val="num" w:pos="720"/>
        </w:tabs>
        <w:ind w:left="720" w:hanging="360"/>
      </w:pPr>
      <w:rPr>
        <w:rFonts w:ascii="Wingdings" w:hAnsi="Wingdings" w:hint="default"/>
        <w:color w:val="9D2235"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8501F6"/>
    <w:multiLevelType w:val="multilevel"/>
    <w:tmpl w:val="B002C052"/>
    <w:styleLink w:val="WWNum1"/>
    <w:lvl w:ilvl="0">
      <w:numFmt w:val="bullet"/>
      <w:lvlText w:val=""/>
      <w:lvlJc w:val="left"/>
      <w:pPr>
        <w:ind w:left="720" w:hanging="360"/>
      </w:pPr>
      <w:rPr>
        <w:rFonts w:ascii="Times New Roman" w:hAnsi="Times New Roman" w:cs="Symbol"/>
        <w:sz w:val="21"/>
      </w:rPr>
    </w:lvl>
    <w:lvl w:ilvl="1">
      <w:numFmt w:val="bullet"/>
      <w:lvlText w:val="o"/>
      <w:lvlJc w:val="left"/>
      <w:pPr>
        <w:ind w:left="1440" w:hanging="360"/>
      </w:pPr>
      <w:rPr>
        <w:rFonts w:cs="Courier New"/>
        <w:sz w:val="20"/>
      </w:rPr>
    </w:lvl>
    <w:lvl w:ilvl="2">
      <w:numFmt w:val="bullet"/>
      <w:lvlText w:val=""/>
      <w:lvlJc w:val="left"/>
      <w:pPr>
        <w:ind w:left="2160" w:hanging="360"/>
      </w:pPr>
      <w:rPr>
        <w:rFonts w:cs="Wingdings"/>
        <w:sz w:val="20"/>
      </w:rPr>
    </w:lvl>
    <w:lvl w:ilvl="3">
      <w:numFmt w:val="bullet"/>
      <w:lvlText w:val=""/>
      <w:lvlJc w:val="left"/>
      <w:pPr>
        <w:ind w:left="2880" w:hanging="360"/>
      </w:pPr>
      <w:rPr>
        <w:rFonts w:cs="Wingdings"/>
        <w:sz w:val="20"/>
      </w:rPr>
    </w:lvl>
    <w:lvl w:ilvl="4">
      <w:numFmt w:val="bullet"/>
      <w:lvlText w:val=""/>
      <w:lvlJc w:val="left"/>
      <w:pPr>
        <w:ind w:left="3600" w:hanging="360"/>
      </w:pPr>
      <w:rPr>
        <w:rFonts w:cs="Wingdings"/>
        <w:sz w:val="20"/>
      </w:rPr>
    </w:lvl>
    <w:lvl w:ilvl="5">
      <w:numFmt w:val="bullet"/>
      <w:lvlText w:val=""/>
      <w:lvlJc w:val="left"/>
      <w:pPr>
        <w:ind w:left="4320" w:hanging="360"/>
      </w:pPr>
      <w:rPr>
        <w:rFonts w:cs="Wingdings"/>
        <w:sz w:val="20"/>
      </w:rPr>
    </w:lvl>
    <w:lvl w:ilvl="6">
      <w:numFmt w:val="bullet"/>
      <w:lvlText w:val=""/>
      <w:lvlJc w:val="left"/>
      <w:pPr>
        <w:ind w:left="5040" w:hanging="360"/>
      </w:pPr>
      <w:rPr>
        <w:rFonts w:cs="Wingdings"/>
        <w:sz w:val="20"/>
      </w:rPr>
    </w:lvl>
    <w:lvl w:ilvl="7">
      <w:numFmt w:val="bullet"/>
      <w:lvlText w:val=""/>
      <w:lvlJc w:val="left"/>
      <w:pPr>
        <w:ind w:left="5760" w:hanging="360"/>
      </w:pPr>
      <w:rPr>
        <w:rFonts w:cs="Wingdings"/>
        <w:sz w:val="20"/>
      </w:rPr>
    </w:lvl>
    <w:lvl w:ilvl="8">
      <w:numFmt w:val="bullet"/>
      <w:lvlText w:val=""/>
      <w:lvlJc w:val="left"/>
      <w:pPr>
        <w:ind w:left="6480" w:hanging="360"/>
      </w:pPr>
      <w:rPr>
        <w:rFonts w:cs="Wingdings"/>
        <w:sz w:val="20"/>
      </w:rPr>
    </w:lvl>
  </w:abstractNum>
  <w:abstractNum w:abstractNumId="61" w15:restartNumberingAfterBreak="0">
    <w:nsid w:val="74301DB4"/>
    <w:multiLevelType w:val="multilevel"/>
    <w:tmpl w:val="C2AAACFA"/>
    <w:lvl w:ilvl="0">
      <w:start w:val="1"/>
      <w:numFmt w:val="bullet"/>
      <w:lvlText w:val=""/>
      <w:lvlJc w:val="left"/>
      <w:pPr>
        <w:tabs>
          <w:tab w:val="num" w:pos="0"/>
        </w:tabs>
        <w:ind w:left="720" w:hanging="360"/>
      </w:pPr>
      <w:rPr>
        <w:rFonts w:ascii="Wingdings" w:hAnsi="Wingdings" w:hint="default"/>
        <w:color w:val="9D2235" w:themeColor="accen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78646097"/>
    <w:multiLevelType w:val="hybridMultilevel"/>
    <w:tmpl w:val="A9387A0E"/>
    <w:lvl w:ilvl="0" w:tplc="7A429C3C">
      <w:start w:val="1"/>
      <w:numFmt w:val="bullet"/>
      <w:lvlText w:val=""/>
      <w:lvlJc w:val="left"/>
      <w:pPr>
        <w:ind w:left="1287" w:hanging="360"/>
      </w:pPr>
      <w:rPr>
        <w:rFonts w:ascii="Wingdings" w:hAnsi="Wingdings" w:hint="default"/>
        <w:color w:val="9D2235" w:themeColor="accent1"/>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3" w15:restartNumberingAfterBreak="0">
    <w:nsid w:val="7932543C"/>
    <w:multiLevelType w:val="multilevel"/>
    <w:tmpl w:val="8D021FAE"/>
    <w:lvl w:ilvl="0">
      <w:start w:val="1"/>
      <w:numFmt w:val="bullet"/>
      <w:lvlText w:val=""/>
      <w:lvlJc w:val="left"/>
      <w:pPr>
        <w:tabs>
          <w:tab w:val="num" w:pos="0"/>
        </w:tabs>
        <w:ind w:left="720" w:hanging="360"/>
      </w:pPr>
      <w:rPr>
        <w:rFonts w:ascii="Wingdings" w:hAnsi="Wingdings" w:hint="default"/>
        <w:color w:val="9D2235" w:themeColor="accen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646475261">
    <w:abstractNumId w:val="6"/>
  </w:num>
  <w:num w:numId="2" w16cid:durableId="1363822527">
    <w:abstractNumId w:val="60"/>
  </w:num>
  <w:num w:numId="3" w16cid:durableId="1172644656">
    <w:abstractNumId w:val="46"/>
  </w:num>
  <w:num w:numId="4" w16cid:durableId="790631067">
    <w:abstractNumId w:val="34"/>
  </w:num>
  <w:num w:numId="5" w16cid:durableId="535319084">
    <w:abstractNumId w:val="24"/>
  </w:num>
  <w:num w:numId="6" w16cid:durableId="927231262">
    <w:abstractNumId w:val="47"/>
  </w:num>
  <w:num w:numId="7" w16cid:durableId="401299953">
    <w:abstractNumId w:val="3"/>
  </w:num>
  <w:num w:numId="8" w16cid:durableId="1975719850">
    <w:abstractNumId w:val="3"/>
  </w:num>
  <w:num w:numId="9" w16cid:durableId="151560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8507085">
    <w:abstractNumId w:val="1"/>
  </w:num>
  <w:num w:numId="11" w16cid:durableId="768238057">
    <w:abstractNumId w:val="2"/>
  </w:num>
  <w:num w:numId="12" w16cid:durableId="937175902">
    <w:abstractNumId w:val="16"/>
  </w:num>
  <w:num w:numId="13" w16cid:durableId="1618174618">
    <w:abstractNumId w:val="35"/>
  </w:num>
  <w:num w:numId="14" w16cid:durableId="2059163818">
    <w:abstractNumId w:val="40"/>
  </w:num>
  <w:num w:numId="15" w16cid:durableId="1968387237">
    <w:abstractNumId w:val="48"/>
  </w:num>
  <w:num w:numId="16" w16cid:durableId="593513621">
    <w:abstractNumId w:val="19"/>
  </w:num>
  <w:num w:numId="17" w16cid:durableId="888955796">
    <w:abstractNumId w:val="52"/>
  </w:num>
  <w:num w:numId="18" w16cid:durableId="20327591">
    <w:abstractNumId w:val="41"/>
  </w:num>
  <w:num w:numId="19" w16cid:durableId="840510898">
    <w:abstractNumId w:val="4"/>
  </w:num>
  <w:num w:numId="20" w16cid:durableId="83577945">
    <w:abstractNumId w:val="53"/>
  </w:num>
  <w:num w:numId="21" w16cid:durableId="728771136">
    <w:abstractNumId w:val="55"/>
  </w:num>
  <w:num w:numId="22" w16cid:durableId="411240350">
    <w:abstractNumId w:val="58"/>
  </w:num>
  <w:num w:numId="23" w16cid:durableId="457258781">
    <w:abstractNumId w:val="43"/>
  </w:num>
  <w:num w:numId="24" w16cid:durableId="197014564">
    <w:abstractNumId w:val="12"/>
  </w:num>
  <w:num w:numId="25" w16cid:durableId="1163546331">
    <w:abstractNumId w:val="7"/>
  </w:num>
  <w:num w:numId="26" w16cid:durableId="1204900643">
    <w:abstractNumId w:val="57"/>
  </w:num>
  <w:num w:numId="27" w16cid:durableId="715276455">
    <w:abstractNumId w:val="45"/>
  </w:num>
  <w:num w:numId="28" w16cid:durableId="1793942431">
    <w:abstractNumId w:val="59"/>
  </w:num>
  <w:num w:numId="29" w16cid:durableId="737216976">
    <w:abstractNumId w:val="50"/>
  </w:num>
  <w:num w:numId="30" w16cid:durableId="695808868">
    <w:abstractNumId w:val="25"/>
  </w:num>
  <w:num w:numId="31" w16cid:durableId="1254391297">
    <w:abstractNumId w:val="28"/>
  </w:num>
  <w:num w:numId="32" w16cid:durableId="4948027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8207762">
    <w:abstractNumId w:val="37"/>
  </w:num>
  <w:num w:numId="34" w16cid:durableId="2094353271">
    <w:abstractNumId w:val="61"/>
  </w:num>
  <w:num w:numId="35" w16cid:durableId="1823308516">
    <w:abstractNumId w:val="63"/>
  </w:num>
  <w:num w:numId="36" w16cid:durableId="17433367">
    <w:abstractNumId w:val="39"/>
  </w:num>
  <w:num w:numId="37" w16cid:durableId="307175019">
    <w:abstractNumId w:val="22"/>
  </w:num>
  <w:num w:numId="38" w16cid:durableId="388960677">
    <w:abstractNumId w:val="62"/>
  </w:num>
  <w:num w:numId="39" w16cid:durableId="1046830199">
    <w:abstractNumId w:val="33"/>
  </w:num>
  <w:num w:numId="40" w16cid:durableId="286662239">
    <w:abstractNumId w:val="8"/>
  </w:num>
  <w:num w:numId="41" w16cid:durableId="1686513713">
    <w:abstractNumId w:val="36"/>
  </w:num>
  <w:num w:numId="42" w16cid:durableId="700715443">
    <w:abstractNumId w:val="51"/>
  </w:num>
  <w:num w:numId="43" w16cid:durableId="1858612790">
    <w:abstractNumId w:val="21"/>
  </w:num>
  <w:num w:numId="44" w16cid:durableId="790517432">
    <w:abstractNumId w:val="30"/>
  </w:num>
  <w:num w:numId="45" w16cid:durableId="1723672219">
    <w:abstractNumId w:val="54"/>
  </w:num>
  <w:num w:numId="46" w16cid:durableId="1168860204">
    <w:abstractNumId w:val="49"/>
  </w:num>
  <w:num w:numId="47" w16cid:durableId="217209387">
    <w:abstractNumId w:val="44"/>
  </w:num>
  <w:num w:numId="48" w16cid:durableId="1472483053">
    <w:abstractNumId w:val="56"/>
  </w:num>
  <w:num w:numId="49" w16cid:durableId="256906270">
    <w:abstractNumId w:val="23"/>
  </w:num>
  <w:num w:numId="50" w16cid:durableId="1750686127">
    <w:abstractNumId w:val="29"/>
  </w:num>
  <w:num w:numId="51" w16cid:durableId="939030090">
    <w:abstractNumId w:val="27"/>
  </w:num>
  <w:num w:numId="52" w16cid:durableId="1297834177">
    <w:abstractNumId w:val="10"/>
  </w:num>
  <w:num w:numId="53" w16cid:durableId="419108799">
    <w:abstractNumId w:val="31"/>
  </w:num>
  <w:num w:numId="54" w16cid:durableId="1969816684">
    <w:abstractNumId w:val="18"/>
  </w:num>
  <w:num w:numId="55" w16cid:durableId="853030190">
    <w:abstractNumId w:val="17"/>
  </w:num>
  <w:num w:numId="56" w16cid:durableId="1064528207">
    <w:abstractNumId w:val="42"/>
  </w:num>
  <w:num w:numId="57" w16cid:durableId="87771423">
    <w:abstractNumId w:val="4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80500372">
    <w:abstractNumId w:val="9"/>
  </w:num>
  <w:num w:numId="59" w16cid:durableId="1559129977">
    <w:abstractNumId w:val="26"/>
  </w:num>
  <w:num w:numId="60" w16cid:durableId="14876217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405372266">
    <w:abstractNumId w:val="38"/>
  </w:num>
  <w:num w:numId="62" w16cid:durableId="478502114">
    <w:abstractNumId w:val="14"/>
  </w:num>
  <w:num w:numId="63" w16cid:durableId="1831284940">
    <w:abstractNumId w:val="11"/>
  </w:num>
  <w:num w:numId="64" w16cid:durableId="623272629">
    <w:abstractNumId w:val="5"/>
  </w:num>
  <w:num w:numId="65" w16cid:durableId="1417168276">
    <w:abstractNumId w:val="20"/>
  </w:num>
  <w:num w:numId="66" w16cid:durableId="923104961">
    <w:abstractNumId w:val="1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0"/>
  <w:hyphenationZone w:val="425"/>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A66"/>
    <w:rsid w:val="00000A80"/>
    <w:rsid w:val="00000D1F"/>
    <w:rsid w:val="00000E5A"/>
    <w:rsid w:val="000012C7"/>
    <w:rsid w:val="000015C0"/>
    <w:rsid w:val="00002F0E"/>
    <w:rsid w:val="000041FC"/>
    <w:rsid w:val="0000467C"/>
    <w:rsid w:val="00005696"/>
    <w:rsid w:val="00007375"/>
    <w:rsid w:val="00010F24"/>
    <w:rsid w:val="00012862"/>
    <w:rsid w:val="00012B49"/>
    <w:rsid w:val="00012EBE"/>
    <w:rsid w:val="000139EB"/>
    <w:rsid w:val="000140B9"/>
    <w:rsid w:val="0001473E"/>
    <w:rsid w:val="00015D03"/>
    <w:rsid w:val="000174F6"/>
    <w:rsid w:val="00017634"/>
    <w:rsid w:val="0001775B"/>
    <w:rsid w:val="00017E5E"/>
    <w:rsid w:val="000204AF"/>
    <w:rsid w:val="00022C2D"/>
    <w:rsid w:val="0002300D"/>
    <w:rsid w:val="00024070"/>
    <w:rsid w:val="00026A22"/>
    <w:rsid w:val="0003243A"/>
    <w:rsid w:val="00032B97"/>
    <w:rsid w:val="00032E8A"/>
    <w:rsid w:val="00035167"/>
    <w:rsid w:val="00035A91"/>
    <w:rsid w:val="00036D8C"/>
    <w:rsid w:val="00040C04"/>
    <w:rsid w:val="00040D5E"/>
    <w:rsid w:val="000421D3"/>
    <w:rsid w:val="000421F5"/>
    <w:rsid w:val="000435A4"/>
    <w:rsid w:val="0004391F"/>
    <w:rsid w:val="00043C15"/>
    <w:rsid w:val="00044E77"/>
    <w:rsid w:val="0005287A"/>
    <w:rsid w:val="00053B23"/>
    <w:rsid w:val="0005467A"/>
    <w:rsid w:val="00054DEE"/>
    <w:rsid w:val="0005575F"/>
    <w:rsid w:val="00055E39"/>
    <w:rsid w:val="000607A6"/>
    <w:rsid w:val="0006276C"/>
    <w:rsid w:val="00065886"/>
    <w:rsid w:val="00066092"/>
    <w:rsid w:val="00067CB8"/>
    <w:rsid w:val="000703E7"/>
    <w:rsid w:val="00071C02"/>
    <w:rsid w:val="00071D35"/>
    <w:rsid w:val="00072D60"/>
    <w:rsid w:val="000744C3"/>
    <w:rsid w:val="000747E1"/>
    <w:rsid w:val="00074E2D"/>
    <w:rsid w:val="000757A1"/>
    <w:rsid w:val="00076BFE"/>
    <w:rsid w:val="00077BD5"/>
    <w:rsid w:val="000806A1"/>
    <w:rsid w:val="000809AE"/>
    <w:rsid w:val="00082030"/>
    <w:rsid w:val="000826AD"/>
    <w:rsid w:val="000867FC"/>
    <w:rsid w:val="00086FD4"/>
    <w:rsid w:val="000915ED"/>
    <w:rsid w:val="00092AEE"/>
    <w:rsid w:val="00093E0F"/>
    <w:rsid w:val="00094228"/>
    <w:rsid w:val="000952B8"/>
    <w:rsid w:val="00096249"/>
    <w:rsid w:val="00096F00"/>
    <w:rsid w:val="000A1323"/>
    <w:rsid w:val="000A445F"/>
    <w:rsid w:val="000A6829"/>
    <w:rsid w:val="000A6A2E"/>
    <w:rsid w:val="000B14EB"/>
    <w:rsid w:val="000B30C2"/>
    <w:rsid w:val="000B390D"/>
    <w:rsid w:val="000B45E2"/>
    <w:rsid w:val="000B71C5"/>
    <w:rsid w:val="000C047E"/>
    <w:rsid w:val="000C060B"/>
    <w:rsid w:val="000C2B89"/>
    <w:rsid w:val="000C499C"/>
    <w:rsid w:val="000C701C"/>
    <w:rsid w:val="000C746A"/>
    <w:rsid w:val="000D0217"/>
    <w:rsid w:val="000D0EE6"/>
    <w:rsid w:val="000D1769"/>
    <w:rsid w:val="000D3A46"/>
    <w:rsid w:val="000D660B"/>
    <w:rsid w:val="000D6D22"/>
    <w:rsid w:val="000D7A07"/>
    <w:rsid w:val="000E0B67"/>
    <w:rsid w:val="000E2A30"/>
    <w:rsid w:val="000E2A66"/>
    <w:rsid w:val="000E39C0"/>
    <w:rsid w:val="000E4182"/>
    <w:rsid w:val="000E6355"/>
    <w:rsid w:val="000E7209"/>
    <w:rsid w:val="000F065A"/>
    <w:rsid w:val="000F0D13"/>
    <w:rsid w:val="000F0D81"/>
    <w:rsid w:val="000F347B"/>
    <w:rsid w:val="000F3C76"/>
    <w:rsid w:val="000F4B9E"/>
    <w:rsid w:val="000F6BC7"/>
    <w:rsid w:val="000F7CDB"/>
    <w:rsid w:val="001002CB"/>
    <w:rsid w:val="0010148E"/>
    <w:rsid w:val="00102F05"/>
    <w:rsid w:val="00103139"/>
    <w:rsid w:val="0010504D"/>
    <w:rsid w:val="00110326"/>
    <w:rsid w:val="00112709"/>
    <w:rsid w:val="00113FE8"/>
    <w:rsid w:val="00114187"/>
    <w:rsid w:val="001151F0"/>
    <w:rsid w:val="00117BAE"/>
    <w:rsid w:val="00120A09"/>
    <w:rsid w:val="00120F0F"/>
    <w:rsid w:val="00121BDF"/>
    <w:rsid w:val="001221CA"/>
    <w:rsid w:val="00122F19"/>
    <w:rsid w:val="00124099"/>
    <w:rsid w:val="00125D5B"/>
    <w:rsid w:val="001267F7"/>
    <w:rsid w:val="00126AD7"/>
    <w:rsid w:val="00127219"/>
    <w:rsid w:val="00127F3E"/>
    <w:rsid w:val="00130C46"/>
    <w:rsid w:val="00130CF5"/>
    <w:rsid w:val="00131110"/>
    <w:rsid w:val="00134151"/>
    <w:rsid w:val="001363E8"/>
    <w:rsid w:val="00136E45"/>
    <w:rsid w:val="001400EF"/>
    <w:rsid w:val="0014011E"/>
    <w:rsid w:val="00141BE0"/>
    <w:rsid w:val="00143DB0"/>
    <w:rsid w:val="00145DAC"/>
    <w:rsid w:val="00147E20"/>
    <w:rsid w:val="0015081D"/>
    <w:rsid w:val="00152A36"/>
    <w:rsid w:val="001538B4"/>
    <w:rsid w:val="0015488E"/>
    <w:rsid w:val="00154F9C"/>
    <w:rsid w:val="00156DAB"/>
    <w:rsid w:val="00157218"/>
    <w:rsid w:val="00157568"/>
    <w:rsid w:val="00157679"/>
    <w:rsid w:val="00157A8B"/>
    <w:rsid w:val="00157BB9"/>
    <w:rsid w:val="00160A47"/>
    <w:rsid w:val="0016286E"/>
    <w:rsid w:val="00162EA4"/>
    <w:rsid w:val="00162F3C"/>
    <w:rsid w:val="001669C1"/>
    <w:rsid w:val="00167686"/>
    <w:rsid w:val="00170207"/>
    <w:rsid w:val="00171D00"/>
    <w:rsid w:val="00175395"/>
    <w:rsid w:val="00176040"/>
    <w:rsid w:val="0017604D"/>
    <w:rsid w:val="00176FCA"/>
    <w:rsid w:val="001774E0"/>
    <w:rsid w:val="00180BD2"/>
    <w:rsid w:val="001814C5"/>
    <w:rsid w:val="00181707"/>
    <w:rsid w:val="001818E7"/>
    <w:rsid w:val="0018429C"/>
    <w:rsid w:val="00184CC4"/>
    <w:rsid w:val="00184E85"/>
    <w:rsid w:val="00186784"/>
    <w:rsid w:val="00187762"/>
    <w:rsid w:val="001900B6"/>
    <w:rsid w:val="001903FA"/>
    <w:rsid w:val="001908A2"/>
    <w:rsid w:val="001924CE"/>
    <w:rsid w:val="0019430F"/>
    <w:rsid w:val="001A1C66"/>
    <w:rsid w:val="001A5ABB"/>
    <w:rsid w:val="001A6313"/>
    <w:rsid w:val="001A6B05"/>
    <w:rsid w:val="001B1422"/>
    <w:rsid w:val="001B1B07"/>
    <w:rsid w:val="001B264C"/>
    <w:rsid w:val="001B2790"/>
    <w:rsid w:val="001B5A72"/>
    <w:rsid w:val="001B6518"/>
    <w:rsid w:val="001B7D0D"/>
    <w:rsid w:val="001C2A13"/>
    <w:rsid w:val="001C2ABB"/>
    <w:rsid w:val="001C41EC"/>
    <w:rsid w:val="001C4A23"/>
    <w:rsid w:val="001D0A43"/>
    <w:rsid w:val="001D19F9"/>
    <w:rsid w:val="001D30AE"/>
    <w:rsid w:val="001D3848"/>
    <w:rsid w:val="001D52FD"/>
    <w:rsid w:val="001D610B"/>
    <w:rsid w:val="001D7357"/>
    <w:rsid w:val="001E0358"/>
    <w:rsid w:val="001E295B"/>
    <w:rsid w:val="001E304B"/>
    <w:rsid w:val="001E4352"/>
    <w:rsid w:val="001F0520"/>
    <w:rsid w:val="001F0B05"/>
    <w:rsid w:val="001F17F7"/>
    <w:rsid w:val="001F4201"/>
    <w:rsid w:val="001F5FA5"/>
    <w:rsid w:val="001F736B"/>
    <w:rsid w:val="001F7C08"/>
    <w:rsid w:val="001F7CEA"/>
    <w:rsid w:val="001F7E9F"/>
    <w:rsid w:val="00200805"/>
    <w:rsid w:val="002027E9"/>
    <w:rsid w:val="002061A4"/>
    <w:rsid w:val="00206A06"/>
    <w:rsid w:val="00206AFA"/>
    <w:rsid w:val="002109CB"/>
    <w:rsid w:val="00211D4C"/>
    <w:rsid w:val="00212E69"/>
    <w:rsid w:val="00214F74"/>
    <w:rsid w:val="00220772"/>
    <w:rsid w:val="00220FFE"/>
    <w:rsid w:val="002212A9"/>
    <w:rsid w:val="00222B79"/>
    <w:rsid w:val="0022592B"/>
    <w:rsid w:val="00231D61"/>
    <w:rsid w:val="00234697"/>
    <w:rsid w:val="00235800"/>
    <w:rsid w:val="00236910"/>
    <w:rsid w:val="00237860"/>
    <w:rsid w:val="002406F8"/>
    <w:rsid w:val="00240878"/>
    <w:rsid w:val="00241DA2"/>
    <w:rsid w:val="002431F6"/>
    <w:rsid w:val="002432B6"/>
    <w:rsid w:val="00243A1D"/>
    <w:rsid w:val="00244558"/>
    <w:rsid w:val="002464C1"/>
    <w:rsid w:val="002516FB"/>
    <w:rsid w:val="0025363D"/>
    <w:rsid w:val="002539DC"/>
    <w:rsid w:val="00253ED4"/>
    <w:rsid w:val="00257CD4"/>
    <w:rsid w:val="00262BE0"/>
    <w:rsid w:val="00262F77"/>
    <w:rsid w:val="00264D99"/>
    <w:rsid w:val="00264EC2"/>
    <w:rsid w:val="00265AF0"/>
    <w:rsid w:val="00267C42"/>
    <w:rsid w:val="00267D64"/>
    <w:rsid w:val="00270BC0"/>
    <w:rsid w:val="00270D4B"/>
    <w:rsid w:val="002722A7"/>
    <w:rsid w:val="00274233"/>
    <w:rsid w:val="00274396"/>
    <w:rsid w:val="00274807"/>
    <w:rsid w:val="00276A50"/>
    <w:rsid w:val="0027764E"/>
    <w:rsid w:val="002812FE"/>
    <w:rsid w:val="00287119"/>
    <w:rsid w:val="0029094F"/>
    <w:rsid w:val="00291289"/>
    <w:rsid w:val="00291609"/>
    <w:rsid w:val="002949C6"/>
    <w:rsid w:val="00294CA2"/>
    <w:rsid w:val="002960AB"/>
    <w:rsid w:val="00296A81"/>
    <w:rsid w:val="00296BB3"/>
    <w:rsid w:val="002A1357"/>
    <w:rsid w:val="002A1E9E"/>
    <w:rsid w:val="002A2F80"/>
    <w:rsid w:val="002A3533"/>
    <w:rsid w:val="002A3818"/>
    <w:rsid w:val="002A4453"/>
    <w:rsid w:val="002A47AA"/>
    <w:rsid w:val="002A5A3A"/>
    <w:rsid w:val="002A5CF7"/>
    <w:rsid w:val="002A794E"/>
    <w:rsid w:val="002A7F01"/>
    <w:rsid w:val="002B0793"/>
    <w:rsid w:val="002B23F8"/>
    <w:rsid w:val="002B2AC3"/>
    <w:rsid w:val="002B3393"/>
    <w:rsid w:val="002B43E6"/>
    <w:rsid w:val="002B637B"/>
    <w:rsid w:val="002B6FB5"/>
    <w:rsid w:val="002B7805"/>
    <w:rsid w:val="002C0BEF"/>
    <w:rsid w:val="002C0DE6"/>
    <w:rsid w:val="002C15DE"/>
    <w:rsid w:val="002C1BFB"/>
    <w:rsid w:val="002C2770"/>
    <w:rsid w:val="002C3B22"/>
    <w:rsid w:val="002C66A2"/>
    <w:rsid w:val="002D0FF9"/>
    <w:rsid w:val="002D0FFD"/>
    <w:rsid w:val="002D16E3"/>
    <w:rsid w:val="002D1C6B"/>
    <w:rsid w:val="002D3AF5"/>
    <w:rsid w:val="002D3B30"/>
    <w:rsid w:val="002D40BA"/>
    <w:rsid w:val="002D5550"/>
    <w:rsid w:val="002D6F91"/>
    <w:rsid w:val="002E0A25"/>
    <w:rsid w:val="002E2E83"/>
    <w:rsid w:val="002E302A"/>
    <w:rsid w:val="002E37BB"/>
    <w:rsid w:val="002E56BF"/>
    <w:rsid w:val="002E5FE9"/>
    <w:rsid w:val="002F36BA"/>
    <w:rsid w:val="002F4ECF"/>
    <w:rsid w:val="002F7944"/>
    <w:rsid w:val="00303793"/>
    <w:rsid w:val="00305021"/>
    <w:rsid w:val="00310412"/>
    <w:rsid w:val="00311B42"/>
    <w:rsid w:val="003135D0"/>
    <w:rsid w:val="003141B3"/>
    <w:rsid w:val="00316401"/>
    <w:rsid w:val="0031790B"/>
    <w:rsid w:val="00321B23"/>
    <w:rsid w:val="00321C8E"/>
    <w:rsid w:val="0032279D"/>
    <w:rsid w:val="003234BE"/>
    <w:rsid w:val="00327CBB"/>
    <w:rsid w:val="00330E85"/>
    <w:rsid w:val="003408CE"/>
    <w:rsid w:val="00340E47"/>
    <w:rsid w:val="00342C45"/>
    <w:rsid w:val="00343A29"/>
    <w:rsid w:val="00343E49"/>
    <w:rsid w:val="003504BA"/>
    <w:rsid w:val="003530AE"/>
    <w:rsid w:val="00355147"/>
    <w:rsid w:val="003556A2"/>
    <w:rsid w:val="00357ED3"/>
    <w:rsid w:val="00360A2E"/>
    <w:rsid w:val="00360DCC"/>
    <w:rsid w:val="00362069"/>
    <w:rsid w:val="003621D6"/>
    <w:rsid w:val="00364B3C"/>
    <w:rsid w:val="003659C7"/>
    <w:rsid w:val="00365C02"/>
    <w:rsid w:val="00365DC2"/>
    <w:rsid w:val="00366233"/>
    <w:rsid w:val="003663F8"/>
    <w:rsid w:val="00367282"/>
    <w:rsid w:val="00370995"/>
    <w:rsid w:val="00372BD9"/>
    <w:rsid w:val="003746F3"/>
    <w:rsid w:val="00374AC9"/>
    <w:rsid w:val="0037557B"/>
    <w:rsid w:val="00376615"/>
    <w:rsid w:val="003803CD"/>
    <w:rsid w:val="003834B9"/>
    <w:rsid w:val="00383DA4"/>
    <w:rsid w:val="00384B48"/>
    <w:rsid w:val="00385080"/>
    <w:rsid w:val="00385573"/>
    <w:rsid w:val="00391D7B"/>
    <w:rsid w:val="0039254B"/>
    <w:rsid w:val="00392F00"/>
    <w:rsid w:val="003935DA"/>
    <w:rsid w:val="00393AD1"/>
    <w:rsid w:val="00393B26"/>
    <w:rsid w:val="0039426D"/>
    <w:rsid w:val="00394FC5"/>
    <w:rsid w:val="00395D08"/>
    <w:rsid w:val="0039675B"/>
    <w:rsid w:val="00396C04"/>
    <w:rsid w:val="003A05C5"/>
    <w:rsid w:val="003A60FD"/>
    <w:rsid w:val="003A6A3F"/>
    <w:rsid w:val="003A6E34"/>
    <w:rsid w:val="003A7CAA"/>
    <w:rsid w:val="003B0C74"/>
    <w:rsid w:val="003B10CC"/>
    <w:rsid w:val="003B28A6"/>
    <w:rsid w:val="003B38E5"/>
    <w:rsid w:val="003B3BB4"/>
    <w:rsid w:val="003B6B04"/>
    <w:rsid w:val="003C28C4"/>
    <w:rsid w:val="003C2FAB"/>
    <w:rsid w:val="003C3EFA"/>
    <w:rsid w:val="003C4EAD"/>
    <w:rsid w:val="003C6B36"/>
    <w:rsid w:val="003C7F9D"/>
    <w:rsid w:val="003D107F"/>
    <w:rsid w:val="003D1E71"/>
    <w:rsid w:val="003D6956"/>
    <w:rsid w:val="003E0AA3"/>
    <w:rsid w:val="003E333A"/>
    <w:rsid w:val="003E7826"/>
    <w:rsid w:val="003E7E1B"/>
    <w:rsid w:val="003F171F"/>
    <w:rsid w:val="003F2F5A"/>
    <w:rsid w:val="003F536E"/>
    <w:rsid w:val="00400C5A"/>
    <w:rsid w:val="00400F81"/>
    <w:rsid w:val="00404BFF"/>
    <w:rsid w:val="004063ED"/>
    <w:rsid w:val="00411176"/>
    <w:rsid w:val="0041345C"/>
    <w:rsid w:val="00413C3C"/>
    <w:rsid w:val="004149CE"/>
    <w:rsid w:val="0041639B"/>
    <w:rsid w:val="00417226"/>
    <w:rsid w:val="00417A14"/>
    <w:rsid w:val="0042236D"/>
    <w:rsid w:val="00422848"/>
    <w:rsid w:val="00422C6A"/>
    <w:rsid w:val="0042522B"/>
    <w:rsid w:val="004313D1"/>
    <w:rsid w:val="00433C7A"/>
    <w:rsid w:val="00435D08"/>
    <w:rsid w:val="00436174"/>
    <w:rsid w:val="00436B6D"/>
    <w:rsid w:val="00442A94"/>
    <w:rsid w:val="00442FDF"/>
    <w:rsid w:val="00443257"/>
    <w:rsid w:val="004442BD"/>
    <w:rsid w:val="00445B03"/>
    <w:rsid w:val="004464D3"/>
    <w:rsid w:val="00451926"/>
    <w:rsid w:val="004522FD"/>
    <w:rsid w:val="004530CB"/>
    <w:rsid w:val="00454255"/>
    <w:rsid w:val="00455425"/>
    <w:rsid w:val="0045549E"/>
    <w:rsid w:val="0045757F"/>
    <w:rsid w:val="00457ACE"/>
    <w:rsid w:val="004613C8"/>
    <w:rsid w:val="0046272B"/>
    <w:rsid w:val="004637FA"/>
    <w:rsid w:val="004646E9"/>
    <w:rsid w:val="00464872"/>
    <w:rsid w:val="00464ED7"/>
    <w:rsid w:val="00465DB0"/>
    <w:rsid w:val="00466344"/>
    <w:rsid w:val="004668A5"/>
    <w:rsid w:val="00470094"/>
    <w:rsid w:val="00471246"/>
    <w:rsid w:val="00474B97"/>
    <w:rsid w:val="004750AA"/>
    <w:rsid w:val="004764B3"/>
    <w:rsid w:val="004767CC"/>
    <w:rsid w:val="00476BC1"/>
    <w:rsid w:val="004774DA"/>
    <w:rsid w:val="00480863"/>
    <w:rsid w:val="00483669"/>
    <w:rsid w:val="0048558D"/>
    <w:rsid w:val="00486EA0"/>
    <w:rsid w:val="004878B0"/>
    <w:rsid w:val="004904D8"/>
    <w:rsid w:val="00490A74"/>
    <w:rsid w:val="004927C3"/>
    <w:rsid w:val="0049285A"/>
    <w:rsid w:val="0049312F"/>
    <w:rsid w:val="00495113"/>
    <w:rsid w:val="0049550C"/>
    <w:rsid w:val="00497324"/>
    <w:rsid w:val="004A06EE"/>
    <w:rsid w:val="004A3C1B"/>
    <w:rsid w:val="004A4D64"/>
    <w:rsid w:val="004A5499"/>
    <w:rsid w:val="004A5F93"/>
    <w:rsid w:val="004A6A9C"/>
    <w:rsid w:val="004A764D"/>
    <w:rsid w:val="004B0B5D"/>
    <w:rsid w:val="004B1A16"/>
    <w:rsid w:val="004B1B68"/>
    <w:rsid w:val="004B3AB2"/>
    <w:rsid w:val="004B442C"/>
    <w:rsid w:val="004B45BE"/>
    <w:rsid w:val="004B4FD1"/>
    <w:rsid w:val="004B5FFE"/>
    <w:rsid w:val="004B7EE2"/>
    <w:rsid w:val="004C06FF"/>
    <w:rsid w:val="004C14BF"/>
    <w:rsid w:val="004C2326"/>
    <w:rsid w:val="004C2F5A"/>
    <w:rsid w:val="004C557F"/>
    <w:rsid w:val="004C6841"/>
    <w:rsid w:val="004C75D4"/>
    <w:rsid w:val="004D135D"/>
    <w:rsid w:val="004D15AF"/>
    <w:rsid w:val="004D194D"/>
    <w:rsid w:val="004D292C"/>
    <w:rsid w:val="004D2F80"/>
    <w:rsid w:val="004D358C"/>
    <w:rsid w:val="004D416C"/>
    <w:rsid w:val="004D45E0"/>
    <w:rsid w:val="004D474C"/>
    <w:rsid w:val="004D6055"/>
    <w:rsid w:val="004E0A16"/>
    <w:rsid w:val="004E137A"/>
    <w:rsid w:val="004E2065"/>
    <w:rsid w:val="004E256D"/>
    <w:rsid w:val="004E3452"/>
    <w:rsid w:val="004E3698"/>
    <w:rsid w:val="004E4C56"/>
    <w:rsid w:val="004E54C2"/>
    <w:rsid w:val="004E5BF6"/>
    <w:rsid w:val="004E6659"/>
    <w:rsid w:val="004F2FD1"/>
    <w:rsid w:val="004F3165"/>
    <w:rsid w:val="004F52BA"/>
    <w:rsid w:val="004F5C13"/>
    <w:rsid w:val="004F6A7A"/>
    <w:rsid w:val="004F75D8"/>
    <w:rsid w:val="004F7A0A"/>
    <w:rsid w:val="0050097D"/>
    <w:rsid w:val="00502CCD"/>
    <w:rsid w:val="00503C19"/>
    <w:rsid w:val="0050483D"/>
    <w:rsid w:val="00510684"/>
    <w:rsid w:val="00510CA3"/>
    <w:rsid w:val="00512A03"/>
    <w:rsid w:val="0051366A"/>
    <w:rsid w:val="00513B39"/>
    <w:rsid w:val="005156A0"/>
    <w:rsid w:val="0051643D"/>
    <w:rsid w:val="005174F7"/>
    <w:rsid w:val="005211E0"/>
    <w:rsid w:val="005227EB"/>
    <w:rsid w:val="00522ED7"/>
    <w:rsid w:val="00524F7D"/>
    <w:rsid w:val="0052530F"/>
    <w:rsid w:val="00527631"/>
    <w:rsid w:val="005306E1"/>
    <w:rsid w:val="005308FD"/>
    <w:rsid w:val="0053165B"/>
    <w:rsid w:val="00532873"/>
    <w:rsid w:val="00533AD8"/>
    <w:rsid w:val="00533C0E"/>
    <w:rsid w:val="00533CA5"/>
    <w:rsid w:val="00534257"/>
    <w:rsid w:val="00534909"/>
    <w:rsid w:val="00536293"/>
    <w:rsid w:val="0053673F"/>
    <w:rsid w:val="00537E8B"/>
    <w:rsid w:val="005401CB"/>
    <w:rsid w:val="00541D7E"/>
    <w:rsid w:val="00542F05"/>
    <w:rsid w:val="00545957"/>
    <w:rsid w:val="00545B5D"/>
    <w:rsid w:val="0054708D"/>
    <w:rsid w:val="00547698"/>
    <w:rsid w:val="00554244"/>
    <w:rsid w:val="00557C6D"/>
    <w:rsid w:val="00561C3B"/>
    <w:rsid w:val="00561F04"/>
    <w:rsid w:val="00563D14"/>
    <w:rsid w:val="005648FC"/>
    <w:rsid w:val="005667AF"/>
    <w:rsid w:val="00567ED4"/>
    <w:rsid w:val="00571318"/>
    <w:rsid w:val="005718E7"/>
    <w:rsid w:val="005758B1"/>
    <w:rsid w:val="005759FE"/>
    <w:rsid w:val="00575AA9"/>
    <w:rsid w:val="005767F5"/>
    <w:rsid w:val="00576D57"/>
    <w:rsid w:val="00577844"/>
    <w:rsid w:val="005811F0"/>
    <w:rsid w:val="00583150"/>
    <w:rsid w:val="0058590E"/>
    <w:rsid w:val="005877CF"/>
    <w:rsid w:val="005914CE"/>
    <w:rsid w:val="00592456"/>
    <w:rsid w:val="005941CB"/>
    <w:rsid w:val="005945CC"/>
    <w:rsid w:val="00595084"/>
    <w:rsid w:val="0059556D"/>
    <w:rsid w:val="00596074"/>
    <w:rsid w:val="005A0A8D"/>
    <w:rsid w:val="005A1A6A"/>
    <w:rsid w:val="005A2CA0"/>
    <w:rsid w:val="005A4C72"/>
    <w:rsid w:val="005B389C"/>
    <w:rsid w:val="005B3E0E"/>
    <w:rsid w:val="005B415E"/>
    <w:rsid w:val="005B4E6D"/>
    <w:rsid w:val="005B50E5"/>
    <w:rsid w:val="005B6B32"/>
    <w:rsid w:val="005C0353"/>
    <w:rsid w:val="005C1EF1"/>
    <w:rsid w:val="005C38E0"/>
    <w:rsid w:val="005C39F5"/>
    <w:rsid w:val="005C7C25"/>
    <w:rsid w:val="005D17AD"/>
    <w:rsid w:val="005D277B"/>
    <w:rsid w:val="005D3809"/>
    <w:rsid w:val="005D6A9A"/>
    <w:rsid w:val="005D6D8B"/>
    <w:rsid w:val="005D7B04"/>
    <w:rsid w:val="005D7D14"/>
    <w:rsid w:val="005E047E"/>
    <w:rsid w:val="005E0B71"/>
    <w:rsid w:val="005E54A9"/>
    <w:rsid w:val="005E5A02"/>
    <w:rsid w:val="005E7459"/>
    <w:rsid w:val="005E7993"/>
    <w:rsid w:val="005E7B93"/>
    <w:rsid w:val="005F0A1F"/>
    <w:rsid w:val="005F230F"/>
    <w:rsid w:val="005F2C30"/>
    <w:rsid w:val="005F51CF"/>
    <w:rsid w:val="005F6432"/>
    <w:rsid w:val="005F661D"/>
    <w:rsid w:val="005F7331"/>
    <w:rsid w:val="00600083"/>
    <w:rsid w:val="006046AD"/>
    <w:rsid w:val="0060478B"/>
    <w:rsid w:val="00610826"/>
    <w:rsid w:val="00611512"/>
    <w:rsid w:val="00612F9F"/>
    <w:rsid w:val="006133A7"/>
    <w:rsid w:val="00614457"/>
    <w:rsid w:val="006148F6"/>
    <w:rsid w:val="006169C3"/>
    <w:rsid w:val="00620189"/>
    <w:rsid w:val="00620D7D"/>
    <w:rsid w:val="00621044"/>
    <w:rsid w:val="00621157"/>
    <w:rsid w:val="00626413"/>
    <w:rsid w:val="0062720F"/>
    <w:rsid w:val="006300FA"/>
    <w:rsid w:val="00630108"/>
    <w:rsid w:val="00632A52"/>
    <w:rsid w:val="0063341B"/>
    <w:rsid w:val="006345AA"/>
    <w:rsid w:val="00636294"/>
    <w:rsid w:val="0063751F"/>
    <w:rsid w:val="00637696"/>
    <w:rsid w:val="00640AAC"/>
    <w:rsid w:val="0064124A"/>
    <w:rsid w:val="006415EB"/>
    <w:rsid w:val="00641861"/>
    <w:rsid w:val="0064260A"/>
    <w:rsid w:val="0064368C"/>
    <w:rsid w:val="00644597"/>
    <w:rsid w:val="0064509F"/>
    <w:rsid w:val="00645A7A"/>
    <w:rsid w:val="00651116"/>
    <w:rsid w:val="0065452B"/>
    <w:rsid w:val="00655177"/>
    <w:rsid w:val="0065585D"/>
    <w:rsid w:val="00655953"/>
    <w:rsid w:val="006568B5"/>
    <w:rsid w:val="0065794C"/>
    <w:rsid w:val="00665F72"/>
    <w:rsid w:val="006668D6"/>
    <w:rsid w:val="00667C3E"/>
    <w:rsid w:val="006704B7"/>
    <w:rsid w:val="006719F8"/>
    <w:rsid w:val="00671CE2"/>
    <w:rsid w:val="00672ABA"/>
    <w:rsid w:val="006757C7"/>
    <w:rsid w:val="006806FB"/>
    <w:rsid w:val="0068152E"/>
    <w:rsid w:val="006856D4"/>
    <w:rsid w:val="006858FC"/>
    <w:rsid w:val="00687EEE"/>
    <w:rsid w:val="0069034C"/>
    <w:rsid w:val="00694598"/>
    <w:rsid w:val="00694861"/>
    <w:rsid w:val="00695842"/>
    <w:rsid w:val="006962FB"/>
    <w:rsid w:val="0069728D"/>
    <w:rsid w:val="006A02E6"/>
    <w:rsid w:val="006A1D4E"/>
    <w:rsid w:val="006A2178"/>
    <w:rsid w:val="006A3D9A"/>
    <w:rsid w:val="006A441C"/>
    <w:rsid w:val="006A5366"/>
    <w:rsid w:val="006B1DDA"/>
    <w:rsid w:val="006B226E"/>
    <w:rsid w:val="006B23D2"/>
    <w:rsid w:val="006B2FEC"/>
    <w:rsid w:val="006B4251"/>
    <w:rsid w:val="006B510A"/>
    <w:rsid w:val="006C1394"/>
    <w:rsid w:val="006C2B7D"/>
    <w:rsid w:val="006C393E"/>
    <w:rsid w:val="006C3BF9"/>
    <w:rsid w:val="006C4630"/>
    <w:rsid w:val="006C4A99"/>
    <w:rsid w:val="006C55A1"/>
    <w:rsid w:val="006C787A"/>
    <w:rsid w:val="006D0F5F"/>
    <w:rsid w:val="006D54A8"/>
    <w:rsid w:val="006D6F89"/>
    <w:rsid w:val="006E0FAD"/>
    <w:rsid w:val="006E2653"/>
    <w:rsid w:val="006E2C41"/>
    <w:rsid w:val="006E30DA"/>
    <w:rsid w:val="006E67FF"/>
    <w:rsid w:val="006E7084"/>
    <w:rsid w:val="006E70E6"/>
    <w:rsid w:val="006E789F"/>
    <w:rsid w:val="006F286F"/>
    <w:rsid w:val="006F5661"/>
    <w:rsid w:val="006F5EAA"/>
    <w:rsid w:val="006F6784"/>
    <w:rsid w:val="006F72FA"/>
    <w:rsid w:val="00700270"/>
    <w:rsid w:val="0070209B"/>
    <w:rsid w:val="007032E5"/>
    <w:rsid w:val="007049F4"/>
    <w:rsid w:val="00704D59"/>
    <w:rsid w:val="00704D6E"/>
    <w:rsid w:val="007111DB"/>
    <w:rsid w:val="00712E1B"/>
    <w:rsid w:val="0071349C"/>
    <w:rsid w:val="00714112"/>
    <w:rsid w:val="0071434E"/>
    <w:rsid w:val="00715F9C"/>
    <w:rsid w:val="007226BA"/>
    <w:rsid w:val="0072308F"/>
    <w:rsid w:val="007238F2"/>
    <w:rsid w:val="00727D14"/>
    <w:rsid w:val="0073187C"/>
    <w:rsid w:val="007338B3"/>
    <w:rsid w:val="00733E9D"/>
    <w:rsid w:val="00735102"/>
    <w:rsid w:val="0073597E"/>
    <w:rsid w:val="007362B3"/>
    <w:rsid w:val="007364FF"/>
    <w:rsid w:val="00736813"/>
    <w:rsid w:val="00736BA1"/>
    <w:rsid w:val="00736C6A"/>
    <w:rsid w:val="007374A2"/>
    <w:rsid w:val="00740962"/>
    <w:rsid w:val="007412E2"/>
    <w:rsid w:val="00741601"/>
    <w:rsid w:val="00742DAA"/>
    <w:rsid w:val="00744490"/>
    <w:rsid w:val="0074607E"/>
    <w:rsid w:val="00747869"/>
    <w:rsid w:val="00747A7D"/>
    <w:rsid w:val="00750722"/>
    <w:rsid w:val="00750783"/>
    <w:rsid w:val="00750944"/>
    <w:rsid w:val="007511DC"/>
    <w:rsid w:val="0075154C"/>
    <w:rsid w:val="007521DD"/>
    <w:rsid w:val="00763BD9"/>
    <w:rsid w:val="007642F6"/>
    <w:rsid w:val="007643D5"/>
    <w:rsid w:val="007663DF"/>
    <w:rsid w:val="00771F5E"/>
    <w:rsid w:val="00773945"/>
    <w:rsid w:val="00774A15"/>
    <w:rsid w:val="00774AAB"/>
    <w:rsid w:val="00777EC4"/>
    <w:rsid w:val="00780DB7"/>
    <w:rsid w:val="0078230B"/>
    <w:rsid w:val="00782994"/>
    <w:rsid w:val="00782E4E"/>
    <w:rsid w:val="00784025"/>
    <w:rsid w:val="00785EEA"/>
    <w:rsid w:val="0079209F"/>
    <w:rsid w:val="00792177"/>
    <w:rsid w:val="0079356D"/>
    <w:rsid w:val="00794287"/>
    <w:rsid w:val="00796025"/>
    <w:rsid w:val="00797E9C"/>
    <w:rsid w:val="007A0132"/>
    <w:rsid w:val="007A1751"/>
    <w:rsid w:val="007A4505"/>
    <w:rsid w:val="007A50FD"/>
    <w:rsid w:val="007A5566"/>
    <w:rsid w:val="007A571E"/>
    <w:rsid w:val="007A75CD"/>
    <w:rsid w:val="007B2D10"/>
    <w:rsid w:val="007B412D"/>
    <w:rsid w:val="007B54B5"/>
    <w:rsid w:val="007B55A3"/>
    <w:rsid w:val="007B6339"/>
    <w:rsid w:val="007B6693"/>
    <w:rsid w:val="007C1729"/>
    <w:rsid w:val="007C4186"/>
    <w:rsid w:val="007C4D4A"/>
    <w:rsid w:val="007C513B"/>
    <w:rsid w:val="007C529F"/>
    <w:rsid w:val="007C64AC"/>
    <w:rsid w:val="007C7980"/>
    <w:rsid w:val="007D0E23"/>
    <w:rsid w:val="007D3C02"/>
    <w:rsid w:val="007D3D23"/>
    <w:rsid w:val="007D4ECE"/>
    <w:rsid w:val="007D7616"/>
    <w:rsid w:val="007E26E0"/>
    <w:rsid w:val="007E2F3E"/>
    <w:rsid w:val="007E3168"/>
    <w:rsid w:val="007E4553"/>
    <w:rsid w:val="007E59E7"/>
    <w:rsid w:val="007E6C66"/>
    <w:rsid w:val="007E742A"/>
    <w:rsid w:val="007F1407"/>
    <w:rsid w:val="007F3044"/>
    <w:rsid w:val="007F3362"/>
    <w:rsid w:val="007F35C5"/>
    <w:rsid w:val="007F4E1B"/>
    <w:rsid w:val="007F5ACB"/>
    <w:rsid w:val="007F68C1"/>
    <w:rsid w:val="007F6F69"/>
    <w:rsid w:val="0080074E"/>
    <w:rsid w:val="008011BF"/>
    <w:rsid w:val="00801280"/>
    <w:rsid w:val="00802962"/>
    <w:rsid w:val="00803DB0"/>
    <w:rsid w:val="008065EF"/>
    <w:rsid w:val="00810491"/>
    <w:rsid w:val="00812321"/>
    <w:rsid w:val="00813688"/>
    <w:rsid w:val="008145AC"/>
    <w:rsid w:val="00814768"/>
    <w:rsid w:val="008148CA"/>
    <w:rsid w:val="00817290"/>
    <w:rsid w:val="0082177E"/>
    <w:rsid w:val="00821C90"/>
    <w:rsid w:val="00824D80"/>
    <w:rsid w:val="008254A6"/>
    <w:rsid w:val="00826954"/>
    <w:rsid w:val="00834CAA"/>
    <w:rsid w:val="00837C34"/>
    <w:rsid w:val="008403D4"/>
    <w:rsid w:val="0084208A"/>
    <w:rsid w:val="008447AD"/>
    <w:rsid w:val="00851079"/>
    <w:rsid w:val="00851C2E"/>
    <w:rsid w:val="008523E8"/>
    <w:rsid w:val="0085298F"/>
    <w:rsid w:val="008541FB"/>
    <w:rsid w:val="00855026"/>
    <w:rsid w:val="00861276"/>
    <w:rsid w:val="00861477"/>
    <w:rsid w:val="00861BFD"/>
    <w:rsid w:val="00862D5B"/>
    <w:rsid w:val="00863008"/>
    <w:rsid w:val="008637FD"/>
    <w:rsid w:val="00863A86"/>
    <w:rsid w:val="00863CE0"/>
    <w:rsid w:val="008643C9"/>
    <w:rsid w:val="00864B32"/>
    <w:rsid w:val="0087054B"/>
    <w:rsid w:val="00872C01"/>
    <w:rsid w:val="00873379"/>
    <w:rsid w:val="008733CD"/>
    <w:rsid w:val="00873AC9"/>
    <w:rsid w:val="00874585"/>
    <w:rsid w:val="00874FE3"/>
    <w:rsid w:val="00876C89"/>
    <w:rsid w:val="00876D42"/>
    <w:rsid w:val="00877A02"/>
    <w:rsid w:val="00877BB3"/>
    <w:rsid w:val="00877E93"/>
    <w:rsid w:val="00883152"/>
    <w:rsid w:val="008846F6"/>
    <w:rsid w:val="00884961"/>
    <w:rsid w:val="00887DF3"/>
    <w:rsid w:val="00890352"/>
    <w:rsid w:val="008917FC"/>
    <w:rsid w:val="00893517"/>
    <w:rsid w:val="0089408D"/>
    <w:rsid w:val="0089514C"/>
    <w:rsid w:val="008A0A32"/>
    <w:rsid w:val="008A1A7A"/>
    <w:rsid w:val="008A21DB"/>
    <w:rsid w:val="008A4A1D"/>
    <w:rsid w:val="008A587E"/>
    <w:rsid w:val="008A58B0"/>
    <w:rsid w:val="008A79F8"/>
    <w:rsid w:val="008B2A93"/>
    <w:rsid w:val="008B4303"/>
    <w:rsid w:val="008B600C"/>
    <w:rsid w:val="008B6528"/>
    <w:rsid w:val="008B6E1F"/>
    <w:rsid w:val="008B7049"/>
    <w:rsid w:val="008B790C"/>
    <w:rsid w:val="008B7F0F"/>
    <w:rsid w:val="008C0C5A"/>
    <w:rsid w:val="008C0E7E"/>
    <w:rsid w:val="008C10AF"/>
    <w:rsid w:val="008C1E7A"/>
    <w:rsid w:val="008C56BD"/>
    <w:rsid w:val="008C59A3"/>
    <w:rsid w:val="008D4884"/>
    <w:rsid w:val="008D4F72"/>
    <w:rsid w:val="008D6C98"/>
    <w:rsid w:val="008D6E82"/>
    <w:rsid w:val="008D6F66"/>
    <w:rsid w:val="008D7862"/>
    <w:rsid w:val="008D7F83"/>
    <w:rsid w:val="008E10FF"/>
    <w:rsid w:val="008E130A"/>
    <w:rsid w:val="008E26C2"/>
    <w:rsid w:val="008E4051"/>
    <w:rsid w:val="008E4794"/>
    <w:rsid w:val="008E4F09"/>
    <w:rsid w:val="008E6E2C"/>
    <w:rsid w:val="008E78D2"/>
    <w:rsid w:val="008F2BF3"/>
    <w:rsid w:val="008F3794"/>
    <w:rsid w:val="008F42A6"/>
    <w:rsid w:val="008F4782"/>
    <w:rsid w:val="008F4D61"/>
    <w:rsid w:val="008F60B9"/>
    <w:rsid w:val="008F6935"/>
    <w:rsid w:val="008F6CE2"/>
    <w:rsid w:val="008F7DCF"/>
    <w:rsid w:val="009014F8"/>
    <w:rsid w:val="00901650"/>
    <w:rsid w:val="00901BA1"/>
    <w:rsid w:val="00904116"/>
    <w:rsid w:val="009053D9"/>
    <w:rsid w:val="009055CE"/>
    <w:rsid w:val="009067B6"/>
    <w:rsid w:val="0091153C"/>
    <w:rsid w:val="00913E83"/>
    <w:rsid w:val="00914062"/>
    <w:rsid w:val="00916B9D"/>
    <w:rsid w:val="009202BF"/>
    <w:rsid w:val="0092289D"/>
    <w:rsid w:val="00924800"/>
    <w:rsid w:val="009248B1"/>
    <w:rsid w:val="00926E40"/>
    <w:rsid w:val="00930274"/>
    <w:rsid w:val="00930EA0"/>
    <w:rsid w:val="00930FCD"/>
    <w:rsid w:val="00931814"/>
    <w:rsid w:val="00934176"/>
    <w:rsid w:val="00934635"/>
    <w:rsid w:val="00937ED4"/>
    <w:rsid w:val="00941113"/>
    <w:rsid w:val="00942F44"/>
    <w:rsid w:val="00944536"/>
    <w:rsid w:val="00944E2A"/>
    <w:rsid w:val="00945BBA"/>
    <w:rsid w:val="00951E78"/>
    <w:rsid w:val="009544F0"/>
    <w:rsid w:val="00954A84"/>
    <w:rsid w:val="00955327"/>
    <w:rsid w:val="00955A11"/>
    <w:rsid w:val="00956234"/>
    <w:rsid w:val="009568B0"/>
    <w:rsid w:val="00956A2C"/>
    <w:rsid w:val="0095711F"/>
    <w:rsid w:val="00961CE5"/>
    <w:rsid w:val="0096250A"/>
    <w:rsid w:val="00963019"/>
    <w:rsid w:val="009642BF"/>
    <w:rsid w:val="009644B3"/>
    <w:rsid w:val="00967150"/>
    <w:rsid w:val="009676E7"/>
    <w:rsid w:val="00967F71"/>
    <w:rsid w:val="00970E9C"/>
    <w:rsid w:val="0097167A"/>
    <w:rsid w:val="00973028"/>
    <w:rsid w:val="00973AB9"/>
    <w:rsid w:val="009743A6"/>
    <w:rsid w:val="00974418"/>
    <w:rsid w:val="0097601A"/>
    <w:rsid w:val="009811CC"/>
    <w:rsid w:val="00982B72"/>
    <w:rsid w:val="00985C53"/>
    <w:rsid w:val="00987026"/>
    <w:rsid w:val="00990C46"/>
    <w:rsid w:val="009910CC"/>
    <w:rsid w:val="00992E15"/>
    <w:rsid w:val="00992EC2"/>
    <w:rsid w:val="009953A7"/>
    <w:rsid w:val="00995AF6"/>
    <w:rsid w:val="009960E4"/>
    <w:rsid w:val="0099718B"/>
    <w:rsid w:val="00997C18"/>
    <w:rsid w:val="009A0558"/>
    <w:rsid w:val="009A090E"/>
    <w:rsid w:val="009A0B66"/>
    <w:rsid w:val="009A1BA0"/>
    <w:rsid w:val="009A360A"/>
    <w:rsid w:val="009A3D76"/>
    <w:rsid w:val="009A5637"/>
    <w:rsid w:val="009B114E"/>
    <w:rsid w:val="009B1269"/>
    <w:rsid w:val="009B1514"/>
    <w:rsid w:val="009B4ADD"/>
    <w:rsid w:val="009B5730"/>
    <w:rsid w:val="009B69A4"/>
    <w:rsid w:val="009B6E99"/>
    <w:rsid w:val="009C0162"/>
    <w:rsid w:val="009C0C7B"/>
    <w:rsid w:val="009C0DE8"/>
    <w:rsid w:val="009C28BF"/>
    <w:rsid w:val="009C34E9"/>
    <w:rsid w:val="009C4D4D"/>
    <w:rsid w:val="009C6CA6"/>
    <w:rsid w:val="009D03A6"/>
    <w:rsid w:val="009D0E10"/>
    <w:rsid w:val="009D291F"/>
    <w:rsid w:val="009D51B5"/>
    <w:rsid w:val="009D5DD7"/>
    <w:rsid w:val="009D69C5"/>
    <w:rsid w:val="009D7139"/>
    <w:rsid w:val="009E094E"/>
    <w:rsid w:val="009E17E8"/>
    <w:rsid w:val="009E189B"/>
    <w:rsid w:val="009E3459"/>
    <w:rsid w:val="009E3CB7"/>
    <w:rsid w:val="009E6430"/>
    <w:rsid w:val="009F017E"/>
    <w:rsid w:val="009F0AA4"/>
    <w:rsid w:val="009F27B0"/>
    <w:rsid w:val="009F4323"/>
    <w:rsid w:val="009F4910"/>
    <w:rsid w:val="009F60ED"/>
    <w:rsid w:val="009F6CA3"/>
    <w:rsid w:val="009F6D85"/>
    <w:rsid w:val="00A00024"/>
    <w:rsid w:val="00A00829"/>
    <w:rsid w:val="00A01D3B"/>
    <w:rsid w:val="00A0270C"/>
    <w:rsid w:val="00A03993"/>
    <w:rsid w:val="00A061C2"/>
    <w:rsid w:val="00A06F34"/>
    <w:rsid w:val="00A07BE9"/>
    <w:rsid w:val="00A07E7F"/>
    <w:rsid w:val="00A10998"/>
    <w:rsid w:val="00A1108C"/>
    <w:rsid w:val="00A127BE"/>
    <w:rsid w:val="00A140F9"/>
    <w:rsid w:val="00A1628A"/>
    <w:rsid w:val="00A164BE"/>
    <w:rsid w:val="00A17BF4"/>
    <w:rsid w:val="00A17C2C"/>
    <w:rsid w:val="00A21AB4"/>
    <w:rsid w:val="00A2227E"/>
    <w:rsid w:val="00A24229"/>
    <w:rsid w:val="00A259FB"/>
    <w:rsid w:val="00A2723B"/>
    <w:rsid w:val="00A32227"/>
    <w:rsid w:val="00A33290"/>
    <w:rsid w:val="00A366B3"/>
    <w:rsid w:val="00A412F9"/>
    <w:rsid w:val="00A41A12"/>
    <w:rsid w:val="00A41BE1"/>
    <w:rsid w:val="00A4302C"/>
    <w:rsid w:val="00A432A4"/>
    <w:rsid w:val="00A46175"/>
    <w:rsid w:val="00A46ED8"/>
    <w:rsid w:val="00A510AA"/>
    <w:rsid w:val="00A511D8"/>
    <w:rsid w:val="00A51C35"/>
    <w:rsid w:val="00A52DE3"/>
    <w:rsid w:val="00A52EF7"/>
    <w:rsid w:val="00A531A3"/>
    <w:rsid w:val="00A53239"/>
    <w:rsid w:val="00A55D42"/>
    <w:rsid w:val="00A569F9"/>
    <w:rsid w:val="00A57632"/>
    <w:rsid w:val="00A60721"/>
    <w:rsid w:val="00A620EB"/>
    <w:rsid w:val="00A652D0"/>
    <w:rsid w:val="00A654A9"/>
    <w:rsid w:val="00A66C94"/>
    <w:rsid w:val="00A70476"/>
    <w:rsid w:val="00A70684"/>
    <w:rsid w:val="00A71C79"/>
    <w:rsid w:val="00A72852"/>
    <w:rsid w:val="00A7290B"/>
    <w:rsid w:val="00A74380"/>
    <w:rsid w:val="00A7781C"/>
    <w:rsid w:val="00A77E5F"/>
    <w:rsid w:val="00A808CA"/>
    <w:rsid w:val="00A81418"/>
    <w:rsid w:val="00A82453"/>
    <w:rsid w:val="00A9238F"/>
    <w:rsid w:val="00A928E2"/>
    <w:rsid w:val="00A92E0E"/>
    <w:rsid w:val="00A9342B"/>
    <w:rsid w:val="00A935AB"/>
    <w:rsid w:val="00A93D5F"/>
    <w:rsid w:val="00A9611D"/>
    <w:rsid w:val="00A97FCC"/>
    <w:rsid w:val="00AA02EA"/>
    <w:rsid w:val="00AA16EE"/>
    <w:rsid w:val="00AB0843"/>
    <w:rsid w:val="00AB08BA"/>
    <w:rsid w:val="00AB0C35"/>
    <w:rsid w:val="00AB1C62"/>
    <w:rsid w:val="00AB4B3C"/>
    <w:rsid w:val="00AB573D"/>
    <w:rsid w:val="00AC2ACC"/>
    <w:rsid w:val="00AC3278"/>
    <w:rsid w:val="00AC3413"/>
    <w:rsid w:val="00AC35FD"/>
    <w:rsid w:val="00AC413E"/>
    <w:rsid w:val="00AC463D"/>
    <w:rsid w:val="00AC4E4C"/>
    <w:rsid w:val="00AC51DB"/>
    <w:rsid w:val="00AC5E6B"/>
    <w:rsid w:val="00AC7531"/>
    <w:rsid w:val="00AC76A4"/>
    <w:rsid w:val="00AC7D1A"/>
    <w:rsid w:val="00AD0570"/>
    <w:rsid w:val="00AD0B4D"/>
    <w:rsid w:val="00AD11CF"/>
    <w:rsid w:val="00AD140C"/>
    <w:rsid w:val="00AD6E04"/>
    <w:rsid w:val="00AD7566"/>
    <w:rsid w:val="00AE0A6E"/>
    <w:rsid w:val="00AE17F5"/>
    <w:rsid w:val="00AE2855"/>
    <w:rsid w:val="00AE3640"/>
    <w:rsid w:val="00AE766A"/>
    <w:rsid w:val="00AE7E84"/>
    <w:rsid w:val="00AF067D"/>
    <w:rsid w:val="00AF1161"/>
    <w:rsid w:val="00AF1365"/>
    <w:rsid w:val="00AF2BD8"/>
    <w:rsid w:val="00AF5858"/>
    <w:rsid w:val="00AF5B42"/>
    <w:rsid w:val="00AF755F"/>
    <w:rsid w:val="00B00283"/>
    <w:rsid w:val="00B00D16"/>
    <w:rsid w:val="00B00F7A"/>
    <w:rsid w:val="00B057DE"/>
    <w:rsid w:val="00B0639C"/>
    <w:rsid w:val="00B07715"/>
    <w:rsid w:val="00B10A8B"/>
    <w:rsid w:val="00B11BFA"/>
    <w:rsid w:val="00B120CB"/>
    <w:rsid w:val="00B120EF"/>
    <w:rsid w:val="00B1220A"/>
    <w:rsid w:val="00B133EC"/>
    <w:rsid w:val="00B137B4"/>
    <w:rsid w:val="00B13B46"/>
    <w:rsid w:val="00B15781"/>
    <w:rsid w:val="00B22DC2"/>
    <w:rsid w:val="00B24FF6"/>
    <w:rsid w:val="00B2706D"/>
    <w:rsid w:val="00B33842"/>
    <w:rsid w:val="00B3523C"/>
    <w:rsid w:val="00B35509"/>
    <w:rsid w:val="00B35A8B"/>
    <w:rsid w:val="00B370C9"/>
    <w:rsid w:val="00B37E1D"/>
    <w:rsid w:val="00B40E04"/>
    <w:rsid w:val="00B43B0D"/>
    <w:rsid w:val="00B46EE6"/>
    <w:rsid w:val="00B474AC"/>
    <w:rsid w:val="00B51142"/>
    <w:rsid w:val="00B519D5"/>
    <w:rsid w:val="00B5367E"/>
    <w:rsid w:val="00B53B21"/>
    <w:rsid w:val="00B55A46"/>
    <w:rsid w:val="00B55BAE"/>
    <w:rsid w:val="00B565BA"/>
    <w:rsid w:val="00B56D05"/>
    <w:rsid w:val="00B60772"/>
    <w:rsid w:val="00B60A05"/>
    <w:rsid w:val="00B60FE2"/>
    <w:rsid w:val="00B636A3"/>
    <w:rsid w:val="00B63E26"/>
    <w:rsid w:val="00B65322"/>
    <w:rsid w:val="00B668DB"/>
    <w:rsid w:val="00B669E9"/>
    <w:rsid w:val="00B67257"/>
    <w:rsid w:val="00B7074B"/>
    <w:rsid w:val="00B7616C"/>
    <w:rsid w:val="00B7670A"/>
    <w:rsid w:val="00B81BCD"/>
    <w:rsid w:val="00B81E44"/>
    <w:rsid w:val="00B83635"/>
    <w:rsid w:val="00B86D2F"/>
    <w:rsid w:val="00B87980"/>
    <w:rsid w:val="00B90EA4"/>
    <w:rsid w:val="00B91311"/>
    <w:rsid w:val="00B91AB4"/>
    <w:rsid w:val="00B9275E"/>
    <w:rsid w:val="00B92B90"/>
    <w:rsid w:val="00B97692"/>
    <w:rsid w:val="00B97A6B"/>
    <w:rsid w:val="00B97C71"/>
    <w:rsid w:val="00BA1E57"/>
    <w:rsid w:val="00BA3C86"/>
    <w:rsid w:val="00BB0157"/>
    <w:rsid w:val="00BB091B"/>
    <w:rsid w:val="00BB0FA5"/>
    <w:rsid w:val="00BB1F77"/>
    <w:rsid w:val="00BB2B6D"/>
    <w:rsid w:val="00BB34D8"/>
    <w:rsid w:val="00BB35C7"/>
    <w:rsid w:val="00BB3EDF"/>
    <w:rsid w:val="00BB4994"/>
    <w:rsid w:val="00BB5098"/>
    <w:rsid w:val="00BB76EE"/>
    <w:rsid w:val="00BB7F2B"/>
    <w:rsid w:val="00BC431A"/>
    <w:rsid w:val="00BC43AB"/>
    <w:rsid w:val="00BC50D2"/>
    <w:rsid w:val="00BC510D"/>
    <w:rsid w:val="00BC62B3"/>
    <w:rsid w:val="00BD32F1"/>
    <w:rsid w:val="00BD4018"/>
    <w:rsid w:val="00BD750A"/>
    <w:rsid w:val="00BD78E6"/>
    <w:rsid w:val="00BD7FC3"/>
    <w:rsid w:val="00BE0A56"/>
    <w:rsid w:val="00BE10AE"/>
    <w:rsid w:val="00BE12B9"/>
    <w:rsid w:val="00BE3839"/>
    <w:rsid w:val="00BE47E2"/>
    <w:rsid w:val="00BE748C"/>
    <w:rsid w:val="00BE7ADD"/>
    <w:rsid w:val="00BF0B3A"/>
    <w:rsid w:val="00BF3B5B"/>
    <w:rsid w:val="00BF432C"/>
    <w:rsid w:val="00BF5A7F"/>
    <w:rsid w:val="00BF5C4E"/>
    <w:rsid w:val="00BF5F8C"/>
    <w:rsid w:val="00C00BC7"/>
    <w:rsid w:val="00C035F8"/>
    <w:rsid w:val="00C04A22"/>
    <w:rsid w:val="00C04E09"/>
    <w:rsid w:val="00C0591F"/>
    <w:rsid w:val="00C1024A"/>
    <w:rsid w:val="00C11706"/>
    <w:rsid w:val="00C11C07"/>
    <w:rsid w:val="00C12B0A"/>
    <w:rsid w:val="00C1460B"/>
    <w:rsid w:val="00C24397"/>
    <w:rsid w:val="00C24960"/>
    <w:rsid w:val="00C302FB"/>
    <w:rsid w:val="00C30650"/>
    <w:rsid w:val="00C34875"/>
    <w:rsid w:val="00C3618B"/>
    <w:rsid w:val="00C374F5"/>
    <w:rsid w:val="00C41CFD"/>
    <w:rsid w:val="00C44CC0"/>
    <w:rsid w:val="00C45D7F"/>
    <w:rsid w:val="00C45F62"/>
    <w:rsid w:val="00C4667E"/>
    <w:rsid w:val="00C52CBF"/>
    <w:rsid w:val="00C5316A"/>
    <w:rsid w:val="00C54EA9"/>
    <w:rsid w:val="00C56FE1"/>
    <w:rsid w:val="00C573DE"/>
    <w:rsid w:val="00C57B6C"/>
    <w:rsid w:val="00C61126"/>
    <w:rsid w:val="00C615F5"/>
    <w:rsid w:val="00C6342F"/>
    <w:rsid w:val="00C64191"/>
    <w:rsid w:val="00C64615"/>
    <w:rsid w:val="00C649A9"/>
    <w:rsid w:val="00C654C7"/>
    <w:rsid w:val="00C65D36"/>
    <w:rsid w:val="00C66AF3"/>
    <w:rsid w:val="00C67269"/>
    <w:rsid w:val="00C7034C"/>
    <w:rsid w:val="00C71D87"/>
    <w:rsid w:val="00C72AFC"/>
    <w:rsid w:val="00C73F90"/>
    <w:rsid w:val="00C75A98"/>
    <w:rsid w:val="00C76D42"/>
    <w:rsid w:val="00C772A3"/>
    <w:rsid w:val="00C77E89"/>
    <w:rsid w:val="00C81111"/>
    <w:rsid w:val="00C82386"/>
    <w:rsid w:val="00C8322B"/>
    <w:rsid w:val="00C83890"/>
    <w:rsid w:val="00C84C47"/>
    <w:rsid w:val="00C868B7"/>
    <w:rsid w:val="00C86A56"/>
    <w:rsid w:val="00C87DEA"/>
    <w:rsid w:val="00C914B0"/>
    <w:rsid w:val="00C91A96"/>
    <w:rsid w:val="00C930EE"/>
    <w:rsid w:val="00C9771B"/>
    <w:rsid w:val="00C97A9B"/>
    <w:rsid w:val="00C97DC9"/>
    <w:rsid w:val="00CA00A9"/>
    <w:rsid w:val="00CA0FAA"/>
    <w:rsid w:val="00CA14EC"/>
    <w:rsid w:val="00CA183B"/>
    <w:rsid w:val="00CA234C"/>
    <w:rsid w:val="00CA55F3"/>
    <w:rsid w:val="00CA70B0"/>
    <w:rsid w:val="00CA7374"/>
    <w:rsid w:val="00CA793A"/>
    <w:rsid w:val="00CA79CA"/>
    <w:rsid w:val="00CB09D9"/>
    <w:rsid w:val="00CB1647"/>
    <w:rsid w:val="00CB1947"/>
    <w:rsid w:val="00CB2011"/>
    <w:rsid w:val="00CB3D31"/>
    <w:rsid w:val="00CB4BD6"/>
    <w:rsid w:val="00CB5309"/>
    <w:rsid w:val="00CB5851"/>
    <w:rsid w:val="00CB5946"/>
    <w:rsid w:val="00CB7157"/>
    <w:rsid w:val="00CC0315"/>
    <w:rsid w:val="00CC2939"/>
    <w:rsid w:val="00CC3445"/>
    <w:rsid w:val="00CC4453"/>
    <w:rsid w:val="00CC4CD5"/>
    <w:rsid w:val="00CC5D5C"/>
    <w:rsid w:val="00CC5ECA"/>
    <w:rsid w:val="00CD0682"/>
    <w:rsid w:val="00CD2111"/>
    <w:rsid w:val="00CD255F"/>
    <w:rsid w:val="00CD25FA"/>
    <w:rsid w:val="00CD2641"/>
    <w:rsid w:val="00CD4107"/>
    <w:rsid w:val="00CD5027"/>
    <w:rsid w:val="00CD5F6C"/>
    <w:rsid w:val="00CD68E2"/>
    <w:rsid w:val="00CE0348"/>
    <w:rsid w:val="00CE05D3"/>
    <w:rsid w:val="00CE1008"/>
    <w:rsid w:val="00CE2D15"/>
    <w:rsid w:val="00CE2DC9"/>
    <w:rsid w:val="00CE4BFC"/>
    <w:rsid w:val="00CE56FC"/>
    <w:rsid w:val="00CE78B2"/>
    <w:rsid w:val="00CE79BF"/>
    <w:rsid w:val="00CE7DF5"/>
    <w:rsid w:val="00CF0D5C"/>
    <w:rsid w:val="00CF1001"/>
    <w:rsid w:val="00CF523A"/>
    <w:rsid w:val="00CF5B2C"/>
    <w:rsid w:val="00CF5FA3"/>
    <w:rsid w:val="00CF7179"/>
    <w:rsid w:val="00CF721F"/>
    <w:rsid w:val="00D00826"/>
    <w:rsid w:val="00D00DBA"/>
    <w:rsid w:val="00D01BCD"/>
    <w:rsid w:val="00D02A2F"/>
    <w:rsid w:val="00D02D2D"/>
    <w:rsid w:val="00D0355F"/>
    <w:rsid w:val="00D04751"/>
    <w:rsid w:val="00D059AA"/>
    <w:rsid w:val="00D075FF"/>
    <w:rsid w:val="00D1080F"/>
    <w:rsid w:val="00D13678"/>
    <w:rsid w:val="00D13AB4"/>
    <w:rsid w:val="00D15B66"/>
    <w:rsid w:val="00D1711A"/>
    <w:rsid w:val="00D17764"/>
    <w:rsid w:val="00D201B5"/>
    <w:rsid w:val="00D244D3"/>
    <w:rsid w:val="00D256F0"/>
    <w:rsid w:val="00D30120"/>
    <w:rsid w:val="00D36422"/>
    <w:rsid w:val="00D37276"/>
    <w:rsid w:val="00D41D9E"/>
    <w:rsid w:val="00D43C55"/>
    <w:rsid w:val="00D43D31"/>
    <w:rsid w:val="00D455F3"/>
    <w:rsid w:val="00D457C5"/>
    <w:rsid w:val="00D45FAB"/>
    <w:rsid w:val="00D477AC"/>
    <w:rsid w:val="00D50256"/>
    <w:rsid w:val="00D50971"/>
    <w:rsid w:val="00D50B19"/>
    <w:rsid w:val="00D52956"/>
    <w:rsid w:val="00D53288"/>
    <w:rsid w:val="00D532D0"/>
    <w:rsid w:val="00D55E9F"/>
    <w:rsid w:val="00D56217"/>
    <w:rsid w:val="00D56953"/>
    <w:rsid w:val="00D56DCC"/>
    <w:rsid w:val="00D572EA"/>
    <w:rsid w:val="00D60C98"/>
    <w:rsid w:val="00D62D25"/>
    <w:rsid w:val="00D63FBF"/>
    <w:rsid w:val="00D640F2"/>
    <w:rsid w:val="00D70BB7"/>
    <w:rsid w:val="00D72B72"/>
    <w:rsid w:val="00D731CE"/>
    <w:rsid w:val="00D75F2C"/>
    <w:rsid w:val="00D81371"/>
    <w:rsid w:val="00D81BCB"/>
    <w:rsid w:val="00D83CA9"/>
    <w:rsid w:val="00D83D1A"/>
    <w:rsid w:val="00D8434E"/>
    <w:rsid w:val="00D8468F"/>
    <w:rsid w:val="00D86338"/>
    <w:rsid w:val="00D865DB"/>
    <w:rsid w:val="00D865E8"/>
    <w:rsid w:val="00D91060"/>
    <w:rsid w:val="00D92658"/>
    <w:rsid w:val="00D944CA"/>
    <w:rsid w:val="00D9626F"/>
    <w:rsid w:val="00D968EB"/>
    <w:rsid w:val="00D97ABC"/>
    <w:rsid w:val="00DA27AF"/>
    <w:rsid w:val="00DA280C"/>
    <w:rsid w:val="00DA5809"/>
    <w:rsid w:val="00DA6FD1"/>
    <w:rsid w:val="00DB0C9A"/>
    <w:rsid w:val="00DB1B8B"/>
    <w:rsid w:val="00DB322D"/>
    <w:rsid w:val="00DB4451"/>
    <w:rsid w:val="00DB5078"/>
    <w:rsid w:val="00DC1D02"/>
    <w:rsid w:val="00DC24FA"/>
    <w:rsid w:val="00DC2E00"/>
    <w:rsid w:val="00DC3B3A"/>
    <w:rsid w:val="00DC5A6F"/>
    <w:rsid w:val="00DC6480"/>
    <w:rsid w:val="00DC76B3"/>
    <w:rsid w:val="00DD0CB6"/>
    <w:rsid w:val="00DD15BF"/>
    <w:rsid w:val="00DD3A2C"/>
    <w:rsid w:val="00DD3EAB"/>
    <w:rsid w:val="00DD694C"/>
    <w:rsid w:val="00DE1D6B"/>
    <w:rsid w:val="00DE29D5"/>
    <w:rsid w:val="00DE2FED"/>
    <w:rsid w:val="00DE5694"/>
    <w:rsid w:val="00DE6456"/>
    <w:rsid w:val="00DE6B10"/>
    <w:rsid w:val="00DE7467"/>
    <w:rsid w:val="00DE7D2E"/>
    <w:rsid w:val="00DE7ED5"/>
    <w:rsid w:val="00DF1A6B"/>
    <w:rsid w:val="00DF2A56"/>
    <w:rsid w:val="00DF380A"/>
    <w:rsid w:val="00DF3EAE"/>
    <w:rsid w:val="00DF3F6B"/>
    <w:rsid w:val="00DF7467"/>
    <w:rsid w:val="00DF7646"/>
    <w:rsid w:val="00DF7749"/>
    <w:rsid w:val="00DF78B1"/>
    <w:rsid w:val="00DF7E6B"/>
    <w:rsid w:val="00E01250"/>
    <w:rsid w:val="00E02292"/>
    <w:rsid w:val="00E052D7"/>
    <w:rsid w:val="00E05509"/>
    <w:rsid w:val="00E1011A"/>
    <w:rsid w:val="00E12E92"/>
    <w:rsid w:val="00E12EB4"/>
    <w:rsid w:val="00E13485"/>
    <w:rsid w:val="00E15938"/>
    <w:rsid w:val="00E15DC4"/>
    <w:rsid w:val="00E1751D"/>
    <w:rsid w:val="00E20C59"/>
    <w:rsid w:val="00E232A8"/>
    <w:rsid w:val="00E24B87"/>
    <w:rsid w:val="00E24E26"/>
    <w:rsid w:val="00E25620"/>
    <w:rsid w:val="00E30A08"/>
    <w:rsid w:val="00E317D4"/>
    <w:rsid w:val="00E321C8"/>
    <w:rsid w:val="00E325CA"/>
    <w:rsid w:val="00E330B1"/>
    <w:rsid w:val="00E337B0"/>
    <w:rsid w:val="00E340E8"/>
    <w:rsid w:val="00E34DF2"/>
    <w:rsid w:val="00E3780A"/>
    <w:rsid w:val="00E40A4A"/>
    <w:rsid w:val="00E42FBA"/>
    <w:rsid w:val="00E432A9"/>
    <w:rsid w:val="00E43E48"/>
    <w:rsid w:val="00E46311"/>
    <w:rsid w:val="00E46707"/>
    <w:rsid w:val="00E46A28"/>
    <w:rsid w:val="00E51203"/>
    <w:rsid w:val="00E5131F"/>
    <w:rsid w:val="00E51418"/>
    <w:rsid w:val="00E54ACC"/>
    <w:rsid w:val="00E552BF"/>
    <w:rsid w:val="00E62917"/>
    <w:rsid w:val="00E62BD1"/>
    <w:rsid w:val="00E6334C"/>
    <w:rsid w:val="00E64D27"/>
    <w:rsid w:val="00E65939"/>
    <w:rsid w:val="00E66420"/>
    <w:rsid w:val="00E671DC"/>
    <w:rsid w:val="00E70006"/>
    <w:rsid w:val="00E71133"/>
    <w:rsid w:val="00E71B50"/>
    <w:rsid w:val="00E7278F"/>
    <w:rsid w:val="00E73C03"/>
    <w:rsid w:val="00E74AA5"/>
    <w:rsid w:val="00E74ACD"/>
    <w:rsid w:val="00E760C2"/>
    <w:rsid w:val="00E7714E"/>
    <w:rsid w:val="00E81991"/>
    <w:rsid w:val="00E8361A"/>
    <w:rsid w:val="00E8375C"/>
    <w:rsid w:val="00E83778"/>
    <w:rsid w:val="00E83D86"/>
    <w:rsid w:val="00E878CC"/>
    <w:rsid w:val="00E9159F"/>
    <w:rsid w:val="00E93270"/>
    <w:rsid w:val="00E94104"/>
    <w:rsid w:val="00E9433B"/>
    <w:rsid w:val="00E973F1"/>
    <w:rsid w:val="00EA0E82"/>
    <w:rsid w:val="00EA12D7"/>
    <w:rsid w:val="00EA24A8"/>
    <w:rsid w:val="00EA4CB9"/>
    <w:rsid w:val="00EA60A1"/>
    <w:rsid w:val="00EA6AA2"/>
    <w:rsid w:val="00EA7252"/>
    <w:rsid w:val="00EB3515"/>
    <w:rsid w:val="00EB4EB7"/>
    <w:rsid w:val="00EB5F44"/>
    <w:rsid w:val="00EC09F7"/>
    <w:rsid w:val="00EC2324"/>
    <w:rsid w:val="00EC259E"/>
    <w:rsid w:val="00EC2D47"/>
    <w:rsid w:val="00EC3120"/>
    <w:rsid w:val="00EC444F"/>
    <w:rsid w:val="00EC46CF"/>
    <w:rsid w:val="00EC5D9A"/>
    <w:rsid w:val="00ED3211"/>
    <w:rsid w:val="00ED7F0D"/>
    <w:rsid w:val="00EE17CF"/>
    <w:rsid w:val="00EE1D0B"/>
    <w:rsid w:val="00EE41DA"/>
    <w:rsid w:val="00EE5B9D"/>
    <w:rsid w:val="00EE623C"/>
    <w:rsid w:val="00EE64F7"/>
    <w:rsid w:val="00EE6ED6"/>
    <w:rsid w:val="00EF230B"/>
    <w:rsid w:val="00EF3007"/>
    <w:rsid w:val="00EF354F"/>
    <w:rsid w:val="00EF6CCD"/>
    <w:rsid w:val="00F00FE6"/>
    <w:rsid w:val="00F02CF3"/>
    <w:rsid w:val="00F03718"/>
    <w:rsid w:val="00F11CF5"/>
    <w:rsid w:val="00F17878"/>
    <w:rsid w:val="00F20B33"/>
    <w:rsid w:val="00F21D37"/>
    <w:rsid w:val="00F24200"/>
    <w:rsid w:val="00F24615"/>
    <w:rsid w:val="00F24A42"/>
    <w:rsid w:val="00F24AAF"/>
    <w:rsid w:val="00F25FE3"/>
    <w:rsid w:val="00F261F3"/>
    <w:rsid w:val="00F30EA5"/>
    <w:rsid w:val="00F324D2"/>
    <w:rsid w:val="00F33456"/>
    <w:rsid w:val="00F36189"/>
    <w:rsid w:val="00F37940"/>
    <w:rsid w:val="00F40DF4"/>
    <w:rsid w:val="00F410BF"/>
    <w:rsid w:val="00F4121D"/>
    <w:rsid w:val="00F41DFF"/>
    <w:rsid w:val="00F430E2"/>
    <w:rsid w:val="00F43152"/>
    <w:rsid w:val="00F4725D"/>
    <w:rsid w:val="00F47A77"/>
    <w:rsid w:val="00F502CD"/>
    <w:rsid w:val="00F5091A"/>
    <w:rsid w:val="00F5441D"/>
    <w:rsid w:val="00F60AF9"/>
    <w:rsid w:val="00F639BB"/>
    <w:rsid w:val="00F70424"/>
    <w:rsid w:val="00F71B93"/>
    <w:rsid w:val="00F71FB7"/>
    <w:rsid w:val="00F722B5"/>
    <w:rsid w:val="00F73F0B"/>
    <w:rsid w:val="00F75BE8"/>
    <w:rsid w:val="00F76C44"/>
    <w:rsid w:val="00F77342"/>
    <w:rsid w:val="00F8009B"/>
    <w:rsid w:val="00F81A62"/>
    <w:rsid w:val="00F81F90"/>
    <w:rsid w:val="00F835CF"/>
    <w:rsid w:val="00F843C1"/>
    <w:rsid w:val="00F84839"/>
    <w:rsid w:val="00F851FB"/>
    <w:rsid w:val="00F8714B"/>
    <w:rsid w:val="00F8720B"/>
    <w:rsid w:val="00F906FF"/>
    <w:rsid w:val="00F90BFF"/>
    <w:rsid w:val="00F92225"/>
    <w:rsid w:val="00F930E4"/>
    <w:rsid w:val="00F930E7"/>
    <w:rsid w:val="00F947A8"/>
    <w:rsid w:val="00F9499C"/>
    <w:rsid w:val="00F966B3"/>
    <w:rsid w:val="00F96F9C"/>
    <w:rsid w:val="00F9743D"/>
    <w:rsid w:val="00F9795C"/>
    <w:rsid w:val="00F97FB5"/>
    <w:rsid w:val="00FA02C2"/>
    <w:rsid w:val="00FA15F4"/>
    <w:rsid w:val="00FA197D"/>
    <w:rsid w:val="00FA1DE0"/>
    <w:rsid w:val="00FA25B1"/>
    <w:rsid w:val="00FA4531"/>
    <w:rsid w:val="00FA46E6"/>
    <w:rsid w:val="00FA5C7D"/>
    <w:rsid w:val="00FA6F43"/>
    <w:rsid w:val="00FB0024"/>
    <w:rsid w:val="00FB02FA"/>
    <w:rsid w:val="00FB04CF"/>
    <w:rsid w:val="00FB2571"/>
    <w:rsid w:val="00FB263D"/>
    <w:rsid w:val="00FB3598"/>
    <w:rsid w:val="00FB3706"/>
    <w:rsid w:val="00FB43B6"/>
    <w:rsid w:val="00FB43B8"/>
    <w:rsid w:val="00FB44DE"/>
    <w:rsid w:val="00FB6342"/>
    <w:rsid w:val="00FB6915"/>
    <w:rsid w:val="00FC1996"/>
    <w:rsid w:val="00FC3167"/>
    <w:rsid w:val="00FC45E8"/>
    <w:rsid w:val="00FC478F"/>
    <w:rsid w:val="00FC50E5"/>
    <w:rsid w:val="00FC7BA3"/>
    <w:rsid w:val="00FC7E01"/>
    <w:rsid w:val="00FD1114"/>
    <w:rsid w:val="00FD11C9"/>
    <w:rsid w:val="00FD13E7"/>
    <w:rsid w:val="00FD2DAE"/>
    <w:rsid w:val="00FD36E1"/>
    <w:rsid w:val="00FD3708"/>
    <w:rsid w:val="00FD3713"/>
    <w:rsid w:val="00FD51F3"/>
    <w:rsid w:val="00FD5832"/>
    <w:rsid w:val="00FD5EF2"/>
    <w:rsid w:val="00FD6786"/>
    <w:rsid w:val="00FD7950"/>
    <w:rsid w:val="00FD7AAB"/>
    <w:rsid w:val="00FE0BF8"/>
    <w:rsid w:val="00FE0DEC"/>
    <w:rsid w:val="00FE278B"/>
    <w:rsid w:val="00FE288E"/>
    <w:rsid w:val="00FE3803"/>
    <w:rsid w:val="00FE41A1"/>
    <w:rsid w:val="00FE5DDE"/>
    <w:rsid w:val="00FE5EA0"/>
    <w:rsid w:val="00FE79D7"/>
    <w:rsid w:val="00FF15E1"/>
    <w:rsid w:val="00FF22C9"/>
    <w:rsid w:val="00FF2B87"/>
    <w:rsid w:val="00FF3CA1"/>
    <w:rsid w:val="00FF3E33"/>
    <w:rsid w:val="00FF5544"/>
    <w:rsid w:val="00FF582F"/>
    <w:rsid w:val="00FF77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9533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qFormat/>
    <w:rsid w:val="00FD13E7"/>
  </w:style>
  <w:style w:type="paragraph" w:styleId="Ttulo1">
    <w:name w:val="heading 1"/>
    <w:basedOn w:val="Normal"/>
    <w:next w:val="Normal"/>
    <w:link w:val="Ttulo1Car"/>
    <w:uiPriority w:val="9"/>
    <w:qFormat/>
    <w:rsid w:val="00B474AC"/>
    <w:pPr>
      <w:keepNext/>
      <w:keepLines/>
      <w:spacing w:before="400" w:after="40" w:line="240" w:lineRule="auto"/>
      <w:outlineLvl w:val="0"/>
    </w:pPr>
    <w:rPr>
      <w:rFonts w:asciiTheme="majorHAnsi" w:eastAsiaTheme="majorEastAsia" w:hAnsiTheme="majorHAnsi" w:cstheme="majorBidi"/>
      <w:color w:val="4E111A" w:themeColor="accent1" w:themeShade="80"/>
      <w:sz w:val="36"/>
      <w:szCs w:val="36"/>
    </w:rPr>
  </w:style>
  <w:style w:type="paragraph" w:styleId="Ttulo2">
    <w:name w:val="heading 2"/>
    <w:basedOn w:val="Normal"/>
    <w:next w:val="Normal"/>
    <w:link w:val="Ttulo2Car"/>
    <w:uiPriority w:val="9"/>
    <w:unhideWhenUsed/>
    <w:qFormat/>
    <w:rsid w:val="00B474AC"/>
    <w:pPr>
      <w:keepNext/>
      <w:keepLines/>
      <w:spacing w:before="40" w:after="0" w:line="240" w:lineRule="auto"/>
      <w:outlineLvl w:val="1"/>
    </w:pPr>
    <w:rPr>
      <w:rFonts w:asciiTheme="majorHAnsi" w:eastAsiaTheme="majorEastAsia" w:hAnsiTheme="majorHAnsi" w:cstheme="majorBidi"/>
      <w:color w:val="751927" w:themeColor="accent1" w:themeShade="BF"/>
      <w:sz w:val="32"/>
      <w:szCs w:val="32"/>
    </w:rPr>
  </w:style>
  <w:style w:type="paragraph" w:styleId="Ttulo3">
    <w:name w:val="heading 3"/>
    <w:basedOn w:val="Normal"/>
    <w:next w:val="Normal"/>
    <w:link w:val="Ttulo3Car"/>
    <w:uiPriority w:val="9"/>
    <w:unhideWhenUsed/>
    <w:qFormat/>
    <w:rsid w:val="00B474AC"/>
    <w:pPr>
      <w:keepNext/>
      <w:keepLines/>
      <w:spacing w:before="40" w:after="0" w:line="240" w:lineRule="auto"/>
      <w:outlineLvl w:val="2"/>
    </w:pPr>
    <w:rPr>
      <w:rFonts w:asciiTheme="majorHAnsi" w:eastAsiaTheme="majorEastAsia" w:hAnsiTheme="majorHAnsi" w:cstheme="majorBidi"/>
      <w:color w:val="751927" w:themeColor="accent1" w:themeShade="BF"/>
      <w:sz w:val="28"/>
      <w:szCs w:val="28"/>
    </w:rPr>
  </w:style>
  <w:style w:type="paragraph" w:styleId="Ttulo4">
    <w:name w:val="heading 4"/>
    <w:basedOn w:val="Normal"/>
    <w:next w:val="Normal"/>
    <w:link w:val="Ttulo4Car"/>
    <w:uiPriority w:val="9"/>
    <w:unhideWhenUsed/>
    <w:qFormat/>
    <w:rsid w:val="00B474AC"/>
    <w:pPr>
      <w:keepNext/>
      <w:keepLines/>
      <w:spacing w:before="40" w:after="0"/>
      <w:outlineLvl w:val="3"/>
    </w:pPr>
    <w:rPr>
      <w:rFonts w:asciiTheme="majorHAnsi" w:eastAsiaTheme="majorEastAsia" w:hAnsiTheme="majorHAnsi" w:cstheme="majorBidi"/>
      <w:color w:val="751927" w:themeColor="accent1" w:themeShade="BF"/>
      <w:sz w:val="24"/>
      <w:szCs w:val="24"/>
    </w:rPr>
  </w:style>
  <w:style w:type="paragraph" w:styleId="Ttulo5">
    <w:name w:val="heading 5"/>
    <w:basedOn w:val="Normal"/>
    <w:next w:val="Normal"/>
    <w:link w:val="Ttulo5Car"/>
    <w:uiPriority w:val="9"/>
    <w:unhideWhenUsed/>
    <w:qFormat/>
    <w:rsid w:val="00B474AC"/>
    <w:pPr>
      <w:keepNext/>
      <w:keepLines/>
      <w:spacing w:before="40" w:after="0"/>
      <w:outlineLvl w:val="4"/>
    </w:pPr>
    <w:rPr>
      <w:rFonts w:asciiTheme="majorHAnsi" w:eastAsiaTheme="majorEastAsia" w:hAnsiTheme="majorHAnsi" w:cstheme="majorBidi"/>
      <w:caps/>
      <w:color w:val="751927" w:themeColor="accent1" w:themeShade="BF"/>
    </w:rPr>
  </w:style>
  <w:style w:type="paragraph" w:styleId="Ttulo6">
    <w:name w:val="heading 6"/>
    <w:basedOn w:val="Normal"/>
    <w:next w:val="Normal"/>
    <w:link w:val="Ttulo6Car"/>
    <w:uiPriority w:val="9"/>
    <w:semiHidden/>
    <w:unhideWhenUsed/>
    <w:qFormat/>
    <w:rsid w:val="00B474AC"/>
    <w:pPr>
      <w:keepNext/>
      <w:keepLines/>
      <w:spacing w:before="40" w:after="0"/>
      <w:outlineLvl w:val="5"/>
    </w:pPr>
    <w:rPr>
      <w:rFonts w:asciiTheme="majorHAnsi" w:eastAsiaTheme="majorEastAsia" w:hAnsiTheme="majorHAnsi" w:cstheme="majorBidi"/>
      <w:i/>
      <w:iCs/>
      <w:caps/>
      <w:color w:val="4E111A" w:themeColor="accent1" w:themeShade="80"/>
    </w:rPr>
  </w:style>
  <w:style w:type="paragraph" w:styleId="Ttulo7">
    <w:name w:val="heading 7"/>
    <w:basedOn w:val="Normal"/>
    <w:next w:val="Normal"/>
    <w:link w:val="Ttulo7Car"/>
    <w:uiPriority w:val="9"/>
    <w:semiHidden/>
    <w:unhideWhenUsed/>
    <w:qFormat/>
    <w:rsid w:val="00B474AC"/>
    <w:pPr>
      <w:keepNext/>
      <w:keepLines/>
      <w:spacing w:before="40" w:after="0"/>
      <w:outlineLvl w:val="6"/>
    </w:pPr>
    <w:rPr>
      <w:rFonts w:asciiTheme="majorHAnsi" w:eastAsiaTheme="majorEastAsia" w:hAnsiTheme="majorHAnsi" w:cstheme="majorBidi"/>
      <w:b/>
      <w:bCs/>
      <w:color w:val="4E111A" w:themeColor="accent1" w:themeShade="80"/>
    </w:rPr>
  </w:style>
  <w:style w:type="paragraph" w:styleId="Ttulo8">
    <w:name w:val="heading 8"/>
    <w:basedOn w:val="Normal"/>
    <w:next w:val="Normal"/>
    <w:link w:val="Ttulo8Car"/>
    <w:uiPriority w:val="9"/>
    <w:semiHidden/>
    <w:unhideWhenUsed/>
    <w:qFormat/>
    <w:rsid w:val="00B474AC"/>
    <w:pPr>
      <w:keepNext/>
      <w:keepLines/>
      <w:spacing w:before="40" w:after="0"/>
      <w:outlineLvl w:val="7"/>
    </w:pPr>
    <w:rPr>
      <w:rFonts w:asciiTheme="majorHAnsi" w:eastAsiaTheme="majorEastAsia" w:hAnsiTheme="majorHAnsi" w:cstheme="majorBidi"/>
      <w:b/>
      <w:bCs/>
      <w:i/>
      <w:iCs/>
      <w:color w:val="4E111A" w:themeColor="accent1" w:themeShade="80"/>
    </w:rPr>
  </w:style>
  <w:style w:type="paragraph" w:styleId="Ttulo9">
    <w:name w:val="heading 9"/>
    <w:basedOn w:val="Normal"/>
    <w:next w:val="Normal"/>
    <w:link w:val="Ttulo9Car"/>
    <w:uiPriority w:val="9"/>
    <w:semiHidden/>
    <w:unhideWhenUsed/>
    <w:qFormat/>
    <w:rsid w:val="00B474AC"/>
    <w:pPr>
      <w:keepNext/>
      <w:keepLines/>
      <w:spacing w:before="40" w:after="0"/>
      <w:outlineLvl w:val="8"/>
    </w:pPr>
    <w:rPr>
      <w:rFonts w:asciiTheme="majorHAnsi" w:eastAsiaTheme="majorEastAsia" w:hAnsiTheme="majorHAnsi" w:cstheme="majorBidi"/>
      <w:i/>
      <w:iCs/>
      <w:color w:val="4E111A"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qFormat/>
    <w:rsid w:val="000E2A66"/>
    <w:pPr>
      <w:spacing w:before="100" w:beforeAutospacing="1" w:after="142" w:line="288"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0E2A66"/>
    <w:rPr>
      <w:color w:val="000080"/>
      <w:u w:val="single"/>
    </w:rPr>
  </w:style>
  <w:style w:type="paragraph" w:styleId="Encabezado">
    <w:name w:val="header"/>
    <w:basedOn w:val="Normal"/>
    <w:link w:val="EncabezadoCar"/>
    <w:uiPriority w:val="99"/>
    <w:unhideWhenUsed/>
    <w:qFormat/>
    <w:rsid w:val="000E2A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qFormat/>
    <w:rsid w:val="000E2A66"/>
  </w:style>
  <w:style w:type="paragraph" w:styleId="Piedepgina">
    <w:name w:val="footer"/>
    <w:basedOn w:val="Normal"/>
    <w:link w:val="PiedepginaCar"/>
    <w:uiPriority w:val="99"/>
    <w:unhideWhenUsed/>
    <w:qFormat/>
    <w:rsid w:val="000E2A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qFormat/>
    <w:rsid w:val="000E2A66"/>
  </w:style>
  <w:style w:type="paragraph" w:styleId="Prrafodelista">
    <w:name w:val="List Paragraph"/>
    <w:basedOn w:val="Normal"/>
    <w:uiPriority w:val="99"/>
    <w:qFormat/>
    <w:rsid w:val="00A46175"/>
    <w:pPr>
      <w:ind w:left="720"/>
      <w:contextualSpacing/>
    </w:pPr>
  </w:style>
  <w:style w:type="paragraph" w:styleId="Sinespaciado">
    <w:name w:val="No Spacing"/>
    <w:link w:val="SinespaciadoCar"/>
    <w:uiPriority w:val="1"/>
    <w:qFormat/>
    <w:rsid w:val="00B474AC"/>
    <w:pPr>
      <w:spacing w:after="0" w:line="240" w:lineRule="auto"/>
    </w:pPr>
  </w:style>
  <w:style w:type="character" w:customStyle="1" w:styleId="SinespaciadoCar">
    <w:name w:val="Sin espaciado Car"/>
    <w:basedOn w:val="Fuentedeprrafopredeter"/>
    <w:link w:val="Sinespaciado"/>
    <w:uiPriority w:val="1"/>
    <w:rsid w:val="008846F6"/>
  </w:style>
  <w:style w:type="character" w:customStyle="1" w:styleId="Ttulo1Car">
    <w:name w:val="Título 1 Car"/>
    <w:basedOn w:val="Fuentedeprrafopredeter"/>
    <w:link w:val="Ttulo1"/>
    <w:uiPriority w:val="9"/>
    <w:qFormat/>
    <w:rsid w:val="00B474AC"/>
    <w:rPr>
      <w:rFonts w:asciiTheme="majorHAnsi" w:eastAsiaTheme="majorEastAsia" w:hAnsiTheme="majorHAnsi" w:cstheme="majorBidi"/>
      <w:color w:val="4E111A" w:themeColor="accent1" w:themeShade="80"/>
      <w:sz w:val="36"/>
      <w:szCs w:val="36"/>
    </w:rPr>
  </w:style>
  <w:style w:type="character" w:customStyle="1" w:styleId="Ttulo2Car">
    <w:name w:val="Título 2 Car"/>
    <w:basedOn w:val="Fuentedeprrafopredeter"/>
    <w:link w:val="Ttulo2"/>
    <w:uiPriority w:val="9"/>
    <w:qFormat/>
    <w:rsid w:val="00B474AC"/>
    <w:rPr>
      <w:rFonts w:asciiTheme="majorHAnsi" w:eastAsiaTheme="majorEastAsia" w:hAnsiTheme="majorHAnsi" w:cstheme="majorBidi"/>
      <w:color w:val="751927" w:themeColor="accent1" w:themeShade="BF"/>
      <w:sz w:val="32"/>
      <w:szCs w:val="32"/>
    </w:rPr>
  </w:style>
  <w:style w:type="character" w:customStyle="1" w:styleId="Ttulo3Car">
    <w:name w:val="Título 3 Car"/>
    <w:basedOn w:val="Fuentedeprrafopredeter"/>
    <w:link w:val="Ttulo3"/>
    <w:uiPriority w:val="9"/>
    <w:qFormat/>
    <w:rsid w:val="00B474AC"/>
    <w:rPr>
      <w:rFonts w:asciiTheme="majorHAnsi" w:eastAsiaTheme="majorEastAsia" w:hAnsiTheme="majorHAnsi" w:cstheme="majorBidi"/>
      <w:color w:val="751927" w:themeColor="accent1" w:themeShade="BF"/>
      <w:sz w:val="28"/>
      <w:szCs w:val="28"/>
    </w:rPr>
  </w:style>
  <w:style w:type="character" w:customStyle="1" w:styleId="Ttulo4Car">
    <w:name w:val="Título 4 Car"/>
    <w:basedOn w:val="Fuentedeprrafopredeter"/>
    <w:link w:val="Ttulo4"/>
    <w:uiPriority w:val="9"/>
    <w:qFormat/>
    <w:rsid w:val="00B474AC"/>
    <w:rPr>
      <w:rFonts w:asciiTheme="majorHAnsi" w:eastAsiaTheme="majorEastAsia" w:hAnsiTheme="majorHAnsi" w:cstheme="majorBidi"/>
      <w:color w:val="751927" w:themeColor="accent1" w:themeShade="BF"/>
      <w:sz w:val="24"/>
      <w:szCs w:val="24"/>
    </w:rPr>
  </w:style>
  <w:style w:type="character" w:customStyle="1" w:styleId="Ttulo5Car">
    <w:name w:val="Título 5 Car"/>
    <w:basedOn w:val="Fuentedeprrafopredeter"/>
    <w:link w:val="Ttulo5"/>
    <w:uiPriority w:val="9"/>
    <w:qFormat/>
    <w:rsid w:val="00B474AC"/>
    <w:rPr>
      <w:rFonts w:asciiTheme="majorHAnsi" w:eastAsiaTheme="majorEastAsia" w:hAnsiTheme="majorHAnsi" w:cstheme="majorBidi"/>
      <w:caps/>
      <w:color w:val="751927" w:themeColor="accent1" w:themeShade="BF"/>
    </w:rPr>
  </w:style>
  <w:style w:type="character" w:customStyle="1" w:styleId="Ttulo6Car">
    <w:name w:val="Título 6 Car"/>
    <w:basedOn w:val="Fuentedeprrafopredeter"/>
    <w:link w:val="Ttulo6"/>
    <w:uiPriority w:val="9"/>
    <w:semiHidden/>
    <w:qFormat/>
    <w:rsid w:val="00B474AC"/>
    <w:rPr>
      <w:rFonts w:asciiTheme="majorHAnsi" w:eastAsiaTheme="majorEastAsia" w:hAnsiTheme="majorHAnsi" w:cstheme="majorBidi"/>
      <w:i/>
      <w:iCs/>
      <w:caps/>
      <w:color w:val="4E111A" w:themeColor="accent1" w:themeShade="80"/>
    </w:rPr>
  </w:style>
  <w:style w:type="character" w:customStyle="1" w:styleId="Ttulo7Car">
    <w:name w:val="Título 7 Car"/>
    <w:basedOn w:val="Fuentedeprrafopredeter"/>
    <w:link w:val="Ttulo7"/>
    <w:uiPriority w:val="9"/>
    <w:semiHidden/>
    <w:qFormat/>
    <w:rsid w:val="00B474AC"/>
    <w:rPr>
      <w:rFonts w:asciiTheme="majorHAnsi" w:eastAsiaTheme="majorEastAsia" w:hAnsiTheme="majorHAnsi" w:cstheme="majorBidi"/>
      <w:b/>
      <w:bCs/>
      <w:color w:val="4E111A" w:themeColor="accent1" w:themeShade="80"/>
    </w:rPr>
  </w:style>
  <w:style w:type="character" w:customStyle="1" w:styleId="Ttulo8Car">
    <w:name w:val="Título 8 Car"/>
    <w:basedOn w:val="Fuentedeprrafopredeter"/>
    <w:link w:val="Ttulo8"/>
    <w:uiPriority w:val="9"/>
    <w:semiHidden/>
    <w:qFormat/>
    <w:rsid w:val="00B474AC"/>
    <w:rPr>
      <w:rFonts w:asciiTheme="majorHAnsi" w:eastAsiaTheme="majorEastAsia" w:hAnsiTheme="majorHAnsi" w:cstheme="majorBidi"/>
      <w:b/>
      <w:bCs/>
      <w:i/>
      <w:iCs/>
      <w:color w:val="4E111A" w:themeColor="accent1" w:themeShade="80"/>
    </w:rPr>
  </w:style>
  <w:style w:type="character" w:customStyle="1" w:styleId="Ttulo9Car">
    <w:name w:val="Título 9 Car"/>
    <w:basedOn w:val="Fuentedeprrafopredeter"/>
    <w:link w:val="Ttulo9"/>
    <w:uiPriority w:val="9"/>
    <w:semiHidden/>
    <w:qFormat/>
    <w:rsid w:val="00B474AC"/>
    <w:rPr>
      <w:rFonts w:asciiTheme="majorHAnsi" w:eastAsiaTheme="majorEastAsia" w:hAnsiTheme="majorHAnsi" w:cstheme="majorBidi"/>
      <w:i/>
      <w:iCs/>
      <w:color w:val="4E111A" w:themeColor="accent1" w:themeShade="80"/>
    </w:rPr>
  </w:style>
  <w:style w:type="paragraph" w:styleId="Descripcin">
    <w:name w:val="caption"/>
    <w:basedOn w:val="Normal"/>
    <w:next w:val="Normal"/>
    <w:uiPriority w:val="99"/>
    <w:unhideWhenUsed/>
    <w:qFormat/>
    <w:rsid w:val="00B474AC"/>
    <w:pPr>
      <w:spacing w:line="240" w:lineRule="auto"/>
    </w:pPr>
    <w:rPr>
      <w:b/>
      <w:bCs/>
      <w:smallCaps/>
      <w:color w:val="39302A" w:themeColor="text2"/>
    </w:rPr>
  </w:style>
  <w:style w:type="paragraph" w:styleId="Ttulo">
    <w:name w:val="Title"/>
    <w:basedOn w:val="Normal"/>
    <w:next w:val="Normal"/>
    <w:link w:val="TtuloCar"/>
    <w:uiPriority w:val="10"/>
    <w:qFormat/>
    <w:rsid w:val="00B474AC"/>
    <w:pPr>
      <w:spacing w:after="0" w:line="204" w:lineRule="auto"/>
      <w:contextualSpacing/>
    </w:pPr>
    <w:rPr>
      <w:rFonts w:asciiTheme="majorHAnsi" w:eastAsiaTheme="majorEastAsia" w:hAnsiTheme="majorHAnsi" w:cstheme="majorBidi"/>
      <w:caps/>
      <w:color w:val="39302A" w:themeColor="text2"/>
      <w:spacing w:val="-15"/>
      <w:sz w:val="72"/>
      <w:szCs w:val="72"/>
    </w:rPr>
  </w:style>
  <w:style w:type="character" w:customStyle="1" w:styleId="TtuloCar">
    <w:name w:val="Título Car"/>
    <w:basedOn w:val="Fuentedeprrafopredeter"/>
    <w:link w:val="Ttulo"/>
    <w:uiPriority w:val="10"/>
    <w:qFormat/>
    <w:rsid w:val="00B474AC"/>
    <w:rPr>
      <w:rFonts w:asciiTheme="majorHAnsi" w:eastAsiaTheme="majorEastAsia" w:hAnsiTheme="majorHAnsi" w:cstheme="majorBidi"/>
      <w:caps/>
      <w:color w:val="39302A" w:themeColor="text2"/>
      <w:spacing w:val="-15"/>
      <w:sz w:val="72"/>
      <w:szCs w:val="72"/>
    </w:rPr>
  </w:style>
  <w:style w:type="paragraph" w:styleId="Subttulo">
    <w:name w:val="Subtitle"/>
    <w:basedOn w:val="Normal"/>
    <w:next w:val="Normal"/>
    <w:link w:val="SubttuloCar"/>
    <w:uiPriority w:val="11"/>
    <w:qFormat/>
    <w:rsid w:val="00B474AC"/>
    <w:pPr>
      <w:numPr>
        <w:ilvl w:val="1"/>
      </w:numPr>
      <w:spacing w:after="240" w:line="240" w:lineRule="auto"/>
    </w:pPr>
    <w:rPr>
      <w:rFonts w:asciiTheme="majorHAnsi" w:eastAsiaTheme="majorEastAsia" w:hAnsiTheme="majorHAnsi" w:cstheme="majorBidi"/>
      <w:color w:val="9D2235" w:themeColor="accent1"/>
      <w:sz w:val="28"/>
      <w:szCs w:val="28"/>
    </w:rPr>
  </w:style>
  <w:style w:type="character" w:customStyle="1" w:styleId="SubttuloCar">
    <w:name w:val="Subtítulo Car"/>
    <w:basedOn w:val="Fuentedeprrafopredeter"/>
    <w:link w:val="Subttulo"/>
    <w:uiPriority w:val="11"/>
    <w:qFormat/>
    <w:rsid w:val="00B474AC"/>
    <w:rPr>
      <w:rFonts w:asciiTheme="majorHAnsi" w:eastAsiaTheme="majorEastAsia" w:hAnsiTheme="majorHAnsi" w:cstheme="majorBidi"/>
      <w:color w:val="9D2235" w:themeColor="accent1"/>
      <w:sz w:val="28"/>
      <w:szCs w:val="28"/>
    </w:rPr>
  </w:style>
  <w:style w:type="character" w:styleId="Textoennegrita">
    <w:name w:val="Strong"/>
    <w:basedOn w:val="Fuentedeprrafopredeter"/>
    <w:uiPriority w:val="22"/>
    <w:qFormat/>
    <w:rsid w:val="00B474AC"/>
    <w:rPr>
      <w:b/>
      <w:bCs/>
    </w:rPr>
  </w:style>
  <w:style w:type="character" w:styleId="nfasis">
    <w:name w:val="Emphasis"/>
    <w:basedOn w:val="Fuentedeprrafopredeter"/>
    <w:uiPriority w:val="20"/>
    <w:qFormat/>
    <w:rsid w:val="00B474AC"/>
    <w:rPr>
      <w:i/>
      <w:iCs/>
    </w:rPr>
  </w:style>
  <w:style w:type="paragraph" w:styleId="Cita">
    <w:name w:val="Quote"/>
    <w:basedOn w:val="Normal"/>
    <w:next w:val="Normal"/>
    <w:link w:val="CitaCar"/>
    <w:uiPriority w:val="29"/>
    <w:qFormat/>
    <w:rsid w:val="00B474AC"/>
    <w:pPr>
      <w:spacing w:before="120" w:after="120"/>
      <w:ind w:left="720"/>
    </w:pPr>
    <w:rPr>
      <w:color w:val="39302A" w:themeColor="text2"/>
      <w:sz w:val="24"/>
      <w:szCs w:val="24"/>
    </w:rPr>
  </w:style>
  <w:style w:type="character" w:customStyle="1" w:styleId="CitaCar">
    <w:name w:val="Cita Car"/>
    <w:basedOn w:val="Fuentedeprrafopredeter"/>
    <w:link w:val="Cita"/>
    <w:uiPriority w:val="29"/>
    <w:qFormat/>
    <w:rsid w:val="00B474AC"/>
    <w:rPr>
      <w:color w:val="39302A" w:themeColor="text2"/>
      <w:sz w:val="24"/>
      <w:szCs w:val="24"/>
    </w:rPr>
  </w:style>
  <w:style w:type="paragraph" w:styleId="Citadestacada">
    <w:name w:val="Intense Quote"/>
    <w:basedOn w:val="Normal"/>
    <w:next w:val="Normal"/>
    <w:link w:val="CitadestacadaCar"/>
    <w:uiPriority w:val="30"/>
    <w:qFormat/>
    <w:rsid w:val="00B474AC"/>
    <w:pPr>
      <w:spacing w:before="100" w:beforeAutospacing="1" w:after="240" w:line="240" w:lineRule="auto"/>
      <w:ind w:left="720"/>
      <w:jc w:val="center"/>
    </w:pPr>
    <w:rPr>
      <w:rFonts w:asciiTheme="majorHAnsi" w:eastAsiaTheme="majorEastAsia" w:hAnsiTheme="majorHAnsi" w:cstheme="majorBidi"/>
      <w:color w:val="39302A" w:themeColor="text2"/>
      <w:spacing w:val="-6"/>
      <w:sz w:val="32"/>
      <w:szCs w:val="32"/>
    </w:rPr>
  </w:style>
  <w:style w:type="character" w:customStyle="1" w:styleId="CitadestacadaCar">
    <w:name w:val="Cita destacada Car"/>
    <w:basedOn w:val="Fuentedeprrafopredeter"/>
    <w:link w:val="Citadestacada"/>
    <w:uiPriority w:val="30"/>
    <w:qFormat/>
    <w:rsid w:val="00B474AC"/>
    <w:rPr>
      <w:rFonts w:asciiTheme="majorHAnsi" w:eastAsiaTheme="majorEastAsia" w:hAnsiTheme="majorHAnsi" w:cstheme="majorBidi"/>
      <w:color w:val="39302A" w:themeColor="text2"/>
      <w:spacing w:val="-6"/>
      <w:sz w:val="32"/>
      <w:szCs w:val="32"/>
    </w:rPr>
  </w:style>
  <w:style w:type="character" w:styleId="nfasissutil">
    <w:name w:val="Subtle Emphasis"/>
    <w:basedOn w:val="Fuentedeprrafopredeter"/>
    <w:uiPriority w:val="19"/>
    <w:qFormat/>
    <w:rsid w:val="00B474AC"/>
    <w:rPr>
      <w:i/>
      <w:iCs/>
      <w:color w:val="595959" w:themeColor="text1" w:themeTint="A6"/>
    </w:rPr>
  </w:style>
  <w:style w:type="character" w:styleId="nfasisintenso">
    <w:name w:val="Intense Emphasis"/>
    <w:basedOn w:val="Fuentedeprrafopredeter"/>
    <w:uiPriority w:val="21"/>
    <w:qFormat/>
    <w:rsid w:val="00B474AC"/>
    <w:rPr>
      <w:b/>
      <w:bCs/>
      <w:i/>
      <w:iCs/>
    </w:rPr>
  </w:style>
  <w:style w:type="character" w:styleId="Referenciasutil">
    <w:name w:val="Subtle Reference"/>
    <w:basedOn w:val="Fuentedeprrafopredeter"/>
    <w:uiPriority w:val="31"/>
    <w:qFormat/>
    <w:rsid w:val="00B474AC"/>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B474AC"/>
    <w:rPr>
      <w:b/>
      <w:bCs/>
      <w:smallCaps/>
      <w:color w:val="39302A" w:themeColor="text2"/>
      <w:u w:val="single"/>
    </w:rPr>
  </w:style>
  <w:style w:type="character" w:styleId="Ttulodellibro">
    <w:name w:val="Book Title"/>
    <w:basedOn w:val="Fuentedeprrafopredeter"/>
    <w:uiPriority w:val="33"/>
    <w:qFormat/>
    <w:rsid w:val="00B474AC"/>
    <w:rPr>
      <w:b/>
      <w:bCs/>
      <w:smallCaps/>
      <w:spacing w:val="10"/>
    </w:rPr>
  </w:style>
  <w:style w:type="paragraph" w:styleId="TtuloTDC">
    <w:name w:val="TOC Heading"/>
    <w:basedOn w:val="Ttulo1"/>
    <w:next w:val="Normal"/>
    <w:link w:val="TtuloTDCCar"/>
    <w:uiPriority w:val="39"/>
    <w:unhideWhenUsed/>
    <w:qFormat/>
    <w:rsid w:val="00B474AC"/>
    <w:pPr>
      <w:outlineLvl w:val="9"/>
    </w:pPr>
  </w:style>
  <w:style w:type="table" w:styleId="Tablaconcuadrcula">
    <w:name w:val="Table Grid"/>
    <w:basedOn w:val="Tablanormal"/>
    <w:uiPriority w:val="39"/>
    <w:rsid w:val="007226B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7226B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B1947"/>
  </w:style>
  <w:style w:type="character" w:customStyle="1" w:styleId="EnlacedeInternet">
    <w:name w:val="Enlace de Internet"/>
    <w:uiPriority w:val="99"/>
    <w:rsid w:val="00CB1947"/>
    <w:rPr>
      <w:color w:val="000080"/>
      <w:u w:val="single"/>
    </w:rPr>
  </w:style>
  <w:style w:type="paragraph" w:styleId="Textodeglobo">
    <w:name w:val="Balloon Text"/>
    <w:basedOn w:val="Normal"/>
    <w:link w:val="TextodegloboCar"/>
    <w:uiPriority w:val="99"/>
    <w:semiHidden/>
    <w:unhideWhenUsed/>
    <w:qFormat/>
    <w:rsid w:val="00CB1947"/>
    <w:pPr>
      <w:spacing w:after="0" w:line="240" w:lineRule="auto"/>
    </w:pPr>
    <w:rPr>
      <w:rFonts w:ascii="Tahoma" w:eastAsia="NSimSun" w:hAnsi="Tahoma" w:cs="Mangal"/>
      <w:kern w:val="2"/>
      <w:sz w:val="16"/>
      <w:szCs w:val="14"/>
      <w:lang w:eastAsia="zh-CN" w:bidi="hi-IN"/>
    </w:rPr>
  </w:style>
  <w:style w:type="character" w:customStyle="1" w:styleId="TextodegloboCar">
    <w:name w:val="Texto de globo Car"/>
    <w:basedOn w:val="Fuentedeprrafopredeter"/>
    <w:link w:val="Textodeglobo"/>
    <w:uiPriority w:val="99"/>
    <w:semiHidden/>
    <w:qFormat/>
    <w:rsid w:val="00CB1947"/>
    <w:rPr>
      <w:rFonts w:ascii="Tahoma" w:eastAsia="NSimSun" w:hAnsi="Tahoma" w:cs="Mangal"/>
      <w:kern w:val="2"/>
      <w:sz w:val="16"/>
      <w:szCs w:val="14"/>
      <w:lang w:eastAsia="zh-CN" w:bidi="hi-IN"/>
    </w:rPr>
  </w:style>
  <w:style w:type="paragraph" w:styleId="Textoindependiente">
    <w:name w:val="Body Text"/>
    <w:basedOn w:val="Normal"/>
    <w:link w:val="TextoindependienteCar"/>
    <w:uiPriority w:val="99"/>
    <w:qFormat/>
    <w:rsid w:val="00CB1947"/>
    <w:pPr>
      <w:spacing w:after="140" w:line="276" w:lineRule="auto"/>
    </w:pPr>
    <w:rPr>
      <w:rFonts w:ascii="Open Sans" w:eastAsia="NSimSun" w:hAnsi="Open Sans" w:cs="Arial"/>
      <w:kern w:val="2"/>
      <w:sz w:val="24"/>
      <w:szCs w:val="24"/>
      <w:lang w:eastAsia="zh-CN" w:bidi="hi-IN"/>
    </w:rPr>
  </w:style>
  <w:style w:type="character" w:customStyle="1" w:styleId="TextoindependienteCar">
    <w:name w:val="Texto independiente Car"/>
    <w:basedOn w:val="Fuentedeprrafopredeter"/>
    <w:link w:val="Textoindependiente"/>
    <w:uiPriority w:val="99"/>
    <w:qFormat/>
    <w:rsid w:val="00CB1947"/>
    <w:rPr>
      <w:rFonts w:ascii="Open Sans" w:eastAsia="NSimSun" w:hAnsi="Open Sans" w:cs="Arial"/>
      <w:kern w:val="2"/>
      <w:sz w:val="24"/>
      <w:szCs w:val="24"/>
      <w:lang w:eastAsia="zh-CN" w:bidi="hi-IN"/>
    </w:rPr>
  </w:style>
  <w:style w:type="paragraph" w:customStyle="1" w:styleId="western">
    <w:name w:val="western"/>
    <w:basedOn w:val="Normal"/>
    <w:uiPriority w:val="99"/>
    <w:qFormat/>
    <w:rsid w:val="00A21AB4"/>
    <w:pPr>
      <w:spacing w:before="100" w:beforeAutospacing="1" w:after="142" w:line="276" w:lineRule="auto"/>
    </w:pPr>
    <w:rPr>
      <w:rFonts w:ascii="Calibri" w:eastAsia="Times New Roman" w:hAnsi="Calibri" w:cs="Calibri"/>
      <w:color w:val="000000"/>
      <w:lang w:eastAsia="es-ES"/>
    </w:rPr>
  </w:style>
  <w:style w:type="character" w:customStyle="1" w:styleId="WW8Num1z0">
    <w:name w:val="WW8Num1z0"/>
    <w:qFormat/>
    <w:rsid w:val="00671CE2"/>
  </w:style>
  <w:style w:type="character" w:customStyle="1" w:styleId="WW8Num1z1">
    <w:name w:val="WW8Num1z1"/>
    <w:qFormat/>
    <w:rsid w:val="00671CE2"/>
  </w:style>
  <w:style w:type="character" w:customStyle="1" w:styleId="WW8Num1z2">
    <w:name w:val="WW8Num1z2"/>
    <w:qFormat/>
    <w:rsid w:val="00671CE2"/>
  </w:style>
  <w:style w:type="character" w:customStyle="1" w:styleId="WW8Num1z3">
    <w:name w:val="WW8Num1z3"/>
    <w:qFormat/>
    <w:rsid w:val="00671CE2"/>
  </w:style>
  <w:style w:type="character" w:customStyle="1" w:styleId="WW8Num1z4">
    <w:name w:val="WW8Num1z4"/>
    <w:qFormat/>
    <w:rsid w:val="00671CE2"/>
  </w:style>
  <w:style w:type="character" w:customStyle="1" w:styleId="WW8Num1z5">
    <w:name w:val="WW8Num1z5"/>
    <w:qFormat/>
    <w:rsid w:val="00671CE2"/>
  </w:style>
  <w:style w:type="character" w:customStyle="1" w:styleId="WW8Num1z6">
    <w:name w:val="WW8Num1z6"/>
    <w:qFormat/>
    <w:rsid w:val="00671CE2"/>
  </w:style>
  <w:style w:type="character" w:customStyle="1" w:styleId="WW8Num1z7">
    <w:name w:val="WW8Num1z7"/>
    <w:qFormat/>
    <w:rsid w:val="00671CE2"/>
  </w:style>
  <w:style w:type="character" w:customStyle="1" w:styleId="WW8Num1z8">
    <w:name w:val="WW8Num1z8"/>
    <w:qFormat/>
    <w:rsid w:val="00671CE2"/>
  </w:style>
  <w:style w:type="character" w:customStyle="1" w:styleId="WW8Num2z0">
    <w:name w:val="WW8Num2z0"/>
    <w:qFormat/>
    <w:rsid w:val="00671CE2"/>
    <w:rPr>
      <w:rFonts w:ascii="Symbol" w:hAnsi="Symbol" w:cs="Symbol"/>
      <w:sz w:val="20"/>
    </w:rPr>
  </w:style>
  <w:style w:type="character" w:customStyle="1" w:styleId="WW8Num2z1">
    <w:name w:val="WW8Num2z1"/>
    <w:qFormat/>
    <w:rsid w:val="00671CE2"/>
    <w:rPr>
      <w:rFonts w:ascii="Courier New" w:hAnsi="Courier New" w:cs="Courier New"/>
      <w:sz w:val="20"/>
    </w:rPr>
  </w:style>
  <w:style w:type="character" w:customStyle="1" w:styleId="WW8Num2z2">
    <w:name w:val="WW8Num2z2"/>
    <w:qFormat/>
    <w:rsid w:val="00671CE2"/>
    <w:rPr>
      <w:rFonts w:ascii="Wingdings" w:hAnsi="Wingdings" w:cs="Wingdings"/>
      <w:sz w:val="20"/>
    </w:rPr>
  </w:style>
  <w:style w:type="character" w:customStyle="1" w:styleId="WW8Num3z0">
    <w:name w:val="WW8Num3z0"/>
    <w:qFormat/>
    <w:rsid w:val="00671CE2"/>
    <w:rPr>
      <w:rFonts w:ascii="Symbol" w:hAnsi="Symbol" w:cs="Symbol"/>
      <w:sz w:val="20"/>
    </w:rPr>
  </w:style>
  <w:style w:type="character" w:customStyle="1" w:styleId="WW8Num3z1">
    <w:name w:val="WW8Num3z1"/>
    <w:qFormat/>
    <w:rsid w:val="00671CE2"/>
    <w:rPr>
      <w:rFonts w:ascii="Courier New" w:hAnsi="Courier New" w:cs="Courier New"/>
      <w:sz w:val="20"/>
    </w:rPr>
  </w:style>
  <w:style w:type="character" w:customStyle="1" w:styleId="WW8Num3z2">
    <w:name w:val="WW8Num3z2"/>
    <w:qFormat/>
    <w:rsid w:val="00671CE2"/>
    <w:rPr>
      <w:rFonts w:ascii="Wingdings" w:hAnsi="Wingdings" w:cs="Wingdings"/>
      <w:sz w:val="20"/>
    </w:rPr>
  </w:style>
  <w:style w:type="character" w:customStyle="1" w:styleId="WW8Num4z0">
    <w:name w:val="WW8Num4z0"/>
    <w:qFormat/>
    <w:rsid w:val="00671CE2"/>
    <w:rPr>
      <w:rFonts w:ascii="Symbol" w:hAnsi="Symbol" w:cs="Symbol"/>
      <w:sz w:val="20"/>
      <w:szCs w:val="24"/>
      <w:lang w:eastAsia="es-ES"/>
    </w:rPr>
  </w:style>
  <w:style w:type="character" w:customStyle="1" w:styleId="WW8Num4z1">
    <w:name w:val="WW8Num4z1"/>
    <w:qFormat/>
    <w:rsid w:val="00671CE2"/>
    <w:rPr>
      <w:rFonts w:ascii="Courier New" w:hAnsi="Courier New" w:cs="Courier New"/>
      <w:sz w:val="20"/>
    </w:rPr>
  </w:style>
  <w:style w:type="character" w:customStyle="1" w:styleId="WW8Num4z2">
    <w:name w:val="WW8Num4z2"/>
    <w:qFormat/>
    <w:rsid w:val="00671CE2"/>
    <w:rPr>
      <w:rFonts w:ascii="Wingdings" w:hAnsi="Wingdings" w:cs="Wingdings"/>
      <w:sz w:val="20"/>
    </w:rPr>
  </w:style>
  <w:style w:type="character" w:customStyle="1" w:styleId="WW8Num5z0">
    <w:name w:val="WW8Num5z0"/>
    <w:qFormat/>
    <w:rsid w:val="00671CE2"/>
    <w:rPr>
      <w:rFonts w:ascii="Symbol" w:hAnsi="Symbol" w:cs="Symbol"/>
      <w:sz w:val="20"/>
    </w:rPr>
  </w:style>
  <w:style w:type="character" w:customStyle="1" w:styleId="WW8Num5z1">
    <w:name w:val="WW8Num5z1"/>
    <w:qFormat/>
    <w:rsid w:val="00671CE2"/>
    <w:rPr>
      <w:rFonts w:ascii="Courier New" w:hAnsi="Courier New" w:cs="Courier New"/>
      <w:sz w:val="20"/>
    </w:rPr>
  </w:style>
  <w:style w:type="character" w:customStyle="1" w:styleId="WW8Num5z2">
    <w:name w:val="WW8Num5z2"/>
    <w:qFormat/>
    <w:rsid w:val="00671CE2"/>
    <w:rPr>
      <w:rFonts w:ascii="Wingdings" w:hAnsi="Wingdings" w:cs="Wingdings"/>
      <w:sz w:val="20"/>
    </w:rPr>
  </w:style>
  <w:style w:type="character" w:customStyle="1" w:styleId="WW8Num6z0">
    <w:name w:val="WW8Num6z0"/>
    <w:qFormat/>
    <w:rsid w:val="00671CE2"/>
    <w:rPr>
      <w:rFonts w:ascii="Symbol" w:hAnsi="Symbol" w:cs="Symbol"/>
      <w:sz w:val="20"/>
    </w:rPr>
  </w:style>
  <w:style w:type="character" w:customStyle="1" w:styleId="WW8Num6z1">
    <w:name w:val="WW8Num6z1"/>
    <w:qFormat/>
    <w:rsid w:val="00671CE2"/>
    <w:rPr>
      <w:rFonts w:ascii="Courier New" w:hAnsi="Courier New" w:cs="Courier New"/>
      <w:sz w:val="20"/>
    </w:rPr>
  </w:style>
  <w:style w:type="character" w:customStyle="1" w:styleId="WW8Num6z2">
    <w:name w:val="WW8Num6z2"/>
    <w:qFormat/>
    <w:rsid w:val="00671CE2"/>
    <w:rPr>
      <w:rFonts w:ascii="Wingdings" w:hAnsi="Wingdings" w:cs="Wingdings"/>
      <w:sz w:val="20"/>
    </w:rPr>
  </w:style>
  <w:style w:type="character" w:customStyle="1" w:styleId="WW8Num7z0">
    <w:name w:val="WW8Num7z0"/>
    <w:qFormat/>
    <w:rsid w:val="00671CE2"/>
    <w:rPr>
      <w:rFonts w:ascii="Symbol" w:eastAsia="Times New Roman" w:hAnsi="Symbol" w:cs="Symbol"/>
      <w:color w:val="C9211E"/>
      <w:sz w:val="20"/>
      <w:szCs w:val="24"/>
      <w:lang w:eastAsia="es-ES"/>
    </w:rPr>
  </w:style>
  <w:style w:type="character" w:customStyle="1" w:styleId="WW8Num7z1">
    <w:name w:val="WW8Num7z1"/>
    <w:qFormat/>
    <w:rsid w:val="00671CE2"/>
    <w:rPr>
      <w:rFonts w:ascii="Courier New" w:hAnsi="Courier New" w:cs="Courier New"/>
      <w:sz w:val="20"/>
    </w:rPr>
  </w:style>
  <w:style w:type="character" w:customStyle="1" w:styleId="WW8Num7z2">
    <w:name w:val="WW8Num7z2"/>
    <w:qFormat/>
    <w:rsid w:val="00671CE2"/>
    <w:rPr>
      <w:rFonts w:ascii="Wingdings" w:hAnsi="Wingdings" w:cs="Wingdings"/>
      <w:sz w:val="20"/>
    </w:rPr>
  </w:style>
  <w:style w:type="character" w:customStyle="1" w:styleId="WW8Num8z0">
    <w:name w:val="WW8Num8z0"/>
    <w:qFormat/>
    <w:rsid w:val="00671CE2"/>
    <w:rPr>
      <w:rFonts w:ascii="Symbol" w:hAnsi="Symbol" w:cs="OpenSymbol;Arial Unicode MS"/>
      <w:strike w:val="0"/>
      <w:dstrike w:val="0"/>
      <w:color w:val="000000"/>
      <w:sz w:val="21"/>
      <w:szCs w:val="21"/>
    </w:rPr>
  </w:style>
  <w:style w:type="character" w:customStyle="1" w:styleId="WW8Num8z1">
    <w:name w:val="WW8Num8z1"/>
    <w:qFormat/>
    <w:rsid w:val="00671CE2"/>
    <w:rPr>
      <w:rFonts w:ascii="OpenSymbol;Arial Unicode MS" w:hAnsi="OpenSymbol;Arial Unicode MS" w:cs="OpenSymbol;Arial Unicode MS"/>
    </w:rPr>
  </w:style>
  <w:style w:type="character" w:customStyle="1" w:styleId="WW8Num9z0">
    <w:name w:val="WW8Num9z0"/>
    <w:qFormat/>
    <w:rsid w:val="00671CE2"/>
    <w:rPr>
      <w:rFonts w:ascii="Symbol" w:hAnsi="Symbol" w:cs="OpenSymbol;Arial Unicode MS"/>
      <w:sz w:val="21"/>
      <w:szCs w:val="21"/>
    </w:rPr>
  </w:style>
  <w:style w:type="character" w:customStyle="1" w:styleId="WW8Num9z1">
    <w:name w:val="WW8Num9z1"/>
    <w:qFormat/>
    <w:rsid w:val="00671CE2"/>
    <w:rPr>
      <w:rFonts w:ascii="OpenSymbol;Arial Unicode MS" w:hAnsi="OpenSymbol;Arial Unicode MS" w:cs="OpenSymbol;Arial Unicode MS"/>
    </w:rPr>
  </w:style>
  <w:style w:type="character" w:customStyle="1" w:styleId="WW8Num10z0">
    <w:name w:val="WW8Num10z0"/>
    <w:qFormat/>
    <w:rsid w:val="00671CE2"/>
    <w:rPr>
      <w:rFonts w:ascii="Symbol" w:hAnsi="Symbol" w:cs="OpenSymbol;Arial Unicode MS"/>
      <w:sz w:val="21"/>
      <w:szCs w:val="21"/>
    </w:rPr>
  </w:style>
  <w:style w:type="character" w:customStyle="1" w:styleId="WW8Num10z1">
    <w:name w:val="WW8Num10z1"/>
    <w:qFormat/>
    <w:rsid w:val="00671CE2"/>
    <w:rPr>
      <w:rFonts w:ascii="OpenSymbol;Arial Unicode MS" w:hAnsi="OpenSymbol;Arial Unicode MS" w:cs="OpenSymbol;Arial Unicode MS"/>
    </w:rPr>
  </w:style>
  <w:style w:type="character" w:customStyle="1" w:styleId="WW8Num11z0">
    <w:name w:val="WW8Num11z0"/>
    <w:qFormat/>
    <w:rsid w:val="00671CE2"/>
    <w:rPr>
      <w:rFonts w:ascii="Symbol" w:hAnsi="Symbol" w:cs="OpenSymbol;Arial Unicode MS"/>
      <w:color w:val="000000"/>
      <w:sz w:val="21"/>
      <w:szCs w:val="21"/>
    </w:rPr>
  </w:style>
  <w:style w:type="character" w:customStyle="1" w:styleId="WW8Num11z1">
    <w:name w:val="WW8Num11z1"/>
    <w:qFormat/>
    <w:rsid w:val="00671CE2"/>
    <w:rPr>
      <w:rFonts w:ascii="OpenSymbol;Arial Unicode MS" w:hAnsi="OpenSymbol;Arial Unicode MS" w:cs="OpenSymbol;Arial Unicode MS"/>
    </w:rPr>
  </w:style>
  <w:style w:type="character" w:customStyle="1" w:styleId="WW8Num12z0">
    <w:name w:val="WW8Num12z0"/>
    <w:qFormat/>
    <w:rsid w:val="00671CE2"/>
    <w:rPr>
      <w:rFonts w:ascii="Symbol" w:hAnsi="Symbol" w:cs="OpenSymbol;Arial Unicode MS"/>
      <w:color w:val="000000"/>
      <w:sz w:val="21"/>
      <w:szCs w:val="21"/>
    </w:rPr>
  </w:style>
  <w:style w:type="character" w:customStyle="1" w:styleId="WW8Num12z1">
    <w:name w:val="WW8Num12z1"/>
    <w:qFormat/>
    <w:rsid w:val="00671CE2"/>
    <w:rPr>
      <w:rFonts w:ascii="OpenSymbol;Arial Unicode MS" w:hAnsi="OpenSymbol;Arial Unicode MS" w:cs="OpenSymbol;Arial Unicode MS"/>
    </w:rPr>
  </w:style>
  <w:style w:type="character" w:customStyle="1" w:styleId="WW8Num13z0">
    <w:name w:val="WW8Num13z0"/>
    <w:qFormat/>
    <w:rsid w:val="00671CE2"/>
    <w:rPr>
      <w:rFonts w:ascii="Symbol" w:hAnsi="Symbol" w:cs="OpenSymbol;Arial Unicode MS"/>
      <w:color w:val="000000"/>
      <w:sz w:val="21"/>
      <w:szCs w:val="21"/>
    </w:rPr>
  </w:style>
  <w:style w:type="character" w:customStyle="1" w:styleId="WW8Num13z1">
    <w:name w:val="WW8Num13z1"/>
    <w:qFormat/>
    <w:rsid w:val="00671CE2"/>
    <w:rPr>
      <w:rFonts w:ascii="OpenSymbol;Arial Unicode MS" w:hAnsi="OpenSymbol;Arial Unicode MS" w:cs="OpenSymbol;Arial Unicode MS"/>
    </w:rPr>
  </w:style>
  <w:style w:type="character" w:customStyle="1" w:styleId="WW8Num14z0">
    <w:name w:val="WW8Num14z0"/>
    <w:qFormat/>
    <w:rsid w:val="00671CE2"/>
    <w:rPr>
      <w:rFonts w:ascii="Symbol" w:hAnsi="Symbol" w:cs="OpenSymbol;Arial Unicode MS"/>
      <w:color w:val="000000"/>
      <w:sz w:val="21"/>
      <w:szCs w:val="21"/>
    </w:rPr>
  </w:style>
  <w:style w:type="character" w:customStyle="1" w:styleId="WW8Num14z1">
    <w:name w:val="WW8Num14z1"/>
    <w:qFormat/>
    <w:rsid w:val="00671CE2"/>
    <w:rPr>
      <w:rFonts w:ascii="OpenSymbol;Arial Unicode MS" w:hAnsi="OpenSymbol;Arial Unicode MS" w:cs="OpenSymbol;Arial Unicode MS"/>
    </w:rPr>
  </w:style>
  <w:style w:type="character" w:customStyle="1" w:styleId="WW8Num15z0">
    <w:name w:val="WW8Num15z0"/>
    <w:qFormat/>
    <w:rsid w:val="00671CE2"/>
    <w:rPr>
      <w:rFonts w:ascii="Symbol" w:hAnsi="Symbol" w:cs="OpenSymbol;Arial Unicode MS"/>
      <w:color w:val="000000"/>
      <w:sz w:val="21"/>
      <w:szCs w:val="21"/>
    </w:rPr>
  </w:style>
  <w:style w:type="character" w:customStyle="1" w:styleId="WW8Num15z1">
    <w:name w:val="WW8Num15z1"/>
    <w:qFormat/>
    <w:rsid w:val="00671CE2"/>
    <w:rPr>
      <w:rFonts w:ascii="OpenSymbol;Arial Unicode MS" w:hAnsi="OpenSymbol;Arial Unicode MS" w:cs="OpenSymbol;Arial Unicode MS"/>
    </w:rPr>
  </w:style>
  <w:style w:type="character" w:customStyle="1" w:styleId="WW8Num16z0">
    <w:name w:val="WW8Num16z0"/>
    <w:qFormat/>
    <w:rsid w:val="00671CE2"/>
    <w:rPr>
      <w:rFonts w:ascii="Symbol" w:hAnsi="Symbol" w:cs="OpenSymbol;Arial Unicode MS"/>
      <w:color w:val="000000"/>
      <w:sz w:val="21"/>
      <w:szCs w:val="21"/>
    </w:rPr>
  </w:style>
  <w:style w:type="character" w:customStyle="1" w:styleId="WW8Num16z1">
    <w:name w:val="WW8Num16z1"/>
    <w:qFormat/>
    <w:rsid w:val="00671CE2"/>
    <w:rPr>
      <w:rFonts w:ascii="OpenSymbol;Arial Unicode MS" w:hAnsi="OpenSymbol;Arial Unicode MS" w:cs="OpenSymbol;Arial Unicode MS"/>
    </w:rPr>
  </w:style>
  <w:style w:type="character" w:customStyle="1" w:styleId="WW8Num17z0">
    <w:name w:val="WW8Num17z0"/>
    <w:qFormat/>
    <w:rsid w:val="00671CE2"/>
    <w:rPr>
      <w:rFonts w:ascii="Symbol" w:hAnsi="Symbol" w:cs="OpenSymbol;Arial Unicode MS"/>
      <w:color w:val="000000"/>
      <w:sz w:val="21"/>
      <w:szCs w:val="21"/>
    </w:rPr>
  </w:style>
  <w:style w:type="character" w:customStyle="1" w:styleId="WW8Num17z1">
    <w:name w:val="WW8Num17z1"/>
    <w:qFormat/>
    <w:rsid w:val="00671CE2"/>
    <w:rPr>
      <w:rFonts w:ascii="OpenSymbol;Arial Unicode MS" w:hAnsi="OpenSymbol;Arial Unicode MS" w:cs="OpenSymbol;Arial Unicode MS"/>
    </w:rPr>
  </w:style>
  <w:style w:type="character" w:customStyle="1" w:styleId="WW8Num18z0">
    <w:name w:val="WW8Num18z0"/>
    <w:qFormat/>
    <w:rsid w:val="00671CE2"/>
    <w:rPr>
      <w:rFonts w:ascii="Symbol" w:hAnsi="Symbol" w:cs="OpenSymbol;Arial Unicode MS"/>
      <w:strike w:val="0"/>
      <w:dstrike w:val="0"/>
      <w:color w:val="000000"/>
      <w:sz w:val="21"/>
      <w:szCs w:val="21"/>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1">
    <w:name w:val="WW8Num18z1"/>
    <w:qFormat/>
    <w:rsid w:val="00671CE2"/>
    <w:rPr>
      <w:rFonts w:ascii="OpenSymbol;Arial Unicode MS" w:hAnsi="OpenSymbol;Arial Unicode MS" w:cs="OpenSymbol;Arial Unicode MS"/>
    </w:rPr>
  </w:style>
  <w:style w:type="character" w:customStyle="1" w:styleId="WW8Num19z0">
    <w:name w:val="WW8Num19z0"/>
    <w:qFormat/>
    <w:rsid w:val="00671CE2"/>
    <w:rPr>
      <w:rFonts w:ascii="Symbol" w:hAnsi="Symbol" w:cs="OpenSymbol;Arial Unicode MS"/>
      <w:strike w:val="0"/>
      <w:dstrike w:val="0"/>
      <w:color w:val="000000"/>
      <w:sz w:val="21"/>
      <w:szCs w:val="21"/>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9z1">
    <w:name w:val="WW8Num19z1"/>
    <w:qFormat/>
    <w:rsid w:val="00671CE2"/>
    <w:rPr>
      <w:rFonts w:ascii="OpenSymbol;Arial Unicode MS" w:hAnsi="OpenSymbol;Arial Unicode MS" w:cs="OpenSymbol;Arial Unicode MS"/>
    </w:rPr>
  </w:style>
  <w:style w:type="character" w:customStyle="1" w:styleId="WW8Num20z0">
    <w:name w:val="WW8Num20z0"/>
    <w:qFormat/>
    <w:rsid w:val="00671CE2"/>
    <w:rPr>
      <w:rFonts w:ascii="Symbol" w:hAnsi="Symbol" w:cs="OpenSymbol;Arial Unicode MS"/>
      <w:color w:val="000000"/>
      <w:sz w:val="21"/>
      <w:szCs w:val="21"/>
    </w:rPr>
  </w:style>
  <w:style w:type="character" w:customStyle="1" w:styleId="WW8Num20z1">
    <w:name w:val="WW8Num20z1"/>
    <w:qFormat/>
    <w:rsid w:val="00671CE2"/>
    <w:rPr>
      <w:rFonts w:ascii="OpenSymbol;Arial Unicode MS" w:hAnsi="OpenSymbol;Arial Unicode MS" w:cs="OpenSymbol;Arial Unicode MS"/>
    </w:rPr>
  </w:style>
  <w:style w:type="character" w:customStyle="1" w:styleId="WW8Num21z0">
    <w:name w:val="WW8Num21z0"/>
    <w:qFormat/>
    <w:rsid w:val="00671CE2"/>
    <w:rPr>
      <w:rFonts w:ascii="Symbol" w:hAnsi="Symbol" w:cs="OpenSymbol;Arial Unicode MS"/>
      <w:color w:val="000000"/>
      <w:sz w:val="21"/>
      <w:szCs w:val="21"/>
    </w:rPr>
  </w:style>
  <w:style w:type="character" w:customStyle="1" w:styleId="WW8Num21z1">
    <w:name w:val="WW8Num21z1"/>
    <w:qFormat/>
    <w:rsid w:val="00671CE2"/>
    <w:rPr>
      <w:rFonts w:ascii="OpenSymbol;Arial Unicode MS" w:hAnsi="OpenSymbol;Arial Unicode MS" w:cs="OpenSymbol;Arial Unicode MS"/>
    </w:rPr>
  </w:style>
  <w:style w:type="character" w:customStyle="1" w:styleId="WW8Num22z0">
    <w:name w:val="WW8Num22z0"/>
    <w:qFormat/>
    <w:rsid w:val="00671CE2"/>
    <w:rPr>
      <w:rFonts w:ascii="Symbol" w:hAnsi="Symbol" w:cs="OpenSymbol;Arial Unicode MS"/>
      <w:color w:val="000000"/>
      <w:sz w:val="21"/>
      <w:szCs w:val="21"/>
    </w:rPr>
  </w:style>
  <w:style w:type="character" w:customStyle="1" w:styleId="WW8Num22z1">
    <w:name w:val="WW8Num22z1"/>
    <w:qFormat/>
    <w:rsid w:val="00671CE2"/>
    <w:rPr>
      <w:rFonts w:ascii="OpenSymbol;Arial Unicode MS" w:hAnsi="OpenSymbol;Arial Unicode MS" w:cs="OpenSymbol;Arial Unicode MS"/>
    </w:rPr>
  </w:style>
  <w:style w:type="character" w:customStyle="1" w:styleId="WW8Num23z0">
    <w:name w:val="WW8Num23z0"/>
    <w:qFormat/>
    <w:rsid w:val="00671CE2"/>
    <w:rPr>
      <w:rFonts w:ascii="Symbol" w:hAnsi="Symbol" w:cs="OpenSymbol;Arial Unicode MS"/>
      <w:color w:val="000000"/>
      <w:sz w:val="21"/>
      <w:szCs w:val="21"/>
    </w:rPr>
  </w:style>
  <w:style w:type="character" w:customStyle="1" w:styleId="WW8Num23z1">
    <w:name w:val="WW8Num23z1"/>
    <w:qFormat/>
    <w:rsid w:val="00671CE2"/>
    <w:rPr>
      <w:rFonts w:ascii="OpenSymbol;Arial Unicode MS" w:hAnsi="OpenSymbol;Arial Unicode MS" w:cs="OpenSymbol;Arial Unicode MS"/>
    </w:rPr>
  </w:style>
  <w:style w:type="character" w:customStyle="1" w:styleId="WW8Num24z0">
    <w:name w:val="WW8Num24z0"/>
    <w:qFormat/>
    <w:rsid w:val="00671CE2"/>
    <w:rPr>
      <w:rFonts w:ascii="Symbol" w:hAnsi="Symbol" w:cs="OpenSymbol;Arial Unicode MS"/>
      <w:color w:val="000000"/>
      <w:sz w:val="21"/>
      <w:szCs w:val="21"/>
    </w:rPr>
  </w:style>
  <w:style w:type="character" w:customStyle="1" w:styleId="WW8Num24z1">
    <w:name w:val="WW8Num24z1"/>
    <w:qFormat/>
    <w:rsid w:val="00671CE2"/>
    <w:rPr>
      <w:rFonts w:ascii="OpenSymbol;Arial Unicode MS" w:hAnsi="OpenSymbol;Arial Unicode MS" w:cs="OpenSymbol;Arial Unicode MS"/>
    </w:rPr>
  </w:style>
  <w:style w:type="character" w:customStyle="1" w:styleId="WW8Num25z0">
    <w:name w:val="WW8Num25z0"/>
    <w:qFormat/>
    <w:rsid w:val="00671CE2"/>
    <w:rPr>
      <w:rFonts w:ascii="Symbol" w:hAnsi="Symbol" w:cs="OpenSymbol;Arial Unicode MS"/>
      <w:color w:val="000000"/>
      <w:sz w:val="21"/>
      <w:szCs w:val="21"/>
    </w:rPr>
  </w:style>
  <w:style w:type="character" w:customStyle="1" w:styleId="WW8Num25z1">
    <w:name w:val="WW8Num25z1"/>
    <w:qFormat/>
    <w:rsid w:val="00671CE2"/>
    <w:rPr>
      <w:rFonts w:ascii="OpenSymbol;Arial Unicode MS" w:hAnsi="OpenSymbol;Arial Unicode MS" w:cs="OpenSymbol;Arial Unicode MS"/>
    </w:rPr>
  </w:style>
  <w:style w:type="character" w:customStyle="1" w:styleId="WW8Num26z0">
    <w:name w:val="WW8Num26z0"/>
    <w:qFormat/>
    <w:rsid w:val="00671CE2"/>
    <w:rPr>
      <w:rFonts w:ascii="Symbol" w:hAnsi="Symbol" w:cs="OpenSymbol;Arial Unicode MS"/>
      <w:color w:val="000000"/>
      <w:sz w:val="21"/>
      <w:szCs w:val="21"/>
    </w:rPr>
  </w:style>
  <w:style w:type="character" w:customStyle="1" w:styleId="WW8Num26z1">
    <w:name w:val="WW8Num26z1"/>
    <w:qFormat/>
    <w:rsid w:val="00671CE2"/>
    <w:rPr>
      <w:rFonts w:ascii="OpenSymbol;Arial Unicode MS" w:hAnsi="OpenSymbol;Arial Unicode MS" w:cs="OpenSymbol;Arial Unicode MS"/>
    </w:rPr>
  </w:style>
  <w:style w:type="character" w:customStyle="1" w:styleId="WW8Num27z0">
    <w:name w:val="WW8Num27z0"/>
    <w:qFormat/>
    <w:rsid w:val="00671CE2"/>
    <w:rPr>
      <w:rFonts w:ascii="Symbol" w:hAnsi="Symbol" w:cs="OpenSymbol;Arial Unicode MS"/>
      <w:color w:val="000000"/>
      <w:sz w:val="21"/>
      <w:szCs w:val="21"/>
    </w:rPr>
  </w:style>
  <w:style w:type="character" w:customStyle="1" w:styleId="WW8Num27z1">
    <w:name w:val="WW8Num27z1"/>
    <w:qFormat/>
    <w:rsid w:val="00671CE2"/>
    <w:rPr>
      <w:rFonts w:ascii="OpenSymbol;Arial Unicode MS" w:hAnsi="OpenSymbol;Arial Unicode MS" w:cs="OpenSymbol;Arial Unicode MS"/>
    </w:rPr>
  </w:style>
  <w:style w:type="character" w:customStyle="1" w:styleId="WW8Num28z0">
    <w:name w:val="WW8Num28z0"/>
    <w:qFormat/>
    <w:rsid w:val="00671CE2"/>
    <w:rPr>
      <w:rFonts w:ascii="Symbol" w:hAnsi="Symbol" w:cs="OpenSymbol;Arial Unicode MS"/>
      <w:color w:val="000000"/>
      <w:sz w:val="21"/>
      <w:szCs w:val="21"/>
    </w:rPr>
  </w:style>
  <w:style w:type="character" w:customStyle="1" w:styleId="WW8Num28z1">
    <w:name w:val="WW8Num28z1"/>
    <w:qFormat/>
    <w:rsid w:val="00671CE2"/>
    <w:rPr>
      <w:rFonts w:ascii="OpenSymbol;Arial Unicode MS" w:hAnsi="OpenSymbol;Arial Unicode MS" w:cs="OpenSymbol;Arial Unicode MS"/>
    </w:rPr>
  </w:style>
  <w:style w:type="character" w:customStyle="1" w:styleId="WW8Num29z0">
    <w:name w:val="WW8Num29z0"/>
    <w:qFormat/>
    <w:rsid w:val="00671CE2"/>
    <w:rPr>
      <w:rFonts w:ascii="Symbol" w:hAnsi="Symbol" w:cs="OpenSymbol;Arial Unicode MS"/>
      <w:color w:val="000000"/>
      <w:sz w:val="21"/>
      <w:szCs w:val="21"/>
    </w:rPr>
  </w:style>
  <w:style w:type="character" w:customStyle="1" w:styleId="WW8Num29z1">
    <w:name w:val="WW8Num29z1"/>
    <w:qFormat/>
    <w:rsid w:val="00671CE2"/>
    <w:rPr>
      <w:rFonts w:ascii="OpenSymbol;Arial Unicode MS" w:hAnsi="OpenSymbol;Arial Unicode MS" w:cs="OpenSymbol;Arial Unicode MS"/>
    </w:rPr>
  </w:style>
  <w:style w:type="character" w:customStyle="1" w:styleId="WW8Num30z0">
    <w:name w:val="WW8Num30z0"/>
    <w:qFormat/>
    <w:rsid w:val="00671CE2"/>
    <w:rPr>
      <w:rFonts w:ascii="Symbol" w:hAnsi="Symbol" w:cs="OpenSymbol;Arial Unicode MS"/>
      <w:caps w:val="0"/>
      <w:smallCaps w:val="0"/>
      <w:color w:val="000000"/>
      <w:spacing w:val="0"/>
      <w:sz w:val="21"/>
      <w:szCs w:val="21"/>
    </w:rPr>
  </w:style>
  <w:style w:type="character" w:customStyle="1" w:styleId="WW8Num30z1">
    <w:name w:val="WW8Num30z1"/>
    <w:qFormat/>
    <w:rsid w:val="00671CE2"/>
    <w:rPr>
      <w:rFonts w:ascii="OpenSymbol;Arial Unicode MS" w:hAnsi="OpenSymbol;Arial Unicode MS" w:cs="OpenSymbol;Arial Unicode MS"/>
    </w:rPr>
  </w:style>
  <w:style w:type="character" w:customStyle="1" w:styleId="WW8Num31z0">
    <w:name w:val="WW8Num31z0"/>
    <w:qFormat/>
    <w:rsid w:val="00671CE2"/>
    <w:rPr>
      <w:rFonts w:ascii="Symbol" w:hAnsi="Symbol" w:cs="OpenSymbol;Arial Unicode MS"/>
      <w:color w:val="000000"/>
      <w:sz w:val="21"/>
      <w:szCs w:val="21"/>
    </w:rPr>
  </w:style>
  <w:style w:type="character" w:customStyle="1" w:styleId="WW8Num31z1">
    <w:name w:val="WW8Num31z1"/>
    <w:qFormat/>
    <w:rsid w:val="00671CE2"/>
    <w:rPr>
      <w:rFonts w:ascii="OpenSymbol;Arial Unicode MS" w:hAnsi="OpenSymbol;Arial Unicode MS" w:cs="OpenSymbol;Arial Unicode MS"/>
    </w:rPr>
  </w:style>
  <w:style w:type="character" w:customStyle="1" w:styleId="WW8Num32z0">
    <w:name w:val="WW8Num32z0"/>
    <w:qFormat/>
    <w:rsid w:val="00671CE2"/>
    <w:rPr>
      <w:rFonts w:ascii="Symbol" w:eastAsia="Times New Roman" w:hAnsi="Symbol" w:cs="OpenSymbol;Arial Unicode MS"/>
      <w:color w:val="000000"/>
      <w:sz w:val="21"/>
      <w:szCs w:val="21"/>
      <w:lang w:eastAsia="es-ES"/>
    </w:rPr>
  </w:style>
  <w:style w:type="character" w:customStyle="1" w:styleId="WW8Num8z2">
    <w:name w:val="WW8Num8z2"/>
    <w:qFormat/>
    <w:rsid w:val="00671CE2"/>
    <w:rPr>
      <w:rFonts w:ascii="Wingdings" w:hAnsi="Wingdings" w:cs="Wingdings"/>
      <w:sz w:val="20"/>
    </w:rPr>
  </w:style>
  <w:style w:type="character" w:customStyle="1" w:styleId="WW8Num9z2">
    <w:name w:val="WW8Num9z2"/>
    <w:qFormat/>
    <w:rsid w:val="00671CE2"/>
  </w:style>
  <w:style w:type="character" w:customStyle="1" w:styleId="WW8Num9z3">
    <w:name w:val="WW8Num9z3"/>
    <w:qFormat/>
    <w:rsid w:val="00671CE2"/>
  </w:style>
  <w:style w:type="character" w:customStyle="1" w:styleId="WW8Num9z4">
    <w:name w:val="WW8Num9z4"/>
    <w:qFormat/>
    <w:rsid w:val="00671CE2"/>
  </w:style>
  <w:style w:type="character" w:customStyle="1" w:styleId="WW8Num9z5">
    <w:name w:val="WW8Num9z5"/>
    <w:qFormat/>
    <w:rsid w:val="00671CE2"/>
  </w:style>
  <w:style w:type="character" w:customStyle="1" w:styleId="WW8Num9z6">
    <w:name w:val="WW8Num9z6"/>
    <w:qFormat/>
    <w:rsid w:val="00671CE2"/>
  </w:style>
  <w:style w:type="character" w:customStyle="1" w:styleId="WW8Num9z7">
    <w:name w:val="WW8Num9z7"/>
    <w:qFormat/>
    <w:rsid w:val="00671CE2"/>
  </w:style>
  <w:style w:type="character" w:customStyle="1" w:styleId="WW8Num9z8">
    <w:name w:val="WW8Num9z8"/>
    <w:qFormat/>
    <w:rsid w:val="00671CE2"/>
  </w:style>
  <w:style w:type="character" w:customStyle="1" w:styleId="WW8Num10z2">
    <w:name w:val="WW8Num10z2"/>
    <w:qFormat/>
    <w:rsid w:val="00671CE2"/>
    <w:rPr>
      <w:rFonts w:ascii="Wingdings" w:hAnsi="Wingdings" w:cs="Wingdings"/>
      <w:sz w:val="20"/>
    </w:rPr>
  </w:style>
  <w:style w:type="character" w:customStyle="1" w:styleId="WW8Num11z2">
    <w:name w:val="WW8Num11z2"/>
    <w:qFormat/>
    <w:rsid w:val="00671CE2"/>
    <w:rPr>
      <w:rFonts w:ascii="Wingdings" w:hAnsi="Wingdings" w:cs="Wingdings"/>
      <w:sz w:val="20"/>
    </w:rPr>
  </w:style>
  <w:style w:type="character" w:customStyle="1" w:styleId="WW8Num12z2">
    <w:name w:val="WW8Num12z2"/>
    <w:qFormat/>
    <w:rsid w:val="00671CE2"/>
    <w:rPr>
      <w:rFonts w:ascii="Wingdings" w:hAnsi="Wingdings" w:cs="Wingdings"/>
      <w:sz w:val="20"/>
    </w:rPr>
  </w:style>
  <w:style w:type="character" w:customStyle="1" w:styleId="WW8Num13z2">
    <w:name w:val="WW8Num13z2"/>
    <w:qFormat/>
    <w:rsid w:val="00671CE2"/>
    <w:rPr>
      <w:rFonts w:ascii="Wingdings" w:hAnsi="Wingdings" w:cs="Wingdings"/>
      <w:sz w:val="20"/>
    </w:rPr>
  </w:style>
  <w:style w:type="character" w:customStyle="1" w:styleId="WW8Num14z2">
    <w:name w:val="WW8Num14z2"/>
    <w:qFormat/>
    <w:rsid w:val="00671CE2"/>
    <w:rPr>
      <w:rFonts w:ascii="Wingdings" w:hAnsi="Wingdings" w:cs="Wingdings"/>
      <w:sz w:val="20"/>
    </w:rPr>
  </w:style>
  <w:style w:type="character" w:customStyle="1" w:styleId="WW8Num6z3">
    <w:name w:val="WW8Num6z3"/>
    <w:qFormat/>
    <w:rsid w:val="00671CE2"/>
  </w:style>
  <w:style w:type="character" w:customStyle="1" w:styleId="WW8Num6z4">
    <w:name w:val="WW8Num6z4"/>
    <w:qFormat/>
    <w:rsid w:val="00671CE2"/>
  </w:style>
  <w:style w:type="character" w:customStyle="1" w:styleId="WW8Num6z5">
    <w:name w:val="WW8Num6z5"/>
    <w:qFormat/>
    <w:rsid w:val="00671CE2"/>
  </w:style>
  <w:style w:type="character" w:customStyle="1" w:styleId="WW8Num6z6">
    <w:name w:val="WW8Num6z6"/>
    <w:qFormat/>
    <w:rsid w:val="00671CE2"/>
  </w:style>
  <w:style w:type="character" w:customStyle="1" w:styleId="WW8Num6z7">
    <w:name w:val="WW8Num6z7"/>
    <w:qFormat/>
    <w:rsid w:val="00671CE2"/>
  </w:style>
  <w:style w:type="character" w:customStyle="1" w:styleId="WW8Num6z8">
    <w:name w:val="WW8Num6z8"/>
    <w:qFormat/>
    <w:rsid w:val="00671CE2"/>
  </w:style>
  <w:style w:type="character" w:customStyle="1" w:styleId="WW8Num7z3">
    <w:name w:val="WW8Num7z3"/>
    <w:qFormat/>
    <w:rsid w:val="00671CE2"/>
  </w:style>
  <w:style w:type="character" w:customStyle="1" w:styleId="WW8Num7z4">
    <w:name w:val="WW8Num7z4"/>
    <w:qFormat/>
    <w:rsid w:val="00671CE2"/>
  </w:style>
  <w:style w:type="character" w:customStyle="1" w:styleId="WW8Num7z5">
    <w:name w:val="WW8Num7z5"/>
    <w:qFormat/>
    <w:rsid w:val="00671CE2"/>
  </w:style>
  <w:style w:type="character" w:customStyle="1" w:styleId="WW8Num7z6">
    <w:name w:val="WW8Num7z6"/>
    <w:qFormat/>
    <w:rsid w:val="00671CE2"/>
  </w:style>
  <w:style w:type="character" w:customStyle="1" w:styleId="WW8Num7z7">
    <w:name w:val="WW8Num7z7"/>
    <w:qFormat/>
    <w:rsid w:val="00671CE2"/>
  </w:style>
  <w:style w:type="character" w:customStyle="1" w:styleId="WW8Num7z8">
    <w:name w:val="WW8Num7z8"/>
    <w:qFormat/>
    <w:rsid w:val="00671CE2"/>
  </w:style>
  <w:style w:type="character" w:customStyle="1" w:styleId="WW8Num10z3">
    <w:name w:val="WW8Num10z3"/>
    <w:qFormat/>
    <w:rsid w:val="00671CE2"/>
  </w:style>
  <w:style w:type="character" w:customStyle="1" w:styleId="WW8Num10z4">
    <w:name w:val="WW8Num10z4"/>
    <w:qFormat/>
    <w:rsid w:val="00671CE2"/>
  </w:style>
  <w:style w:type="character" w:customStyle="1" w:styleId="WW8Num10z5">
    <w:name w:val="WW8Num10z5"/>
    <w:qFormat/>
    <w:rsid w:val="00671CE2"/>
  </w:style>
  <w:style w:type="character" w:customStyle="1" w:styleId="WW8Num10z6">
    <w:name w:val="WW8Num10z6"/>
    <w:qFormat/>
    <w:rsid w:val="00671CE2"/>
  </w:style>
  <w:style w:type="character" w:customStyle="1" w:styleId="WW8Num10z7">
    <w:name w:val="WW8Num10z7"/>
    <w:qFormat/>
    <w:rsid w:val="00671CE2"/>
  </w:style>
  <w:style w:type="character" w:customStyle="1" w:styleId="WW8Num10z8">
    <w:name w:val="WW8Num10z8"/>
    <w:qFormat/>
    <w:rsid w:val="00671CE2"/>
  </w:style>
  <w:style w:type="character" w:customStyle="1" w:styleId="WW8Num11z3">
    <w:name w:val="WW8Num11z3"/>
    <w:qFormat/>
    <w:rsid w:val="00671CE2"/>
  </w:style>
  <w:style w:type="character" w:customStyle="1" w:styleId="WW8Num11z4">
    <w:name w:val="WW8Num11z4"/>
    <w:qFormat/>
    <w:rsid w:val="00671CE2"/>
  </w:style>
  <w:style w:type="character" w:customStyle="1" w:styleId="WW8Num11z5">
    <w:name w:val="WW8Num11z5"/>
    <w:qFormat/>
    <w:rsid w:val="00671CE2"/>
  </w:style>
  <w:style w:type="character" w:customStyle="1" w:styleId="WW8Num11z6">
    <w:name w:val="WW8Num11z6"/>
    <w:qFormat/>
    <w:rsid w:val="00671CE2"/>
  </w:style>
  <w:style w:type="character" w:customStyle="1" w:styleId="WW8Num11z7">
    <w:name w:val="WW8Num11z7"/>
    <w:qFormat/>
    <w:rsid w:val="00671CE2"/>
  </w:style>
  <w:style w:type="character" w:customStyle="1" w:styleId="WW8Num11z8">
    <w:name w:val="WW8Num11z8"/>
    <w:qFormat/>
    <w:rsid w:val="00671CE2"/>
  </w:style>
  <w:style w:type="character" w:customStyle="1" w:styleId="WW8Num12z3">
    <w:name w:val="WW8Num12z3"/>
    <w:qFormat/>
    <w:rsid w:val="00671CE2"/>
  </w:style>
  <w:style w:type="character" w:customStyle="1" w:styleId="WW8Num12z4">
    <w:name w:val="WW8Num12z4"/>
    <w:qFormat/>
    <w:rsid w:val="00671CE2"/>
  </w:style>
  <w:style w:type="character" w:customStyle="1" w:styleId="WW8Num12z5">
    <w:name w:val="WW8Num12z5"/>
    <w:qFormat/>
    <w:rsid w:val="00671CE2"/>
  </w:style>
  <w:style w:type="character" w:customStyle="1" w:styleId="WW8Num12z6">
    <w:name w:val="WW8Num12z6"/>
    <w:qFormat/>
    <w:rsid w:val="00671CE2"/>
  </w:style>
  <w:style w:type="character" w:customStyle="1" w:styleId="WW8Num12z7">
    <w:name w:val="WW8Num12z7"/>
    <w:qFormat/>
    <w:rsid w:val="00671CE2"/>
  </w:style>
  <w:style w:type="character" w:customStyle="1" w:styleId="WW8Num12z8">
    <w:name w:val="WW8Num12z8"/>
    <w:qFormat/>
    <w:rsid w:val="00671CE2"/>
  </w:style>
  <w:style w:type="character" w:customStyle="1" w:styleId="WW8Num15z2">
    <w:name w:val="WW8Num15z2"/>
    <w:qFormat/>
    <w:rsid w:val="00671CE2"/>
    <w:rPr>
      <w:rFonts w:ascii="Wingdings" w:hAnsi="Wingdings" w:cs="Wingdings"/>
      <w:sz w:val="20"/>
    </w:rPr>
  </w:style>
  <w:style w:type="character" w:customStyle="1" w:styleId="WW8Num16z2">
    <w:name w:val="WW8Num16z2"/>
    <w:qFormat/>
    <w:rsid w:val="00671CE2"/>
    <w:rPr>
      <w:rFonts w:ascii="Wingdings" w:hAnsi="Wingdings" w:cs="Wingdings"/>
      <w:sz w:val="20"/>
    </w:rPr>
  </w:style>
  <w:style w:type="character" w:customStyle="1" w:styleId="WW8Num17z2">
    <w:name w:val="WW8Num17z2"/>
    <w:qFormat/>
    <w:rsid w:val="00671CE2"/>
    <w:rPr>
      <w:rFonts w:ascii="Wingdings" w:hAnsi="Wingdings" w:cs="Wingdings"/>
      <w:sz w:val="20"/>
    </w:rPr>
  </w:style>
  <w:style w:type="character" w:customStyle="1" w:styleId="Fuentedeprrafopredeter1">
    <w:name w:val="Fuente de párrafo predeter.1"/>
    <w:qFormat/>
    <w:rsid w:val="00671CE2"/>
  </w:style>
  <w:style w:type="character" w:customStyle="1" w:styleId="EnlacedeInternetvisitado">
    <w:name w:val="Enlace de Internet visitado"/>
    <w:rsid w:val="00671CE2"/>
    <w:rPr>
      <w:color w:val="800000"/>
      <w:u w:val="single"/>
    </w:rPr>
  </w:style>
  <w:style w:type="character" w:customStyle="1" w:styleId="Muydestacado">
    <w:name w:val="Muy destacado"/>
    <w:qFormat/>
    <w:rsid w:val="00671CE2"/>
    <w:rPr>
      <w:b/>
      <w:bCs/>
    </w:rPr>
  </w:style>
  <w:style w:type="character" w:customStyle="1" w:styleId="Destacado">
    <w:name w:val="Destacado"/>
    <w:qFormat/>
    <w:rsid w:val="00671CE2"/>
    <w:rPr>
      <w:i/>
      <w:iCs/>
    </w:rPr>
  </w:style>
  <w:style w:type="character" w:customStyle="1" w:styleId="Vietas">
    <w:name w:val="Viñetas"/>
    <w:qFormat/>
    <w:rsid w:val="00671CE2"/>
    <w:rPr>
      <w:rFonts w:ascii="OpenSymbol;Arial Unicode MS" w:eastAsia="OpenSymbol;Arial Unicode MS" w:hAnsi="OpenSymbol;Arial Unicode MS" w:cs="OpenSymbol;Arial Unicode MS"/>
    </w:rPr>
  </w:style>
  <w:style w:type="character" w:customStyle="1" w:styleId="ListLabel53">
    <w:name w:val="ListLabel 53"/>
    <w:qFormat/>
    <w:rsid w:val="00671CE2"/>
    <w:rPr>
      <w:b/>
      <w:sz w:val="20"/>
    </w:rPr>
  </w:style>
  <w:style w:type="character" w:customStyle="1" w:styleId="Tipusdelletraperdefectedelpargraf">
    <w:name w:val="Tipus de lletra per defecte del paràgraf"/>
    <w:qFormat/>
    <w:rsid w:val="00671CE2"/>
  </w:style>
  <w:style w:type="character" w:customStyle="1" w:styleId="Fuentedeprrafopredeter2">
    <w:name w:val="Fuente de párrafo predeter.2"/>
    <w:qFormat/>
    <w:rsid w:val="00671CE2"/>
  </w:style>
  <w:style w:type="character" w:customStyle="1" w:styleId="WWCharLFO2LVL1">
    <w:name w:val="WW_CharLFO2LVL1"/>
    <w:qFormat/>
    <w:rsid w:val="00671CE2"/>
    <w:rPr>
      <w:rFonts w:ascii="OpenSymbol" w:eastAsia="OpenSymbol" w:hAnsi="OpenSymbol" w:cs="OpenSymbol"/>
      <w:color w:val="993333"/>
    </w:rPr>
  </w:style>
  <w:style w:type="character" w:customStyle="1" w:styleId="WWCharLFO2LVL2">
    <w:name w:val="WW_CharLFO2LVL2"/>
    <w:qFormat/>
    <w:rsid w:val="00671CE2"/>
    <w:rPr>
      <w:rFonts w:ascii="OpenSymbol" w:eastAsia="OpenSymbol" w:hAnsi="OpenSymbol" w:cs="OpenSymbol"/>
      <w:color w:val="993333"/>
    </w:rPr>
  </w:style>
  <w:style w:type="character" w:customStyle="1" w:styleId="WWCharLFO2LVL3">
    <w:name w:val="WW_CharLFO2LVL3"/>
    <w:qFormat/>
    <w:rsid w:val="00671CE2"/>
    <w:rPr>
      <w:rFonts w:ascii="OpenSymbol" w:eastAsia="OpenSymbol" w:hAnsi="OpenSymbol" w:cs="OpenSymbol"/>
      <w:color w:val="993333"/>
    </w:rPr>
  </w:style>
  <w:style w:type="character" w:customStyle="1" w:styleId="WWCharLFO2LVL4">
    <w:name w:val="WW_CharLFO2LVL4"/>
    <w:qFormat/>
    <w:rsid w:val="00671CE2"/>
    <w:rPr>
      <w:rFonts w:ascii="OpenSymbol" w:eastAsia="OpenSymbol" w:hAnsi="OpenSymbol" w:cs="OpenSymbol"/>
      <w:color w:val="993333"/>
    </w:rPr>
  </w:style>
  <w:style w:type="character" w:customStyle="1" w:styleId="WWCharLFO2LVL5">
    <w:name w:val="WW_CharLFO2LVL5"/>
    <w:qFormat/>
    <w:rsid w:val="00671CE2"/>
    <w:rPr>
      <w:rFonts w:ascii="OpenSymbol" w:eastAsia="OpenSymbol" w:hAnsi="OpenSymbol" w:cs="OpenSymbol"/>
      <w:color w:val="993333"/>
    </w:rPr>
  </w:style>
  <w:style w:type="character" w:customStyle="1" w:styleId="WWCharLFO2LVL6">
    <w:name w:val="WW_CharLFO2LVL6"/>
    <w:qFormat/>
    <w:rsid w:val="00671CE2"/>
    <w:rPr>
      <w:rFonts w:ascii="OpenSymbol" w:eastAsia="OpenSymbol" w:hAnsi="OpenSymbol" w:cs="OpenSymbol"/>
      <w:color w:val="993333"/>
    </w:rPr>
  </w:style>
  <w:style w:type="character" w:customStyle="1" w:styleId="WWCharLFO2LVL7">
    <w:name w:val="WW_CharLFO2LVL7"/>
    <w:qFormat/>
    <w:rsid w:val="00671CE2"/>
    <w:rPr>
      <w:rFonts w:ascii="OpenSymbol" w:eastAsia="OpenSymbol" w:hAnsi="OpenSymbol" w:cs="OpenSymbol"/>
      <w:color w:val="993333"/>
    </w:rPr>
  </w:style>
  <w:style w:type="character" w:customStyle="1" w:styleId="WWCharLFO2LVL8">
    <w:name w:val="WW_CharLFO2LVL8"/>
    <w:qFormat/>
    <w:rsid w:val="00671CE2"/>
    <w:rPr>
      <w:rFonts w:ascii="OpenSymbol" w:eastAsia="OpenSymbol" w:hAnsi="OpenSymbol" w:cs="OpenSymbol"/>
      <w:color w:val="993333"/>
    </w:rPr>
  </w:style>
  <w:style w:type="character" w:customStyle="1" w:styleId="WWCharLFO2LVL9">
    <w:name w:val="WW_CharLFO2LVL9"/>
    <w:qFormat/>
    <w:rsid w:val="00671CE2"/>
    <w:rPr>
      <w:rFonts w:ascii="OpenSymbol" w:eastAsia="OpenSymbol" w:hAnsi="OpenSymbol" w:cs="OpenSymbol"/>
      <w:color w:val="993333"/>
    </w:rPr>
  </w:style>
  <w:style w:type="character" w:customStyle="1" w:styleId="WWCharLFO3LVL1">
    <w:name w:val="WW_CharLFO3LVL1"/>
    <w:qFormat/>
    <w:rsid w:val="00671CE2"/>
    <w:rPr>
      <w:rFonts w:ascii="OpenSymbol" w:eastAsia="OpenSymbol" w:hAnsi="OpenSymbol" w:cs="OpenSymbol"/>
      <w:color w:val="993333"/>
    </w:rPr>
  </w:style>
  <w:style w:type="character" w:customStyle="1" w:styleId="WWCharLFO3LVL2">
    <w:name w:val="WW_CharLFO3LVL2"/>
    <w:qFormat/>
    <w:rsid w:val="00671CE2"/>
    <w:rPr>
      <w:rFonts w:ascii="OpenSymbol" w:eastAsia="OpenSymbol" w:hAnsi="OpenSymbol" w:cs="OpenSymbol"/>
      <w:color w:val="993333"/>
    </w:rPr>
  </w:style>
  <w:style w:type="character" w:customStyle="1" w:styleId="WWCharLFO3LVL3">
    <w:name w:val="WW_CharLFO3LVL3"/>
    <w:qFormat/>
    <w:rsid w:val="00671CE2"/>
    <w:rPr>
      <w:rFonts w:ascii="OpenSymbol" w:eastAsia="OpenSymbol" w:hAnsi="OpenSymbol" w:cs="OpenSymbol"/>
      <w:color w:val="993333"/>
    </w:rPr>
  </w:style>
  <w:style w:type="character" w:customStyle="1" w:styleId="WWCharLFO3LVL4">
    <w:name w:val="WW_CharLFO3LVL4"/>
    <w:qFormat/>
    <w:rsid w:val="00671CE2"/>
    <w:rPr>
      <w:rFonts w:ascii="OpenSymbol" w:eastAsia="OpenSymbol" w:hAnsi="OpenSymbol" w:cs="OpenSymbol"/>
      <w:color w:val="993333"/>
    </w:rPr>
  </w:style>
  <w:style w:type="character" w:customStyle="1" w:styleId="WWCharLFO3LVL5">
    <w:name w:val="WW_CharLFO3LVL5"/>
    <w:qFormat/>
    <w:rsid w:val="00671CE2"/>
    <w:rPr>
      <w:rFonts w:ascii="OpenSymbol" w:eastAsia="OpenSymbol" w:hAnsi="OpenSymbol" w:cs="OpenSymbol"/>
      <w:color w:val="993333"/>
    </w:rPr>
  </w:style>
  <w:style w:type="character" w:customStyle="1" w:styleId="WWCharLFO3LVL6">
    <w:name w:val="WW_CharLFO3LVL6"/>
    <w:qFormat/>
    <w:rsid w:val="00671CE2"/>
    <w:rPr>
      <w:rFonts w:ascii="OpenSymbol" w:eastAsia="OpenSymbol" w:hAnsi="OpenSymbol" w:cs="OpenSymbol"/>
      <w:color w:val="993333"/>
    </w:rPr>
  </w:style>
  <w:style w:type="character" w:customStyle="1" w:styleId="WWCharLFO3LVL7">
    <w:name w:val="WW_CharLFO3LVL7"/>
    <w:qFormat/>
    <w:rsid w:val="00671CE2"/>
    <w:rPr>
      <w:rFonts w:ascii="OpenSymbol" w:eastAsia="OpenSymbol" w:hAnsi="OpenSymbol" w:cs="OpenSymbol"/>
      <w:color w:val="993333"/>
    </w:rPr>
  </w:style>
  <w:style w:type="character" w:customStyle="1" w:styleId="WWCharLFO3LVL8">
    <w:name w:val="WW_CharLFO3LVL8"/>
    <w:qFormat/>
    <w:rsid w:val="00671CE2"/>
    <w:rPr>
      <w:rFonts w:ascii="OpenSymbol" w:eastAsia="OpenSymbol" w:hAnsi="OpenSymbol" w:cs="OpenSymbol"/>
      <w:color w:val="993333"/>
    </w:rPr>
  </w:style>
  <w:style w:type="character" w:customStyle="1" w:styleId="WWCharLFO3LVL9">
    <w:name w:val="WW_CharLFO3LVL9"/>
    <w:qFormat/>
    <w:rsid w:val="00671CE2"/>
    <w:rPr>
      <w:rFonts w:ascii="OpenSymbol" w:eastAsia="OpenSymbol" w:hAnsi="OpenSymbol" w:cs="OpenSymbol"/>
      <w:color w:val="993333"/>
    </w:rPr>
  </w:style>
  <w:style w:type="paragraph" w:styleId="Lista">
    <w:name w:val="List"/>
    <w:basedOn w:val="Textoindependiente"/>
    <w:uiPriority w:val="99"/>
    <w:qFormat/>
    <w:rsid w:val="00671CE2"/>
    <w:pPr>
      <w:suppressAutoHyphens/>
    </w:pPr>
    <w:rPr>
      <w:rFonts w:ascii="Calibri" w:eastAsia="Calibri" w:hAnsi="Calibri"/>
      <w:kern w:val="0"/>
      <w:sz w:val="22"/>
      <w:szCs w:val="22"/>
      <w:lang w:bidi="ar-SA"/>
    </w:rPr>
  </w:style>
  <w:style w:type="paragraph" w:customStyle="1" w:styleId="ndice">
    <w:name w:val="Índice"/>
    <w:basedOn w:val="Normal"/>
    <w:uiPriority w:val="99"/>
    <w:qFormat/>
    <w:rsid w:val="00671CE2"/>
    <w:pPr>
      <w:suppressLineNumbers/>
      <w:suppressAutoHyphens/>
      <w:spacing w:line="252" w:lineRule="auto"/>
    </w:pPr>
    <w:rPr>
      <w:rFonts w:ascii="Calibri" w:eastAsia="Calibri" w:hAnsi="Calibri" w:cs="Arial"/>
      <w:lang w:eastAsia="zh-CN"/>
    </w:rPr>
  </w:style>
  <w:style w:type="paragraph" w:customStyle="1" w:styleId="Ttulo10">
    <w:name w:val="Título1"/>
    <w:basedOn w:val="Normal"/>
    <w:next w:val="Textoindependiente"/>
    <w:uiPriority w:val="99"/>
    <w:qFormat/>
    <w:rsid w:val="00671CE2"/>
    <w:pPr>
      <w:keepNext/>
      <w:suppressAutoHyphens/>
      <w:spacing w:before="240" w:after="120" w:line="252" w:lineRule="auto"/>
    </w:pPr>
    <w:rPr>
      <w:rFonts w:ascii="Liberation Sans;Arial" w:eastAsia="Microsoft YaHei" w:hAnsi="Liberation Sans;Arial" w:cs="Arial"/>
      <w:sz w:val="28"/>
      <w:szCs w:val="28"/>
      <w:lang w:eastAsia="zh-CN"/>
    </w:rPr>
  </w:style>
  <w:style w:type="paragraph" w:customStyle="1" w:styleId="msonormal0">
    <w:name w:val="msonormal"/>
    <w:basedOn w:val="Normal"/>
    <w:uiPriority w:val="99"/>
    <w:qFormat/>
    <w:rsid w:val="00671CE2"/>
    <w:pPr>
      <w:suppressAutoHyphens/>
      <w:spacing w:before="280" w:after="142" w:line="288" w:lineRule="auto"/>
    </w:pPr>
    <w:rPr>
      <w:rFonts w:ascii="Times New Roman" w:eastAsia="Times New Roman" w:hAnsi="Times New Roman" w:cs="Times New Roman"/>
      <w:sz w:val="24"/>
      <w:szCs w:val="24"/>
      <w:lang w:eastAsia="zh-CN"/>
    </w:rPr>
  </w:style>
  <w:style w:type="paragraph" w:customStyle="1" w:styleId="Default">
    <w:name w:val="Default"/>
    <w:qFormat/>
    <w:rsid w:val="00671CE2"/>
    <w:pPr>
      <w:widowControl w:val="0"/>
      <w:suppressAutoHyphens/>
      <w:spacing w:after="0" w:line="240" w:lineRule="auto"/>
    </w:pPr>
    <w:rPr>
      <w:rFonts w:ascii="Arial" w:eastAsia="NSimSun" w:hAnsi="Arial" w:cs="Arial"/>
      <w:color w:val="000000"/>
      <w:sz w:val="24"/>
      <w:szCs w:val="24"/>
      <w:lang w:eastAsia="zh-CN" w:bidi="hi-IN"/>
    </w:rPr>
  </w:style>
  <w:style w:type="paragraph" w:customStyle="1" w:styleId="Contenidodelatabla">
    <w:name w:val="Contenido de la tabla"/>
    <w:basedOn w:val="Normal"/>
    <w:uiPriority w:val="99"/>
    <w:qFormat/>
    <w:rsid w:val="00671CE2"/>
    <w:pPr>
      <w:suppressLineNumbers/>
      <w:suppressAutoHyphens/>
      <w:spacing w:line="252" w:lineRule="auto"/>
    </w:pPr>
    <w:rPr>
      <w:rFonts w:ascii="Calibri" w:eastAsia="Calibri" w:hAnsi="Calibri" w:cs="Calibri"/>
      <w:lang w:eastAsia="zh-CN"/>
    </w:rPr>
  </w:style>
  <w:style w:type="paragraph" w:customStyle="1" w:styleId="ndicedeusuario4">
    <w:name w:val="Índice de usuario 4"/>
    <w:basedOn w:val="ndice"/>
    <w:uiPriority w:val="99"/>
    <w:qFormat/>
    <w:rsid w:val="00671CE2"/>
    <w:pPr>
      <w:tabs>
        <w:tab w:val="right" w:leader="dot" w:pos="8789"/>
      </w:tabs>
      <w:ind w:left="849"/>
    </w:pPr>
  </w:style>
  <w:style w:type="paragraph" w:customStyle="1" w:styleId="Standard">
    <w:name w:val="Standard"/>
    <w:qFormat/>
    <w:rsid w:val="00671CE2"/>
    <w:pPr>
      <w:widowControl w:val="0"/>
      <w:suppressAutoHyphens/>
      <w:spacing w:after="0" w:line="240" w:lineRule="auto"/>
      <w:textAlignment w:val="baseline"/>
    </w:pPr>
    <w:rPr>
      <w:rFonts w:ascii="Liberation Serif" w:eastAsia="NSimSun" w:hAnsi="Liberation Serif" w:cs="Arial"/>
      <w:sz w:val="24"/>
      <w:szCs w:val="24"/>
      <w:lang w:eastAsia="zh-CN" w:bidi="hi-IN"/>
    </w:rPr>
  </w:style>
  <w:style w:type="paragraph" w:customStyle="1" w:styleId="Textbody">
    <w:name w:val="Text body"/>
    <w:basedOn w:val="Standard"/>
    <w:uiPriority w:val="99"/>
    <w:qFormat/>
    <w:rsid w:val="00671CE2"/>
    <w:pPr>
      <w:spacing w:after="140" w:line="288" w:lineRule="auto"/>
    </w:pPr>
  </w:style>
  <w:style w:type="paragraph" w:customStyle="1" w:styleId="ndicedeusuario3">
    <w:name w:val="Índice de usuario 3"/>
    <w:basedOn w:val="ndice"/>
    <w:uiPriority w:val="99"/>
    <w:qFormat/>
    <w:rsid w:val="00671CE2"/>
    <w:pPr>
      <w:tabs>
        <w:tab w:val="right" w:leader="dot" w:pos="9072"/>
      </w:tabs>
      <w:ind w:left="566"/>
    </w:pPr>
  </w:style>
  <w:style w:type="numbering" w:customStyle="1" w:styleId="WW8Num1">
    <w:name w:val="WW8Num1"/>
    <w:qFormat/>
    <w:rsid w:val="00671CE2"/>
  </w:style>
  <w:style w:type="numbering" w:customStyle="1" w:styleId="WW8Num2">
    <w:name w:val="WW8Num2"/>
    <w:qFormat/>
    <w:rsid w:val="00671CE2"/>
  </w:style>
  <w:style w:type="numbering" w:customStyle="1" w:styleId="WW8Num3">
    <w:name w:val="WW8Num3"/>
    <w:qFormat/>
    <w:rsid w:val="00671CE2"/>
    <w:pPr>
      <w:numPr>
        <w:numId w:val="33"/>
      </w:numPr>
    </w:pPr>
  </w:style>
  <w:style w:type="numbering" w:customStyle="1" w:styleId="WW8Num4">
    <w:name w:val="WW8Num4"/>
    <w:qFormat/>
    <w:rsid w:val="00671CE2"/>
  </w:style>
  <w:style w:type="numbering" w:customStyle="1" w:styleId="WW8Num5">
    <w:name w:val="WW8Num5"/>
    <w:qFormat/>
    <w:rsid w:val="00671CE2"/>
  </w:style>
  <w:style w:type="numbering" w:customStyle="1" w:styleId="WW8Num6">
    <w:name w:val="WW8Num6"/>
    <w:qFormat/>
    <w:rsid w:val="00671CE2"/>
  </w:style>
  <w:style w:type="numbering" w:customStyle="1" w:styleId="WW8Num7">
    <w:name w:val="WW8Num7"/>
    <w:qFormat/>
    <w:rsid w:val="00671CE2"/>
  </w:style>
  <w:style w:type="numbering" w:customStyle="1" w:styleId="WW8Num8">
    <w:name w:val="WW8Num8"/>
    <w:qFormat/>
    <w:rsid w:val="00671CE2"/>
  </w:style>
  <w:style w:type="numbering" w:customStyle="1" w:styleId="WW8Num9">
    <w:name w:val="WW8Num9"/>
    <w:qFormat/>
    <w:rsid w:val="00671CE2"/>
  </w:style>
  <w:style w:type="numbering" w:customStyle="1" w:styleId="WW8Num10">
    <w:name w:val="WW8Num10"/>
    <w:qFormat/>
    <w:rsid w:val="00671CE2"/>
  </w:style>
  <w:style w:type="numbering" w:customStyle="1" w:styleId="WW8Num11">
    <w:name w:val="WW8Num11"/>
    <w:qFormat/>
    <w:rsid w:val="00671CE2"/>
  </w:style>
  <w:style w:type="numbering" w:customStyle="1" w:styleId="WW8Num12">
    <w:name w:val="WW8Num12"/>
    <w:qFormat/>
    <w:rsid w:val="00671CE2"/>
  </w:style>
  <w:style w:type="numbering" w:customStyle="1" w:styleId="WW8Num13">
    <w:name w:val="WW8Num13"/>
    <w:qFormat/>
    <w:rsid w:val="00671CE2"/>
  </w:style>
  <w:style w:type="numbering" w:customStyle="1" w:styleId="WW8Num14">
    <w:name w:val="WW8Num14"/>
    <w:qFormat/>
    <w:rsid w:val="00671CE2"/>
  </w:style>
  <w:style w:type="numbering" w:customStyle="1" w:styleId="WW8Num15">
    <w:name w:val="WW8Num15"/>
    <w:qFormat/>
    <w:rsid w:val="00671CE2"/>
  </w:style>
  <w:style w:type="numbering" w:customStyle="1" w:styleId="WW8Num16">
    <w:name w:val="WW8Num16"/>
    <w:qFormat/>
    <w:rsid w:val="00671CE2"/>
  </w:style>
  <w:style w:type="numbering" w:customStyle="1" w:styleId="WW8Num17">
    <w:name w:val="WW8Num17"/>
    <w:qFormat/>
    <w:rsid w:val="00671CE2"/>
  </w:style>
  <w:style w:type="numbering" w:customStyle="1" w:styleId="WW8Num18">
    <w:name w:val="WW8Num18"/>
    <w:qFormat/>
    <w:rsid w:val="00671CE2"/>
  </w:style>
  <w:style w:type="numbering" w:customStyle="1" w:styleId="WW8Num19">
    <w:name w:val="WW8Num19"/>
    <w:qFormat/>
    <w:rsid w:val="00671CE2"/>
  </w:style>
  <w:style w:type="numbering" w:customStyle="1" w:styleId="WW8Num20">
    <w:name w:val="WW8Num20"/>
    <w:qFormat/>
    <w:rsid w:val="00671CE2"/>
  </w:style>
  <w:style w:type="numbering" w:customStyle="1" w:styleId="WW8Num21">
    <w:name w:val="WW8Num21"/>
    <w:qFormat/>
    <w:rsid w:val="00671CE2"/>
  </w:style>
  <w:style w:type="numbering" w:customStyle="1" w:styleId="WW8Num22">
    <w:name w:val="WW8Num22"/>
    <w:qFormat/>
    <w:rsid w:val="00671CE2"/>
  </w:style>
  <w:style w:type="numbering" w:customStyle="1" w:styleId="WW8Num23">
    <w:name w:val="WW8Num23"/>
    <w:qFormat/>
    <w:rsid w:val="00671CE2"/>
  </w:style>
  <w:style w:type="numbering" w:customStyle="1" w:styleId="WW8Num24">
    <w:name w:val="WW8Num24"/>
    <w:qFormat/>
    <w:rsid w:val="00671CE2"/>
  </w:style>
  <w:style w:type="numbering" w:customStyle="1" w:styleId="WW8Num25">
    <w:name w:val="WW8Num25"/>
    <w:qFormat/>
    <w:rsid w:val="00671CE2"/>
  </w:style>
  <w:style w:type="numbering" w:customStyle="1" w:styleId="WW8Num26">
    <w:name w:val="WW8Num26"/>
    <w:qFormat/>
    <w:rsid w:val="00671CE2"/>
  </w:style>
  <w:style w:type="numbering" w:customStyle="1" w:styleId="WW8Num27">
    <w:name w:val="WW8Num27"/>
    <w:qFormat/>
    <w:rsid w:val="00671CE2"/>
  </w:style>
  <w:style w:type="numbering" w:customStyle="1" w:styleId="WW8Num28">
    <w:name w:val="WW8Num28"/>
    <w:qFormat/>
    <w:rsid w:val="00671CE2"/>
  </w:style>
  <w:style w:type="numbering" w:customStyle="1" w:styleId="WW8Num29">
    <w:name w:val="WW8Num29"/>
    <w:qFormat/>
    <w:rsid w:val="00671CE2"/>
  </w:style>
  <w:style w:type="numbering" w:customStyle="1" w:styleId="WW8Num30">
    <w:name w:val="WW8Num30"/>
    <w:qFormat/>
    <w:rsid w:val="00671CE2"/>
  </w:style>
  <w:style w:type="numbering" w:customStyle="1" w:styleId="WW8Num31">
    <w:name w:val="WW8Num31"/>
    <w:qFormat/>
    <w:rsid w:val="00671CE2"/>
  </w:style>
  <w:style w:type="numbering" w:customStyle="1" w:styleId="WW8Num32">
    <w:name w:val="WW8Num32"/>
    <w:qFormat/>
    <w:rsid w:val="00671CE2"/>
  </w:style>
  <w:style w:type="table" w:customStyle="1" w:styleId="Tablaconcuadrcula2">
    <w:name w:val="Tabla con cuadrícula2"/>
    <w:basedOn w:val="Tablanormal"/>
    <w:next w:val="Tablaconcuadrcula"/>
    <w:uiPriority w:val="39"/>
    <w:rsid w:val="0080128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9568B0"/>
  </w:style>
  <w:style w:type="numbering" w:customStyle="1" w:styleId="Sinlista3">
    <w:name w:val="Sin lista3"/>
    <w:next w:val="Sinlista"/>
    <w:uiPriority w:val="99"/>
    <w:semiHidden/>
    <w:unhideWhenUsed/>
    <w:rsid w:val="000952B8"/>
  </w:style>
  <w:style w:type="character" w:styleId="Mencinsinresolver">
    <w:name w:val="Unresolved Mention"/>
    <w:basedOn w:val="Fuentedeprrafopredeter"/>
    <w:uiPriority w:val="99"/>
    <w:semiHidden/>
    <w:unhideWhenUsed/>
    <w:qFormat/>
    <w:rsid w:val="000952B8"/>
    <w:rPr>
      <w:color w:val="605E5C"/>
      <w:shd w:val="clear" w:color="auto" w:fill="E1DFDD"/>
    </w:rPr>
  </w:style>
  <w:style w:type="character" w:customStyle="1" w:styleId="ListLabel1">
    <w:name w:val="ListLabel 1"/>
    <w:qFormat/>
    <w:rsid w:val="000952B8"/>
    <w:rPr>
      <w:rFonts w:ascii="Times New Roman" w:hAnsi="Times New Roman"/>
      <w:sz w:val="24"/>
    </w:rPr>
  </w:style>
  <w:style w:type="character" w:customStyle="1" w:styleId="ListLabel2">
    <w:name w:val="ListLabel 2"/>
    <w:qFormat/>
    <w:rsid w:val="000952B8"/>
    <w:rPr>
      <w:sz w:val="20"/>
    </w:rPr>
  </w:style>
  <w:style w:type="character" w:customStyle="1" w:styleId="ListLabel3">
    <w:name w:val="ListLabel 3"/>
    <w:qFormat/>
    <w:rsid w:val="000952B8"/>
    <w:rPr>
      <w:sz w:val="20"/>
    </w:rPr>
  </w:style>
  <w:style w:type="character" w:customStyle="1" w:styleId="ListLabel4">
    <w:name w:val="ListLabel 4"/>
    <w:qFormat/>
    <w:rsid w:val="000952B8"/>
    <w:rPr>
      <w:sz w:val="20"/>
    </w:rPr>
  </w:style>
  <w:style w:type="character" w:customStyle="1" w:styleId="ListLabel5">
    <w:name w:val="ListLabel 5"/>
    <w:qFormat/>
    <w:rsid w:val="000952B8"/>
    <w:rPr>
      <w:sz w:val="20"/>
    </w:rPr>
  </w:style>
  <w:style w:type="character" w:customStyle="1" w:styleId="ListLabel6">
    <w:name w:val="ListLabel 6"/>
    <w:qFormat/>
    <w:rsid w:val="000952B8"/>
    <w:rPr>
      <w:sz w:val="20"/>
    </w:rPr>
  </w:style>
  <w:style w:type="character" w:customStyle="1" w:styleId="ListLabel7">
    <w:name w:val="ListLabel 7"/>
    <w:qFormat/>
    <w:rsid w:val="000952B8"/>
    <w:rPr>
      <w:sz w:val="20"/>
    </w:rPr>
  </w:style>
  <w:style w:type="character" w:customStyle="1" w:styleId="ListLabel8">
    <w:name w:val="ListLabel 8"/>
    <w:qFormat/>
    <w:rsid w:val="000952B8"/>
    <w:rPr>
      <w:sz w:val="20"/>
    </w:rPr>
  </w:style>
  <w:style w:type="character" w:customStyle="1" w:styleId="ListLabel9">
    <w:name w:val="ListLabel 9"/>
    <w:qFormat/>
    <w:rsid w:val="000952B8"/>
    <w:rPr>
      <w:sz w:val="20"/>
    </w:rPr>
  </w:style>
  <w:style w:type="character" w:customStyle="1" w:styleId="ListLabel10">
    <w:name w:val="ListLabel 10"/>
    <w:qFormat/>
    <w:rsid w:val="000952B8"/>
    <w:rPr>
      <w:rFonts w:ascii="Times New Roman" w:hAnsi="Times New Roman"/>
      <w:sz w:val="24"/>
    </w:rPr>
  </w:style>
  <w:style w:type="character" w:customStyle="1" w:styleId="ListLabel11">
    <w:name w:val="ListLabel 11"/>
    <w:qFormat/>
    <w:rsid w:val="000952B8"/>
    <w:rPr>
      <w:sz w:val="20"/>
    </w:rPr>
  </w:style>
  <w:style w:type="character" w:customStyle="1" w:styleId="ListLabel12">
    <w:name w:val="ListLabel 12"/>
    <w:qFormat/>
    <w:rsid w:val="000952B8"/>
    <w:rPr>
      <w:sz w:val="20"/>
    </w:rPr>
  </w:style>
  <w:style w:type="character" w:customStyle="1" w:styleId="ListLabel13">
    <w:name w:val="ListLabel 13"/>
    <w:qFormat/>
    <w:rsid w:val="000952B8"/>
    <w:rPr>
      <w:sz w:val="20"/>
    </w:rPr>
  </w:style>
  <w:style w:type="character" w:customStyle="1" w:styleId="ListLabel14">
    <w:name w:val="ListLabel 14"/>
    <w:qFormat/>
    <w:rsid w:val="000952B8"/>
    <w:rPr>
      <w:sz w:val="20"/>
    </w:rPr>
  </w:style>
  <w:style w:type="character" w:customStyle="1" w:styleId="ListLabel15">
    <w:name w:val="ListLabel 15"/>
    <w:qFormat/>
    <w:rsid w:val="000952B8"/>
    <w:rPr>
      <w:sz w:val="20"/>
    </w:rPr>
  </w:style>
  <w:style w:type="character" w:customStyle="1" w:styleId="ListLabel16">
    <w:name w:val="ListLabel 16"/>
    <w:qFormat/>
    <w:rsid w:val="000952B8"/>
    <w:rPr>
      <w:sz w:val="20"/>
    </w:rPr>
  </w:style>
  <w:style w:type="character" w:customStyle="1" w:styleId="ListLabel17">
    <w:name w:val="ListLabel 17"/>
    <w:qFormat/>
    <w:rsid w:val="000952B8"/>
    <w:rPr>
      <w:sz w:val="20"/>
    </w:rPr>
  </w:style>
  <w:style w:type="character" w:customStyle="1" w:styleId="ListLabel18">
    <w:name w:val="ListLabel 18"/>
    <w:qFormat/>
    <w:rsid w:val="000952B8"/>
    <w:rPr>
      <w:sz w:val="20"/>
    </w:rPr>
  </w:style>
  <w:style w:type="character" w:customStyle="1" w:styleId="ListLabel19">
    <w:name w:val="ListLabel 19"/>
    <w:qFormat/>
    <w:rsid w:val="000952B8"/>
    <w:rPr>
      <w:rFonts w:ascii="Times New Roman" w:hAnsi="Times New Roman"/>
      <w:sz w:val="24"/>
    </w:rPr>
  </w:style>
  <w:style w:type="character" w:customStyle="1" w:styleId="ListLabel20">
    <w:name w:val="ListLabel 20"/>
    <w:qFormat/>
    <w:rsid w:val="000952B8"/>
    <w:rPr>
      <w:sz w:val="20"/>
    </w:rPr>
  </w:style>
  <w:style w:type="character" w:customStyle="1" w:styleId="ListLabel21">
    <w:name w:val="ListLabel 21"/>
    <w:qFormat/>
    <w:rsid w:val="000952B8"/>
    <w:rPr>
      <w:sz w:val="20"/>
    </w:rPr>
  </w:style>
  <w:style w:type="character" w:customStyle="1" w:styleId="ListLabel22">
    <w:name w:val="ListLabel 22"/>
    <w:qFormat/>
    <w:rsid w:val="000952B8"/>
    <w:rPr>
      <w:sz w:val="20"/>
    </w:rPr>
  </w:style>
  <w:style w:type="character" w:customStyle="1" w:styleId="ListLabel23">
    <w:name w:val="ListLabel 23"/>
    <w:qFormat/>
    <w:rsid w:val="000952B8"/>
    <w:rPr>
      <w:sz w:val="20"/>
    </w:rPr>
  </w:style>
  <w:style w:type="character" w:customStyle="1" w:styleId="ListLabel24">
    <w:name w:val="ListLabel 24"/>
    <w:qFormat/>
    <w:rsid w:val="000952B8"/>
    <w:rPr>
      <w:sz w:val="20"/>
    </w:rPr>
  </w:style>
  <w:style w:type="character" w:customStyle="1" w:styleId="ListLabel25">
    <w:name w:val="ListLabel 25"/>
    <w:qFormat/>
    <w:rsid w:val="000952B8"/>
    <w:rPr>
      <w:sz w:val="20"/>
    </w:rPr>
  </w:style>
  <w:style w:type="character" w:customStyle="1" w:styleId="ListLabel26">
    <w:name w:val="ListLabel 26"/>
    <w:qFormat/>
    <w:rsid w:val="000952B8"/>
    <w:rPr>
      <w:sz w:val="20"/>
    </w:rPr>
  </w:style>
  <w:style w:type="character" w:customStyle="1" w:styleId="ListLabel27">
    <w:name w:val="ListLabel 27"/>
    <w:qFormat/>
    <w:rsid w:val="000952B8"/>
    <w:rPr>
      <w:sz w:val="20"/>
    </w:rPr>
  </w:style>
  <w:style w:type="character" w:customStyle="1" w:styleId="ListLabel28">
    <w:name w:val="ListLabel 28"/>
    <w:qFormat/>
    <w:rsid w:val="000952B8"/>
    <w:rPr>
      <w:rFonts w:ascii="Open Sans" w:eastAsia="Times New Roman" w:hAnsi="Open Sans" w:cs="Open Sans"/>
      <w:color w:val="000080"/>
      <w:sz w:val="20"/>
      <w:szCs w:val="20"/>
      <w:u w:val="single"/>
      <w:lang w:val="ca-ES-valencia" w:eastAsia="es-ES"/>
    </w:rPr>
  </w:style>
  <w:style w:type="character" w:styleId="Refdecomentario">
    <w:name w:val="annotation reference"/>
    <w:basedOn w:val="Fuentedeprrafopredeter"/>
    <w:uiPriority w:val="99"/>
    <w:semiHidden/>
    <w:unhideWhenUsed/>
    <w:qFormat/>
    <w:rsid w:val="000952B8"/>
    <w:rPr>
      <w:sz w:val="16"/>
      <w:szCs w:val="16"/>
    </w:rPr>
  </w:style>
  <w:style w:type="character" w:customStyle="1" w:styleId="TextocomentarioCar">
    <w:name w:val="Texto comentario Car"/>
    <w:basedOn w:val="Fuentedeprrafopredeter"/>
    <w:link w:val="Textocomentario"/>
    <w:uiPriority w:val="99"/>
    <w:semiHidden/>
    <w:qFormat/>
    <w:rsid w:val="000952B8"/>
    <w:rPr>
      <w:sz w:val="20"/>
      <w:szCs w:val="20"/>
    </w:rPr>
  </w:style>
  <w:style w:type="character" w:customStyle="1" w:styleId="AsuntodelcomentarioCar">
    <w:name w:val="Asunto del comentario Car"/>
    <w:basedOn w:val="TextocomentarioCar"/>
    <w:link w:val="Asuntodelcomentario"/>
    <w:uiPriority w:val="99"/>
    <w:semiHidden/>
    <w:qFormat/>
    <w:rsid w:val="000952B8"/>
    <w:rPr>
      <w:b/>
      <w:bCs/>
      <w:sz w:val="20"/>
      <w:szCs w:val="20"/>
    </w:rPr>
  </w:style>
  <w:style w:type="character" w:customStyle="1" w:styleId="ListLabel29">
    <w:name w:val="ListLabel 29"/>
    <w:qFormat/>
    <w:rsid w:val="000952B8"/>
    <w:rPr>
      <w:rFonts w:ascii="Times New Roman" w:hAnsi="Times New Roman" w:cs="Symbol"/>
      <w:sz w:val="24"/>
    </w:rPr>
  </w:style>
  <w:style w:type="character" w:customStyle="1" w:styleId="ListLabel30">
    <w:name w:val="ListLabel 30"/>
    <w:qFormat/>
    <w:rsid w:val="000952B8"/>
    <w:rPr>
      <w:rFonts w:cs="Courier New"/>
      <w:sz w:val="20"/>
    </w:rPr>
  </w:style>
  <w:style w:type="character" w:customStyle="1" w:styleId="ListLabel31">
    <w:name w:val="ListLabel 31"/>
    <w:qFormat/>
    <w:rsid w:val="000952B8"/>
    <w:rPr>
      <w:rFonts w:cs="Wingdings"/>
      <w:sz w:val="20"/>
    </w:rPr>
  </w:style>
  <w:style w:type="character" w:customStyle="1" w:styleId="ListLabel32">
    <w:name w:val="ListLabel 32"/>
    <w:qFormat/>
    <w:rsid w:val="000952B8"/>
    <w:rPr>
      <w:rFonts w:cs="Wingdings"/>
      <w:sz w:val="20"/>
    </w:rPr>
  </w:style>
  <w:style w:type="character" w:customStyle="1" w:styleId="ListLabel33">
    <w:name w:val="ListLabel 33"/>
    <w:qFormat/>
    <w:rsid w:val="000952B8"/>
    <w:rPr>
      <w:rFonts w:cs="Wingdings"/>
      <w:sz w:val="20"/>
    </w:rPr>
  </w:style>
  <w:style w:type="character" w:customStyle="1" w:styleId="ListLabel34">
    <w:name w:val="ListLabel 34"/>
    <w:qFormat/>
    <w:rsid w:val="000952B8"/>
    <w:rPr>
      <w:rFonts w:cs="Wingdings"/>
      <w:sz w:val="20"/>
    </w:rPr>
  </w:style>
  <w:style w:type="character" w:customStyle="1" w:styleId="ListLabel35">
    <w:name w:val="ListLabel 35"/>
    <w:qFormat/>
    <w:rsid w:val="000952B8"/>
    <w:rPr>
      <w:rFonts w:cs="Wingdings"/>
      <w:sz w:val="20"/>
    </w:rPr>
  </w:style>
  <w:style w:type="character" w:customStyle="1" w:styleId="ListLabel36">
    <w:name w:val="ListLabel 36"/>
    <w:qFormat/>
    <w:rsid w:val="000952B8"/>
    <w:rPr>
      <w:rFonts w:cs="Wingdings"/>
      <w:sz w:val="20"/>
    </w:rPr>
  </w:style>
  <w:style w:type="character" w:customStyle="1" w:styleId="ListLabel37">
    <w:name w:val="ListLabel 37"/>
    <w:qFormat/>
    <w:rsid w:val="000952B8"/>
    <w:rPr>
      <w:rFonts w:cs="Wingdings"/>
      <w:sz w:val="20"/>
    </w:rPr>
  </w:style>
  <w:style w:type="character" w:customStyle="1" w:styleId="ListLabel38">
    <w:name w:val="ListLabel 38"/>
    <w:qFormat/>
    <w:rsid w:val="000952B8"/>
    <w:rPr>
      <w:rFonts w:ascii="Times New Roman" w:hAnsi="Times New Roman" w:cs="Symbol"/>
      <w:sz w:val="24"/>
    </w:rPr>
  </w:style>
  <w:style w:type="character" w:customStyle="1" w:styleId="ListLabel39">
    <w:name w:val="ListLabel 39"/>
    <w:qFormat/>
    <w:rsid w:val="000952B8"/>
    <w:rPr>
      <w:rFonts w:cs="Courier New"/>
      <w:sz w:val="20"/>
    </w:rPr>
  </w:style>
  <w:style w:type="character" w:customStyle="1" w:styleId="ListLabel40">
    <w:name w:val="ListLabel 40"/>
    <w:qFormat/>
    <w:rsid w:val="000952B8"/>
    <w:rPr>
      <w:rFonts w:cs="Wingdings"/>
      <w:sz w:val="20"/>
    </w:rPr>
  </w:style>
  <w:style w:type="character" w:customStyle="1" w:styleId="ListLabel41">
    <w:name w:val="ListLabel 41"/>
    <w:qFormat/>
    <w:rsid w:val="000952B8"/>
    <w:rPr>
      <w:rFonts w:cs="Wingdings"/>
      <w:sz w:val="20"/>
    </w:rPr>
  </w:style>
  <w:style w:type="character" w:customStyle="1" w:styleId="ListLabel42">
    <w:name w:val="ListLabel 42"/>
    <w:qFormat/>
    <w:rsid w:val="000952B8"/>
    <w:rPr>
      <w:rFonts w:cs="Wingdings"/>
      <w:sz w:val="20"/>
    </w:rPr>
  </w:style>
  <w:style w:type="character" w:customStyle="1" w:styleId="ListLabel43">
    <w:name w:val="ListLabel 43"/>
    <w:qFormat/>
    <w:rsid w:val="000952B8"/>
    <w:rPr>
      <w:rFonts w:cs="Wingdings"/>
      <w:sz w:val="20"/>
    </w:rPr>
  </w:style>
  <w:style w:type="character" w:customStyle="1" w:styleId="ListLabel44">
    <w:name w:val="ListLabel 44"/>
    <w:qFormat/>
    <w:rsid w:val="000952B8"/>
    <w:rPr>
      <w:rFonts w:cs="Wingdings"/>
      <w:sz w:val="20"/>
    </w:rPr>
  </w:style>
  <w:style w:type="character" w:customStyle="1" w:styleId="ListLabel45">
    <w:name w:val="ListLabel 45"/>
    <w:qFormat/>
    <w:rsid w:val="000952B8"/>
    <w:rPr>
      <w:rFonts w:cs="Wingdings"/>
      <w:sz w:val="20"/>
    </w:rPr>
  </w:style>
  <w:style w:type="character" w:customStyle="1" w:styleId="ListLabel46">
    <w:name w:val="ListLabel 46"/>
    <w:qFormat/>
    <w:rsid w:val="000952B8"/>
    <w:rPr>
      <w:rFonts w:cs="Wingdings"/>
      <w:sz w:val="20"/>
    </w:rPr>
  </w:style>
  <w:style w:type="character" w:customStyle="1" w:styleId="ListLabel47">
    <w:name w:val="ListLabel 47"/>
    <w:qFormat/>
    <w:rsid w:val="000952B8"/>
    <w:rPr>
      <w:rFonts w:ascii="Times New Roman" w:hAnsi="Times New Roman" w:cs="Symbol"/>
      <w:sz w:val="24"/>
    </w:rPr>
  </w:style>
  <w:style w:type="character" w:customStyle="1" w:styleId="ListLabel48">
    <w:name w:val="ListLabel 48"/>
    <w:qFormat/>
    <w:rsid w:val="000952B8"/>
    <w:rPr>
      <w:rFonts w:cs="Courier New"/>
      <w:sz w:val="20"/>
    </w:rPr>
  </w:style>
  <w:style w:type="character" w:customStyle="1" w:styleId="ListLabel49">
    <w:name w:val="ListLabel 49"/>
    <w:qFormat/>
    <w:rsid w:val="000952B8"/>
    <w:rPr>
      <w:rFonts w:cs="Wingdings"/>
      <w:sz w:val="20"/>
    </w:rPr>
  </w:style>
  <w:style w:type="character" w:customStyle="1" w:styleId="ListLabel50">
    <w:name w:val="ListLabel 50"/>
    <w:qFormat/>
    <w:rsid w:val="000952B8"/>
    <w:rPr>
      <w:rFonts w:cs="Wingdings"/>
      <w:sz w:val="20"/>
    </w:rPr>
  </w:style>
  <w:style w:type="character" w:customStyle="1" w:styleId="ListLabel51">
    <w:name w:val="ListLabel 51"/>
    <w:qFormat/>
    <w:rsid w:val="000952B8"/>
    <w:rPr>
      <w:rFonts w:cs="Wingdings"/>
      <w:sz w:val="20"/>
    </w:rPr>
  </w:style>
  <w:style w:type="character" w:customStyle="1" w:styleId="ListLabel52">
    <w:name w:val="ListLabel 52"/>
    <w:qFormat/>
    <w:rsid w:val="000952B8"/>
    <w:rPr>
      <w:rFonts w:cs="Wingdings"/>
      <w:sz w:val="20"/>
    </w:rPr>
  </w:style>
  <w:style w:type="character" w:customStyle="1" w:styleId="ListLabel54">
    <w:name w:val="ListLabel 54"/>
    <w:qFormat/>
    <w:rsid w:val="000952B8"/>
    <w:rPr>
      <w:rFonts w:cs="Wingdings"/>
      <w:sz w:val="20"/>
    </w:rPr>
  </w:style>
  <w:style w:type="character" w:customStyle="1" w:styleId="ListLabel55">
    <w:name w:val="ListLabel 55"/>
    <w:qFormat/>
    <w:rsid w:val="000952B8"/>
    <w:rPr>
      <w:rFonts w:cs="Wingdings"/>
      <w:sz w:val="20"/>
    </w:rPr>
  </w:style>
  <w:style w:type="character" w:customStyle="1" w:styleId="ListLabel56">
    <w:name w:val="ListLabel 56"/>
    <w:qFormat/>
    <w:rsid w:val="000952B8"/>
  </w:style>
  <w:style w:type="character" w:customStyle="1" w:styleId="ListLabel57">
    <w:name w:val="ListLabel 57"/>
    <w:qFormat/>
    <w:rsid w:val="000952B8"/>
    <w:rPr>
      <w:rFonts w:cs="Symbol"/>
      <w:sz w:val="24"/>
    </w:rPr>
  </w:style>
  <w:style w:type="character" w:customStyle="1" w:styleId="ListLabel58">
    <w:name w:val="ListLabel 58"/>
    <w:qFormat/>
    <w:rsid w:val="000952B8"/>
    <w:rPr>
      <w:rFonts w:cs="Courier New"/>
      <w:sz w:val="20"/>
    </w:rPr>
  </w:style>
  <w:style w:type="character" w:customStyle="1" w:styleId="ListLabel59">
    <w:name w:val="ListLabel 59"/>
    <w:qFormat/>
    <w:rsid w:val="000952B8"/>
    <w:rPr>
      <w:rFonts w:cs="Wingdings"/>
      <w:sz w:val="20"/>
    </w:rPr>
  </w:style>
  <w:style w:type="character" w:customStyle="1" w:styleId="ListLabel60">
    <w:name w:val="ListLabel 60"/>
    <w:qFormat/>
    <w:rsid w:val="000952B8"/>
    <w:rPr>
      <w:rFonts w:cs="Wingdings"/>
      <w:sz w:val="20"/>
    </w:rPr>
  </w:style>
  <w:style w:type="character" w:customStyle="1" w:styleId="ListLabel61">
    <w:name w:val="ListLabel 61"/>
    <w:qFormat/>
    <w:rsid w:val="000952B8"/>
    <w:rPr>
      <w:rFonts w:cs="Wingdings"/>
      <w:sz w:val="20"/>
    </w:rPr>
  </w:style>
  <w:style w:type="character" w:customStyle="1" w:styleId="ListLabel62">
    <w:name w:val="ListLabel 62"/>
    <w:qFormat/>
    <w:rsid w:val="000952B8"/>
    <w:rPr>
      <w:rFonts w:cs="Wingdings"/>
      <w:sz w:val="20"/>
    </w:rPr>
  </w:style>
  <w:style w:type="character" w:customStyle="1" w:styleId="ListLabel63">
    <w:name w:val="ListLabel 63"/>
    <w:qFormat/>
    <w:rsid w:val="000952B8"/>
    <w:rPr>
      <w:rFonts w:cs="Wingdings"/>
      <w:sz w:val="20"/>
    </w:rPr>
  </w:style>
  <w:style w:type="character" w:customStyle="1" w:styleId="ListLabel64">
    <w:name w:val="ListLabel 64"/>
    <w:qFormat/>
    <w:rsid w:val="000952B8"/>
    <w:rPr>
      <w:rFonts w:cs="Wingdings"/>
      <w:sz w:val="20"/>
    </w:rPr>
  </w:style>
  <w:style w:type="character" w:customStyle="1" w:styleId="ListLabel65">
    <w:name w:val="ListLabel 65"/>
    <w:qFormat/>
    <w:rsid w:val="000952B8"/>
    <w:rPr>
      <w:rFonts w:cs="Wingdings"/>
      <w:sz w:val="20"/>
    </w:rPr>
  </w:style>
  <w:style w:type="character" w:customStyle="1" w:styleId="ListLabel66">
    <w:name w:val="ListLabel 66"/>
    <w:qFormat/>
    <w:rsid w:val="000952B8"/>
    <w:rPr>
      <w:rFonts w:ascii="Open Sans" w:hAnsi="Open Sans" w:cs="Symbol"/>
      <w:sz w:val="20"/>
    </w:rPr>
  </w:style>
  <w:style w:type="character" w:customStyle="1" w:styleId="ListLabel67">
    <w:name w:val="ListLabel 67"/>
    <w:qFormat/>
    <w:rsid w:val="000952B8"/>
    <w:rPr>
      <w:rFonts w:cs="Courier New"/>
      <w:sz w:val="20"/>
    </w:rPr>
  </w:style>
  <w:style w:type="character" w:customStyle="1" w:styleId="ListLabel68">
    <w:name w:val="ListLabel 68"/>
    <w:qFormat/>
    <w:rsid w:val="000952B8"/>
    <w:rPr>
      <w:rFonts w:cs="Wingdings"/>
      <w:sz w:val="20"/>
    </w:rPr>
  </w:style>
  <w:style w:type="character" w:customStyle="1" w:styleId="ListLabel69">
    <w:name w:val="ListLabel 69"/>
    <w:qFormat/>
    <w:rsid w:val="000952B8"/>
    <w:rPr>
      <w:rFonts w:cs="Wingdings"/>
      <w:sz w:val="20"/>
    </w:rPr>
  </w:style>
  <w:style w:type="character" w:customStyle="1" w:styleId="ListLabel70">
    <w:name w:val="ListLabel 70"/>
    <w:qFormat/>
    <w:rsid w:val="000952B8"/>
    <w:rPr>
      <w:rFonts w:cs="Wingdings"/>
      <w:sz w:val="20"/>
    </w:rPr>
  </w:style>
  <w:style w:type="character" w:customStyle="1" w:styleId="ListLabel71">
    <w:name w:val="ListLabel 71"/>
    <w:qFormat/>
    <w:rsid w:val="000952B8"/>
    <w:rPr>
      <w:rFonts w:cs="Wingdings"/>
      <w:sz w:val="20"/>
    </w:rPr>
  </w:style>
  <w:style w:type="character" w:customStyle="1" w:styleId="ListLabel72">
    <w:name w:val="ListLabel 72"/>
    <w:qFormat/>
    <w:rsid w:val="000952B8"/>
    <w:rPr>
      <w:rFonts w:cs="Wingdings"/>
      <w:sz w:val="20"/>
    </w:rPr>
  </w:style>
  <w:style w:type="character" w:customStyle="1" w:styleId="ListLabel73">
    <w:name w:val="ListLabel 73"/>
    <w:qFormat/>
    <w:rsid w:val="000952B8"/>
    <w:rPr>
      <w:rFonts w:cs="Wingdings"/>
      <w:sz w:val="20"/>
    </w:rPr>
  </w:style>
  <w:style w:type="character" w:customStyle="1" w:styleId="ListLabel74">
    <w:name w:val="ListLabel 74"/>
    <w:qFormat/>
    <w:rsid w:val="000952B8"/>
    <w:rPr>
      <w:rFonts w:cs="Wingdings"/>
      <w:sz w:val="20"/>
    </w:rPr>
  </w:style>
  <w:style w:type="character" w:customStyle="1" w:styleId="ListLabel75">
    <w:name w:val="ListLabel 75"/>
    <w:qFormat/>
    <w:rsid w:val="000952B8"/>
    <w:rPr>
      <w:rFonts w:ascii="Times New Roman" w:hAnsi="Times New Roman" w:cs="Symbol"/>
      <w:sz w:val="24"/>
    </w:rPr>
  </w:style>
  <w:style w:type="character" w:customStyle="1" w:styleId="ListLabel76">
    <w:name w:val="ListLabel 76"/>
    <w:qFormat/>
    <w:rsid w:val="000952B8"/>
    <w:rPr>
      <w:rFonts w:cs="Courier New"/>
      <w:sz w:val="20"/>
    </w:rPr>
  </w:style>
  <w:style w:type="character" w:customStyle="1" w:styleId="ListLabel77">
    <w:name w:val="ListLabel 77"/>
    <w:qFormat/>
    <w:rsid w:val="000952B8"/>
    <w:rPr>
      <w:rFonts w:cs="Wingdings"/>
      <w:sz w:val="20"/>
    </w:rPr>
  </w:style>
  <w:style w:type="character" w:customStyle="1" w:styleId="ListLabel78">
    <w:name w:val="ListLabel 78"/>
    <w:qFormat/>
    <w:rsid w:val="000952B8"/>
    <w:rPr>
      <w:rFonts w:cs="Wingdings"/>
      <w:sz w:val="20"/>
    </w:rPr>
  </w:style>
  <w:style w:type="character" w:customStyle="1" w:styleId="ListLabel79">
    <w:name w:val="ListLabel 79"/>
    <w:qFormat/>
    <w:rsid w:val="000952B8"/>
    <w:rPr>
      <w:rFonts w:cs="Wingdings"/>
      <w:sz w:val="20"/>
    </w:rPr>
  </w:style>
  <w:style w:type="character" w:customStyle="1" w:styleId="ListLabel80">
    <w:name w:val="ListLabel 80"/>
    <w:qFormat/>
    <w:rsid w:val="000952B8"/>
    <w:rPr>
      <w:rFonts w:cs="Wingdings"/>
      <w:sz w:val="20"/>
    </w:rPr>
  </w:style>
  <w:style w:type="character" w:customStyle="1" w:styleId="ListLabel81">
    <w:name w:val="ListLabel 81"/>
    <w:qFormat/>
    <w:rsid w:val="000952B8"/>
    <w:rPr>
      <w:rFonts w:cs="Wingdings"/>
      <w:sz w:val="20"/>
    </w:rPr>
  </w:style>
  <w:style w:type="character" w:customStyle="1" w:styleId="ListLabel82">
    <w:name w:val="ListLabel 82"/>
    <w:qFormat/>
    <w:rsid w:val="000952B8"/>
    <w:rPr>
      <w:rFonts w:cs="Wingdings"/>
      <w:sz w:val="20"/>
    </w:rPr>
  </w:style>
  <w:style w:type="character" w:customStyle="1" w:styleId="ListLabel83">
    <w:name w:val="ListLabel 83"/>
    <w:qFormat/>
    <w:rsid w:val="000952B8"/>
    <w:rPr>
      <w:rFonts w:cs="Wingdings"/>
      <w:sz w:val="20"/>
    </w:rPr>
  </w:style>
  <w:style w:type="character" w:customStyle="1" w:styleId="ListLabel84">
    <w:name w:val="ListLabel 84"/>
    <w:qFormat/>
    <w:rsid w:val="000952B8"/>
    <w:rPr>
      <w:rFonts w:eastAsia="Times New Roman" w:cs="Open Sans"/>
      <w:color w:val="000000"/>
      <w:sz w:val="20"/>
    </w:rPr>
  </w:style>
  <w:style w:type="character" w:customStyle="1" w:styleId="ListLabel85">
    <w:name w:val="ListLabel 85"/>
    <w:qFormat/>
    <w:rsid w:val="000952B8"/>
    <w:rPr>
      <w:rFonts w:cs="Courier New"/>
    </w:rPr>
  </w:style>
  <w:style w:type="character" w:customStyle="1" w:styleId="ListLabel86">
    <w:name w:val="ListLabel 86"/>
    <w:qFormat/>
    <w:rsid w:val="000952B8"/>
    <w:rPr>
      <w:rFonts w:cs="Courier New"/>
    </w:rPr>
  </w:style>
  <w:style w:type="character" w:customStyle="1" w:styleId="ListLabel87">
    <w:name w:val="ListLabel 87"/>
    <w:qFormat/>
    <w:rsid w:val="000952B8"/>
    <w:rPr>
      <w:rFonts w:cs="Courier New"/>
    </w:rPr>
  </w:style>
  <w:style w:type="character" w:customStyle="1" w:styleId="ListLabel88">
    <w:name w:val="ListLabel 88"/>
    <w:qFormat/>
    <w:rsid w:val="000952B8"/>
    <w:rPr>
      <w:rFonts w:ascii="Open Sans" w:eastAsia="Times New Roman" w:hAnsi="Open Sans" w:cs="Open Sans"/>
      <w:sz w:val="20"/>
    </w:rPr>
  </w:style>
  <w:style w:type="character" w:customStyle="1" w:styleId="ListLabel89">
    <w:name w:val="ListLabel 89"/>
    <w:qFormat/>
    <w:rsid w:val="000952B8"/>
    <w:rPr>
      <w:rFonts w:cs="Courier New"/>
    </w:rPr>
  </w:style>
  <w:style w:type="character" w:customStyle="1" w:styleId="ListLabel90">
    <w:name w:val="ListLabel 90"/>
    <w:qFormat/>
    <w:rsid w:val="000952B8"/>
    <w:rPr>
      <w:rFonts w:cs="Courier New"/>
    </w:rPr>
  </w:style>
  <w:style w:type="character" w:customStyle="1" w:styleId="ListLabel91">
    <w:name w:val="ListLabel 91"/>
    <w:qFormat/>
    <w:rsid w:val="000952B8"/>
    <w:rPr>
      <w:rFonts w:cs="Courier New"/>
    </w:rPr>
  </w:style>
  <w:style w:type="character" w:customStyle="1" w:styleId="ListLabel92">
    <w:name w:val="ListLabel 92"/>
    <w:qFormat/>
    <w:rsid w:val="000952B8"/>
    <w:rPr>
      <w:rFonts w:cs="Courier New"/>
    </w:rPr>
  </w:style>
  <w:style w:type="character" w:customStyle="1" w:styleId="ListLabel93">
    <w:name w:val="ListLabel 93"/>
    <w:qFormat/>
    <w:rsid w:val="000952B8"/>
    <w:rPr>
      <w:rFonts w:cs="Courier New"/>
    </w:rPr>
  </w:style>
  <w:style w:type="character" w:customStyle="1" w:styleId="ListLabel94">
    <w:name w:val="ListLabel 94"/>
    <w:qFormat/>
    <w:rsid w:val="000952B8"/>
    <w:rPr>
      <w:rFonts w:cs="Courier New"/>
    </w:rPr>
  </w:style>
  <w:style w:type="character" w:customStyle="1" w:styleId="ListLabel95">
    <w:name w:val="ListLabel 95"/>
    <w:qFormat/>
    <w:rsid w:val="000952B8"/>
    <w:rPr>
      <w:rFonts w:ascii="Open Sans" w:eastAsia="Times New Roman" w:hAnsi="Open Sans" w:cs="Open Sans"/>
      <w:sz w:val="20"/>
    </w:rPr>
  </w:style>
  <w:style w:type="character" w:customStyle="1" w:styleId="ListLabel96">
    <w:name w:val="ListLabel 96"/>
    <w:qFormat/>
    <w:rsid w:val="000952B8"/>
    <w:rPr>
      <w:rFonts w:cs="Courier New"/>
    </w:rPr>
  </w:style>
  <w:style w:type="character" w:customStyle="1" w:styleId="ListLabel97">
    <w:name w:val="ListLabel 97"/>
    <w:qFormat/>
    <w:rsid w:val="000952B8"/>
    <w:rPr>
      <w:rFonts w:cs="Courier New"/>
    </w:rPr>
  </w:style>
  <w:style w:type="character" w:customStyle="1" w:styleId="ListLabel98">
    <w:name w:val="ListLabel 98"/>
    <w:qFormat/>
    <w:rsid w:val="000952B8"/>
    <w:rPr>
      <w:rFonts w:cs="Courier New"/>
    </w:rPr>
  </w:style>
  <w:style w:type="character" w:customStyle="1" w:styleId="ListLabel99">
    <w:name w:val="ListLabel 99"/>
    <w:qFormat/>
    <w:rsid w:val="000952B8"/>
    <w:rPr>
      <w:rFonts w:eastAsia="Times New Roman" w:cs="Open Sans"/>
    </w:rPr>
  </w:style>
  <w:style w:type="character" w:customStyle="1" w:styleId="ListLabel100">
    <w:name w:val="ListLabel 100"/>
    <w:qFormat/>
    <w:rsid w:val="000952B8"/>
    <w:rPr>
      <w:rFonts w:cs="Courier New"/>
    </w:rPr>
  </w:style>
  <w:style w:type="character" w:customStyle="1" w:styleId="ListLabel101">
    <w:name w:val="ListLabel 101"/>
    <w:qFormat/>
    <w:rsid w:val="000952B8"/>
    <w:rPr>
      <w:rFonts w:cs="Courier New"/>
    </w:rPr>
  </w:style>
  <w:style w:type="character" w:customStyle="1" w:styleId="ListLabel102">
    <w:name w:val="ListLabel 102"/>
    <w:qFormat/>
    <w:rsid w:val="000952B8"/>
    <w:rPr>
      <w:rFonts w:cs="Courier New"/>
    </w:rPr>
  </w:style>
  <w:style w:type="character" w:customStyle="1" w:styleId="ListLabel103">
    <w:name w:val="ListLabel 103"/>
    <w:qFormat/>
    <w:rsid w:val="000952B8"/>
    <w:rPr>
      <w:rFonts w:eastAsia="Calibri"/>
      <w:lang w:val="ca-ES"/>
    </w:rPr>
  </w:style>
  <w:style w:type="character" w:customStyle="1" w:styleId="Hipervnculovisitado1">
    <w:name w:val="Hipervínculo visitado1"/>
    <w:basedOn w:val="Fuentedeprrafopredeter"/>
    <w:uiPriority w:val="99"/>
    <w:semiHidden/>
    <w:unhideWhenUsed/>
    <w:qFormat/>
    <w:rsid w:val="000952B8"/>
    <w:rPr>
      <w:color w:val="954F72"/>
      <w:u w:val="single"/>
    </w:rPr>
  </w:style>
  <w:style w:type="character" w:customStyle="1" w:styleId="ListLabel104">
    <w:name w:val="ListLabel 104"/>
    <w:qFormat/>
    <w:rsid w:val="000952B8"/>
    <w:rPr>
      <w:rFonts w:ascii="Open Sans" w:hAnsi="Open Sans" w:cs="Symbol"/>
      <w:sz w:val="20"/>
    </w:rPr>
  </w:style>
  <w:style w:type="character" w:customStyle="1" w:styleId="ListLabel105">
    <w:name w:val="ListLabel 105"/>
    <w:qFormat/>
    <w:rsid w:val="000952B8"/>
    <w:rPr>
      <w:rFonts w:cs="Courier New"/>
      <w:sz w:val="20"/>
    </w:rPr>
  </w:style>
  <w:style w:type="character" w:customStyle="1" w:styleId="ListLabel106">
    <w:name w:val="ListLabel 106"/>
    <w:qFormat/>
    <w:rsid w:val="000952B8"/>
    <w:rPr>
      <w:rFonts w:cs="Wingdings"/>
      <w:sz w:val="20"/>
    </w:rPr>
  </w:style>
  <w:style w:type="character" w:customStyle="1" w:styleId="ListLabel107">
    <w:name w:val="ListLabel 107"/>
    <w:qFormat/>
    <w:rsid w:val="000952B8"/>
    <w:rPr>
      <w:rFonts w:cs="Wingdings"/>
      <w:sz w:val="20"/>
    </w:rPr>
  </w:style>
  <w:style w:type="character" w:customStyle="1" w:styleId="ListLabel108">
    <w:name w:val="ListLabel 108"/>
    <w:qFormat/>
    <w:rsid w:val="000952B8"/>
    <w:rPr>
      <w:rFonts w:cs="Wingdings"/>
      <w:sz w:val="20"/>
    </w:rPr>
  </w:style>
  <w:style w:type="character" w:customStyle="1" w:styleId="ListLabel109">
    <w:name w:val="ListLabel 109"/>
    <w:qFormat/>
    <w:rsid w:val="000952B8"/>
    <w:rPr>
      <w:rFonts w:cs="Wingdings"/>
      <w:sz w:val="20"/>
    </w:rPr>
  </w:style>
  <w:style w:type="character" w:customStyle="1" w:styleId="ListLabel110">
    <w:name w:val="ListLabel 110"/>
    <w:qFormat/>
    <w:rsid w:val="000952B8"/>
    <w:rPr>
      <w:rFonts w:cs="Wingdings"/>
      <w:sz w:val="20"/>
    </w:rPr>
  </w:style>
  <w:style w:type="character" w:customStyle="1" w:styleId="ListLabel111">
    <w:name w:val="ListLabel 111"/>
    <w:qFormat/>
    <w:rsid w:val="000952B8"/>
    <w:rPr>
      <w:rFonts w:cs="Wingdings"/>
      <w:sz w:val="20"/>
    </w:rPr>
  </w:style>
  <w:style w:type="character" w:customStyle="1" w:styleId="ListLabel112">
    <w:name w:val="ListLabel 112"/>
    <w:qFormat/>
    <w:rsid w:val="000952B8"/>
    <w:rPr>
      <w:rFonts w:cs="Wingdings"/>
      <w:sz w:val="20"/>
    </w:rPr>
  </w:style>
  <w:style w:type="character" w:customStyle="1" w:styleId="ListLabel113">
    <w:name w:val="ListLabel 113"/>
    <w:qFormat/>
    <w:rsid w:val="000952B8"/>
    <w:rPr>
      <w:rFonts w:cs="Symbol"/>
      <w:sz w:val="24"/>
    </w:rPr>
  </w:style>
  <w:style w:type="character" w:customStyle="1" w:styleId="ListLabel114">
    <w:name w:val="ListLabel 114"/>
    <w:qFormat/>
    <w:rsid w:val="000952B8"/>
    <w:rPr>
      <w:rFonts w:cs="Courier New"/>
      <w:sz w:val="20"/>
    </w:rPr>
  </w:style>
  <w:style w:type="character" w:customStyle="1" w:styleId="ListLabel115">
    <w:name w:val="ListLabel 115"/>
    <w:qFormat/>
    <w:rsid w:val="000952B8"/>
    <w:rPr>
      <w:rFonts w:cs="Wingdings"/>
      <w:sz w:val="20"/>
    </w:rPr>
  </w:style>
  <w:style w:type="character" w:customStyle="1" w:styleId="ListLabel116">
    <w:name w:val="ListLabel 116"/>
    <w:qFormat/>
    <w:rsid w:val="000952B8"/>
    <w:rPr>
      <w:rFonts w:cs="Wingdings"/>
      <w:sz w:val="20"/>
    </w:rPr>
  </w:style>
  <w:style w:type="character" w:customStyle="1" w:styleId="ListLabel117">
    <w:name w:val="ListLabel 117"/>
    <w:qFormat/>
    <w:rsid w:val="000952B8"/>
    <w:rPr>
      <w:rFonts w:cs="Wingdings"/>
      <w:sz w:val="20"/>
    </w:rPr>
  </w:style>
  <w:style w:type="character" w:customStyle="1" w:styleId="ListLabel118">
    <w:name w:val="ListLabel 118"/>
    <w:qFormat/>
    <w:rsid w:val="000952B8"/>
    <w:rPr>
      <w:rFonts w:cs="Wingdings"/>
      <w:sz w:val="20"/>
    </w:rPr>
  </w:style>
  <w:style w:type="character" w:customStyle="1" w:styleId="ListLabel119">
    <w:name w:val="ListLabel 119"/>
    <w:qFormat/>
    <w:rsid w:val="000952B8"/>
    <w:rPr>
      <w:rFonts w:cs="Wingdings"/>
      <w:sz w:val="20"/>
    </w:rPr>
  </w:style>
  <w:style w:type="character" w:customStyle="1" w:styleId="ListLabel120">
    <w:name w:val="ListLabel 120"/>
    <w:qFormat/>
    <w:rsid w:val="000952B8"/>
    <w:rPr>
      <w:rFonts w:cs="Wingdings"/>
      <w:sz w:val="20"/>
    </w:rPr>
  </w:style>
  <w:style w:type="character" w:customStyle="1" w:styleId="ListLabel121">
    <w:name w:val="ListLabel 121"/>
    <w:qFormat/>
    <w:rsid w:val="000952B8"/>
    <w:rPr>
      <w:rFonts w:cs="Wingdings"/>
      <w:sz w:val="20"/>
    </w:rPr>
  </w:style>
  <w:style w:type="character" w:customStyle="1" w:styleId="ListLabel122">
    <w:name w:val="ListLabel 122"/>
    <w:qFormat/>
    <w:rsid w:val="000952B8"/>
    <w:rPr>
      <w:rFonts w:ascii="Open Sans" w:hAnsi="Open Sans" w:cs="Open Sans"/>
      <w:sz w:val="20"/>
    </w:rPr>
  </w:style>
  <w:style w:type="character" w:customStyle="1" w:styleId="ListLabel123">
    <w:name w:val="ListLabel 123"/>
    <w:qFormat/>
    <w:rsid w:val="000952B8"/>
    <w:rPr>
      <w:rFonts w:cs="Courier New"/>
    </w:rPr>
  </w:style>
  <w:style w:type="character" w:customStyle="1" w:styleId="ListLabel124">
    <w:name w:val="ListLabel 124"/>
    <w:qFormat/>
    <w:rsid w:val="000952B8"/>
    <w:rPr>
      <w:rFonts w:cs="Wingdings"/>
    </w:rPr>
  </w:style>
  <w:style w:type="character" w:customStyle="1" w:styleId="ListLabel125">
    <w:name w:val="ListLabel 125"/>
    <w:qFormat/>
    <w:rsid w:val="000952B8"/>
    <w:rPr>
      <w:rFonts w:cs="Symbol"/>
    </w:rPr>
  </w:style>
  <w:style w:type="character" w:customStyle="1" w:styleId="ListLabel126">
    <w:name w:val="ListLabel 126"/>
    <w:qFormat/>
    <w:rsid w:val="000952B8"/>
    <w:rPr>
      <w:rFonts w:cs="Courier New"/>
    </w:rPr>
  </w:style>
  <w:style w:type="character" w:customStyle="1" w:styleId="ListLabel127">
    <w:name w:val="ListLabel 127"/>
    <w:qFormat/>
    <w:rsid w:val="000952B8"/>
    <w:rPr>
      <w:rFonts w:cs="Wingdings"/>
    </w:rPr>
  </w:style>
  <w:style w:type="character" w:customStyle="1" w:styleId="ListLabel128">
    <w:name w:val="ListLabel 128"/>
    <w:qFormat/>
    <w:rsid w:val="000952B8"/>
    <w:rPr>
      <w:rFonts w:cs="Symbol"/>
    </w:rPr>
  </w:style>
  <w:style w:type="character" w:customStyle="1" w:styleId="ListLabel129">
    <w:name w:val="ListLabel 129"/>
    <w:qFormat/>
    <w:rsid w:val="000952B8"/>
    <w:rPr>
      <w:rFonts w:cs="Courier New"/>
    </w:rPr>
  </w:style>
  <w:style w:type="character" w:customStyle="1" w:styleId="ListLabel130">
    <w:name w:val="ListLabel 130"/>
    <w:qFormat/>
    <w:rsid w:val="000952B8"/>
    <w:rPr>
      <w:rFonts w:cs="Wingdings"/>
    </w:rPr>
  </w:style>
  <w:style w:type="character" w:customStyle="1" w:styleId="ListLabel131">
    <w:name w:val="ListLabel 131"/>
    <w:qFormat/>
    <w:rsid w:val="000952B8"/>
    <w:rPr>
      <w:rFonts w:cs="Open Sans"/>
      <w:sz w:val="20"/>
    </w:rPr>
  </w:style>
  <w:style w:type="character" w:customStyle="1" w:styleId="ListLabel132">
    <w:name w:val="ListLabel 132"/>
    <w:qFormat/>
    <w:rsid w:val="000952B8"/>
    <w:rPr>
      <w:rFonts w:cs="Courier New"/>
    </w:rPr>
  </w:style>
  <w:style w:type="character" w:customStyle="1" w:styleId="ListLabel133">
    <w:name w:val="ListLabel 133"/>
    <w:qFormat/>
    <w:rsid w:val="000952B8"/>
    <w:rPr>
      <w:rFonts w:cs="Wingdings"/>
    </w:rPr>
  </w:style>
  <w:style w:type="character" w:customStyle="1" w:styleId="ListLabel134">
    <w:name w:val="ListLabel 134"/>
    <w:qFormat/>
    <w:rsid w:val="000952B8"/>
    <w:rPr>
      <w:rFonts w:cs="Symbol"/>
    </w:rPr>
  </w:style>
  <w:style w:type="character" w:customStyle="1" w:styleId="ListLabel135">
    <w:name w:val="ListLabel 135"/>
    <w:qFormat/>
    <w:rsid w:val="000952B8"/>
    <w:rPr>
      <w:rFonts w:cs="Courier New"/>
    </w:rPr>
  </w:style>
  <w:style w:type="character" w:customStyle="1" w:styleId="ListLabel136">
    <w:name w:val="ListLabel 136"/>
    <w:qFormat/>
    <w:rsid w:val="000952B8"/>
    <w:rPr>
      <w:rFonts w:cs="Wingdings"/>
    </w:rPr>
  </w:style>
  <w:style w:type="character" w:customStyle="1" w:styleId="ListLabel137">
    <w:name w:val="ListLabel 137"/>
    <w:qFormat/>
    <w:rsid w:val="000952B8"/>
    <w:rPr>
      <w:rFonts w:cs="Symbol"/>
    </w:rPr>
  </w:style>
  <w:style w:type="character" w:customStyle="1" w:styleId="ListLabel138">
    <w:name w:val="ListLabel 138"/>
    <w:qFormat/>
    <w:rsid w:val="000952B8"/>
    <w:rPr>
      <w:rFonts w:cs="Courier New"/>
    </w:rPr>
  </w:style>
  <w:style w:type="character" w:customStyle="1" w:styleId="ListLabel139">
    <w:name w:val="ListLabel 139"/>
    <w:qFormat/>
    <w:rsid w:val="000952B8"/>
    <w:rPr>
      <w:rFonts w:cs="Wingdings"/>
    </w:rPr>
  </w:style>
  <w:style w:type="character" w:customStyle="1" w:styleId="ListLabel140">
    <w:name w:val="ListLabel 140"/>
    <w:qFormat/>
    <w:rsid w:val="000952B8"/>
    <w:rPr>
      <w:rFonts w:eastAsia="Times New Roman" w:cs="Open Sans"/>
    </w:rPr>
  </w:style>
  <w:style w:type="character" w:customStyle="1" w:styleId="ListLabel141">
    <w:name w:val="ListLabel 141"/>
    <w:qFormat/>
    <w:rsid w:val="000952B8"/>
    <w:rPr>
      <w:rFonts w:cs="Courier New"/>
    </w:rPr>
  </w:style>
  <w:style w:type="character" w:customStyle="1" w:styleId="ListLabel142">
    <w:name w:val="ListLabel 142"/>
    <w:qFormat/>
    <w:rsid w:val="000952B8"/>
    <w:rPr>
      <w:rFonts w:cs="Courier New"/>
    </w:rPr>
  </w:style>
  <w:style w:type="character" w:customStyle="1" w:styleId="ListLabel143">
    <w:name w:val="ListLabel 143"/>
    <w:qFormat/>
    <w:rsid w:val="000952B8"/>
    <w:rPr>
      <w:rFonts w:ascii="Open Sans" w:eastAsia="Times New Roman" w:hAnsi="Open Sans" w:cs="Open Sans"/>
      <w:b/>
      <w:sz w:val="18"/>
      <w:szCs w:val="18"/>
      <w:lang w:eastAsia="es-ES"/>
    </w:rPr>
  </w:style>
  <w:style w:type="character" w:customStyle="1" w:styleId="ListLabel144">
    <w:name w:val="ListLabel 144"/>
    <w:qFormat/>
    <w:rsid w:val="000952B8"/>
    <w:rPr>
      <w:rFonts w:ascii="Open Sans" w:eastAsia="Times New Roman" w:hAnsi="Open Sans" w:cs="Open Sans"/>
      <w:sz w:val="18"/>
      <w:szCs w:val="18"/>
      <w:lang w:eastAsia="es-ES"/>
    </w:rPr>
  </w:style>
  <w:style w:type="character" w:customStyle="1" w:styleId="ListLabel145">
    <w:name w:val="ListLabel 145"/>
    <w:qFormat/>
    <w:rsid w:val="000952B8"/>
    <w:rPr>
      <w:rFonts w:ascii="Open Sans" w:hAnsi="Open Sans" w:cs="Open Sans"/>
      <w:b/>
    </w:rPr>
  </w:style>
  <w:style w:type="character" w:customStyle="1" w:styleId="ListLabel146">
    <w:name w:val="ListLabel 146"/>
    <w:qFormat/>
    <w:rsid w:val="000952B8"/>
    <w:rPr>
      <w:rFonts w:ascii="Open Sans" w:eastAsia="Times New Roman" w:hAnsi="Open Sans" w:cs="Open Sans"/>
      <w:sz w:val="20"/>
      <w:szCs w:val="20"/>
      <w:lang w:eastAsia="es-ES"/>
    </w:rPr>
  </w:style>
  <w:style w:type="character" w:customStyle="1" w:styleId="ListLabel147">
    <w:name w:val="ListLabel 147"/>
    <w:qFormat/>
    <w:rsid w:val="000952B8"/>
    <w:rPr>
      <w:rFonts w:ascii="Open Sans" w:eastAsia="Times New Roman" w:hAnsi="Open Sans" w:cs="Open Sans"/>
      <w:i/>
      <w:sz w:val="18"/>
      <w:szCs w:val="18"/>
      <w:lang w:eastAsia="es-ES"/>
    </w:rPr>
  </w:style>
  <w:style w:type="character" w:customStyle="1" w:styleId="ListLabel148">
    <w:name w:val="ListLabel 148"/>
    <w:qFormat/>
    <w:rsid w:val="000952B8"/>
    <w:rPr>
      <w:rFonts w:ascii="Open Sans" w:hAnsi="Open Sans" w:cs="Open Sans"/>
    </w:rPr>
  </w:style>
  <w:style w:type="character" w:customStyle="1" w:styleId="ListLabel149">
    <w:name w:val="ListLabel 149"/>
    <w:qFormat/>
    <w:rsid w:val="000952B8"/>
    <w:rPr>
      <w:rFonts w:ascii="Open Sans" w:hAnsi="Open Sans" w:cs="Open Sans"/>
    </w:rPr>
  </w:style>
  <w:style w:type="character" w:customStyle="1" w:styleId="ListLabel150">
    <w:name w:val="ListLabel 150"/>
    <w:qFormat/>
    <w:rsid w:val="000952B8"/>
    <w:rPr>
      <w:rFonts w:ascii="Open Sans" w:hAnsi="Open Sans" w:cs="Symbol"/>
      <w:sz w:val="21"/>
    </w:rPr>
  </w:style>
  <w:style w:type="character" w:customStyle="1" w:styleId="ListLabel151">
    <w:name w:val="ListLabel 151"/>
    <w:qFormat/>
    <w:rsid w:val="000952B8"/>
    <w:rPr>
      <w:rFonts w:cs="Courier New"/>
      <w:sz w:val="20"/>
    </w:rPr>
  </w:style>
  <w:style w:type="character" w:customStyle="1" w:styleId="ListLabel152">
    <w:name w:val="ListLabel 152"/>
    <w:qFormat/>
    <w:rsid w:val="000952B8"/>
    <w:rPr>
      <w:rFonts w:cs="Wingdings"/>
      <w:sz w:val="20"/>
    </w:rPr>
  </w:style>
  <w:style w:type="character" w:customStyle="1" w:styleId="ListLabel153">
    <w:name w:val="ListLabel 153"/>
    <w:qFormat/>
    <w:rsid w:val="000952B8"/>
    <w:rPr>
      <w:rFonts w:cs="Wingdings"/>
      <w:sz w:val="20"/>
    </w:rPr>
  </w:style>
  <w:style w:type="character" w:customStyle="1" w:styleId="ListLabel154">
    <w:name w:val="ListLabel 154"/>
    <w:qFormat/>
    <w:rsid w:val="000952B8"/>
    <w:rPr>
      <w:rFonts w:cs="Wingdings"/>
      <w:sz w:val="20"/>
    </w:rPr>
  </w:style>
  <w:style w:type="character" w:customStyle="1" w:styleId="ListLabel155">
    <w:name w:val="ListLabel 155"/>
    <w:qFormat/>
    <w:rsid w:val="000952B8"/>
    <w:rPr>
      <w:rFonts w:cs="Wingdings"/>
      <w:sz w:val="20"/>
    </w:rPr>
  </w:style>
  <w:style w:type="character" w:customStyle="1" w:styleId="ListLabel156">
    <w:name w:val="ListLabel 156"/>
    <w:qFormat/>
    <w:rsid w:val="000952B8"/>
    <w:rPr>
      <w:rFonts w:cs="Wingdings"/>
      <w:sz w:val="20"/>
    </w:rPr>
  </w:style>
  <w:style w:type="character" w:customStyle="1" w:styleId="ListLabel157">
    <w:name w:val="ListLabel 157"/>
    <w:qFormat/>
    <w:rsid w:val="000952B8"/>
    <w:rPr>
      <w:rFonts w:cs="Wingdings"/>
      <w:sz w:val="20"/>
    </w:rPr>
  </w:style>
  <w:style w:type="character" w:customStyle="1" w:styleId="ListLabel158">
    <w:name w:val="ListLabel 158"/>
    <w:qFormat/>
    <w:rsid w:val="000952B8"/>
    <w:rPr>
      <w:rFonts w:cs="Wingdings"/>
      <w:sz w:val="20"/>
    </w:rPr>
  </w:style>
  <w:style w:type="character" w:customStyle="1" w:styleId="ListLabel159">
    <w:name w:val="ListLabel 159"/>
    <w:qFormat/>
    <w:rsid w:val="000952B8"/>
    <w:rPr>
      <w:rFonts w:ascii="Open Sans" w:hAnsi="Open Sans" w:cs="Open Sans"/>
      <w:sz w:val="21"/>
    </w:rPr>
  </w:style>
  <w:style w:type="character" w:customStyle="1" w:styleId="ListLabel160">
    <w:name w:val="ListLabel 160"/>
    <w:qFormat/>
    <w:rsid w:val="000952B8"/>
    <w:rPr>
      <w:rFonts w:cs="Courier New"/>
    </w:rPr>
  </w:style>
  <w:style w:type="character" w:customStyle="1" w:styleId="ListLabel161">
    <w:name w:val="ListLabel 161"/>
    <w:qFormat/>
    <w:rsid w:val="000952B8"/>
    <w:rPr>
      <w:rFonts w:cs="Wingdings"/>
    </w:rPr>
  </w:style>
  <w:style w:type="character" w:customStyle="1" w:styleId="ListLabel162">
    <w:name w:val="ListLabel 162"/>
    <w:qFormat/>
    <w:rsid w:val="000952B8"/>
    <w:rPr>
      <w:rFonts w:cs="Symbol"/>
    </w:rPr>
  </w:style>
  <w:style w:type="character" w:customStyle="1" w:styleId="ListLabel163">
    <w:name w:val="ListLabel 163"/>
    <w:qFormat/>
    <w:rsid w:val="000952B8"/>
    <w:rPr>
      <w:rFonts w:cs="Courier New"/>
    </w:rPr>
  </w:style>
  <w:style w:type="character" w:customStyle="1" w:styleId="ListLabel164">
    <w:name w:val="ListLabel 164"/>
    <w:qFormat/>
    <w:rsid w:val="000952B8"/>
    <w:rPr>
      <w:rFonts w:cs="Wingdings"/>
    </w:rPr>
  </w:style>
  <w:style w:type="character" w:customStyle="1" w:styleId="ListLabel165">
    <w:name w:val="ListLabel 165"/>
    <w:qFormat/>
    <w:rsid w:val="000952B8"/>
    <w:rPr>
      <w:rFonts w:cs="Symbol"/>
    </w:rPr>
  </w:style>
  <w:style w:type="character" w:customStyle="1" w:styleId="ListLabel166">
    <w:name w:val="ListLabel 166"/>
    <w:qFormat/>
    <w:rsid w:val="000952B8"/>
    <w:rPr>
      <w:rFonts w:cs="Courier New"/>
    </w:rPr>
  </w:style>
  <w:style w:type="character" w:customStyle="1" w:styleId="ListLabel167">
    <w:name w:val="ListLabel 167"/>
    <w:qFormat/>
    <w:rsid w:val="000952B8"/>
    <w:rPr>
      <w:rFonts w:cs="Wingdings"/>
    </w:rPr>
  </w:style>
  <w:style w:type="character" w:customStyle="1" w:styleId="ListLabel168">
    <w:name w:val="ListLabel 168"/>
    <w:qFormat/>
    <w:rsid w:val="000952B8"/>
    <w:rPr>
      <w:rFonts w:ascii="Open Sans" w:hAnsi="Open Sans" w:cs="Symbol"/>
      <w:sz w:val="21"/>
    </w:rPr>
  </w:style>
  <w:style w:type="character" w:customStyle="1" w:styleId="ListLabel169">
    <w:name w:val="ListLabel 169"/>
    <w:qFormat/>
    <w:rsid w:val="000952B8"/>
    <w:rPr>
      <w:rFonts w:cs="Open Sans"/>
    </w:rPr>
  </w:style>
  <w:style w:type="character" w:customStyle="1" w:styleId="ListLabel170">
    <w:name w:val="ListLabel 170"/>
    <w:qFormat/>
    <w:rsid w:val="000952B8"/>
    <w:rPr>
      <w:rFonts w:cs="Wingdings"/>
    </w:rPr>
  </w:style>
  <w:style w:type="character" w:customStyle="1" w:styleId="ListLabel171">
    <w:name w:val="ListLabel 171"/>
    <w:qFormat/>
    <w:rsid w:val="000952B8"/>
    <w:rPr>
      <w:rFonts w:cs="Symbol"/>
    </w:rPr>
  </w:style>
  <w:style w:type="character" w:customStyle="1" w:styleId="ListLabel172">
    <w:name w:val="ListLabel 172"/>
    <w:qFormat/>
    <w:rsid w:val="000952B8"/>
    <w:rPr>
      <w:rFonts w:cs="Courier New"/>
    </w:rPr>
  </w:style>
  <w:style w:type="character" w:customStyle="1" w:styleId="ListLabel173">
    <w:name w:val="ListLabel 173"/>
    <w:qFormat/>
    <w:rsid w:val="000952B8"/>
    <w:rPr>
      <w:rFonts w:cs="Wingdings"/>
    </w:rPr>
  </w:style>
  <w:style w:type="character" w:customStyle="1" w:styleId="ListLabel174">
    <w:name w:val="ListLabel 174"/>
    <w:qFormat/>
    <w:rsid w:val="000952B8"/>
    <w:rPr>
      <w:rFonts w:cs="Symbol"/>
    </w:rPr>
  </w:style>
  <w:style w:type="character" w:customStyle="1" w:styleId="ListLabel175">
    <w:name w:val="ListLabel 175"/>
    <w:qFormat/>
    <w:rsid w:val="000952B8"/>
    <w:rPr>
      <w:rFonts w:cs="Courier New"/>
    </w:rPr>
  </w:style>
  <w:style w:type="character" w:customStyle="1" w:styleId="ListLabel176">
    <w:name w:val="ListLabel 176"/>
    <w:qFormat/>
    <w:rsid w:val="000952B8"/>
    <w:rPr>
      <w:rFonts w:cs="Wingdings"/>
    </w:rPr>
  </w:style>
  <w:style w:type="character" w:customStyle="1" w:styleId="ListLabel177">
    <w:name w:val="ListLabel 177"/>
    <w:qFormat/>
    <w:rsid w:val="000952B8"/>
    <w:rPr>
      <w:rFonts w:cs="Courier New"/>
    </w:rPr>
  </w:style>
  <w:style w:type="character" w:customStyle="1" w:styleId="ListLabel178">
    <w:name w:val="ListLabel 178"/>
    <w:qFormat/>
    <w:rsid w:val="000952B8"/>
    <w:rPr>
      <w:rFonts w:cs="Courier New"/>
    </w:rPr>
  </w:style>
  <w:style w:type="character" w:customStyle="1" w:styleId="ListLabel179">
    <w:name w:val="ListLabel 179"/>
    <w:qFormat/>
    <w:rsid w:val="000952B8"/>
    <w:rPr>
      <w:rFonts w:cs="Courier New"/>
    </w:rPr>
  </w:style>
  <w:style w:type="character" w:customStyle="1" w:styleId="ListLabel180">
    <w:name w:val="ListLabel 180"/>
    <w:qFormat/>
    <w:rsid w:val="000952B8"/>
    <w:rPr>
      <w:rFonts w:cs="Courier New"/>
    </w:rPr>
  </w:style>
  <w:style w:type="character" w:customStyle="1" w:styleId="ListLabel181">
    <w:name w:val="ListLabel 181"/>
    <w:qFormat/>
    <w:rsid w:val="000952B8"/>
    <w:rPr>
      <w:rFonts w:cs="Courier New"/>
    </w:rPr>
  </w:style>
  <w:style w:type="character" w:customStyle="1" w:styleId="ListLabel182">
    <w:name w:val="ListLabel 182"/>
    <w:qFormat/>
    <w:rsid w:val="000952B8"/>
    <w:rPr>
      <w:rFonts w:cs="Courier New"/>
    </w:rPr>
  </w:style>
  <w:style w:type="character" w:customStyle="1" w:styleId="ListLabel183">
    <w:name w:val="ListLabel 183"/>
    <w:qFormat/>
    <w:rsid w:val="000952B8"/>
    <w:rPr>
      <w:rFonts w:ascii="Open Sans" w:eastAsia="Times New Roman" w:hAnsi="Open Sans" w:cs="Open Sans"/>
      <w:b/>
      <w:sz w:val="21"/>
      <w:szCs w:val="21"/>
      <w:lang w:eastAsia="es-ES"/>
    </w:rPr>
  </w:style>
  <w:style w:type="character" w:customStyle="1" w:styleId="ListLabel184">
    <w:name w:val="ListLabel 184"/>
    <w:qFormat/>
    <w:rsid w:val="000952B8"/>
    <w:rPr>
      <w:rFonts w:ascii="Open Sans" w:eastAsia="Times New Roman" w:hAnsi="Open Sans" w:cs="Open Sans"/>
      <w:b/>
      <w:sz w:val="21"/>
      <w:szCs w:val="21"/>
      <w:lang w:eastAsia="es-ES"/>
    </w:rPr>
  </w:style>
  <w:style w:type="character" w:customStyle="1" w:styleId="ListLabel185">
    <w:name w:val="ListLabel 185"/>
    <w:qFormat/>
    <w:rsid w:val="000952B8"/>
    <w:rPr>
      <w:rFonts w:ascii="Open Sans" w:eastAsia="Times New Roman" w:hAnsi="Open Sans" w:cs="Open Sans"/>
      <w:sz w:val="21"/>
      <w:szCs w:val="21"/>
      <w:lang w:eastAsia="es-ES"/>
    </w:rPr>
  </w:style>
  <w:style w:type="character" w:customStyle="1" w:styleId="ListLabel186">
    <w:name w:val="ListLabel 186"/>
    <w:qFormat/>
    <w:rsid w:val="000952B8"/>
    <w:rPr>
      <w:rFonts w:ascii="Open Sans" w:hAnsi="Open Sans" w:cs="Open Sans"/>
      <w:b/>
      <w:sz w:val="21"/>
      <w:szCs w:val="21"/>
    </w:rPr>
  </w:style>
  <w:style w:type="character" w:customStyle="1" w:styleId="ListLabel187">
    <w:name w:val="ListLabel 187"/>
    <w:qFormat/>
    <w:rsid w:val="000952B8"/>
    <w:rPr>
      <w:rFonts w:ascii="Open Sans" w:eastAsia="Times New Roman" w:hAnsi="Open Sans" w:cs="Open Sans"/>
      <w:sz w:val="21"/>
      <w:szCs w:val="21"/>
      <w:lang w:eastAsia="es-ES"/>
    </w:rPr>
  </w:style>
  <w:style w:type="character" w:customStyle="1" w:styleId="ListLabel188">
    <w:name w:val="ListLabel 188"/>
    <w:qFormat/>
    <w:rsid w:val="000952B8"/>
    <w:rPr>
      <w:rFonts w:ascii="Open Sans" w:hAnsi="Open Sans" w:cs="Open Sans"/>
      <w:sz w:val="21"/>
      <w:szCs w:val="21"/>
    </w:rPr>
  </w:style>
  <w:style w:type="character" w:customStyle="1" w:styleId="ListLabel189">
    <w:name w:val="ListLabel 189"/>
    <w:qFormat/>
    <w:rsid w:val="000952B8"/>
    <w:rPr>
      <w:rFonts w:ascii="Open Sans" w:eastAsia="Times New Roman" w:hAnsi="Open Sans" w:cs="Open Sans"/>
      <w:i/>
      <w:sz w:val="21"/>
      <w:szCs w:val="21"/>
      <w:lang w:eastAsia="es-ES"/>
    </w:rPr>
  </w:style>
  <w:style w:type="character" w:customStyle="1" w:styleId="ListLabel190">
    <w:name w:val="ListLabel 190"/>
    <w:qFormat/>
    <w:rsid w:val="000952B8"/>
    <w:rPr>
      <w:rFonts w:eastAsia="Calibri"/>
      <w:sz w:val="21"/>
      <w:szCs w:val="21"/>
    </w:rPr>
  </w:style>
  <w:style w:type="character" w:customStyle="1" w:styleId="ListLabel191">
    <w:name w:val="ListLabel 191"/>
    <w:qFormat/>
    <w:rsid w:val="000952B8"/>
    <w:rPr>
      <w:rFonts w:ascii="Open Sans" w:eastAsia="Times New Roman" w:hAnsi="Open Sans" w:cs="Open Sans"/>
      <w:sz w:val="21"/>
      <w:szCs w:val="21"/>
      <w:u w:val="none"/>
      <w:lang w:eastAsia="es-ES"/>
    </w:rPr>
  </w:style>
  <w:style w:type="character" w:customStyle="1" w:styleId="ListLabel192">
    <w:name w:val="ListLabel 192"/>
    <w:qFormat/>
    <w:rsid w:val="000952B8"/>
    <w:rPr>
      <w:rFonts w:ascii="Open Sans" w:hAnsi="Open Sans" w:cs="Open Sans"/>
      <w:sz w:val="21"/>
      <w:szCs w:val="21"/>
    </w:rPr>
  </w:style>
  <w:style w:type="character" w:customStyle="1" w:styleId="ListLabel193">
    <w:name w:val="ListLabel 193"/>
    <w:qFormat/>
    <w:rsid w:val="000952B8"/>
    <w:rPr>
      <w:rFonts w:ascii="Open Sans" w:hAnsi="Open Sans" w:cs="Symbol"/>
      <w:sz w:val="21"/>
    </w:rPr>
  </w:style>
  <w:style w:type="character" w:customStyle="1" w:styleId="ListLabel194">
    <w:name w:val="ListLabel 194"/>
    <w:qFormat/>
    <w:rsid w:val="000952B8"/>
    <w:rPr>
      <w:rFonts w:cs="Courier New"/>
      <w:sz w:val="20"/>
    </w:rPr>
  </w:style>
  <w:style w:type="character" w:customStyle="1" w:styleId="ListLabel195">
    <w:name w:val="ListLabel 195"/>
    <w:qFormat/>
    <w:rsid w:val="000952B8"/>
    <w:rPr>
      <w:rFonts w:cs="Wingdings"/>
      <w:sz w:val="20"/>
    </w:rPr>
  </w:style>
  <w:style w:type="character" w:customStyle="1" w:styleId="ListLabel196">
    <w:name w:val="ListLabel 196"/>
    <w:qFormat/>
    <w:rsid w:val="000952B8"/>
    <w:rPr>
      <w:rFonts w:cs="Wingdings"/>
      <w:sz w:val="20"/>
    </w:rPr>
  </w:style>
  <w:style w:type="character" w:customStyle="1" w:styleId="ListLabel197">
    <w:name w:val="ListLabel 197"/>
    <w:qFormat/>
    <w:rsid w:val="000952B8"/>
    <w:rPr>
      <w:rFonts w:cs="Wingdings"/>
      <w:sz w:val="20"/>
    </w:rPr>
  </w:style>
  <w:style w:type="character" w:customStyle="1" w:styleId="ListLabel198">
    <w:name w:val="ListLabel 198"/>
    <w:qFormat/>
    <w:rsid w:val="000952B8"/>
    <w:rPr>
      <w:rFonts w:cs="Wingdings"/>
      <w:sz w:val="20"/>
    </w:rPr>
  </w:style>
  <w:style w:type="character" w:customStyle="1" w:styleId="ListLabel199">
    <w:name w:val="ListLabel 199"/>
    <w:qFormat/>
    <w:rsid w:val="000952B8"/>
    <w:rPr>
      <w:rFonts w:cs="Wingdings"/>
      <w:sz w:val="20"/>
    </w:rPr>
  </w:style>
  <w:style w:type="character" w:customStyle="1" w:styleId="ListLabel200">
    <w:name w:val="ListLabel 200"/>
    <w:qFormat/>
    <w:rsid w:val="000952B8"/>
    <w:rPr>
      <w:rFonts w:cs="Wingdings"/>
      <w:sz w:val="20"/>
    </w:rPr>
  </w:style>
  <w:style w:type="character" w:customStyle="1" w:styleId="ListLabel201">
    <w:name w:val="ListLabel 201"/>
    <w:qFormat/>
    <w:rsid w:val="000952B8"/>
    <w:rPr>
      <w:rFonts w:cs="Wingdings"/>
      <w:sz w:val="20"/>
    </w:rPr>
  </w:style>
  <w:style w:type="character" w:customStyle="1" w:styleId="ListLabel202">
    <w:name w:val="ListLabel 202"/>
    <w:qFormat/>
    <w:rsid w:val="000952B8"/>
    <w:rPr>
      <w:rFonts w:ascii="Open Sans" w:hAnsi="Open Sans" w:cs="Open Sans"/>
      <w:sz w:val="21"/>
    </w:rPr>
  </w:style>
  <w:style w:type="character" w:customStyle="1" w:styleId="ListLabel203">
    <w:name w:val="ListLabel 203"/>
    <w:qFormat/>
    <w:rsid w:val="000952B8"/>
    <w:rPr>
      <w:rFonts w:cs="Courier New"/>
    </w:rPr>
  </w:style>
  <w:style w:type="character" w:customStyle="1" w:styleId="ListLabel204">
    <w:name w:val="ListLabel 204"/>
    <w:qFormat/>
    <w:rsid w:val="000952B8"/>
    <w:rPr>
      <w:rFonts w:cs="Wingdings"/>
    </w:rPr>
  </w:style>
  <w:style w:type="character" w:customStyle="1" w:styleId="ListLabel205">
    <w:name w:val="ListLabel 205"/>
    <w:qFormat/>
    <w:rsid w:val="000952B8"/>
    <w:rPr>
      <w:rFonts w:cs="Symbol"/>
    </w:rPr>
  </w:style>
  <w:style w:type="character" w:customStyle="1" w:styleId="ListLabel206">
    <w:name w:val="ListLabel 206"/>
    <w:qFormat/>
    <w:rsid w:val="000952B8"/>
    <w:rPr>
      <w:rFonts w:cs="Courier New"/>
    </w:rPr>
  </w:style>
  <w:style w:type="character" w:customStyle="1" w:styleId="ListLabel207">
    <w:name w:val="ListLabel 207"/>
    <w:qFormat/>
    <w:rsid w:val="000952B8"/>
    <w:rPr>
      <w:rFonts w:cs="Wingdings"/>
    </w:rPr>
  </w:style>
  <w:style w:type="character" w:customStyle="1" w:styleId="ListLabel208">
    <w:name w:val="ListLabel 208"/>
    <w:qFormat/>
    <w:rsid w:val="000952B8"/>
    <w:rPr>
      <w:rFonts w:cs="Symbol"/>
    </w:rPr>
  </w:style>
  <w:style w:type="character" w:customStyle="1" w:styleId="ListLabel209">
    <w:name w:val="ListLabel 209"/>
    <w:qFormat/>
    <w:rsid w:val="000952B8"/>
    <w:rPr>
      <w:rFonts w:cs="Courier New"/>
    </w:rPr>
  </w:style>
  <w:style w:type="character" w:customStyle="1" w:styleId="ListLabel210">
    <w:name w:val="ListLabel 210"/>
    <w:qFormat/>
    <w:rsid w:val="000952B8"/>
    <w:rPr>
      <w:rFonts w:cs="Wingdings"/>
    </w:rPr>
  </w:style>
  <w:style w:type="character" w:customStyle="1" w:styleId="ListLabel211">
    <w:name w:val="ListLabel 211"/>
    <w:qFormat/>
    <w:rsid w:val="000952B8"/>
    <w:rPr>
      <w:rFonts w:ascii="Open Sans" w:hAnsi="Open Sans" w:cs="Symbol"/>
      <w:sz w:val="21"/>
    </w:rPr>
  </w:style>
  <w:style w:type="character" w:customStyle="1" w:styleId="ListLabel212">
    <w:name w:val="ListLabel 212"/>
    <w:qFormat/>
    <w:rsid w:val="000952B8"/>
    <w:rPr>
      <w:rFonts w:cs="Open Sans"/>
    </w:rPr>
  </w:style>
  <w:style w:type="character" w:customStyle="1" w:styleId="ListLabel213">
    <w:name w:val="ListLabel 213"/>
    <w:qFormat/>
    <w:rsid w:val="000952B8"/>
    <w:rPr>
      <w:rFonts w:cs="Wingdings"/>
    </w:rPr>
  </w:style>
  <w:style w:type="character" w:customStyle="1" w:styleId="ListLabel214">
    <w:name w:val="ListLabel 214"/>
    <w:qFormat/>
    <w:rsid w:val="000952B8"/>
    <w:rPr>
      <w:rFonts w:cs="Symbol"/>
    </w:rPr>
  </w:style>
  <w:style w:type="character" w:customStyle="1" w:styleId="ListLabel215">
    <w:name w:val="ListLabel 215"/>
    <w:qFormat/>
    <w:rsid w:val="000952B8"/>
    <w:rPr>
      <w:rFonts w:cs="Courier New"/>
    </w:rPr>
  </w:style>
  <w:style w:type="character" w:customStyle="1" w:styleId="ListLabel216">
    <w:name w:val="ListLabel 216"/>
    <w:qFormat/>
    <w:rsid w:val="000952B8"/>
    <w:rPr>
      <w:rFonts w:cs="Wingdings"/>
    </w:rPr>
  </w:style>
  <w:style w:type="character" w:customStyle="1" w:styleId="ListLabel217">
    <w:name w:val="ListLabel 217"/>
    <w:qFormat/>
    <w:rsid w:val="000952B8"/>
    <w:rPr>
      <w:rFonts w:cs="Symbol"/>
    </w:rPr>
  </w:style>
  <w:style w:type="character" w:customStyle="1" w:styleId="ListLabel218">
    <w:name w:val="ListLabel 218"/>
    <w:qFormat/>
    <w:rsid w:val="000952B8"/>
    <w:rPr>
      <w:rFonts w:cs="Courier New"/>
    </w:rPr>
  </w:style>
  <w:style w:type="character" w:customStyle="1" w:styleId="ListLabel219">
    <w:name w:val="ListLabel 219"/>
    <w:qFormat/>
    <w:rsid w:val="000952B8"/>
    <w:rPr>
      <w:rFonts w:cs="Wingdings"/>
    </w:rPr>
  </w:style>
  <w:style w:type="character" w:customStyle="1" w:styleId="ListLabel220">
    <w:name w:val="ListLabel 220"/>
    <w:qFormat/>
    <w:rsid w:val="000952B8"/>
    <w:rPr>
      <w:rFonts w:cs="Courier New"/>
    </w:rPr>
  </w:style>
  <w:style w:type="character" w:customStyle="1" w:styleId="ListLabel221">
    <w:name w:val="ListLabel 221"/>
    <w:qFormat/>
    <w:rsid w:val="000952B8"/>
    <w:rPr>
      <w:rFonts w:cs="Wingdings"/>
    </w:rPr>
  </w:style>
  <w:style w:type="character" w:customStyle="1" w:styleId="ListLabel222">
    <w:name w:val="ListLabel 222"/>
    <w:qFormat/>
    <w:rsid w:val="000952B8"/>
    <w:rPr>
      <w:rFonts w:cs="Symbol"/>
    </w:rPr>
  </w:style>
  <w:style w:type="character" w:customStyle="1" w:styleId="ListLabel223">
    <w:name w:val="ListLabel 223"/>
    <w:qFormat/>
    <w:rsid w:val="000952B8"/>
    <w:rPr>
      <w:rFonts w:cs="Courier New"/>
    </w:rPr>
  </w:style>
  <w:style w:type="character" w:customStyle="1" w:styleId="ListLabel224">
    <w:name w:val="ListLabel 224"/>
    <w:qFormat/>
    <w:rsid w:val="000952B8"/>
    <w:rPr>
      <w:rFonts w:cs="Wingdings"/>
    </w:rPr>
  </w:style>
  <w:style w:type="character" w:customStyle="1" w:styleId="ListLabel225">
    <w:name w:val="ListLabel 225"/>
    <w:qFormat/>
    <w:rsid w:val="000952B8"/>
    <w:rPr>
      <w:rFonts w:cs="Symbol"/>
    </w:rPr>
  </w:style>
  <w:style w:type="character" w:customStyle="1" w:styleId="ListLabel226">
    <w:name w:val="ListLabel 226"/>
    <w:qFormat/>
    <w:rsid w:val="000952B8"/>
    <w:rPr>
      <w:rFonts w:cs="Courier New"/>
    </w:rPr>
  </w:style>
  <w:style w:type="character" w:customStyle="1" w:styleId="ListLabel227">
    <w:name w:val="ListLabel 227"/>
    <w:qFormat/>
    <w:rsid w:val="000952B8"/>
    <w:rPr>
      <w:rFonts w:cs="Wingdings"/>
    </w:rPr>
  </w:style>
  <w:style w:type="character" w:customStyle="1" w:styleId="ListLabel228">
    <w:name w:val="ListLabel 228"/>
    <w:qFormat/>
    <w:rsid w:val="000952B8"/>
    <w:rPr>
      <w:rFonts w:ascii="Open Sans" w:eastAsia="Times New Roman" w:hAnsi="Open Sans" w:cs="Open Sans"/>
      <w:b/>
      <w:sz w:val="21"/>
      <w:szCs w:val="21"/>
      <w:lang w:eastAsia="es-ES"/>
    </w:rPr>
  </w:style>
  <w:style w:type="character" w:customStyle="1" w:styleId="ListLabel229">
    <w:name w:val="ListLabel 229"/>
    <w:qFormat/>
    <w:rsid w:val="000952B8"/>
    <w:rPr>
      <w:rFonts w:ascii="Open Sans" w:eastAsia="Times New Roman" w:hAnsi="Open Sans" w:cs="Open Sans"/>
      <w:sz w:val="21"/>
      <w:szCs w:val="21"/>
      <w:lang w:eastAsia="es-ES"/>
    </w:rPr>
  </w:style>
  <w:style w:type="character" w:customStyle="1" w:styleId="ListLabel230">
    <w:name w:val="ListLabel 230"/>
    <w:qFormat/>
    <w:rsid w:val="000952B8"/>
    <w:rPr>
      <w:rFonts w:ascii="Open Sans" w:hAnsi="Open Sans" w:cs="Open Sans"/>
      <w:b/>
      <w:sz w:val="21"/>
      <w:szCs w:val="21"/>
    </w:rPr>
  </w:style>
  <w:style w:type="character" w:customStyle="1" w:styleId="ListLabel231">
    <w:name w:val="ListLabel 231"/>
    <w:qFormat/>
    <w:rsid w:val="000952B8"/>
    <w:rPr>
      <w:rFonts w:ascii="Open Sans" w:hAnsi="Open Sans" w:cs="Open Sans"/>
      <w:sz w:val="21"/>
      <w:szCs w:val="21"/>
    </w:rPr>
  </w:style>
  <w:style w:type="character" w:customStyle="1" w:styleId="ListLabel232">
    <w:name w:val="ListLabel 232"/>
    <w:qFormat/>
    <w:rsid w:val="000952B8"/>
    <w:rPr>
      <w:rFonts w:ascii="Open Sans" w:eastAsia="Times New Roman" w:hAnsi="Open Sans" w:cs="Open Sans"/>
      <w:i/>
      <w:sz w:val="21"/>
      <w:szCs w:val="21"/>
      <w:lang w:eastAsia="es-ES"/>
    </w:rPr>
  </w:style>
  <w:style w:type="character" w:customStyle="1" w:styleId="ListLabel233">
    <w:name w:val="ListLabel 233"/>
    <w:qFormat/>
    <w:rsid w:val="000952B8"/>
    <w:rPr>
      <w:rFonts w:eastAsia="Calibri"/>
      <w:sz w:val="21"/>
      <w:szCs w:val="21"/>
    </w:rPr>
  </w:style>
  <w:style w:type="character" w:customStyle="1" w:styleId="ListLabel234">
    <w:name w:val="ListLabel 234"/>
    <w:qFormat/>
    <w:rsid w:val="000952B8"/>
    <w:rPr>
      <w:rFonts w:ascii="Open Sans" w:eastAsia="Times New Roman" w:hAnsi="Open Sans" w:cs="Open Sans"/>
      <w:sz w:val="21"/>
      <w:szCs w:val="21"/>
      <w:u w:val="none"/>
      <w:lang w:eastAsia="es-ES"/>
    </w:rPr>
  </w:style>
  <w:style w:type="character" w:customStyle="1" w:styleId="ListLabel235">
    <w:name w:val="ListLabel 235"/>
    <w:qFormat/>
    <w:rsid w:val="000952B8"/>
    <w:rPr>
      <w:rFonts w:ascii="Open Sans" w:hAnsi="Open Sans" w:cs="Symbol"/>
      <w:sz w:val="21"/>
    </w:rPr>
  </w:style>
  <w:style w:type="character" w:customStyle="1" w:styleId="ListLabel236">
    <w:name w:val="ListLabel 236"/>
    <w:qFormat/>
    <w:rsid w:val="000952B8"/>
    <w:rPr>
      <w:rFonts w:cs="Courier New"/>
      <w:sz w:val="20"/>
    </w:rPr>
  </w:style>
  <w:style w:type="character" w:customStyle="1" w:styleId="ListLabel237">
    <w:name w:val="ListLabel 237"/>
    <w:qFormat/>
    <w:rsid w:val="000952B8"/>
    <w:rPr>
      <w:rFonts w:cs="Wingdings"/>
      <w:sz w:val="20"/>
    </w:rPr>
  </w:style>
  <w:style w:type="character" w:customStyle="1" w:styleId="ListLabel238">
    <w:name w:val="ListLabel 238"/>
    <w:qFormat/>
    <w:rsid w:val="000952B8"/>
    <w:rPr>
      <w:rFonts w:cs="Wingdings"/>
      <w:sz w:val="20"/>
    </w:rPr>
  </w:style>
  <w:style w:type="character" w:customStyle="1" w:styleId="ListLabel239">
    <w:name w:val="ListLabel 239"/>
    <w:qFormat/>
    <w:rsid w:val="000952B8"/>
    <w:rPr>
      <w:rFonts w:cs="Wingdings"/>
      <w:sz w:val="20"/>
    </w:rPr>
  </w:style>
  <w:style w:type="character" w:customStyle="1" w:styleId="ListLabel240">
    <w:name w:val="ListLabel 240"/>
    <w:qFormat/>
    <w:rsid w:val="000952B8"/>
    <w:rPr>
      <w:rFonts w:cs="Wingdings"/>
      <w:sz w:val="20"/>
    </w:rPr>
  </w:style>
  <w:style w:type="character" w:customStyle="1" w:styleId="ListLabel241">
    <w:name w:val="ListLabel 241"/>
    <w:qFormat/>
    <w:rsid w:val="000952B8"/>
    <w:rPr>
      <w:rFonts w:cs="Wingdings"/>
      <w:sz w:val="20"/>
    </w:rPr>
  </w:style>
  <w:style w:type="character" w:customStyle="1" w:styleId="ListLabel242">
    <w:name w:val="ListLabel 242"/>
    <w:qFormat/>
    <w:rsid w:val="000952B8"/>
    <w:rPr>
      <w:rFonts w:cs="Wingdings"/>
      <w:sz w:val="20"/>
    </w:rPr>
  </w:style>
  <w:style w:type="character" w:customStyle="1" w:styleId="ListLabel243">
    <w:name w:val="ListLabel 243"/>
    <w:qFormat/>
    <w:rsid w:val="000952B8"/>
    <w:rPr>
      <w:rFonts w:cs="Wingdings"/>
      <w:sz w:val="20"/>
    </w:rPr>
  </w:style>
  <w:style w:type="character" w:customStyle="1" w:styleId="ListLabel244">
    <w:name w:val="ListLabel 244"/>
    <w:qFormat/>
    <w:rsid w:val="000952B8"/>
    <w:rPr>
      <w:rFonts w:ascii="Open Sans" w:hAnsi="Open Sans" w:cs="Open Sans"/>
      <w:sz w:val="21"/>
    </w:rPr>
  </w:style>
  <w:style w:type="character" w:customStyle="1" w:styleId="ListLabel245">
    <w:name w:val="ListLabel 245"/>
    <w:qFormat/>
    <w:rsid w:val="000952B8"/>
    <w:rPr>
      <w:rFonts w:cs="Courier New"/>
    </w:rPr>
  </w:style>
  <w:style w:type="character" w:customStyle="1" w:styleId="ListLabel246">
    <w:name w:val="ListLabel 246"/>
    <w:qFormat/>
    <w:rsid w:val="000952B8"/>
    <w:rPr>
      <w:rFonts w:cs="Wingdings"/>
    </w:rPr>
  </w:style>
  <w:style w:type="character" w:customStyle="1" w:styleId="ListLabel247">
    <w:name w:val="ListLabel 247"/>
    <w:qFormat/>
    <w:rsid w:val="000952B8"/>
    <w:rPr>
      <w:rFonts w:cs="Symbol"/>
    </w:rPr>
  </w:style>
  <w:style w:type="character" w:customStyle="1" w:styleId="ListLabel248">
    <w:name w:val="ListLabel 248"/>
    <w:qFormat/>
    <w:rsid w:val="000952B8"/>
    <w:rPr>
      <w:rFonts w:cs="Courier New"/>
    </w:rPr>
  </w:style>
  <w:style w:type="character" w:customStyle="1" w:styleId="ListLabel249">
    <w:name w:val="ListLabel 249"/>
    <w:qFormat/>
    <w:rsid w:val="000952B8"/>
    <w:rPr>
      <w:rFonts w:cs="Wingdings"/>
    </w:rPr>
  </w:style>
  <w:style w:type="character" w:customStyle="1" w:styleId="ListLabel250">
    <w:name w:val="ListLabel 250"/>
    <w:qFormat/>
    <w:rsid w:val="000952B8"/>
    <w:rPr>
      <w:rFonts w:cs="Symbol"/>
    </w:rPr>
  </w:style>
  <w:style w:type="character" w:customStyle="1" w:styleId="ListLabel251">
    <w:name w:val="ListLabel 251"/>
    <w:qFormat/>
    <w:rsid w:val="000952B8"/>
    <w:rPr>
      <w:rFonts w:cs="Courier New"/>
    </w:rPr>
  </w:style>
  <w:style w:type="character" w:customStyle="1" w:styleId="ListLabel252">
    <w:name w:val="ListLabel 252"/>
    <w:qFormat/>
    <w:rsid w:val="000952B8"/>
    <w:rPr>
      <w:rFonts w:cs="Wingdings"/>
    </w:rPr>
  </w:style>
  <w:style w:type="character" w:customStyle="1" w:styleId="ListLabel253">
    <w:name w:val="ListLabel 253"/>
    <w:qFormat/>
    <w:rsid w:val="000952B8"/>
    <w:rPr>
      <w:rFonts w:ascii="Open Sans" w:hAnsi="Open Sans" w:cs="Symbol"/>
      <w:sz w:val="21"/>
    </w:rPr>
  </w:style>
  <w:style w:type="character" w:customStyle="1" w:styleId="ListLabel254">
    <w:name w:val="ListLabel 254"/>
    <w:qFormat/>
    <w:rsid w:val="000952B8"/>
    <w:rPr>
      <w:rFonts w:cs="Open Sans"/>
    </w:rPr>
  </w:style>
  <w:style w:type="character" w:customStyle="1" w:styleId="ListLabel255">
    <w:name w:val="ListLabel 255"/>
    <w:qFormat/>
    <w:rsid w:val="000952B8"/>
    <w:rPr>
      <w:rFonts w:cs="Wingdings"/>
    </w:rPr>
  </w:style>
  <w:style w:type="character" w:customStyle="1" w:styleId="ListLabel256">
    <w:name w:val="ListLabel 256"/>
    <w:qFormat/>
    <w:rsid w:val="000952B8"/>
    <w:rPr>
      <w:rFonts w:cs="Symbol"/>
    </w:rPr>
  </w:style>
  <w:style w:type="character" w:customStyle="1" w:styleId="ListLabel257">
    <w:name w:val="ListLabel 257"/>
    <w:qFormat/>
    <w:rsid w:val="000952B8"/>
    <w:rPr>
      <w:rFonts w:cs="Courier New"/>
    </w:rPr>
  </w:style>
  <w:style w:type="character" w:customStyle="1" w:styleId="ListLabel258">
    <w:name w:val="ListLabel 258"/>
    <w:qFormat/>
    <w:rsid w:val="000952B8"/>
    <w:rPr>
      <w:rFonts w:cs="Wingdings"/>
    </w:rPr>
  </w:style>
  <w:style w:type="character" w:customStyle="1" w:styleId="ListLabel259">
    <w:name w:val="ListLabel 259"/>
    <w:qFormat/>
    <w:rsid w:val="000952B8"/>
    <w:rPr>
      <w:rFonts w:cs="Symbol"/>
    </w:rPr>
  </w:style>
  <w:style w:type="character" w:customStyle="1" w:styleId="ListLabel260">
    <w:name w:val="ListLabel 260"/>
    <w:qFormat/>
    <w:rsid w:val="000952B8"/>
    <w:rPr>
      <w:rFonts w:cs="Courier New"/>
    </w:rPr>
  </w:style>
  <w:style w:type="character" w:customStyle="1" w:styleId="ListLabel261">
    <w:name w:val="ListLabel 261"/>
    <w:qFormat/>
    <w:rsid w:val="000952B8"/>
    <w:rPr>
      <w:rFonts w:cs="Wingdings"/>
    </w:rPr>
  </w:style>
  <w:style w:type="character" w:customStyle="1" w:styleId="ListLabel262">
    <w:name w:val="ListLabel 262"/>
    <w:qFormat/>
    <w:rsid w:val="000952B8"/>
    <w:rPr>
      <w:rFonts w:cs="Courier New"/>
    </w:rPr>
  </w:style>
  <w:style w:type="character" w:customStyle="1" w:styleId="ListLabel263">
    <w:name w:val="ListLabel 263"/>
    <w:qFormat/>
    <w:rsid w:val="000952B8"/>
    <w:rPr>
      <w:rFonts w:cs="Wingdings"/>
    </w:rPr>
  </w:style>
  <w:style w:type="character" w:customStyle="1" w:styleId="ListLabel264">
    <w:name w:val="ListLabel 264"/>
    <w:qFormat/>
    <w:rsid w:val="000952B8"/>
    <w:rPr>
      <w:rFonts w:cs="Symbol"/>
    </w:rPr>
  </w:style>
  <w:style w:type="character" w:customStyle="1" w:styleId="ListLabel265">
    <w:name w:val="ListLabel 265"/>
    <w:qFormat/>
    <w:rsid w:val="000952B8"/>
    <w:rPr>
      <w:rFonts w:cs="Courier New"/>
    </w:rPr>
  </w:style>
  <w:style w:type="character" w:customStyle="1" w:styleId="ListLabel266">
    <w:name w:val="ListLabel 266"/>
    <w:qFormat/>
    <w:rsid w:val="000952B8"/>
    <w:rPr>
      <w:rFonts w:cs="Wingdings"/>
    </w:rPr>
  </w:style>
  <w:style w:type="character" w:customStyle="1" w:styleId="ListLabel267">
    <w:name w:val="ListLabel 267"/>
    <w:qFormat/>
    <w:rsid w:val="000952B8"/>
    <w:rPr>
      <w:rFonts w:cs="Symbol"/>
    </w:rPr>
  </w:style>
  <w:style w:type="character" w:customStyle="1" w:styleId="ListLabel268">
    <w:name w:val="ListLabel 268"/>
    <w:qFormat/>
    <w:rsid w:val="000952B8"/>
    <w:rPr>
      <w:rFonts w:cs="Courier New"/>
    </w:rPr>
  </w:style>
  <w:style w:type="character" w:customStyle="1" w:styleId="ListLabel269">
    <w:name w:val="ListLabel 269"/>
    <w:qFormat/>
    <w:rsid w:val="000952B8"/>
    <w:rPr>
      <w:rFonts w:cs="Wingdings"/>
    </w:rPr>
  </w:style>
  <w:style w:type="character" w:customStyle="1" w:styleId="ListLabel270">
    <w:name w:val="ListLabel 270"/>
    <w:qFormat/>
    <w:rsid w:val="000952B8"/>
    <w:rPr>
      <w:rFonts w:cs="Courier New"/>
    </w:rPr>
  </w:style>
  <w:style w:type="character" w:customStyle="1" w:styleId="ListLabel271">
    <w:name w:val="ListLabel 271"/>
    <w:qFormat/>
    <w:rsid w:val="000952B8"/>
    <w:rPr>
      <w:rFonts w:cs="Courier New"/>
    </w:rPr>
  </w:style>
  <w:style w:type="character" w:customStyle="1" w:styleId="ListLabel272">
    <w:name w:val="ListLabel 272"/>
    <w:qFormat/>
    <w:rsid w:val="000952B8"/>
    <w:rPr>
      <w:rFonts w:cs="Courier New"/>
    </w:rPr>
  </w:style>
  <w:style w:type="character" w:customStyle="1" w:styleId="ListLabel273">
    <w:name w:val="ListLabel 273"/>
    <w:qFormat/>
    <w:rsid w:val="000952B8"/>
    <w:rPr>
      <w:rFonts w:ascii="Open Sans" w:eastAsia="Times New Roman" w:hAnsi="Open Sans" w:cs="Open Sans"/>
      <w:b/>
      <w:sz w:val="21"/>
      <w:szCs w:val="21"/>
      <w:lang w:eastAsia="es-ES"/>
    </w:rPr>
  </w:style>
  <w:style w:type="character" w:customStyle="1" w:styleId="ListLabel274">
    <w:name w:val="ListLabel 274"/>
    <w:qFormat/>
    <w:rsid w:val="000952B8"/>
    <w:rPr>
      <w:rFonts w:ascii="Open Sans" w:eastAsia="Times New Roman" w:hAnsi="Open Sans" w:cs="Open Sans"/>
      <w:sz w:val="21"/>
      <w:szCs w:val="21"/>
      <w:lang w:eastAsia="es-ES"/>
    </w:rPr>
  </w:style>
  <w:style w:type="character" w:customStyle="1" w:styleId="ListLabel275">
    <w:name w:val="ListLabel 275"/>
    <w:qFormat/>
    <w:rsid w:val="000952B8"/>
    <w:rPr>
      <w:rFonts w:ascii="Open Sans" w:hAnsi="Open Sans" w:cs="Open Sans"/>
      <w:b/>
      <w:sz w:val="21"/>
      <w:szCs w:val="21"/>
    </w:rPr>
  </w:style>
  <w:style w:type="character" w:customStyle="1" w:styleId="ListLabel276">
    <w:name w:val="ListLabel 276"/>
    <w:qFormat/>
    <w:rsid w:val="000952B8"/>
    <w:rPr>
      <w:rFonts w:ascii="Open Sans" w:hAnsi="Open Sans" w:cs="Open Sans"/>
      <w:sz w:val="21"/>
      <w:szCs w:val="21"/>
    </w:rPr>
  </w:style>
  <w:style w:type="character" w:customStyle="1" w:styleId="ListLabel277">
    <w:name w:val="ListLabel 277"/>
    <w:qFormat/>
    <w:rsid w:val="000952B8"/>
    <w:rPr>
      <w:rFonts w:ascii="Open Sans" w:hAnsi="Open Sans" w:cs="Open Sans"/>
      <w:sz w:val="21"/>
      <w:szCs w:val="21"/>
    </w:rPr>
  </w:style>
  <w:style w:type="character" w:customStyle="1" w:styleId="ListLabel278">
    <w:name w:val="ListLabel 278"/>
    <w:qFormat/>
    <w:rsid w:val="000952B8"/>
    <w:rPr>
      <w:rFonts w:ascii="Open Sans" w:eastAsia="Times New Roman" w:hAnsi="Open Sans" w:cs="Open Sans"/>
      <w:i/>
      <w:sz w:val="21"/>
      <w:szCs w:val="21"/>
      <w:lang w:eastAsia="es-ES"/>
    </w:rPr>
  </w:style>
  <w:style w:type="character" w:customStyle="1" w:styleId="ListLabel279">
    <w:name w:val="ListLabel 279"/>
    <w:qFormat/>
    <w:rsid w:val="000952B8"/>
    <w:rPr>
      <w:rFonts w:eastAsia="Calibri"/>
      <w:sz w:val="21"/>
      <w:szCs w:val="21"/>
    </w:rPr>
  </w:style>
  <w:style w:type="character" w:customStyle="1" w:styleId="ListLabel280">
    <w:name w:val="ListLabel 280"/>
    <w:qFormat/>
    <w:rsid w:val="000952B8"/>
    <w:rPr>
      <w:rFonts w:ascii="Open Sans" w:eastAsia="Times New Roman" w:hAnsi="Open Sans" w:cs="Open Sans"/>
      <w:sz w:val="21"/>
      <w:szCs w:val="21"/>
      <w:u w:val="none"/>
      <w:lang w:eastAsia="es-ES"/>
    </w:rPr>
  </w:style>
  <w:style w:type="character" w:customStyle="1" w:styleId="ListLabel281">
    <w:name w:val="ListLabel 281"/>
    <w:qFormat/>
    <w:rsid w:val="000952B8"/>
    <w:rPr>
      <w:b/>
      <w:color w:val="932224"/>
      <w:sz w:val="21"/>
      <w:szCs w:val="21"/>
      <w:lang w:val="es-ES"/>
    </w:rPr>
  </w:style>
  <w:style w:type="character" w:customStyle="1" w:styleId="ListLabel282">
    <w:name w:val="ListLabel 282"/>
    <w:qFormat/>
    <w:rsid w:val="000952B8"/>
    <w:rPr>
      <w:color w:val="932224"/>
      <w:sz w:val="21"/>
      <w:szCs w:val="21"/>
      <w:shd w:val="clear" w:color="auto" w:fill="FFFFFF"/>
      <w:lang w:val="es-ES"/>
    </w:rPr>
  </w:style>
  <w:style w:type="character" w:customStyle="1" w:styleId="TextocomentarioCar1">
    <w:name w:val="Texto comentario Car1"/>
    <w:basedOn w:val="Fuentedeprrafopredeter"/>
    <w:uiPriority w:val="99"/>
    <w:semiHidden/>
    <w:qFormat/>
    <w:rsid w:val="000952B8"/>
    <w:rPr>
      <w:sz w:val="20"/>
      <w:szCs w:val="20"/>
    </w:rPr>
  </w:style>
  <w:style w:type="character" w:customStyle="1" w:styleId="AsuntodelcomentarioCar1">
    <w:name w:val="Asunto del comentario Car1"/>
    <w:basedOn w:val="TextocomentarioCar1"/>
    <w:uiPriority w:val="99"/>
    <w:semiHidden/>
    <w:qFormat/>
    <w:rsid w:val="000952B8"/>
    <w:rPr>
      <w:b/>
      <w:bCs/>
      <w:sz w:val="20"/>
      <w:szCs w:val="20"/>
    </w:rPr>
  </w:style>
  <w:style w:type="character" w:customStyle="1" w:styleId="TextodegloboCar1">
    <w:name w:val="Texto de globo Car1"/>
    <w:basedOn w:val="Fuentedeprrafopredeter"/>
    <w:uiPriority w:val="99"/>
    <w:semiHidden/>
    <w:qFormat/>
    <w:rsid w:val="000952B8"/>
    <w:rPr>
      <w:rFonts w:ascii="Segoe UI" w:hAnsi="Segoe UI" w:cs="Segoe UI"/>
      <w:sz w:val="18"/>
      <w:szCs w:val="18"/>
    </w:rPr>
  </w:style>
  <w:style w:type="character" w:customStyle="1" w:styleId="ListLabel283">
    <w:name w:val="ListLabel 283"/>
    <w:qFormat/>
    <w:rsid w:val="000952B8"/>
    <w:rPr>
      <w:rFonts w:ascii="Open Sans" w:hAnsi="Open Sans" w:cs="Symbol"/>
      <w:sz w:val="21"/>
    </w:rPr>
  </w:style>
  <w:style w:type="character" w:customStyle="1" w:styleId="ListLabel284">
    <w:name w:val="ListLabel 284"/>
    <w:qFormat/>
    <w:rsid w:val="000952B8"/>
    <w:rPr>
      <w:rFonts w:cs="Courier New"/>
      <w:sz w:val="20"/>
    </w:rPr>
  </w:style>
  <w:style w:type="character" w:customStyle="1" w:styleId="ListLabel285">
    <w:name w:val="ListLabel 285"/>
    <w:qFormat/>
    <w:rsid w:val="000952B8"/>
    <w:rPr>
      <w:rFonts w:cs="Wingdings"/>
      <w:sz w:val="20"/>
    </w:rPr>
  </w:style>
  <w:style w:type="character" w:customStyle="1" w:styleId="ListLabel286">
    <w:name w:val="ListLabel 286"/>
    <w:qFormat/>
    <w:rsid w:val="000952B8"/>
    <w:rPr>
      <w:rFonts w:cs="Wingdings"/>
      <w:sz w:val="20"/>
    </w:rPr>
  </w:style>
  <w:style w:type="character" w:customStyle="1" w:styleId="ListLabel287">
    <w:name w:val="ListLabel 287"/>
    <w:qFormat/>
    <w:rsid w:val="000952B8"/>
    <w:rPr>
      <w:rFonts w:cs="Wingdings"/>
      <w:sz w:val="20"/>
    </w:rPr>
  </w:style>
  <w:style w:type="character" w:customStyle="1" w:styleId="ListLabel288">
    <w:name w:val="ListLabel 288"/>
    <w:qFormat/>
    <w:rsid w:val="000952B8"/>
    <w:rPr>
      <w:rFonts w:cs="Wingdings"/>
      <w:sz w:val="20"/>
    </w:rPr>
  </w:style>
  <w:style w:type="character" w:customStyle="1" w:styleId="ListLabel289">
    <w:name w:val="ListLabel 289"/>
    <w:qFormat/>
    <w:rsid w:val="000952B8"/>
    <w:rPr>
      <w:rFonts w:cs="Wingdings"/>
      <w:sz w:val="20"/>
    </w:rPr>
  </w:style>
  <w:style w:type="character" w:customStyle="1" w:styleId="ListLabel290">
    <w:name w:val="ListLabel 290"/>
    <w:qFormat/>
    <w:rsid w:val="000952B8"/>
    <w:rPr>
      <w:rFonts w:cs="Wingdings"/>
      <w:sz w:val="20"/>
    </w:rPr>
  </w:style>
  <w:style w:type="character" w:customStyle="1" w:styleId="ListLabel291">
    <w:name w:val="ListLabel 291"/>
    <w:qFormat/>
    <w:rsid w:val="000952B8"/>
    <w:rPr>
      <w:rFonts w:cs="Wingdings"/>
      <w:sz w:val="20"/>
    </w:rPr>
  </w:style>
  <w:style w:type="character" w:customStyle="1" w:styleId="ListLabel292">
    <w:name w:val="ListLabel 292"/>
    <w:qFormat/>
    <w:rsid w:val="000952B8"/>
    <w:rPr>
      <w:rFonts w:cs="Open Sans"/>
      <w:sz w:val="21"/>
    </w:rPr>
  </w:style>
  <w:style w:type="character" w:customStyle="1" w:styleId="ListLabel293">
    <w:name w:val="ListLabel 293"/>
    <w:qFormat/>
    <w:rsid w:val="000952B8"/>
    <w:rPr>
      <w:rFonts w:cs="Courier New"/>
    </w:rPr>
  </w:style>
  <w:style w:type="character" w:customStyle="1" w:styleId="ListLabel294">
    <w:name w:val="ListLabel 294"/>
    <w:qFormat/>
    <w:rsid w:val="000952B8"/>
    <w:rPr>
      <w:rFonts w:cs="Wingdings"/>
    </w:rPr>
  </w:style>
  <w:style w:type="character" w:customStyle="1" w:styleId="ListLabel295">
    <w:name w:val="ListLabel 295"/>
    <w:qFormat/>
    <w:rsid w:val="000952B8"/>
    <w:rPr>
      <w:rFonts w:cs="Symbol"/>
    </w:rPr>
  </w:style>
  <w:style w:type="character" w:customStyle="1" w:styleId="ListLabel296">
    <w:name w:val="ListLabel 296"/>
    <w:qFormat/>
    <w:rsid w:val="000952B8"/>
    <w:rPr>
      <w:rFonts w:cs="Courier New"/>
    </w:rPr>
  </w:style>
  <w:style w:type="character" w:customStyle="1" w:styleId="ListLabel297">
    <w:name w:val="ListLabel 297"/>
    <w:qFormat/>
    <w:rsid w:val="000952B8"/>
    <w:rPr>
      <w:rFonts w:cs="Wingdings"/>
    </w:rPr>
  </w:style>
  <w:style w:type="character" w:customStyle="1" w:styleId="ListLabel298">
    <w:name w:val="ListLabel 298"/>
    <w:qFormat/>
    <w:rsid w:val="000952B8"/>
    <w:rPr>
      <w:rFonts w:cs="Symbol"/>
    </w:rPr>
  </w:style>
  <w:style w:type="character" w:customStyle="1" w:styleId="ListLabel299">
    <w:name w:val="ListLabel 299"/>
    <w:qFormat/>
    <w:rsid w:val="000952B8"/>
    <w:rPr>
      <w:rFonts w:cs="Courier New"/>
    </w:rPr>
  </w:style>
  <w:style w:type="character" w:customStyle="1" w:styleId="ListLabel300">
    <w:name w:val="ListLabel 300"/>
    <w:qFormat/>
    <w:rsid w:val="000952B8"/>
    <w:rPr>
      <w:rFonts w:cs="Wingdings"/>
    </w:rPr>
  </w:style>
  <w:style w:type="character" w:customStyle="1" w:styleId="ListLabel301">
    <w:name w:val="ListLabel 301"/>
    <w:qFormat/>
    <w:rsid w:val="000952B8"/>
    <w:rPr>
      <w:rFonts w:ascii="Open Sans" w:hAnsi="Open Sans" w:cs="Symbol"/>
      <w:sz w:val="21"/>
    </w:rPr>
  </w:style>
  <w:style w:type="character" w:customStyle="1" w:styleId="ListLabel302">
    <w:name w:val="ListLabel 302"/>
    <w:qFormat/>
    <w:rsid w:val="000952B8"/>
    <w:rPr>
      <w:rFonts w:cs="Open Sans"/>
    </w:rPr>
  </w:style>
  <w:style w:type="character" w:customStyle="1" w:styleId="ListLabel303">
    <w:name w:val="ListLabel 303"/>
    <w:qFormat/>
    <w:rsid w:val="000952B8"/>
    <w:rPr>
      <w:rFonts w:cs="Wingdings"/>
    </w:rPr>
  </w:style>
  <w:style w:type="character" w:customStyle="1" w:styleId="ListLabel304">
    <w:name w:val="ListLabel 304"/>
    <w:qFormat/>
    <w:rsid w:val="000952B8"/>
    <w:rPr>
      <w:rFonts w:cs="Symbol"/>
    </w:rPr>
  </w:style>
  <w:style w:type="character" w:customStyle="1" w:styleId="ListLabel305">
    <w:name w:val="ListLabel 305"/>
    <w:qFormat/>
    <w:rsid w:val="000952B8"/>
    <w:rPr>
      <w:rFonts w:cs="Courier New"/>
    </w:rPr>
  </w:style>
  <w:style w:type="character" w:customStyle="1" w:styleId="ListLabel306">
    <w:name w:val="ListLabel 306"/>
    <w:qFormat/>
    <w:rsid w:val="000952B8"/>
    <w:rPr>
      <w:rFonts w:cs="Wingdings"/>
    </w:rPr>
  </w:style>
  <w:style w:type="character" w:customStyle="1" w:styleId="ListLabel307">
    <w:name w:val="ListLabel 307"/>
    <w:qFormat/>
    <w:rsid w:val="000952B8"/>
    <w:rPr>
      <w:rFonts w:cs="Symbol"/>
    </w:rPr>
  </w:style>
  <w:style w:type="character" w:customStyle="1" w:styleId="ListLabel308">
    <w:name w:val="ListLabel 308"/>
    <w:qFormat/>
    <w:rsid w:val="000952B8"/>
    <w:rPr>
      <w:rFonts w:cs="Courier New"/>
    </w:rPr>
  </w:style>
  <w:style w:type="character" w:customStyle="1" w:styleId="ListLabel309">
    <w:name w:val="ListLabel 309"/>
    <w:qFormat/>
    <w:rsid w:val="000952B8"/>
    <w:rPr>
      <w:rFonts w:cs="Wingdings"/>
    </w:rPr>
  </w:style>
  <w:style w:type="character" w:customStyle="1" w:styleId="ListLabel310">
    <w:name w:val="ListLabel 310"/>
    <w:qFormat/>
    <w:rsid w:val="000952B8"/>
    <w:rPr>
      <w:rFonts w:cs="Courier New"/>
    </w:rPr>
  </w:style>
  <w:style w:type="character" w:customStyle="1" w:styleId="ListLabel311">
    <w:name w:val="ListLabel 311"/>
    <w:qFormat/>
    <w:rsid w:val="000952B8"/>
    <w:rPr>
      <w:rFonts w:cs="Wingdings"/>
    </w:rPr>
  </w:style>
  <w:style w:type="character" w:customStyle="1" w:styleId="ListLabel312">
    <w:name w:val="ListLabel 312"/>
    <w:qFormat/>
    <w:rsid w:val="000952B8"/>
    <w:rPr>
      <w:rFonts w:cs="Symbol"/>
    </w:rPr>
  </w:style>
  <w:style w:type="character" w:customStyle="1" w:styleId="ListLabel313">
    <w:name w:val="ListLabel 313"/>
    <w:qFormat/>
    <w:rsid w:val="000952B8"/>
    <w:rPr>
      <w:rFonts w:cs="Courier New"/>
    </w:rPr>
  </w:style>
  <w:style w:type="character" w:customStyle="1" w:styleId="ListLabel314">
    <w:name w:val="ListLabel 314"/>
    <w:qFormat/>
    <w:rsid w:val="000952B8"/>
    <w:rPr>
      <w:rFonts w:cs="Wingdings"/>
    </w:rPr>
  </w:style>
  <w:style w:type="character" w:customStyle="1" w:styleId="ListLabel315">
    <w:name w:val="ListLabel 315"/>
    <w:qFormat/>
    <w:rsid w:val="000952B8"/>
    <w:rPr>
      <w:rFonts w:cs="Symbol"/>
    </w:rPr>
  </w:style>
  <w:style w:type="character" w:customStyle="1" w:styleId="ListLabel316">
    <w:name w:val="ListLabel 316"/>
    <w:qFormat/>
    <w:rsid w:val="000952B8"/>
    <w:rPr>
      <w:rFonts w:cs="Courier New"/>
    </w:rPr>
  </w:style>
  <w:style w:type="character" w:customStyle="1" w:styleId="ListLabel317">
    <w:name w:val="ListLabel 317"/>
    <w:qFormat/>
    <w:rsid w:val="000952B8"/>
    <w:rPr>
      <w:rFonts w:cs="Wingdings"/>
    </w:rPr>
  </w:style>
  <w:style w:type="character" w:customStyle="1" w:styleId="ListLabel318">
    <w:name w:val="ListLabel 318"/>
    <w:qFormat/>
    <w:rsid w:val="000952B8"/>
    <w:rPr>
      <w:rFonts w:ascii="Open Sans" w:hAnsi="Open Sans" w:cs="Symbol"/>
      <w:sz w:val="21"/>
    </w:rPr>
  </w:style>
  <w:style w:type="character" w:customStyle="1" w:styleId="ListLabel319">
    <w:name w:val="ListLabel 319"/>
    <w:qFormat/>
    <w:rsid w:val="000952B8"/>
    <w:rPr>
      <w:rFonts w:cs="Courier New"/>
    </w:rPr>
  </w:style>
  <w:style w:type="character" w:customStyle="1" w:styleId="ListLabel320">
    <w:name w:val="ListLabel 320"/>
    <w:qFormat/>
    <w:rsid w:val="000952B8"/>
    <w:rPr>
      <w:rFonts w:cs="Wingdings"/>
    </w:rPr>
  </w:style>
  <w:style w:type="character" w:customStyle="1" w:styleId="ListLabel321">
    <w:name w:val="ListLabel 321"/>
    <w:qFormat/>
    <w:rsid w:val="000952B8"/>
    <w:rPr>
      <w:rFonts w:cs="Symbol"/>
    </w:rPr>
  </w:style>
  <w:style w:type="character" w:customStyle="1" w:styleId="ListLabel322">
    <w:name w:val="ListLabel 322"/>
    <w:qFormat/>
    <w:rsid w:val="000952B8"/>
    <w:rPr>
      <w:rFonts w:cs="Courier New"/>
    </w:rPr>
  </w:style>
  <w:style w:type="character" w:customStyle="1" w:styleId="ListLabel323">
    <w:name w:val="ListLabel 323"/>
    <w:qFormat/>
    <w:rsid w:val="000952B8"/>
    <w:rPr>
      <w:rFonts w:cs="Wingdings"/>
    </w:rPr>
  </w:style>
  <w:style w:type="character" w:customStyle="1" w:styleId="ListLabel324">
    <w:name w:val="ListLabel 324"/>
    <w:qFormat/>
    <w:rsid w:val="000952B8"/>
    <w:rPr>
      <w:rFonts w:cs="Symbol"/>
    </w:rPr>
  </w:style>
  <w:style w:type="character" w:customStyle="1" w:styleId="ListLabel325">
    <w:name w:val="ListLabel 325"/>
    <w:qFormat/>
    <w:rsid w:val="000952B8"/>
    <w:rPr>
      <w:rFonts w:cs="Courier New"/>
    </w:rPr>
  </w:style>
  <w:style w:type="character" w:customStyle="1" w:styleId="ListLabel326">
    <w:name w:val="ListLabel 326"/>
    <w:qFormat/>
    <w:rsid w:val="000952B8"/>
    <w:rPr>
      <w:rFonts w:cs="Wingdings"/>
    </w:rPr>
  </w:style>
  <w:style w:type="character" w:customStyle="1" w:styleId="ListLabel327">
    <w:name w:val="ListLabel 327"/>
    <w:qFormat/>
    <w:rsid w:val="000952B8"/>
    <w:rPr>
      <w:rFonts w:ascii="Open Sans" w:hAnsi="Open Sans"/>
      <w:sz w:val="21"/>
    </w:rPr>
  </w:style>
  <w:style w:type="character" w:customStyle="1" w:styleId="ListLabel328">
    <w:name w:val="ListLabel 328"/>
    <w:qFormat/>
    <w:rsid w:val="000952B8"/>
    <w:rPr>
      <w:rFonts w:cs="Courier New"/>
    </w:rPr>
  </w:style>
  <w:style w:type="character" w:customStyle="1" w:styleId="ListLabel329">
    <w:name w:val="ListLabel 329"/>
    <w:qFormat/>
    <w:rsid w:val="000952B8"/>
    <w:rPr>
      <w:rFonts w:cs="Wingdings"/>
    </w:rPr>
  </w:style>
  <w:style w:type="character" w:customStyle="1" w:styleId="ListLabel330">
    <w:name w:val="ListLabel 330"/>
    <w:qFormat/>
    <w:rsid w:val="000952B8"/>
    <w:rPr>
      <w:rFonts w:cs="Symbol"/>
    </w:rPr>
  </w:style>
  <w:style w:type="character" w:customStyle="1" w:styleId="ListLabel331">
    <w:name w:val="ListLabel 331"/>
    <w:qFormat/>
    <w:rsid w:val="000952B8"/>
    <w:rPr>
      <w:rFonts w:cs="Courier New"/>
    </w:rPr>
  </w:style>
  <w:style w:type="character" w:customStyle="1" w:styleId="ListLabel332">
    <w:name w:val="ListLabel 332"/>
    <w:qFormat/>
    <w:rsid w:val="000952B8"/>
    <w:rPr>
      <w:rFonts w:cs="Wingdings"/>
    </w:rPr>
  </w:style>
  <w:style w:type="character" w:customStyle="1" w:styleId="ListLabel333">
    <w:name w:val="ListLabel 333"/>
    <w:qFormat/>
    <w:rsid w:val="000952B8"/>
    <w:rPr>
      <w:rFonts w:cs="Symbol"/>
    </w:rPr>
  </w:style>
  <w:style w:type="character" w:customStyle="1" w:styleId="ListLabel334">
    <w:name w:val="ListLabel 334"/>
    <w:qFormat/>
    <w:rsid w:val="000952B8"/>
    <w:rPr>
      <w:rFonts w:cs="Courier New"/>
    </w:rPr>
  </w:style>
  <w:style w:type="character" w:customStyle="1" w:styleId="ListLabel335">
    <w:name w:val="ListLabel 335"/>
    <w:qFormat/>
    <w:rsid w:val="000952B8"/>
    <w:rPr>
      <w:rFonts w:cs="Wingdings"/>
    </w:rPr>
  </w:style>
  <w:style w:type="character" w:customStyle="1" w:styleId="ListLabel336">
    <w:name w:val="ListLabel 336"/>
    <w:qFormat/>
    <w:rsid w:val="000952B8"/>
    <w:rPr>
      <w:rFonts w:ascii="Open Sans" w:hAnsi="Open Sans"/>
      <w:sz w:val="21"/>
    </w:rPr>
  </w:style>
  <w:style w:type="character" w:customStyle="1" w:styleId="ListLabel337">
    <w:name w:val="ListLabel 337"/>
    <w:qFormat/>
    <w:rsid w:val="000952B8"/>
    <w:rPr>
      <w:rFonts w:cs="Courier New"/>
    </w:rPr>
  </w:style>
  <w:style w:type="character" w:customStyle="1" w:styleId="ListLabel338">
    <w:name w:val="ListLabel 338"/>
    <w:qFormat/>
    <w:rsid w:val="000952B8"/>
    <w:rPr>
      <w:rFonts w:cs="Wingdings"/>
    </w:rPr>
  </w:style>
  <w:style w:type="character" w:customStyle="1" w:styleId="ListLabel339">
    <w:name w:val="ListLabel 339"/>
    <w:qFormat/>
    <w:rsid w:val="000952B8"/>
    <w:rPr>
      <w:rFonts w:cs="Symbol"/>
    </w:rPr>
  </w:style>
  <w:style w:type="character" w:customStyle="1" w:styleId="ListLabel340">
    <w:name w:val="ListLabel 340"/>
    <w:qFormat/>
    <w:rsid w:val="000952B8"/>
    <w:rPr>
      <w:rFonts w:cs="Courier New"/>
    </w:rPr>
  </w:style>
  <w:style w:type="character" w:customStyle="1" w:styleId="ListLabel341">
    <w:name w:val="ListLabel 341"/>
    <w:qFormat/>
    <w:rsid w:val="000952B8"/>
    <w:rPr>
      <w:rFonts w:cs="Wingdings"/>
    </w:rPr>
  </w:style>
  <w:style w:type="character" w:customStyle="1" w:styleId="ListLabel342">
    <w:name w:val="ListLabel 342"/>
    <w:qFormat/>
    <w:rsid w:val="000952B8"/>
    <w:rPr>
      <w:rFonts w:cs="Symbol"/>
    </w:rPr>
  </w:style>
  <w:style w:type="character" w:customStyle="1" w:styleId="ListLabel343">
    <w:name w:val="ListLabel 343"/>
    <w:qFormat/>
    <w:rsid w:val="000952B8"/>
    <w:rPr>
      <w:rFonts w:cs="Courier New"/>
    </w:rPr>
  </w:style>
  <w:style w:type="character" w:customStyle="1" w:styleId="ListLabel344">
    <w:name w:val="ListLabel 344"/>
    <w:qFormat/>
    <w:rsid w:val="000952B8"/>
    <w:rPr>
      <w:rFonts w:cs="Wingdings"/>
    </w:rPr>
  </w:style>
  <w:style w:type="character" w:customStyle="1" w:styleId="ListLabel345">
    <w:name w:val="ListLabel 345"/>
    <w:qFormat/>
    <w:rsid w:val="000952B8"/>
    <w:rPr>
      <w:rFonts w:ascii="Open Sans" w:eastAsia="Times New Roman" w:hAnsi="Open Sans" w:cs="Open Sans"/>
      <w:b/>
      <w:sz w:val="21"/>
      <w:szCs w:val="21"/>
      <w:lang w:eastAsia="es-ES"/>
    </w:rPr>
  </w:style>
  <w:style w:type="character" w:customStyle="1" w:styleId="ListLabel346">
    <w:name w:val="ListLabel 346"/>
    <w:qFormat/>
    <w:rsid w:val="000952B8"/>
    <w:rPr>
      <w:rFonts w:ascii="Open Sans" w:eastAsia="Times New Roman" w:hAnsi="Open Sans" w:cs="Open Sans"/>
      <w:sz w:val="21"/>
      <w:szCs w:val="21"/>
      <w:lang w:eastAsia="es-ES"/>
    </w:rPr>
  </w:style>
  <w:style w:type="character" w:customStyle="1" w:styleId="ListLabel347">
    <w:name w:val="ListLabel 347"/>
    <w:qFormat/>
    <w:rsid w:val="000952B8"/>
    <w:rPr>
      <w:rFonts w:ascii="Open Sans" w:eastAsia="Times New Roman" w:hAnsi="Open Sans" w:cs="Open Sans"/>
      <w:sz w:val="21"/>
      <w:szCs w:val="21"/>
      <w:lang w:eastAsia="es-ES"/>
    </w:rPr>
  </w:style>
  <w:style w:type="character" w:customStyle="1" w:styleId="ListLabel348">
    <w:name w:val="ListLabel 348"/>
    <w:qFormat/>
    <w:rsid w:val="000952B8"/>
    <w:rPr>
      <w:rFonts w:ascii="Open Sans" w:eastAsia="Times New Roman" w:hAnsi="Open Sans" w:cs="Open Sans"/>
      <w:sz w:val="20"/>
      <w:szCs w:val="20"/>
      <w:lang w:eastAsia="es-ES"/>
    </w:rPr>
  </w:style>
  <w:style w:type="character" w:customStyle="1" w:styleId="ListLabel349">
    <w:name w:val="ListLabel 349"/>
    <w:qFormat/>
    <w:rsid w:val="000952B8"/>
    <w:rPr>
      <w:rFonts w:ascii="Open Sans" w:hAnsi="Open Sans" w:cs="Open Sans"/>
      <w:sz w:val="21"/>
      <w:szCs w:val="21"/>
    </w:rPr>
  </w:style>
  <w:style w:type="character" w:customStyle="1" w:styleId="ListLabel350">
    <w:name w:val="ListLabel 350"/>
    <w:qFormat/>
    <w:rsid w:val="000952B8"/>
    <w:rPr>
      <w:rFonts w:ascii="Open Sans" w:eastAsia="Times New Roman" w:hAnsi="Open Sans" w:cs="Open Sans"/>
      <w:i/>
      <w:sz w:val="21"/>
      <w:szCs w:val="21"/>
      <w:lang w:eastAsia="es-ES"/>
    </w:rPr>
  </w:style>
  <w:style w:type="character" w:customStyle="1" w:styleId="ListLabel351">
    <w:name w:val="ListLabel 351"/>
    <w:qFormat/>
    <w:rsid w:val="000952B8"/>
    <w:rPr>
      <w:rFonts w:eastAsia="Calibri"/>
      <w:sz w:val="21"/>
      <w:szCs w:val="21"/>
    </w:rPr>
  </w:style>
  <w:style w:type="character" w:customStyle="1" w:styleId="ListLabel352">
    <w:name w:val="ListLabel 352"/>
    <w:qFormat/>
    <w:rsid w:val="000952B8"/>
    <w:rPr>
      <w:rFonts w:ascii="Open Sans" w:hAnsi="Open Sans" w:cs="Open Sans"/>
      <w:sz w:val="21"/>
      <w:szCs w:val="21"/>
    </w:rPr>
  </w:style>
  <w:style w:type="character" w:customStyle="1" w:styleId="ListLabel353">
    <w:name w:val="ListLabel 353"/>
    <w:qFormat/>
    <w:rsid w:val="000952B8"/>
  </w:style>
  <w:style w:type="character" w:customStyle="1" w:styleId="ListLabel354">
    <w:name w:val="ListLabel 354"/>
    <w:qFormat/>
    <w:rsid w:val="000952B8"/>
  </w:style>
  <w:style w:type="character" w:customStyle="1" w:styleId="ListLabel355">
    <w:name w:val="ListLabel 355"/>
    <w:qFormat/>
    <w:rsid w:val="000952B8"/>
    <w:rPr>
      <w:rFonts w:ascii="Open Sans" w:hAnsi="Open Sans" w:cs="Symbol"/>
      <w:sz w:val="21"/>
    </w:rPr>
  </w:style>
  <w:style w:type="character" w:customStyle="1" w:styleId="ListLabel356">
    <w:name w:val="ListLabel 356"/>
    <w:qFormat/>
    <w:rsid w:val="000952B8"/>
    <w:rPr>
      <w:rFonts w:cs="Courier New"/>
      <w:sz w:val="20"/>
    </w:rPr>
  </w:style>
  <w:style w:type="character" w:customStyle="1" w:styleId="ListLabel357">
    <w:name w:val="ListLabel 357"/>
    <w:qFormat/>
    <w:rsid w:val="000952B8"/>
    <w:rPr>
      <w:rFonts w:cs="Wingdings"/>
      <w:sz w:val="20"/>
    </w:rPr>
  </w:style>
  <w:style w:type="character" w:customStyle="1" w:styleId="ListLabel358">
    <w:name w:val="ListLabel 358"/>
    <w:qFormat/>
    <w:rsid w:val="000952B8"/>
    <w:rPr>
      <w:rFonts w:cs="Wingdings"/>
      <w:sz w:val="20"/>
    </w:rPr>
  </w:style>
  <w:style w:type="character" w:customStyle="1" w:styleId="ListLabel359">
    <w:name w:val="ListLabel 359"/>
    <w:qFormat/>
    <w:rsid w:val="000952B8"/>
    <w:rPr>
      <w:rFonts w:cs="Wingdings"/>
      <w:sz w:val="20"/>
    </w:rPr>
  </w:style>
  <w:style w:type="character" w:customStyle="1" w:styleId="ListLabel360">
    <w:name w:val="ListLabel 360"/>
    <w:qFormat/>
    <w:rsid w:val="000952B8"/>
    <w:rPr>
      <w:rFonts w:cs="Wingdings"/>
      <w:sz w:val="20"/>
    </w:rPr>
  </w:style>
  <w:style w:type="character" w:customStyle="1" w:styleId="ListLabel361">
    <w:name w:val="ListLabel 361"/>
    <w:qFormat/>
    <w:rsid w:val="000952B8"/>
    <w:rPr>
      <w:rFonts w:cs="Wingdings"/>
      <w:sz w:val="20"/>
    </w:rPr>
  </w:style>
  <w:style w:type="character" w:customStyle="1" w:styleId="ListLabel362">
    <w:name w:val="ListLabel 362"/>
    <w:qFormat/>
    <w:rsid w:val="000952B8"/>
    <w:rPr>
      <w:rFonts w:cs="Wingdings"/>
      <w:sz w:val="20"/>
    </w:rPr>
  </w:style>
  <w:style w:type="character" w:customStyle="1" w:styleId="ListLabel363">
    <w:name w:val="ListLabel 363"/>
    <w:qFormat/>
    <w:rsid w:val="000952B8"/>
    <w:rPr>
      <w:rFonts w:cs="Wingdings"/>
      <w:sz w:val="20"/>
    </w:rPr>
  </w:style>
  <w:style w:type="character" w:customStyle="1" w:styleId="ListLabel364">
    <w:name w:val="ListLabel 364"/>
    <w:qFormat/>
    <w:rsid w:val="000952B8"/>
    <w:rPr>
      <w:rFonts w:ascii="Open Sans" w:hAnsi="Open Sans" w:cs="Symbol"/>
      <w:sz w:val="21"/>
    </w:rPr>
  </w:style>
  <w:style w:type="character" w:customStyle="1" w:styleId="ListLabel365">
    <w:name w:val="ListLabel 365"/>
    <w:qFormat/>
    <w:rsid w:val="000952B8"/>
    <w:rPr>
      <w:rFonts w:cs="Open Sans"/>
    </w:rPr>
  </w:style>
  <w:style w:type="character" w:customStyle="1" w:styleId="ListLabel366">
    <w:name w:val="ListLabel 366"/>
    <w:qFormat/>
    <w:rsid w:val="000952B8"/>
    <w:rPr>
      <w:rFonts w:cs="Wingdings"/>
    </w:rPr>
  </w:style>
  <w:style w:type="character" w:customStyle="1" w:styleId="ListLabel367">
    <w:name w:val="ListLabel 367"/>
    <w:qFormat/>
    <w:rsid w:val="000952B8"/>
    <w:rPr>
      <w:rFonts w:cs="Symbol"/>
    </w:rPr>
  </w:style>
  <w:style w:type="character" w:customStyle="1" w:styleId="ListLabel368">
    <w:name w:val="ListLabel 368"/>
    <w:qFormat/>
    <w:rsid w:val="000952B8"/>
    <w:rPr>
      <w:rFonts w:cs="Courier New"/>
    </w:rPr>
  </w:style>
  <w:style w:type="character" w:customStyle="1" w:styleId="ListLabel369">
    <w:name w:val="ListLabel 369"/>
    <w:qFormat/>
    <w:rsid w:val="000952B8"/>
    <w:rPr>
      <w:rFonts w:cs="Wingdings"/>
    </w:rPr>
  </w:style>
  <w:style w:type="character" w:customStyle="1" w:styleId="ListLabel370">
    <w:name w:val="ListLabel 370"/>
    <w:qFormat/>
    <w:rsid w:val="000952B8"/>
    <w:rPr>
      <w:rFonts w:cs="Symbol"/>
    </w:rPr>
  </w:style>
  <w:style w:type="character" w:customStyle="1" w:styleId="ListLabel371">
    <w:name w:val="ListLabel 371"/>
    <w:qFormat/>
    <w:rsid w:val="000952B8"/>
    <w:rPr>
      <w:rFonts w:cs="Courier New"/>
    </w:rPr>
  </w:style>
  <w:style w:type="character" w:customStyle="1" w:styleId="ListLabel372">
    <w:name w:val="ListLabel 372"/>
    <w:qFormat/>
    <w:rsid w:val="000952B8"/>
    <w:rPr>
      <w:rFonts w:cs="Wingdings"/>
    </w:rPr>
  </w:style>
  <w:style w:type="character" w:customStyle="1" w:styleId="ListLabel373">
    <w:name w:val="ListLabel 373"/>
    <w:qFormat/>
    <w:rsid w:val="000952B8"/>
    <w:rPr>
      <w:rFonts w:ascii="Open Sans" w:hAnsi="Open Sans" w:cs="Symbol"/>
      <w:sz w:val="21"/>
    </w:rPr>
  </w:style>
  <w:style w:type="character" w:customStyle="1" w:styleId="ListLabel374">
    <w:name w:val="ListLabel 374"/>
    <w:qFormat/>
    <w:rsid w:val="000952B8"/>
    <w:rPr>
      <w:rFonts w:cs="Courier New"/>
    </w:rPr>
  </w:style>
  <w:style w:type="character" w:customStyle="1" w:styleId="ListLabel375">
    <w:name w:val="ListLabel 375"/>
    <w:qFormat/>
    <w:rsid w:val="000952B8"/>
    <w:rPr>
      <w:rFonts w:cs="Wingdings"/>
    </w:rPr>
  </w:style>
  <w:style w:type="character" w:customStyle="1" w:styleId="ListLabel376">
    <w:name w:val="ListLabel 376"/>
    <w:qFormat/>
    <w:rsid w:val="000952B8"/>
    <w:rPr>
      <w:rFonts w:cs="Symbol"/>
    </w:rPr>
  </w:style>
  <w:style w:type="character" w:customStyle="1" w:styleId="ListLabel377">
    <w:name w:val="ListLabel 377"/>
    <w:qFormat/>
    <w:rsid w:val="000952B8"/>
    <w:rPr>
      <w:rFonts w:cs="Courier New"/>
    </w:rPr>
  </w:style>
  <w:style w:type="character" w:customStyle="1" w:styleId="ListLabel378">
    <w:name w:val="ListLabel 378"/>
    <w:qFormat/>
    <w:rsid w:val="000952B8"/>
    <w:rPr>
      <w:rFonts w:cs="Wingdings"/>
    </w:rPr>
  </w:style>
  <w:style w:type="character" w:customStyle="1" w:styleId="ListLabel379">
    <w:name w:val="ListLabel 379"/>
    <w:qFormat/>
    <w:rsid w:val="000952B8"/>
    <w:rPr>
      <w:rFonts w:cs="Symbol"/>
    </w:rPr>
  </w:style>
  <w:style w:type="character" w:customStyle="1" w:styleId="ListLabel380">
    <w:name w:val="ListLabel 380"/>
    <w:qFormat/>
    <w:rsid w:val="000952B8"/>
    <w:rPr>
      <w:rFonts w:cs="Courier New"/>
    </w:rPr>
  </w:style>
  <w:style w:type="character" w:customStyle="1" w:styleId="ListLabel381">
    <w:name w:val="ListLabel 381"/>
    <w:qFormat/>
    <w:rsid w:val="000952B8"/>
    <w:rPr>
      <w:rFonts w:cs="Wingdings"/>
    </w:rPr>
  </w:style>
  <w:style w:type="character" w:customStyle="1" w:styleId="ListLabel382">
    <w:name w:val="ListLabel 382"/>
    <w:qFormat/>
    <w:rsid w:val="000952B8"/>
    <w:rPr>
      <w:rFonts w:ascii="Open Sans" w:hAnsi="Open Sans" w:cs="Symbol"/>
      <w:sz w:val="21"/>
    </w:rPr>
  </w:style>
  <w:style w:type="character" w:customStyle="1" w:styleId="ListLabel383">
    <w:name w:val="ListLabel 383"/>
    <w:qFormat/>
    <w:rsid w:val="000952B8"/>
    <w:rPr>
      <w:rFonts w:cs="Courier New"/>
    </w:rPr>
  </w:style>
  <w:style w:type="character" w:customStyle="1" w:styleId="ListLabel384">
    <w:name w:val="ListLabel 384"/>
    <w:qFormat/>
    <w:rsid w:val="000952B8"/>
    <w:rPr>
      <w:rFonts w:cs="Wingdings"/>
    </w:rPr>
  </w:style>
  <w:style w:type="character" w:customStyle="1" w:styleId="ListLabel385">
    <w:name w:val="ListLabel 385"/>
    <w:qFormat/>
    <w:rsid w:val="000952B8"/>
    <w:rPr>
      <w:rFonts w:cs="Symbol"/>
    </w:rPr>
  </w:style>
  <w:style w:type="character" w:customStyle="1" w:styleId="ListLabel386">
    <w:name w:val="ListLabel 386"/>
    <w:qFormat/>
    <w:rsid w:val="000952B8"/>
    <w:rPr>
      <w:rFonts w:cs="Courier New"/>
    </w:rPr>
  </w:style>
  <w:style w:type="character" w:customStyle="1" w:styleId="ListLabel387">
    <w:name w:val="ListLabel 387"/>
    <w:qFormat/>
    <w:rsid w:val="000952B8"/>
    <w:rPr>
      <w:rFonts w:cs="Wingdings"/>
    </w:rPr>
  </w:style>
  <w:style w:type="character" w:customStyle="1" w:styleId="ListLabel388">
    <w:name w:val="ListLabel 388"/>
    <w:qFormat/>
    <w:rsid w:val="000952B8"/>
    <w:rPr>
      <w:rFonts w:cs="Symbol"/>
    </w:rPr>
  </w:style>
  <w:style w:type="character" w:customStyle="1" w:styleId="ListLabel389">
    <w:name w:val="ListLabel 389"/>
    <w:qFormat/>
    <w:rsid w:val="000952B8"/>
    <w:rPr>
      <w:rFonts w:cs="Courier New"/>
    </w:rPr>
  </w:style>
  <w:style w:type="character" w:customStyle="1" w:styleId="ListLabel390">
    <w:name w:val="ListLabel 390"/>
    <w:qFormat/>
    <w:rsid w:val="000952B8"/>
    <w:rPr>
      <w:rFonts w:cs="Wingdings"/>
    </w:rPr>
  </w:style>
  <w:style w:type="character" w:customStyle="1" w:styleId="ListLabel391">
    <w:name w:val="ListLabel 391"/>
    <w:qFormat/>
    <w:rsid w:val="000952B8"/>
    <w:rPr>
      <w:rFonts w:ascii="Open Sans" w:hAnsi="Open Sans" w:cs="Symbol"/>
      <w:sz w:val="21"/>
    </w:rPr>
  </w:style>
  <w:style w:type="character" w:customStyle="1" w:styleId="ListLabel392">
    <w:name w:val="ListLabel 392"/>
    <w:qFormat/>
    <w:rsid w:val="000952B8"/>
    <w:rPr>
      <w:rFonts w:cs="Courier New"/>
    </w:rPr>
  </w:style>
  <w:style w:type="character" w:customStyle="1" w:styleId="ListLabel393">
    <w:name w:val="ListLabel 393"/>
    <w:qFormat/>
    <w:rsid w:val="000952B8"/>
    <w:rPr>
      <w:rFonts w:cs="Wingdings"/>
    </w:rPr>
  </w:style>
  <w:style w:type="character" w:customStyle="1" w:styleId="ListLabel394">
    <w:name w:val="ListLabel 394"/>
    <w:qFormat/>
    <w:rsid w:val="000952B8"/>
    <w:rPr>
      <w:rFonts w:cs="Symbol"/>
    </w:rPr>
  </w:style>
  <w:style w:type="character" w:customStyle="1" w:styleId="ListLabel395">
    <w:name w:val="ListLabel 395"/>
    <w:qFormat/>
    <w:rsid w:val="000952B8"/>
    <w:rPr>
      <w:rFonts w:cs="Courier New"/>
    </w:rPr>
  </w:style>
  <w:style w:type="character" w:customStyle="1" w:styleId="ListLabel396">
    <w:name w:val="ListLabel 396"/>
    <w:qFormat/>
    <w:rsid w:val="000952B8"/>
    <w:rPr>
      <w:rFonts w:cs="Wingdings"/>
    </w:rPr>
  </w:style>
  <w:style w:type="character" w:customStyle="1" w:styleId="ListLabel397">
    <w:name w:val="ListLabel 397"/>
    <w:qFormat/>
    <w:rsid w:val="000952B8"/>
    <w:rPr>
      <w:rFonts w:cs="Symbol"/>
    </w:rPr>
  </w:style>
  <w:style w:type="character" w:customStyle="1" w:styleId="ListLabel398">
    <w:name w:val="ListLabel 398"/>
    <w:qFormat/>
    <w:rsid w:val="000952B8"/>
    <w:rPr>
      <w:rFonts w:cs="Courier New"/>
    </w:rPr>
  </w:style>
  <w:style w:type="character" w:customStyle="1" w:styleId="ListLabel399">
    <w:name w:val="ListLabel 399"/>
    <w:qFormat/>
    <w:rsid w:val="000952B8"/>
    <w:rPr>
      <w:rFonts w:cs="Wingdings"/>
    </w:rPr>
  </w:style>
  <w:style w:type="character" w:customStyle="1" w:styleId="ListLabel400">
    <w:name w:val="ListLabel 400"/>
    <w:qFormat/>
    <w:rsid w:val="000952B8"/>
    <w:rPr>
      <w:rFonts w:ascii="Open Sans" w:eastAsia="Times New Roman" w:hAnsi="Open Sans" w:cs="Open Sans"/>
      <w:b/>
      <w:sz w:val="21"/>
      <w:szCs w:val="21"/>
      <w:lang w:eastAsia="es-ES"/>
    </w:rPr>
  </w:style>
  <w:style w:type="character" w:customStyle="1" w:styleId="ListLabel401">
    <w:name w:val="ListLabel 401"/>
    <w:qFormat/>
    <w:rsid w:val="000952B8"/>
    <w:rPr>
      <w:rFonts w:ascii="Open Sans" w:eastAsia="Times New Roman" w:hAnsi="Open Sans" w:cs="Open Sans"/>
      <w:sz w:val="21"/>
      <w:szCs w:val="21"/>
      <w:lang w:eastAsia="es-ES"/>
    </w:rPr>
  </w:style>
  <w:style w:type="character" w:customStyle="1" w:styleId="ListLabel402">
    <w:name w:val="ListLabel 402"/>
    <w:qFormat/>
    <w:rsid w:val="000952B8"/>
    <w:rPr>
      <w:rFonts w:ascii="Open Sans" w:eastAsia="Times New Roman" w:hAnsi="Open Sans" w:cs="Open Sans"/>
      <w:sz w:val="20"/>
      <w:szCs w:val="20"/>
      <w:lang w:eastAsia="es-ES"/>
    </w:rPr>
  </w:style>
  <w:style w:type="character" w:customStyle="1" w:styleId="ListLabel403">
    <w:name w:val="ListLabel 403"/>
    <w:qFormat/>
    <w:rsid w:val="000952B8"/>
    <w:rPr>
      <w:rFonts w:ascii="Open Sans" w:hAnsi="Open Sans" w:cs="Open Sans"/>
      <w:sz w:val="21"/>
      <w:szCs w:val="21"/>
    </w:rPr>
  </w:style>
  <w:style w:type="character" w:customStyle="1" w:styleId="ListLabel404">
    <w:name w:val="ListLabel 404"/>
    <w:qFormat/>
    <w:rsid w:val="000952B8"/>
    <w:rPr>
      <w:rFonts w:ascii="Open Sans" w:eastAsia="Times New Roman" w:hAnsi="Open Sans" w:cs="Open Sans"/>
      <w:i/>
      <w:sz w:val="21"/>
      <w:szCs w:val="21"/>
      <w:lang w:eastAsia="es-ES"/>
    </w:rPr>
  </w:style>
  <w:style w:type="character" w:customStyle="1" w:styleId="ListLabel405">
    <w:name w:val="ListLabel 405"/>
    <w:qFormat/>
    <w:rsid w:val="000952B8"/>
    <w:rPr>
      <w:rFonts w:eastAsia="Calibri"/>
      <w:sz w:val="21"/>
      <w:szCs w:val="21"/>
    </w:rPr>
  </w:style>
  <w:style w:type="character" w:customStyle="1" w:styleId="ListLabel406">
    <w:name w:val="ListLabel 406"/>
    <w:qFormat/>
    <w:rsid w:val="000952B8"/>
  </w:style>
  <w:style w:type="character" w:customStyle="1" w:styleId="ListLabel407">
    <w:name w:val="ListLabel 407"/>
    <w:qFormat/>
    <w:rsid w:val="000952B8"/>
  </w:style>
  <w:style w:type="character" w:customStyle="1" w:styleId="ListLabel408">
    <w:name w:val="ListLabel 408"/>
    <w:qFormat/>
    <w:rsid w:val="000952B8"/>
    <w:rPr>
      <w:rFonts w:ascii="Open Sans" w:hAnsi="Open Sans" w:cs="Symbol"/>
      <w:sz w:val="21"/>
    </w:rPr>
  </w:style>
  <w:style w:type="character" w:customStyle="1" w:styleId="ListLabel409">
    <w:name w:val="ListLabel 409"/>
    <w:qFormat/>
    <w:rsid w:val="000952B8"/>
    <w:rPr>
      <w:rFonts w:cs="Courier New"/>
      <w:sz w:val="20"/>
    </w:rPr>
  </w:style>
  <w:style w:type="character" w:customStyle="1" w:styleId="ListLabel410">
    <w:name w:val="ListLabel 410"/>
    <w:qFormat/>
    <w:rsid w:val="000952B8"/>
    <w:rPr>
      <w:rFonts w:cs="Wingdings"/>
      <w:sz w:val="20"/>
    </w:rPr>
  </w:style>
  <w:style w:type="character" w:customStyle="1" w:styleId="ListLabel411">
    <w:name w:val="ListLabel 411"/>
    <w:qFormat/>
    <w:rsid w:val="000952B8"/>
    <w:rPr>
      <w:rFonts w:cs="Wingdings"/>
      <w:sz w:val="20"/>
    </w:rPr>
  </w:style>
  <w:style w:type="character" w:customStyle="1" w:styleId="ListLabel412">
    <w:name w:val="ListLabel 412"/>
    <w:qFormat/>
    <w:rsid w:val="000952B8"/>
    <w:rPr>
      <w:rFonts w:cs="Wingdings"/>
      <w:sz w:val="20"/>
    </w:rPr>
  </w:style>
  <w:style w:type="character" w:customStyle="1" w:styleId="ListLabel413">
    <w:name w:val="ListLabel 413"/>
    <w:qFormat/>
    <w:rsid w:val="000952B8"/>
    <w:rPr>
      <w:rFonts w:cs="Wingdings"/>
      <w:sz w:val="20"/>
    </w:rPr>
  </w:style>
  <w:style w:type="character" w:customStyle="1" w:styleId="ListLabel414">
    <w:name w:val="ListLabel 414"/>
    <w:qFormat/>
    <w:rsid w:val="000952B8"/>
    <w:rPr>
      <w:rFonts w:cs="Wingdings"/>
      <w:sz w:val="20"/>
    </w:rPr>
  </w:style>
  <w:style w:type="character" w:customStyle="1" w:styleId="ListLabel415">
    <w:name w:val="ListLabel 415"/>
    <w:qFormat/>
    <w:rsid w:val="000952B8"/>
    <w:rPr>
      <w:rFonts w:cs="Wingdings"/>
      <w:sz w:val="20"/>
    </w:rPr>
  </w:style>
  <w:style w:type="character" w:customStyle="1" w:styleId="ListLabel416">
    <w:name w:val="ListLabel 416"/>
    <w:qFormat/>
    <w:rsid w:val="000952B8"/>
    <w:rPr>
      <w:rFonts w:cs="Wingdings"/>
      <w:sz w:val="20"/>
    </w:rPr>
  </w:style>
  <w:style w:type="character" w:customStyle="1" w:styleId="ListLabel417">
    <w:name w:val="ListLabel 417"/>
    <w:qFormat/>
    <w:rsid w:val="000952B8"/>
    <w:rPr>
      <w:rFonts w:ascii="Open Sans" w:hAnsi="Open Sans" w:cs="Symbol"/>
      <w:sz w:val="21"/>
    </w:rPr>
  </w:style>
  <w:style w:type="character" w:customStyle="1" w:styleId="ListLabel418">
    <w:name w:val="ListLabel 418"/>
    <w:qFormat/>
    <w:rsid w:val="000952B8"/>
    <w:rPr>
      <w:rFonts w:cs="Open Sans"/>
    </w:rPr>
  </w:style>
  <w:style w:type="character" w:customStyle="1" w:styleId="ListLabel419">
    <w:name w:val="ListLabel 419"/>
    <w:qFormat/>
    <w:rsid w:val="000952B8"/>
    <w:rPr>
      <w:rFonts w:cs="Wingdings"/>
    </w:rPr>
  </w:style>
  <w:style w:type="character" w:customStyle="1" w:styleId="ListLabel420">
    <w:name w:val="ListLabel 420"/>
    <w:qFormat/>
    <w:rsid w:val="000952B8"/>
    <w:rPr>
      <w:rFonts w:cs="Symbol"/>
    </w:rPr>
  </w:style>
  <w:style w:type="character" w:customStyle="1" w:styleId="ListLabel421">
    <w:name w:val="ListLabel 421"/>
    <w:qFormat/>
    <w:rsid w:val="000952B8"/>
    <w:rPr>
      <w:rFonts w:cs="Courier New"/>
    </w:rPr>
  </w:style>
  <w:style w:type="character" w:customStyle="1" w:styleId="ListLabel422">
    <w:name w:val="ListLabel 422"/>
    <w:qFormat/>
    <w:rsid w:val="000952B8"/>
    <w:rPr>
      <w:rFonts w:cs="Wingdings"/>
    </w:rPr>
  </w:style>
  <w:style w:type="character" w:customStyle="1" w:styleId="ListLabel423">
    <w:name w:val="ListLabel 423"/>
    <w:qFormat/>
    <w:rsid w:val="000952B8"/>
    <w:rPr>
      <w:rFonts w:cs="Symbol"/>
    </w:rPr>
  </w:style>
  <w:style w:type="character" w:customStyle="1" w:styleId="ListLabel424">
    <w:name w:val="ListLabel 424"/>
    <w:qFormat/>
    <w:rsid w:val="000952B8"/>
    <w:rPr>
      <w:rFonts w:cs="Courier New"/>
    </w:rPr>
  </w:style>
  <w:style w:type="character" w:customStyle="1" w:styleId="ListLabel425">
    <w:name w:val="ListLabel 425"/>
    <w:qFormat/>
    <w:rsid w:val="000952B8"/>
    <w:rPr>
      <w:rFonts w:cs="Wingdings"/>
    </w:rPr>
  </w:style>
  <w:style w:type="character" w:customStyle="1" w:styleId="ListLabel426">
    <w:name w:val="ListLabel 426"/>
    <w:qFormat/>
    <w:rsid w:val="000952B8"/>
    <w:rPr>
      <w:rFonts w:ascii="Open Sans" w:hAnsi="Open Sans" w:cs="Symbol"/>
      <w:sz w:val="21"/>
    </w:rPr>
  </w:style>
  <w:style w:type="character" w:customStyle="1" w:styleId="ListLabel427">
    <w:name w:val="ListLabel 427"/>
    <w:qFormat/>
    <w:rsid w:val="000952B8"/>
    <w:rPr>
      <w:rFonts w:cs="Courier New"/>
    </w:rPr>
  </w:style>
  <w:style w:type="character" w:customStyle="1" w:styleId="ListLabel428">
    <w:name w:val="ListLabel 428"/>
    <w:qFormat/>
    <w:rsid w:val="000952B8"/>
    <w:rPr>
      <w:rFonts w:cs="Wingdings"/>
    </w:rPr>
  </w:style>
  <w:style w:type="character" w:customStyle="1" w:styleId="ListLabel429">
    <w:name w:val="ListLabel 429"/>
    <w:qFormat/>
    <w:rsid w:val="000952B8"/>
    <w:rPr>
      <w:rFonts w:cs="Symbol"/>
    </w:rPr>
  </w:style>
  <w:style w:type="character" w:customStyle="1" w:styleId="ListLabel430">
    <w:name w:val="ListLabel 430"/>
    <w:qFormat/>
    <w:rsid w:val="000952B8"/>
    <w:rPr>
      <w:rFonts w:cs="Courier New"/>
    </w:rPr>
  </w:style>
  <w:style w:type="character" w:customStyle="1" w:styleId="ListLabel431">
    <w:name w:val="ListLabel 431"/>
    <w:qFormat/>
    <w:rsid w:val="000952B8"/>
    <w:rPr>
      <w:rFonts w:cs="Wingdings"/>
    </w:rPr>
  </w:style>
  <w:style w:type="character" w:customStyle="1" w:styleId="ListLabel432">
    <w:name w:val="ListLabel 432"/>
    <w:qFormat/>
    <w:rsid w:val="000952B8"/>
    <w:rPr>
      <w:rFonts w:cs="Symbol"/>
    </w:rPr>
  </w:style>
  <w:style w:type="character" w:customStyle="1" w:styleId="ListLabel433">
    <w:name w:val="ListLabel 433"/>
    <w:qFormat/>
    <w:rsid w:val="000952B8"/>
    <w:rPr>
      <w:rFonts w:cs="Courier New"/>
    </w:rPr>
  </w:style>
  <w:style w:type="character" w:customStyle="1" w:styleId="ListLabel434">
    <w:name w:val="ListLabel 434"/>
    <w:qFormat/>
    <w:rsid w:val="000952B8"/>
    <w:rPr>
      <w:rFonts w:cs="Wingdings"/>
    </w:rPr>
  </w:style>
  <w:style w:type="character" w:customStyle="1" w:styleId="ListLabel435">
    <w:name w:val="ListLabel 435"/>
    <w:qFormat/>
    <w:rsid w:val="000952B8"/>
    <w:rPr>
      <w:rFonts w:ascii="Open Sans" w:hAnsi="Open Sans" w:cs="Symbol"/>
      <w:sz w:val="21"/>
    </w:rPr>
  </w:style>
  <w:style w:type="character" w:customStyle="1" w:styleId="ListLabel436">
    <w:name w:val="ListLabel 436"/>
    <w:qFormat/>
    <w:rsid w:val="000952B8"/>
    <w:rPr>
      <w:rFonts w:cs="Courier New"/>
    </w:rPr>
  </w:style>
  <w:style w:type="character" w:customStyle="1" w:styleId="ListLabel437">
    <w:name w:val="ListLabel 437"/>
    <w:qFormat/>
    <w:rsid w:val="000952B8"/>
    <w:rPr>
      <w:rFonts w:cs="Wingdings"/>
    </w:rPr>
  </w:style>
  <w:style w:type="character" w:customStyle="1" w:styleId="ListLabel438">
    <w:name w:val="ListLabel 438"/>
    <w:qFormat/>
    <w:rsid w:val="000952B8"/>
    <w:rPr>
      <w:rFonts w:cs="Symbol"/>
    </w:rPr>
  </w:style>
  <w:style w:type="character" w:customStyle="1" w:styleId="ListLabel439">
    <w:name w:val="ListLabel 439"/>
    <w:qFormat/>
    <w:rsid w:val="000952B8"/>
    <w:rPr>
      <w:rFonts w:cs="Courier New"/>
    </w:rPr>
  </w:style>
  <w:style w:type="character" w:customStyle="1" w:styleId="ListLabel440">
    <w:name w:val="ListLabel 440"/>
    <w:qFormat/>
    <w:rsid w:val="000952B8"/>
    <w:rPr>
      <w:rFonts w:cs="Wingdings"/>
    </w:rPr>
  </w:style>
  <w:style w:type="character" w:customStyle="1" w:styleId="ListLabel441">
    <w:name w:val="ListLabel 441"/>
    <w:qFormat/>
    <w:rsid w:val="000952B8"/>
    <w:rPr>
      <w:rFonts w:cs="Symbol"/>
    </w:rPr>
  </w:style>
  <w:style w:type="character" w:customStyle="1" w:styleId="ListLabel442">
    <w:name w:val="ListLabel 442"/>
    <w:qFormat/>
    <w:rsid w:val="000952B8"/>
    <w:rPr>
      <w:rFonts w:cs="Courier New"/>
    </w:rPr>
  </w:style>
  <w:style w:type="character" w:customStyle="1" w:styleId="ListLabel443">
    <w:name w:val="ListLabel 443"/>
    <w:qFormat/>
    <w:rsid w:val="000952B8"/>
    <w:rPr>
      <w:rFonts w:cs="Wingdings"/>
    </w:rPr>
  </w:style>
  <w:style w:type="character" w:customStyle="1" w:styleId="ListLabel444">
    <w:name w:val="ListLabel 444"/>
    <w:qFormat/>
    <w:rsid w:val="000952B8"/>
    <w:rPr>
      <w:rFonts w:ascii="Open Sans" w:hAnsi="Open Sans" w:cs="Symbol"/>
      <w:sz w:val="21"/>
    </w:rPr>
  </w:style>
  <w:style w:type="character" w:customStyle="1" w:styleId="ListLabel445">
    <w:name w:val="ListLabel 445"/>
    <w:qFormat/>
    <w:rsid w:val="000952B8"/>
    <w:rPr>
      <w:rFonts w:cs="Courier New"/>
    </w:rPr>
  </w:style>
  <w:style w:type="character" w:customStyle="1" w:styleId="ListLabel446">
    <w:name w:val="ListLabel 446"/>
    <w:qFormat/>
    <w:rsid w:val="000952B8"/>
    <w:rPr>
      <w:rFonts w:cs="Wingdings"/>
    </w:rPr>
  </w:style>
  <w:style w:type="character" w:customStyle="1" w:styleId="ListLabel447">
    <w:name w:val="ListLabel 447"/>
    <w:qFormat/>
    <w:rsid w:val="000952B8"/>
    <w:rPr>
      <w:rFonts w:cs="Symbol"/>
    </w:rPr>
  </w:style>
  <w:style w:type="character" w:customStyle="1" w:styleId="ListLabel448">
    <w:name w:val="ListLabel 448"/>
    <w:qFormat/>
    <w:rsid w:val="000952B8"/>
    <w:rPr>
      <w:rFonts w:cs="Courier New"/>
    </w:rPr>
  </w:style>
  <w:style w:type="character" w:customStyle="1" w:styleId="ListLabel449">
    <w:name w:val="ListLabel 449"/>
    <w:qFormat/>
    <w:rsid w:val="000952B8"/>
    <w:rPr>
      <w:rFonts w:cs="Wingdings"/>
    </w:rPr>
  </w:style>
  <w:style w:type="character" w:customStyle="1" w:styleId="ListLabel450">
    <w:name w:val="ListLabel 450"/>
    <w:qFormat/>
    <w:rsid w:val="000952B8"/>
    <w:rPr>
      <w:rFonts w:cs="Symbol"/>
    </w:rPr>
  </w:style>
  <w:style w:type="character" w:customStyle="1" w:styleId="ListLabel451">
    <w:name w:val="ListLabel 451"/>
    <w:qFormat/>
    <w:rsid w:val="000952B8"/>
    <w:rPr>
      <w:rFonts w:cs="Courier New"/>
    </w:rPr>
  </w:style>
  <w:style w:type="character" w:customStyle="1" w:styleId="ListLabel452">
    <w:name w:val="ListLabel 452"/>
    <w:qFormat/>
    <w:rsid w:val="000952B8"/>
    <w:rPr>
      <w:rFonts w:cs="Wingdings"/>
    </w:rPr>
  </w:style>
  <w:style w:type="character" w:customStyle="1" w:styleId="ListLabel453">
    <w:name w:val="ListLabel 453"/>
    <w:qFormat/>
    <w:rsid w:val="000952B8"/>
    <w:rPr>
      <w:rFonts w:ascii="Open Sans" w:eastAsia="Times New Roman" w:hAnsi="Open Sans" w:cs="Open Sans"/>
      <w:b/>
      <w:sz w:val="21"/>
      <w:szCs w:val="21"/>
      <w:lang w:eastAsia="es-ES"/>
    </w:rPr>
  </w:style>
  <w:style w:type="character" w:customStyle="1" w:styleId="ListLabel454">
    <w:name w:val="ListLabel 454"/>
    <w:qFormat/>
    <w:rsid w:val="000952B8"/>
    <w:rPr>
      <w:rFonts w:ascii="Open Sans" w:eastAsia="Times New Roman" w:hAnsi="Open Sans" w:cs="Open Sans"/>
      <w:sz w:val="21"/>
      <w:szCs w:val="21"/>
      <w:lang w:eastAsia="es-ES"/>
    </w:rPr>
  </w:style>
  <w:style w:type="character" w:customStyle="1" w:styleId="ListLabel455">
    <w:name w:val="ListLabel 455"/>
    <w:qFormat/>
    <w:rsid w:val="000952B8"/>
    <w:rPr>
      <w:rFonts w:ascii="Open Sans" w:eastAsia="Times New Roman" w:hAnsi="Open Sans" w:cs="Open Sans"/>
      <w:sz w:val="20"/>
      <w:szCs w:val="20"/>
      <w:lang w:eastAsia="es-ES"/>
    </w:rPr>
  </w:style>
  <w:style w:type="character" w:customStyle="1" w:styleId="ListLabel456">
    <w:name w:val="ListLabel 456"/>
    <w:qFormat/>
    <w:rsid w:val="000952B8"/>
    <w:rPr>
      <w:rFonts w:ascii="Open Sans" w:hAnsi="Open Sans" w:cs="Open Sans"/>
      <w:sz w:val="21"/>
      <w:szCs w:val="21"/>
    </w:rPr>
  </w:style>
  <w:style w:type="character" w:customStyle="1" w:styleId="ListLabel457">
    <w:name w:val="ListLabel 457"/>
    <w:qFormat/>
    <w:rsid w:val="000952B8"/>
    <w:rPr>
      <w:rFonts w:ascii="Open Sans" w:eastAsia="Times New Roman" w:hAnsi="Open Sans" w:cs="Open Sans"/>
      <w:i/>
      <w:sz w:val="21"/>
      <w:szCs w:val="21"/>
      <w:lang w:eastAsia="es-ES"/>
    </w:rPr>
  </w:style>
  <w:style w:type="character" w:customStyle="1" w:styleId="ListLabel458">
    <w:name w:val="ListLabel 458"/>
    <w:qFormat/>
    <w:rsid w:val="000952B8"/>
    <w:rPr>
      <w:rFonts w:eastAsia="Calibri"/>
      <w:sz w:val="21"/>
      <w:szCs w:val="21"/>
    </w:rPr>
  </w:style>
  <w:style w:type="character" w:customStyle="1" w:styleId="ListLabel459">
    <w:name w:val="ListLabel 459"/>
    <w:qFormat/>
    <w:rsid w:val="000952B8"/>
  </w:style>
  <w:style w:type="character" w:customStyle="1" w:styleId="ListLabel460">
    <w:name w:val="ListLabel 460"/>
    <w:qFormat/>
    <w:rsid w:val="000952B8"/>
  </w:style>
  <w:style w:type="character" w:customStyle="1" w:styleId="ListLabel461">
    <w:name w:val="ListLabel 461"/>
    <w:qFormat/>
    <w:rsid w:val="000952B8"/>
    <w:rPr>
      <w:rFonts w:ascii="Open Sans" w:hAnsi="Open Sans" w:cs="Symbol"/>
      <w:sz w:val="21"/>
    </w:rPr>
  </w:style>
  <w:style w:type="character" w:customStyle="1" w:styleId="ListLabel462">
    <w:name w:val="ListLabel 462"/>
    <w:qFormat/>
    <w:rsid w:val="000952B8"/>
    <w:rPr>
      <w:rFonts w:cs="Courier New"/>
      <w:sz w:val="20"/>
    </w:rPr>
  </w:style>
  <w:style w:type="character" w:customStyle="1" w:styleId="ListLabel463">
    <w:name w:val="ListLabel 463"/>
    <w:qFormat/>
    <w:rsid w:val="000952B8"/>
    <w:rPr>
      <w:rFonts w:cs="Wingdings"/>
      <w:sz w:val="20"/>
    </w:rPr>
  </w:style>
  <w:style w:type="character" w:customStyle="1" w:styleId="ListLabel464">
    <w:name w:val="ListLabel 464"/>
    <w:qFormat/>
    <w:rsid w:val="000952B8"/>
    <w:rPr>
      <w:rFonts w:cs="Wingdings"/>
      <w:sz w:val="20"/>
    </w:rPr>
  </w:style>
  <w:style w:type="character" w:customStyle="1" w:styleId="ListLabel465">
    <w:name w:val="ListLabel 465"/>
    <w:qFormat/>
    <w:rsid w:val="000952B8"/>
    <w:rPr>
      <w:rFonts w:cs="Wingdings"/>
      <w:sz w:val="20"/>
    </w:rPr>
  </w:style>
  <w:style w:type="character" w:customStyle="1" w:styleId="ListLabel466">
    <w:name w:val="ListLabel 466"/>
    <w:qFormat/>
    <w:rsid w:val="000952B8"/>
    <w:rPr>
      <w:rFonts w:cs="Wingdings"/>
      <w:sz w:val="20"/>
    </w:rPr>
  </w:style>
  <w:style w:type="character" w:customStyle="1" w:styleId="ListLabel467">
    <w:name w:val="ListLabel 467"/>
    <w:qFormat/>
    <w:rsid w:val="000952B8"/>
    <w:rPr>
      <w:rFonts w:cs="Wingdings"/>
      <w:sz w:val="20"/>
    </w:rPr>
  </w:style>
  <w:style w:type="character" w:customStyle="1" w:styleId="ListLabel468">
    <w:name w:val="ListLabel 468"/>
    <w:qFormat/>
    <w:rsid w:val="000952B8"/>
    <w:rPr>
      <w:rFonts w:cs="Wingdings"/>
      <w:sz w:val="20"/>
    </w:rPr>
  </w:style>
  <w:style w:type="character" w:customStyle="1" w:styleId="ListLabel469">
    <w:name w:val="ListLabel 469"/>
    <w:qFormat/>
    <w:rsid w:val="000952B8"/>
    <w:rPr>
      <w:rFonts w:cs="Wingdings"/>
      <w:sz w:val="20"/>
    </w:rPr>
  </w:style>
  <w:style w:type="character" w:customStyle="1" w:styleId="ListLabel470">
    <w:name w:val="ListLabel 470"/>
    <w:qFormat/>
    <w:rsid w:val="000952B8"/>
    <w:rPr>
      <w:rFonts w:ascii="Open Sans" w:hAnsi="Open Sans" w:cs="Symbol"/>
      <w:sz w:val="21"/>
    </w:rPr>
  </w:style>
  <w:style w:type="character" w:customStyle="1" w:styleId="ListLabel471">
    <w:name w:val="ListLabel 471"/>
    <w:qFormat/>
    <w:rsid w:val="000952B8"/>
    <w:rPr>
      <w:rFonts w:cs="Open Sans"/>
    </w:rPr>
  </w:style>
  <w:style w:type="character" w:customStyle="1" w:styleId="ListLabel472">
    <w:name w:val="ListLabel 472"/>
    <w:qFormat/>
    <w:rsid w:val="000952B8"/>
    <w:rPr>
      <w:rFonts w:cs="Wingdings"/>
    </w:rPr>
  </w:style>
  <w:style w:type="character" w:customStyle="1" w:styleId="ListLabel473">
    <w:name w:val="ListLabel 473"/>
    <w:qFormat/>
    <w:rsid w:val="000952B8"/>
    <w:rPr>
      <w:rFonts w:cs="Symbol"/>
    </w:rPr>
  </w:style>
  <w:style w:type="character" w:customStyle="1" w:styleId="ListLabel474">
    <w:name w:val="ListLabel 474"/>
    <w:qFormat/>
    <w:rsid w:val="000952B8"/>
    <w:rPr>
      <w:rFonts w:cs="Courier New"/>
    </w:rPr>
  </w:style>
  <w:style w:type="character" w:customStyle="1" w:styleId="ListLabel475">
    <w:name w:val="ListLabel 475"/>
    <w:qFormat/>
    <w:rsid w:val="000952B8"/>
    <w:rPr>
      <w:rFonts w:cs="Wingdings"/>
    </w:rPr>
  </w:style>
  <w:style w:type="character" w:customStyle="1" w:styleId="ListLabel476">
    <w:name w:val="ListLabel 476"/>
    <w:qFormat/>
    <w:rsid w:val="000952B8"/>
    <w:rPr>
      <w:rFonts w:cs="Symbol"/>
    </w:rPr>
  </w:style>
  <w:style w:type="character" w:customStyle="1" w:styleId="ListLabel477">
    <w:name w:val="ListLabel 477"/>
    <w:qFormat/>
    <w:rsid w:val="000952B8"/>
    <w:rPr>
      <w:rFonts w:cs="Courier New"/>
    </w:rPr>
  </w:style>
  <w:style w:type="character" w:customStyle="1" w:styleId="ListLabel478">
    <w:name w:val="ListLabel 478"/>
    <w:qFormat/>
    <w:rsid w:val="000952B8"/>
    <w:rPr>
      <w:rFonts w:cs="Wingdings"/>
    </w:rPr>
  </w:style>
  <w:style w:type="character" w:customStyle="1" w:styleId="ListLabel479">
    <w:name w:val="ListLabel 479"/>
    <w:qFormat/>
    <w:rsid w:val="000952B8"/>
    <w:rPr>
      <w:rFonts w:ascii="Open Sans" w:hAnsi="Open Sans" w:cs="Symbol"/>
      <w:sz w:val="21"/>
    </w:rPr>
  </w:style>
  <w:style w:type="character" w:customStyle="1" w:styleId="ListLabel480">
    <w:name w:val="ListLabel 480"/>
    <w:qFormat/>
    <w:rsid w:val="000952B8"/>
    <w:rPr>
      <w:rFonts w:cs="Courier New"/>
    </w:rPr>
  </w:style>
  <w:style w:type="character" w:customStyle="1" w:styleId="ListLabel481">
    <w:name w:val="ListLabel 481"/>
    <w:qFormat/>
    <w:rsid w:val="000952B8"/>
    <w:rPr>
      <w:rFonts w:cs="Wingdings"/>
    </w:rPr>
  </w:style>
  <w:style w:type="character" w:customStyle="1" w:styleId="ListLabel482">
    <w:name w:val="ListLabel 482"/>
    <w:qFormat/>
    <w:rsid w:val="000952B8"/>
    <w:rPr>
      <w:rFonts w:cs="Symbol"/>
    </w:rPr>
  </w:style>
  <w:style w:type="character" w:customStyle="1" w:styleId="ListLabel483">
    <w:name w:val="ListLabel 483"/>
    <w:qFormat/>
    <w:rsid w:val="000952B8"/>
    <w:rPr>
      <w:rFonts w:cs="Courier New"/>
    </w:rPr>
  </w:style>
  <w:style w:type="character" w:customStyle="1" w:styleId="ListLabel484">
    <w:name w:val="ListLabel 484"/>
    <w:qFormat/>
    <w:rsid w:val="000952B8"/>
    <w:rPr>
      <w:rFonts w:cs="Wingdings"/>
    </w:rPr>
  </w:style>
  <w:style w:type="character" w:customStyle="1" w:styleId="ListLabel485">
    <w:name w:val="ListLabel 485"/>
    <w:qFormat/>
    <w:rsid w:val="000952B8"/>
    <w:rPr>
      <w:rFonts w:cs="Symbol"/>
    </w:rPr>
  </w:style>
  <w:style w:type="character" w:customStyle="1" w:styleId="ListLabel486">
    <w:name w:val="ListLabel 486"/>
    <w:qFormat/>
    <w:rsid w:val="000952B8"/>
    <w:rPr>
      <w:rFonts w:cs="Courier New"/>
    </w:rPr>
  </w:style>
  <w:style w:type="character" w:customStyle="1" w:styleId="ListLabel487">
    <w:name w:val="ListLabel 487"/>
    <w:qFormat/>
    <w:rsid w:val="000952B8"/>
    <w:rPr>
      <w:rFonts w:cs="Wingdings"/>
    </w:rPr>
  </w:style>
  <w:style w:type="character" w:customStyle="1" w:styleId="ListLabel488">
    <w:name w:val="ListLabel 488"/>
    <w:qFormat/>
    <w:rsid w:val="000952B8"/>
    <w:rPr>
      <w:rFonts w:ascii="Open Sans" w:hAnsi="Open Sans" w:cs="Symbol"/>
      <w:sz w:val="21"/>
    </w:rPr>
  </w:style>
  <w:style w:type="character" w:customStyle="1" w:styleId="ListLabel489">
    <w:name w:val="ListLabel 489"/>
    <w:qFormat/>
    <w:rsid w:val="000952B8"/>
    <w:rPr>
      <w:rFonts w:cs="Courier New"/>
    </w:rPr>
  </w:style>
  <w:style w:type="character" w:customStyle="1" w:styleId="ListLabel490">
    <w:name w:val="ListLabel 490"/>
    <w:qFormat/>
    <w:rsid w:val="000952B8"/>
    <w:rPr>
      <w:rFonts w:cs="Wingdings"/>
    </w:rPr>
  </w:style>
  <w:style w:type="character" w:customStyle="1" w:styleId="ListLabel491">
    <w:name w:val="ListLabel 491"/>
    <w:qFormat/>
    <w:rsid w:val="000952B8"/>
    <w:rPr>
      <w:rFonts w:cs="Symbol"/>
    </w:rPr>
  </w:style>
  <w:style w:type="character" w:customStyle="1" w:styleId="ListLabel492">
    <w:name w:val="ListLabel 492"/>
    <w:qFormat/>
    <w:rsid w:val="000952B8"/>
    <w:rPr>
      <w:rFonts w:cs="Courier New"/>
    </w:rPr>
  </w:style>
  <w:style w:type="character" w:customStyle="1" w:styleId="ListLabel493">
    <w:name w:val="ListLabel 493"/>
    <w:qFormat/>
    <w:rsid w:val="000952B8"/>
    <w:rPr>
      <w:rFonts w:cs="Wingdings"/>
    </w:rPr>
  </w:style>
  <w:style w:type="character" w:customStyle="1" w:styleId="ListLabel494">
    <w:name w:val="ListLabel 494"/>
    <w:qFormat/>
    <w:rsid w:val="000952B8"/>
    <w:rPr>
      <w:rFonts w:cs="Symbol"/>
    </w:rPr>
  </w:style>
  <w:style w:type="character" w:customStyle="1" w:styleId="ListLabel495">
    <w:name w:val="ListLabel 495"/>
    <w:qFormat/>
    <w:rsid w:val="000952B8"/>
    <w:rPr>
      <w:rFonts w:cs="Courier New"/>
    </w:rPr>
  </w:style>
  <w:style w:type="character" w:customStyle="1" w:styleId="ListLabel496">
    <w:name w:val="ListLabel 496"/>
    <w:qFormat/>
    <w:rsid w:val="000952B8"/>
    <w:rPr>
      <w:rFonts w:cs="Wingdings"/>
    </w:rPr>
  </w:style>
  <w:style w:type="character" w:customStyle="1" w:styleId="ListLabel497">
    <w:name w:val="ListLabel 497"/>
    <w:qFormat/>
    <w:rsid w:val="000952B8"/>
    <w:rPr>
      <w:rFonts w:ascii="Open Sans" w:hAnsi="Open Sans" w:cs="Symbol"/>
      <w:sz w:val="21"/>
    </w:rPr>
  </w:style>
  <w:style w:type="character" w:customStyle="1" w:styleId="ListLabel498">
    <w:name w:val="ListLabel 498"/>
    <w:qFormat/>
    <w:rsid w:val="000952B8"/>
    <w:rPr>
      <w:rFonts w:cs="Courier New"/>
    </w:rPr>
  </w:style>
  <w:style w:type="character" w:customStyle="1" w:styleId="ListLabel499">
    <w:name w:val="ListLabel 499"/>
    <w:qFormat/>
    <w:rsid w:val="000952B8"/>
    <w:rPr>
      <w:rFonts w:cs="Wingdings"/>
    </w:rPr>
  </w:style>
  <w:style w:type="character" w:customStyle="1" w:styleId="ListLabel500">
    <w:name w:val="ListLabel 500"/>
    <w:qFormat/>
    <w:rsid w:val="000952B8"/>
    <w:rPr>
      <w:rFonts w:cs="Symbol"/>
    </w:rPr>
  </w:style>
  <w:style w:type="character" w:customStyle="1" w:styleId="ListLabel501">
    <w:name w:val="ListLabel 501"/>
    <w:qFormat/>
    <w:rsid w:val="000952B8"/>
    <w:rPr>
      <w:rFonts w:cs="Courier New"/>
    </w:rPr>
  </w:style>
  <w:style w:type="character" w:customStyle="1" w:styleId="ListLabel502">
    <w:name w:val="ListLabel 502"/>
    <w:qFormat/>
    <w:rsid w:val="000952B8"/>
    <w:rPr>
      <w:rFonts w:cs="Wingdings"/>
    </w:rPr>
  </w:style>
  <w:style w:type="character" w:customStyle="1" w:styleId="ListLabel503">
    <w:name w:val="ListLabel 503"/>
    <w:qFormat/>
    <w:rsid w:val="000952B8"/>
    <w:rPr>
      <w:rFonts w:cs="Symbol"/>
    </w:rPr>
  </w:style>
  <w:style w:type="character" w:customStyle="1" w:styleId="ListLabel504">
    <w:name w:val="ListLabel 504"/>
    <w:qFormat/>
    <w:rsid w:val="000952B8"/>
    <w:rPr>
      <w:rFonts w:cs="Courier New"/>
    </w:rPr>
  </w:style>
  <w:style w:type="character" w:customStyle="1" w:styleId="ListLabel505">
    <w:name w:val="ListLabel 505"/>
    <w:qFormat/>
    <w:rsid w:val="000952B8"/>
    <w:rPr>
      <w:rFonts w:cs="Wingdings"/>
    </w:rPr>
  </w:style>
  <w:style w:type="character" w:customStyle="1" w:styleId="ListLabel506">
    <w:name w:val="ListLabel 506"/>
    <w:qFormat/>
    <w:rsid w:val="000952B8"/>
    <w:rPr>
      <w:rFonts w:ascii="Open Sans" w:eastAsia="Times New Roman" w:hAnsi="Open Sans" w:cs="Open Sans"/>
      <w:b/>
      <w:sz w:val="21"/>
      <w:szCs w:val="21"/>
      <w:lang w:eastAsia="es-ES"/>
    </w:rPr>
  </w:style>
  <w:style w:type="character" w:customStyle="1" w:styleId="ListLabel507">
    <w:name w:val="ListLabel 507"/>
    <w:qFormat/>
    <w:rsid w:val="000952B8"/>
    <w:rPr>
      <w:rFonts w:ascii="Open Sans" w:eastAsia="Times New Roman" w:hAnsi="Open Sans" w:cs="Open Sans"/>
      <w:sz w:val="21"/>
      <w:szCs w:val="21"/>
      <w:lang w:eastAsia="es-ES"/>
    </w:rPr>
  </w:style>
  <w:style w:type="character" w:customStyle="1" w:styleId="ListLabel508">
    <w:name w:val="ListLabel 508"/>
    <w:qFormat/>
    <w:rsid w:val="000952B8"/>
    <w:rPr>
      <w:rFonts w:ascii="Open Sans" w:eastAsia="Times New Roman" w:hAnsi="Open Sans" w:cs="Open Sans"/>
      <w:sz w:val="20"/>
      <w:szCs w:val="20"/>
      <w:lang w:eastAsia="es-ES"/>
    </w:rPr>
  </w:style>
  <w:style w:type="character" w:customStyle="1" w:styleId="ListLabel509">
    <w:name w:val="ListLabel 509"/>
    <w:qFormat/>
    <w:rsid w:val="000952B8"/>
    <w:rPr>
      <w:rFonts w:ascii="Open Sans" w:hAnsi="Open Sans" w:cs="Open Sans"/>
      <w:sz w:val="21"/>
      <w:szCs w:val="21"/>
    </w:rPr>
  </w:style>
  <w:style w:type="character" w:customStyle="1" w:styleId="ListLabel510">
    <w:name w:val="ListLabel 510"/>
    <w:qFormat/>
    <w:rsid w:val="000952B8"/>
    <w:rPr>
      <w:rFonts w:ascii="Open Sans" w:eastAsia="Times New Roman" w:hAnsi="Open Sans" w:cs="Open Sans"/>
      <w:i/>
      <w:sz w:val="21"/>
      <w:szCs w:val="21"/>
      <w:lang w:eastAsia="es-ES"/>
    </w:rPr>
  </w:style>
  <w:style w:type="character" w:customStyle="1" w:styleId="ListLabel511">
    <w:name w:val="ListLabel 511"/>
    <w:qFormat/>
    <w:rsid w:val="000952B8"/>
    <w:rPr>
      <w:rFonts w:eastAsia="Calibri"/>
      <w:sz w:val="21"/>
      <w:szCs w:val="21"/>
    </w:rPr>
  </w:style>
  <w:style w:type="character" w:customStyle="1" w:styleId="ListLabel512">
    <w:name w:val="ListLabel 512"/>
    <w:qFormat/>
    <w:rsid w:val="000952B8"/>
  </w:style>
  <w:style w:type="character" w:customStyle="1" w:styleId="ListLabel513">
    <w:name w:val="ListLabel 513"/>
    <w:qFormat/>
    <w:rsid w:val="000952B8"/>
  </w:style>
  <w:style w:type="character" w:customStyle="1" w:styleId="ListLabel514">
    <w:name w:val="ListLabel 514"/>
    <w:qFormat/>
    <w:rsid w:val="000952B8"/>
    <w:rPr>
      <w:rFonts w:ascii="Open Sans" w:hAnsi="Open Sans" w:cs="Symbol"/>
      <w:sz w:val="21"/>
    </w:rPr>
  </w:style>
  <w:style w:type="character" w:customStyle="1" w:styleId="ListLabel515">
    <w:name w:val="ListLabel 515"/>
    <w:qFormat/>
    <w:rsid w:val="000952B8"/>
    <w:rPr>
      <w:rFonts w:cs="Courier New"/>
      <w:sz w:val="20"/>
    </w:rPr>
  </w:style>
  <w:style w:type="character" w:customStyle="1" w:styleId="ListLabel516">
    <w:name w:val="ListLabel 516"/>
    <w:qFormat/>
    <w:rsid w:val="000952B8"/>
    <w:rPr>
      <w:rFonts w:cs="Wingdings"/>
      <w:sz w:val="20"/>
    </w:rPr>
  </w:style>
  <w:style w:type="character" w:customStyle="1" w:styleId="ListLabel517">
    <w:name w:val="ListLabel 517"/>
    <w:qFormat/>
    <w:rsid w:val="000952B8"/>
    <w:rPr>
      <w:rFonts w:cs="Wingdings"/>
      <w:sz w:val="20"/>
    </w:rPr>
  </w:style>
  <w:style w:type="character" w:customStyle="1" w:styleId="ListLabel518">
    <w:name w:val="ListLabel 518"/>
    <w:qFormat/>
    <w:rsid w:val="000952B8"/>
    <w:rPr>
      <w:rFonts w:cs="Wingdings"/>
      <w:sz w:val="20"/>
    </w:rPr>
  </w:style>
  <w:style w:type="character" w:customStyle="1" w:styleId="ListLabel519">
    <w:name w:val="ListLabel 519"/>
    <w:qFormat/>
    <w:rsid w:val="000952B8"/>
    <w:rPr>
      <w:rFonts w:cs="Wingdings"/>
      <w:sz w:val="20"/>
    </w:rPr>
  </w:style>
  <w:style w:type="character" w:customStyle="1" w:styleId="ListLabel520">
    <w:name w:val="ListLabel 520"/>
    <w:qFormat/>
    <w:rsid w:val="000952B8"/>
    <w:rPr>
      <w:rFonts w:cs="Wingdings"/>
      <w:sz w:val="20"/>
    </w:rPr>
  </w:style>
  <w:style w:type="character" w:customStyle="1" w:styleId="ListLabel521">
    <w:name w:val="ListLabel 521"/>
    <w:qFormat/>
    <w:rsid w:val="000952B8"/>
    <w:rPr>
      <w:rFonts w:cs="Wingdings"/>
      <w:sz w:val="20"/>
    </w:rPr>
  </w:style>
  <w:style w:type="character" w:customStyle="1" w:styleId="ListLabel522">
    <w:name w:val="ListLabel 522"/>
    <w:qFormat/>
    <w:rsid w:val="000952B8"/>
    <w:rPr>
      <w:rFonts w:cs="Wingdings"/>
      <w:sz w:val="20"/>
    </w:rPr>
  </w:style>
  <w:style w:type="character" w:customStyle="1" w:styleId="ListLabel523">
    <w:name w:val="ListLabel 523"/>
    <w:qFormat/>
    <w:rsid w:val="000952B8"/>
    <w:rPr>
      <w:rFonts w:ascii="Open Sans" w:hAnsi="Open Sans" w:cs="Symbol"/>
      <w:sz w:val="21"/>
    </w:rPr>
  </w:style>
  <w:style w:type="character" w:customStyle="1" w:styleId="ListLabel524">
    <w:name w:val="ListLabel 524"/>
    <w:qFormat/>
    <w:rsid w:val="000952B8"/>
    <w:rPr>
      <w:rFonts w:cs="Open Sans"/>
    </w:rPr>
  </w:style>
  <w:style w:type="character" w:customStyle="1" w:styleId="ListLabel525">
    <w:name w:val="ListLabel 525"/>
    <w:qFormat/>
    <w:rsid w:val="000952B8"/>
    <w:rPr>
      <w:rFonts w:cs="Wingdings"/>
    </w:rPr>
  </w:style>
  <w:style w:type="character" w:customStyle="1" w:styleId="ListLabel526">
    <w:name w:val="ListLabel 526"/>
    <w:qFormat/>
    <w:rsid w:val="000952B8"/>
    <w:rPr>
      <w:rFonts w:cs="Symbol"/>
    </w:rPr>
  </w:style>
  <w:style w:type="character" w:customStyle="1" w:styleId="ListLabel527">
    <w:name w:val="ListLabel 527"/>
    <w:qFormat/>
    <w:rsid w:val="000952B8"/>
    <w:rPr>
      <w:rFonts w:cs="Courier New"/>
    </w:rPr>
  </w:style>
  <w:style w:type="character" w:customStyle="1" w:styleId="ListLabel528">
    <w:name w:val="ListLabel 528"/>
    <w:qFormat/>
    <w:rsid w:val="000952B8"/>
    <w:rPr>
      <w:rFonts w:cs="Wingdings"/>
    </w:rPr>
  </w:style>
  <w:style w:type="character" w:customStyle="1" w:styleId="ListLabel529">
    <w:name w:val="ListLabel 529"/>
    <w:qFormat/>
    <w:rsid w:val="000952B8"/>
    <w:rPr>
      <w:rFonts w:cs="Symbol"/>
    </w:rPr>
  </w:style>
  <w:style w:type="character" w:customStyle="1" w:styleId="ListLabel530">
    <w:name w:val="ListLabel 530"/>
    <w:qFormat/>
    <w:rsid w:val="000952B8"/>
    <w:rPr>
      <w:rFonts w:cs="Courier New"/>
    </w:rPr>
  </w:style>
  <w:style w:type="character" w:customStyle="1" w:styleId="ListLabel531">
    <w:name w:val="ListLabel 531"/>
    <w:qFormat/>
    <w:rsid w:val="000952B8"/>
    <w:rPr>
      <w:rFonts w:cs="Wingdings"/>
    </w:rPr>
  </w:style>
  <w:style w:type="character" w:customStyle="1" w:styleId="ListLabel532">
    <w:name w:val="ListLabel 532"/>
    <w:qFormat/>
    <w:rsid w:val="000952B8"/>
    <w:rPr>
      <w:rFonts w:ascii="Open Sans" w:hAnsi="Open Sans" w:cs="Symbol"/>
      <w:sz w:val="21"/>
    </w:rPr>
  </w:style>
  <w:style w:type="character" w:customStyle="1" w:styleId="ListLabel533">
    <w:name w:val="ListLabel 533"/>
    <w:qFormat/>
    <w:rsid w:val="000952B8"/>
    <w:rPr>
      <w:rFonts w:cs="Courier New"/>
    </w:rPr>
  </w:style>
  <w:style w:type="character" w:customStyle="1" w:styleId="ListLabel534">
    <w:name w:val="ListLabel 534"/>
    <w:qFormat/>
    <w:rsid w:val="000952B8"/>
    <w:rPr>
      <w:rFonts w:cs="Wingdings"/>
    </w:rPr>
  </w:style>
  <w:style w:type="character" w:customStyle="1" w:styleId="ListLabel535">
    <w:name w:val="ListLabel 535"/>
    <w:qFormat/>
    <w:rsid w:val="000952B8"/>
    <w:rPr>
      <w:rFonts w:cs="Symbol"/>
    </w:rPr>
  </w:style>
  <w:style w:type="character" w:customStyle="1" w:styleId="ListLabel536">
    <w:name w:val="ListLabel 536"/>
    <w:qFormat/>
    <w:rsid w:val="000952B8"/>
    <w:rPr>
      <w:rFonts w:cs="Courier New"/>
    </w:rPr>
  </w:style>
  <w:style w:type="character" w:customStyle="1" w:styleId="ListLabel537">
    <w:name w:val="ListLabel 537"/>
    <w:qFormat/>
    <w:rsid w:val="000952B8"/>
    <w:rPr>
      <w:rFonts w:cs="Wingdings"/>
    </w:rPr>
  </w:style>
  <w:style w:type="character" w:customStyle="1" w:styleId="ListLabel538">
    <w:name w:val="ListLabel 538"/>
    <w:qFormat/>
    <w:rsid w:val="000952B8"/>
    <w:rPr>
      <w:rFonts w:cs="Symbol"/>
    </w:rPr>
  </w:style>
  <w:style w:type="character" w:customStyle="1" w:styleId="ListLabel539">
    <w:name w:val="ListLabel 539"/>
    <w:qFormat/>
    <w:rsid w:val="000952B8"/>
    <w:rPr>
      <w:rFonts w:cs="Courier New"/>
    </w:rPr>
  </w:style>
  <w:style w:type="character" w:customStyle="1" w:styleId="ListLabel540">
    <w:name w:val="ListLabel 540"/>
    <w:qFormat/>
    <w:rsid w:val="000952B8"/>
    <w:rPr>
      <w:rFonts w:cs="Wingdings"/>
    </w:rPr>
  </w:style>
  <w:style w:type="character" w:customStyle="1" w:styleId="ListLabel541">
    <w:name w:val="ListLabel 541"/>
    <w:qFormat/>
    <w:rsid w:val="000952B8"/>
    <w:rPr>
      <w:rFonts w:cs="Symbol"/>
      <w:sz w:val="21"/>
    </w:rPr>
  </w:style>
  <w:style w:type="character" w:customStyle="1" w:styleId="ListLabel542">
    <w:name w:val="ListLabel 542"/>
    <w:qFormat/>
    <w:rsid w:val="000952B8"/>
    <w:rPr>
      <w:rFonts w:cs="Courier New"/>
    </w:rPr>
  </w:style>
  <w:style w:type="character" w:customStyle="1" w:styleId="ListLabel543">
    <w:name w:val="ListLabel 543"/>
    <w:qFormat/>
    <w:rsid w:val="000952B8"/>
    <w:rPr>
      <w:rFonts w:cs="Wingdings"/>
    </w:rPr>
  </w:style>
  <w:style w:type="character" w:customStyle="1" w:styleId="ListLabel544">
    <w:name w:val="ListLabel 544"/>
    <w:qFormat/>
    <w:rsid w:val="000952B8"/>
    <w:rPr>
      <w:rFonts w:cs="Symbol"/>
    </w:rPr>
  </w:style>
  <w:style w:type="character" w:customStyle="1" w:styleId="ListLabel545">
    <w:name w:val="ListLabel 545"/>
    <w:qFormat/>
    <w:rsid w:val="000952B8"/>
    <w:rPr>
      <w:rFonts w:cs="Courier New"/>
    </w:rPr>
  </w:style>
  <w:style w:type="character" w:customStyle="1" w:styleId="ListLabel546">
    <w:name w:val="ListLabel 546"/>
    <w:qFormat/>
    <w:rsid w:val="000952B8"/>
    <w:rPr>
      <w:rFonts w:cs="Wingdings"/>
    </w:rPr>
  </w:style>
  <w:style w:type="character" w:customStyle="1" w:styleId="ListLabel547">
    <w:name w:val="ListLabel 547"/>
    <w:qFormat/>
    <w:rsid w:val="000952B8"/>
    <w:rPr>
      <w:rFonts w:cs="Symbol"/>
    </w:rPr>
  </w:style>
  <w:style w:type="character" w:customStyle="1" w:styleId="ListLabel548">
    <w:name w:val="ListLabel 548"/>
    <w:qFormat/>
    <w:rsid w:val="000952B8"/>
    <w:rPr>
      <w:rFonts w:cs="Courier New"/>
    </w:rPr>
  </w:style>
  <w:style w:type="character" w:customStyle="1" w:styleId="ListLabel549">
    <w:name w:val="ListLabel 549"/>
    <w:qFormat/>
    <w:rsid w:val="000952B8"/>
    <w:rPr>
      <w:rFonts w:cs="Wingdings"/>
    </w:rPr>
  </w:style>
  <w:style w:type="character" w:customStyle="1" w:styleId="ListLabel550">
    <w:name w:val="ListLabel 550"/>
    <w:qFormat/>
    <w:rsid w:val="000952B8"/>
    <w:rPr>
      <w:rFonts w:ascii="Open Sans" w:hAnsi="Open Sans" w:cs="Symbol"/>
      <w:sz w:val="21"/>
    </w:rPr>
  </w:style>
  <w:style w:type="character" w:customStyle="1" w:styleId="ListLabel551">
    <w:name w:val="ListLabel 551"/>
    <w:qFormat/>
    <w:rsid w:val="000952B8"/>
    <w:rPr>
      <w:rFonts w:cs="Courier New"/>
    </w:rPr>
  </w:style>
  <w:style w:type="character" w:customStyle="1" w:styleId="ListLabel552">
    <w:name w:val="ListLabel 552"/>
    <w:qFormat/>
    <w:rsid w:val="000952B8"/>
    <w:rPr>
      <w:rFonts w:cs="Wingdings"/>
    </w:rPr>
  </w:style>
  <w:style w:type="character" w:customStyle="1" w:styleId="ListLabel553">
    <w:name w:val="ListLabel 553"/>
    <w:qFormat/>
    <w:rsid w:val="000952B8"/>
    <w:rPr>
      <w:rFonts w:cs="Symbol"/>
    </w:rPr>
  </w:style>
  <w:style w:type="character" w:customStyle="1" w:styleId="ListLabel554">
    <w:name w:val="ListLabel 554"/>
    <w:qFormat/>
    <w:rsid w:val="000952B8"/>
    <w:rPr>
      <w:rFonts w:cs="Courier New"/>
    </w:rPr>
  </w:style>
  <w:style w:type="character" w:customStyle="1" w:styleId="ListLabel555">
    <w:name w:val="ListLabel 555"/>
    <w:qFormat/>
    <w:rsid w:val="000952B8"/>
    <w:rPr>
      <w:rFonts w:cs="Wingdings"/>
    </w:rPr>
  </w:style>
  <w:style w:type="character" w:customStyle="1" w:styleId="ListLabel556">
    <w:name w:val="ListLabel 556"/>
    <w:qFormat/>
    <w:rsid w:val="000952B8"/>
    <w:rPr>
      <w:rFonts w:cs="Symbol"/>
    </w:rPr>
  </w:style>
  <w:style w:type="character" w:customStyle="1" w:styleId="ListLabel557">
    <w:name w:val="ListLabel 557"/>
    <w:qFormat/>
    <w:rsid w:val="000952B8"/>
    <w:rPr>
      <w:rFonts w:cs="Courier New"/>
    </w:rPr>
  </w:style>
  <w:style w:type="character" w:customStyle="1" w:styleId="ListLabel558">
    <w:name w:val="ListLabel 558"/>
    <w:qFormat/>
    <w:rsid w:val="000952B8"/>
    <w:rPr>
      <w:rFonts w:cs="Wingdings"/>
    </w:rPr>
  </w:style>
  <w:style w:type="character" w:customStyle="1" w:styleId="ListLabel559">
    <w:name w:val="ListLabel 559"/>
    <w:qFormat/>
    <w:rsid w:val="000952B8"/>
    <w:rPr>
      <w:rFonts w:ascii="Open Sans" w:eastAsia="Times New Roman" w:hAnsi="Open Sans" w:cs="Open Sans"/>
      <w:b/>
      <w:sz w:val="21"/>
      <w:szCs w:val="21"/>
      <w:lang w:eastAsia="es-ES"/>
    </w:rPr>
  </w:style>
  <w:style w:type="character" w:customStyle="1" w:styleId="ListLabel560">
    <w:name w:val="ListLabel 560"/>
    <w:qFormat/>
    <w:rsid w:val="000952B8"/>
    <w:rPr>
      <w:rFonts w:ascii="Open Sans" w:eastAsia="Times New Roman" w:hAnsi="Open Sans" w:cs="Open Sans"/>
      <w:sz w:val="21"/>
      <w:szCs w:val="21"/>
      <w:lang w:eastAsia="es-ES"/>
    </w:rPr>
  </w:style>
  <w:style w:type="character" w:customStyle="1" w:styleId="ListLabel561">
    <w:name w:val="ListLabel 561"/>
    <w:qFormat/>
    <w:rsid w:val="000952B8"/>
    <w:rPr>
      <w:rFonts w:ascii="Open Sans" w:eastAsia="Times New Roman" w:hAnsi="Open Sans" w:cs="Open Sans"/>
      <w:sz w:val="20"/>
      <w:szCs w:val="20"/>
      <w:lang w:eastAsia="es-ES"/>
    </w:rPr>
  </w:style>
  <w:style w:type="character" w:customStyle="1" w:styleId="ListLabel562">
    <w:name w:val="ListLabel 562"/>
    <w:qFormat/>
    <w:rsid w:val="000952B8"/>
    <w:rPr>
      <w:rFonts w:ascii="Open Sans" w:hAnsi="Open Sans" w:cs="Open Sans"/>
      <w:sz w:val="21"/>
      <w:szCs w:val="21"/>
    </w:rPr>
  </w:style>
  <w:style w:type="character" w:customStyle="1" w:styleId="ListLabel563">
    <w:name w:val="ListLabel 563"/>
    <w:qFormat/>
    <w:rsid w:val="000952B8"/>
    <w:rPr>
      <w:rFonts w:ascii="Open Sans" w:eastAsia="Times New Roman" w:hAnsi="Open Sans" w:cs="Open Sans"/>
      <w:i w:val="0"/>
      <w:iCs w:val="0"/>
      <w:sz w:val="21"/>
      <w:szCs w:val="21"/>
      <w:lang w:eastAsia="es-ES"/>
    </w:rPr>
  </w:style>
  <w:style w:type="character" w:customStyle="1" w:styleId="ListLabel564">
    <w:name w:val="ListLabel 564"/>
    <w:qFormat/>
    <w:rsid w:val="000952B8"/>
    <w:rPr>
      <w:rFonts w:ascii="Open Sans" w:eastAsia="Times New Roman" w:hAnsi="Open Sans" w:cs="Open Sans"/>
      <w:i/>
      <w:sz w:val="21"/>
      <w:szCs w:val="21"/>
      <w:lang w:eastAsia="es-ES"/>
    </w:rPr>
  </w:style>
  <w:style w:type="character" w:customStyle="1" w:styleId="ListLabel565">
    <w:name w:val="ListLabel 565"/>
    <w:qFormat/>
    <w:rsid w:val="000952B8"/>
    <w:rPr>
      <w:rFonts w:eastAsia="Calibri"/>
      <w:sz w:val="21"/>
      <w:szCs w:val="21"/>
    </w:rPr>
  </w:style>
  <w:style w:type="character" w:customStyle="1" w:styleId="ListLabel566">
    <w:name w:val="ListLabel 566"/>
    <w:qFormat/>
    <w:rsid w:val="000952B8"/>
  </w:style>
  <w:style w:type="character" w:customStyle="1" w:styleId="ListLabel567">
    <w:name w:val="ListLabel 567"/>
    <w:qFormat/>
    <w:rsid w:val="000952B8"/>
  </w:style>
  <w:style w:type="paragraph" w:styleId="Textocomentario">
    <w:name w:val="annotation text"/>
    <w:basedOn w:val="Normal"/>
    <w:link w:val="TextocomentarioCar"/>
    <w:uiPriority w:val="99"/>
    <w:semiHidden/>
    <w:unhideWhenUsed/>
    <w:qFormat/>
    <w:rsid w:val="000952B8"/>
    <w:pPr>
      <w:spacing w:line="240" w:lineRule="auto"/>
    </w:pPr>
    <w:rPr>
      <w:sz w:val="20"/>
      <w:szCs w:val="20"/>
    </w:rPr>
  </w:style>
  <w:style w:type="character" w:customStyle="1" w:styleId="TextocomentarioCar2">
    <w:name w:val="Texto comentario Car2"/>
    <w:basedOn w:val="Fuentedeprrafopredeter"/>
    <w:uiPriority w:val="99"/>
    <w:semiHidden/>
    <w:rsid w:val="000952B8"/>
    <w:rPr>
      <w:sz w:val="20"/>
      <w:szCs w:val="20"/>
    </w:rPr>
  </w:style>
  <w:style w:type="paragraph" w:styleId="Asuntodelcomentario">
    <w:name w:val="annotation subject"/>
    <w:basedOn w:val="Textocomentario"/>
    <w:next w:val="Textocomentario"/>
    <w:link w:val="AsuntodelcomentarioCar"/>
    <w:uiPriority w:val="99"/>
    <w:semiHidden/>
    <w:unhideWhenUsed/>
    <w:qFormat/>
    <w:rsid w:val="000952B8"/>
    <w:rPr>
      <w:b/>
      <w:bCs/>
    </w:rPr>
  </w:style>
  <w:style w:type="character" w:customStyle="1" w:styleId="AsuntodelcomentarioCar2">
    <w:name w:val="Asunto del comentario Car2"/>
    <w:basedOn w:val="TextocomentarioCar2"/>
    <w:uiPriority w:val="99"/>
    <w:semiHidden/>
    <w:rsid w:val="000952B8"/>
    <w:rPr>
      <w:b/>
      <w:bCs/>
      <w:sz w:val="20"/>
      <w:szCs w:val="20"/>
    </w:rPr>
  </w:style>
  <w:style w:type="paragraph" w:customStyle="1" w:styleId="Ttulodelatabla">
    <w:name w:val="Título de la tabla"/>
    <w:basedOn w:val="Contenidodelatabla"/>
    <w:uiPriority w:val="99"/>
    <w:qFormat/>
    <w:rsid w:val="000952B8"/>
    <w:pPr>
      <w:suppressAutoHyphens w:val="0"/>
      <w:spacing w:line="259" w:lineRule="auto"/>
      <w:jc w:val="center"/>
    </w:pPr>
    <w:rPr>
      <w:b/>
      <w:bCs/>
      <w:lang w:eastAsia="en-US"/>
    </w:rPr>
  </w:style>
  <w:style w:type="character" w:styleId="Hipervnculovisitado">
    <w:name w:val="FollowedHyperlink"/>
    <w:basedOn w:val="Fuentedeprrafopredeter"/>
    <w:uiPriority w:val="99"/>
    <w:semiHidden/>
    <w:unhideWhenUsed/>
    <w:qFormat/>
    <w:rsid w:val="000952B8"/>
    <w:rPr>
      <w:color w:val="9D2235" w:themeColor="followedHyperlink"/>
      <w:u w:val="single"/>
    </w:rPr>
  </w:style>
  <w:style w:type="paragraph" w:customStyle="1" w:styleId="Standarduser">
    <w:name w:val="Standard (user)"/>
    <w:uiPriority w:val="99"/>
    <w:qFormat/>
    <w:rsid w:val="002D0FF9"/>
    <w:pPr>
      <w:widowControl w:val="0"/>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ableContents">
    <w:name w:val="Table Contents"/>
    <w:basedOn w:val="Standard"/>
    <w:uiPriority w:val="99"/>
    <w:qFormat/>
    <w:rsid w:val="00076BFE"/>
    <w:pPr>
      <w:suppressLineNumbers/>
      <w:autoSpaceDN w:val="0"/>
    </w:pPr>
    <w:rPr>
      <w:rFonts w:eastAsia="Droid Sans Fallback" w:cs="FreeSans"/>
      <w:kern w:val="3"/>
    </w:rPr>
  </w:style>
  <w:style w:type="numbering" w:customStyle="1" w:styleId="Sinlista4">
    <w:name w:val="Sin lista4"/>
    <w:next w:val="Sinlista"/>
    <w:uiPriority w:val="99"/>
    <w:semiHidden/>
    <w:unhideWhenUsed/>
    <w:rsid w:val="00D572EA"/>
  </w:style>
  <w:style w:type="paragraph" w:customStyle="1" w:styleId="Heading">
    <w:name w:val="Heading"/>
    <w:basedOn w:val="Standard"/>
    <w:next w:val="Textbody"/>
    <w:uiPriority w:val="99"/>
    <w:qFormat/>
    <w:rsid w:val="00D572EA"/>
    <w:pPr>
      <w:keepNext/>
      <w:autoSpaceDN w:val="0"/>
      <w:spacing w:before="240" w:after="120"/>
    </w:pPr>
    <w:rPr>
      <w:rFonts w:ascii="Liberation Sans" w:eastAsia="Microsoft YaHei" w:hAnsi="Liberation Sans" w:cs="Lucida Sans"/>
      <w:kern w:val="3"/>
      <w:sz w:val="28"/>
      <w:szCs w:val="28"/>
    </w:rPr>
  </w:style>
  <w:style w:type="paragraph" w:customStyle="1" w:styleId="Index">
    <w:name w:val="Index"/>
    <w:basedOn w:val="Standard"/>
    <w:uiPriority w:val="99"/>
    <w:qFormat/>
    <w:rsid w:val="00D572EA"/>
    <w:pPr>
      <w:suppressLineNumbers/>
      <w:autoSpaceDN w:val="0"/>
    </w:pPr>
    <w:rPr>
      <w:rFonts w:eastAsia="Droid Sans Fallback" w:cs="Lucida Sans"/>
      <w:kern w:val="3"/>
    </w:rPr>
  </w:style>
  <w:style w:type="paragraph" w:customStyle="1" w:styleId="LO-Normal">
    <w:name w:val="LO-Normal"/>
    <w:uiPriority w:val="99"/>
    <w:qFormat/>
    <w:rsid w:val="00D572EA"/>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Encabezado1">
    <w:name w:val="Encabezado1"/>
    <w:basedOn w:val="Standard"/>
    <w:uiPriority w:val="99"/>
    <w:qFormat/>
    <w:rsid w:val="00D572EA"/>
    <w:pPr>
      <w:suppressLineNumbers/>
      <w:tabs>
        <w:tab w:val="center" w:pos="4819"/>
        <w:tab w:val="right" w:pos="9638"/>
      </w:tabs>
      <w:autoSpaceDN w:val="0"/>
    </w:pPr>
    <w:rPr>
      <w:rFonts w:eastAsia="Droid Sans Fallback" w:cs="FreeSans"/>
      <w:kern w:val="3"/>
    </w:rPr>
  </w:style>
  <w:style w:type="paragraph" w:customStyle="1" w:styleId="Footnote">
    <w:name w:val="Footnote"/>
    <w:basedOn w:val="Standard"/>
    <w:uiPriority w:val="99"/>
    <w:qFormat/>
    <w:rsid w:val="00D572EA"/>
    <w:pPr>
      <w:suppressLineNumbers/>
      <w:autoSpaceDN w:val="0"/>
      <w:ind w:left="339" w:hanging="339"/>
    </w:pPr>
    <w:rPr>
      <w:rFonts w:eastAsia="Droid Sans Fallback" w:cs="FreeSans"/>
      <w:kern w:val="3"/>
      <w:sz w:val="20"/>
      <w:szCs w:val="20"/>
    </w:rPr>
  </w:style>
  <w:style w:type="paragraph" w:customStyle="1" w:styleId="TableHeading">
    <w:name w:val="Table Heading"/>
    <w:basedOn w:val="TableContents"/>
    <w:uiPriority w:val="99"/>
    <w:qFormat/>
    <w:rsid w:val="00D572EA"/>
    <w:pPr>
      <w:jc w:val="center"/>
    </w:pPr>
    <w:rPr>
      <w:b/>
      <w:bCs/>
    </w:rPr>
  </w:style>
  <w:style w:type="character" w:customStyle="1" w:styleId="Internetlink">
    <w:name w:val="Internet link"/>
    <w:qFormat/>
    <w:rsid w:val="00D572EA"/>
    <w:rPr>
      <w:color w:val="000080"/>
      <w:u w:val="single"/>
    </w:rPr>
  </w:style>
  <w:style w:type="character" w:customStyle="1" w:styleId="FootnoteSymbol">
    <w:name w:val="Footnote Symbol"/>
    <w:rsid w:val="00D572EA"/>
  </w:style>
  <w:style w:type="character" w:customStyle="1" w:styleId="Footnoteanchor">
    <w:name w:val="Footnote anchor"/>
    <w:rsid w:val="00D572EA"/>
    <w:rPr>
      <w:position w:val="0"/>
      <w:vertAlign w:val="superscript"/>
    </w:rPr>
  </w:style>
  <w:style w:type="character" w:customStyle="1" w:styleId="BulletSymbols">
    <w:name w:val="Bullet Symbols"/>
    <w:rsid w:val="00D572EA"/>
    <w:rPr>
      <w:rFonts w:ascii="OpenSymbol" w:eastAsia="OpenSymbol" w:hAnsi="OpenSymbol" w:cs="OpenSymbol"/>
    </w:rPr>
  </w:style>
  <w:style w:type="numbering" w:customStyle="1" w:styleId="Sinlista11">
    <w:name w:val="Sin lista11"/>
    <w:basedOn w:val="Sinlista"/>
    <w:rsid w:val="00D572EA"/>
    <w:pPr>
      <w:numPr>
        <w:numId w:val="1"/>
      </w:numPr>
    </w:pPr>
  </w:style>
  <w:style w:type="numbering" w:customStyle="1" w:styleId="WWNum1">
    <w:name w:val="WWNum1"/>
    <w:basedOn w:val="Sinlista"/>
    <w:rsid w:val="00D572EA"/>
    <w:pPr>
      <w:numPr>
        <w:numId w:val="2"/>
      </w:numPr>
    </w:pPr>
  </w:style>
  <w:style w:type="numbering" w:customStyle="1" w:styleId="WWNum2">
    <w:name w:val="WWNum2"/>
    <w:basedOn w:val="Sinlista"/>
    <w:rsid w:val="00D572EA"/>
    <w:pPr>
      <w:numPr>
        <w:numId w:val="3"/>
      </w:numPr>
    </w:pPr>
  </w:style>
  <w:style w:type="numbering" w:customStyle="1" w:styleId="WWNum3">
    <w:name w:val="WWNum3"/>
    <w:basedOn w:val="Sinlista"/>
    <w:rsid w:val="00D572EA"/>
    <w:pPr>
      <w:numPr>
        <w:numId w:val="4"/>
      </w:numPr>
    </w:pPr>
  </w:style>
  <w:style w:type="numbering" w:customStyle="1" w:styleId="WWNum4">
    <w:name w:val="WWNum4"/>
    <w:basedOn w:val="Sinlista"/>
    <w:rsid w:val="00D572EA"/>
    <w:pPr>
      <w:numPr>
        <w:numId w:val="5"/>
      </w:numPr>
    </w:pPr>
  </w:style>
  <w:style w:type="numbering" w:customStyle="1" w:styleId="WWNum5">
    <w:name w:val="WWNum5"/>
    <w:basedOn w:val="Sinlista"/>
    <w:rsid w:val="00D572EA"/>
    <w:pPr>
      <w:numPr>
        <w:numId w:val="6"/>
      </w:numPr>
    </w:pPr>
  </w:style>
  <w:style w:type="character" w:styleId="Refdenotaalpie">
    <w:name w:val="footnote reference"/>
    <w:basedOn w:val="Fuentedeprrafopredeter"/>
    <w:uiPriority w:val="99"/>
    <w:semiHidden/>
    <w:unhideWhenUsed/>
    <w:rsid w:val="00D572EA"/>
    <w:rPr>
      <w:vertAlign w:val="superscript"/>
    </w:rPr>
  </w:style>
  <w:style w:type="numbering" w:customStyle="1" w:styleId="Sinlista5">
    <w:name w:val="Sin lista5"/>
    <w:next w:val="Sinlista"/>
    <w:uiPriority w:val="99"/>
    <w:semiHidden/>
    <w:unhideWhenUsed/>
    <w:rsid w:val="00BB4994"/>
  </w:style>
  <w:style w:type="paragraph" w:styleId="Revisin">
    <w:name w:val="Revision"/>
    <w:uiPriority w:val="99"/>
    <w:semiHidden/>
    <w:qFormat/>
    <w:rsid w:val="00BB4994"/>
    <w:pPr>
      <w:autoSpaceDN w:val="0"/>
      <w:spacing w:after="0" w:line="240" w:lineRule="auto"/>
    </w:pPr>
    <w:rPr>
      <w:rFonts w:ascii="Calibri" w:eastAsia="Calibri" w:hAnsi="Calibri" w:cs="Tahoma"/>
    </w:rPr>
  </w:style>
  <w:style w:type="character" w:customStyle="1" w:styleId="VietaAVAFCar">
    <w:name w:val="Viñeta AVAF Car"/>
    <w:basedOn w:val="Fuentedeprrafopredeter"/>
    <w:link w:val="VietaAVAF"/>
    <w:locked/>
    <w:rsid w:val="00BB4994"/>
    <w:rPr>
      <w:rFonts w:ascii="Arial" w:hAnsi="Arial" w:cs="Arial"/>
      <w:sz w:val="21"/>
    </w:rPr>
  </w:style>
  <w:style w:type="paragraph" w:customStyle="1" w:styleId="VietaAVAF">
    <w:name w:val="Viñeta AVAF"/>
    <w:basedOn w:val="Normal"/>
    <w:link w:val="VietaAVAFCar"/>
    <w:qFormat/>
    <w:rsid w:val="00BB4994"/>
    <w:pPr>
      <w:widowControl w:val="0"/>
      <w:numPr>
        <w:numId w:val="7"/>
      </w:numPr>
      <w:suppressAutoHyphens/>
      <w:autoSpaceDN w:val="0"/>
      <w:spacing w:after="240" w:line="276" w:lineRule="auto"/>
      <w:jc w:val="both"/>
    </w:pPr>
    <w:rPr>
      <w:rFonts w:ascii="Arial" w:hAnsi="Arial" w:cs="Arial"/>
      <w:sz w:val="21"/>
    </w:rPr>
  </w:style>
  <w:style w:type="paragraph" w:customStyle="1" w:styleId="Textoindependiente1">
    <w:name w:val="Texto independiente1"/>
    <w:basedOn w:val="Normal"/>
    <w:next w:val="Textoindependiente"/>
    <w:uiPriority w:val="99"/>
    <w:qFormat/>
    <w:rsid w:val="00BB4994"/>
    <w:pPr>
      <w:suppressAutoHyphens/>
      <w:spacing w:after="140" w:line="276" w:lineRule="auto"/>
    </w:pPr>
    <w:rPr>
      <w:rFonts w:ascii="Arial" w:eastAsia="Calibri" w:hAnsi="Arial" w:cs="Tahoma"/>
      <w:sz w:val="21"/>
    </w:rPr>
  </w:style>
  <w:style w:type="paragraph" w:customStyle="1" w:styleId="Cabeceraypie">
    <w:name w:val="Cabecera y pie"/>
    <w:basedOn w:val="Normal"/>
    <w:uiPriority w:val="99"/>
    <w:qFormat/>
    <w:rsid w:val="00BB4994"/>
    <w:pPr>
      <w:suppressAutoHyphens/>
      <w:spacing w:line="256" w:lineRule="auto"/>
    </w:pPr>
    <w:rPr>
      <w:rFonts w:ascii="Calibri" w:eastAsia="Calibri" w:hAnsi="Calibri" w:cs="Calibri"/>
    </w:rPr>
  </w:style>
  <w:style w:type="paragraph" w:customStyle="1" w:styleId="Piedepgina1">
    <w:name w:val="Pie de página1"/>
    <w:basedOn w:val="Normal"/>
    <w:next w:val="Piedepgina"/>
    <w:uiPriority w:val="99"/>
    <w:qFormat/>
    <w:rsid w:val="00BB4994"/>
    <w:pPr>
      <w:tabs>
        <w:tab w:val="center" w:pos="4252"/>
        <w:tab w:val="right" w:pos="8504"/>
      </w:tabs>
      <w:suppressAutoHyphens/>
      <w:spacing w:after="0" w:line="240" w:lineRule="auto"/>
    </w:pPr>
    <w:rPr>
      <w:rFonts w:ascii="Calibri" w:eastAsia="Calibri" w:hAnsi="Calibri" w:cs="Calibri"/>
    </w:rPr>
  </w:style>
  <w:style w:type="character" w:customStyle="1" w:styleId="TITULOMEMORIACar">
    <w:name w:val="TITULO MEMORIA Car"/>
    <w:basedOn w:val="Ttulo1Car"/>
    <w:link w:val="TITULOMEMORIA"/>
    <w:locked/>
    <w:rsid w:val="00BB4994"/>
    <w:rPr>
      <w:rFonts w:ascii="Arial" w:eastAsia="Times New Roman" w:hAnsi="Arial" w:cs="Times New Roman"/>
      <w:color w:val="9D2235"/>
      <w:sz w:val="32"/>
      <w:szCs w:val="32"/>
    </w:rPr>
  </w:style>
  <w:style w:type="paragraph" w:customStyle="1" w:styleId="TITULOMEMORIA">
    <w:name w:val="TITULO MEMORIA"/>
    <w:basedOn w:val="Ttulo1"/>
    <w:link w:val="TITULOMEMORIACar"/>
    <w:qFormat/>
    <w:rsid w:val="00BB4994"/>
    <w:pPr>
      <w:widowControl w:val="0"/>
      <w:numPr>
        <w:ilvl w:val="1"/>
      </w:numPr>
      <w:suppressAutoHyphens/>
      <w:autoSpaceDN w:val="0"/>
      <w:spacing w:before="360" w:after="240" w:line="276" w:lineRule="auto"/>
      <w:ind w:left="357" w:hanging="357"/>
      <w:jc w:val="both"/>
    </w:pPr>
    <w:rPr>
      <w:rFonts w:ascii="Arial" w:eastAsia="Times New Roman" w:hAnsi="Arial" w:cs="Times New Roman"/>
      <w:color w:val="9D2235"/>
      <w:sz w:val="32"/>
      <w:szCs w:val="32"/>
    </w:rPr>
  </w:style>
  <w:style w:type="character" w:customStyle="1" w:styleId="Titulo5Car">
    <w:name w:val="Titulo 5 Car"/>
    <w:basedOn w:val="Ttulo4Car"/>
    <w:link w:val="Titulo5"/>
    <w:locked/>
    <w:rsid w:val="00BB4994"/>
    <w:rPr>
      <w:rFonts w:ascii="Arial" w:eastAsia="Open Sans" w:hAnsi="Arial" w:cs="Times New Roman"/>
      <w:i/>
      <w:iCs/>
      <w:color w:val="751927" w:themeColor="accent1" w:themeShade="BF"/>
      <w:sz w:val="21"/>
      <w:szCs w:val="24"/>
      <w:lang w:eastAsia="zh-CN" w:bidi="hi-IN"/>
    </w:rPr>
  </w:style>
  <w:style w:type="paragraph" w:customStyle="1" w:styleId="Titulo5">
    <w:name w:val="Titulo 5"/>
    <w:basedOn w:val="Ttulo4"/>
    <w:link w:val="Titulo5Car"/>
    <w:qFormat/>
    <w:rsid w:val="00BB4994"/>
    <w:pPr>
      <w:widowControl w:val="0"/>
      <w:suppressAutoHyphens/>
      <w:autoSpaceDN w:val="0"/>
      <w:spacing w:after="120" w:line="276" w:lineRule="auto"/>
      <w:jc w:val="both"/>
    </w:pPr>
    <w:rPr>
      <w:rFonts w:ascii="Arial" w:eastAsia="Open Sans" w:hAnsi="Arial" w:cs="Times New Roman"/>
      <w:i/>
      <w:iCs/>
      <w:color w:val="auto"/>
      <w:sz w:val="21"/>
      <w:szCs w:val="22"/>
      <w:lang w:eastAsia="zh-CN" w:bidi="hi-IN"/>
    </w:rPr>
  </w:style>
  <w:style w:type="character" w:customStyle="1" w:styleId="email">
    <w:name w:val="email"/>
    <w:basedOn w:val="Fuentedeprrafopredeter"/>
    <w:qFormat/>
    <w:rsid w:val="00BB4994"/>
  </w:style>
  <w:style w:type="character" w:customStyle="1" w:styleId="eml">
    <w:name w:val="eml"/>
    <w:basedOn w:val="Fuentedeprrafopredeter"/>
    <w:qFormat/>
    <w:rsid w:val="00BB4994"/>
  </w:style>
  <w:style w:type="character" w:customStyle="1" w:styleId="EncabezadoCar1">
    <w:name w:val="Encabezado Car1"/>
    <w:basedOn w:val="Fuentedeprrafopredeter"/>
    <w:uiPriority w:val="99"/>
    <w:semiHidden/>
    <w:rsid w:val="00BB4994"/>
  </w:style>
  <w:style w:type="character" w:customStyle="1" w:styleId="PiedepginaCar1">
    <w:name w:val="Pie de página Car1"/>
    <w:basedOn w:val="Fuentedeprrafopredeter"/>
    <w:uiPriority w:val="99"/>
    <w:semiHidden/>
    <w:rsid w:val="00BB4994"/>
  </w:style>
  <w:style w:type="character" w:customStyle="1" w:styleId="EncabezadoCar2">
    <w:name w:val="Encabezado Car2"/>
    <w:basedOn w:val="Fuentedeprrafopredeter"/>
    <w:uiPriority w:val="99"/>
    <w:semiHidden/>
    <w:rsid w:val="00BB4994"/>
    <w:rPr>
      <w:rFonts w:ascii="Arial" w:hAnsi="Arial" w:cs="Arial" w:hint="default"/>
      <w:sz w:val="21"/>
    </w:rPr>
  </w:style>
  <w:style w:type="character" w:customStyle="1" w:styleId="PiedepginaCar2">
    <w:name w:val="Pie de página Car2"/>
    <w:basedOn w:val="Fuentedeprrafopredeter"/>
    <w:uiPriority w:val="99"/>
    <w:semiHidden/>
    <w:rsid w:val="00BB4994"/>
    <w:rPr>
      <w:rFonts w:ascii="Arial" w:hAnsi="Arial" w:cs="Arial" w:hint="default"/>
      <w:sz w:val="21"/>
    </w:rPr>
  </w:style>
  <w:style w:type="character" w:customStyle="1" w:styleId="TextoindependienteCar1">
    <w:name w:val="Texto independiente Car1"/>
    <w:basedOn w:val="Fuentedeprrafopredeter"/>
    <w:uiPriority w:val="99"/>
    <w:semiHidden/>
    <w:locked/>
    <w:rsid w:val="00BB4994"/>
    <w:rPr>
      <w:rFonts w:ascii="Arial" w:eastAsia="Calibri" w:hAnsi="Arial" w:cs="Tahoma"/>
      <w:sz w:val="21"/>
    </w:rPr>
  </w:style>
  <w:style w:type="table" w:customStyle="1" w:styleId="Tablaconcuadrcula3">
    <w:name w:val="Tabla con cuadrícula3"/>
    <w:basedOn w:val="Tablanormal"/>
    <w:next w:val="Tablaconcuadrcula"/>
    <w:uiPriority w:val="39"/>
    <w:rsid w:val="00BB4994"/>
    <w:pPr>
      <w:widowControl w:val="0"/>
      <w:autoSpaceDN w:val="0"/>
      <w:spacing w:after="0" w:line="240" w:lineRule="auto"/>
    </w:pPr>
    <w:rPr>
      <w:rFonts w:ascii="Calibri" w:eastAsia="Calibri" w:hAnsi="Calibri" w:cs="Tahom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B4994"/>
    <w:pPr>
      <w:suppressAutoHyphens/>
      <w:spacing w:after="0" w:line="240" w:lineRule="auto"/>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1">
    <w:name w:val="WWNum21"/>
    <w:rsid w:val="00BB4994"/>
    <w:pPr>
      <w:numPr>
        <w:numId w:val="10"/>
      </w:numPr>
    </w:pPr>
  </w:style>
  <w:style w:type="numbering" w:customStyle="1" w:styleId="WWNum51">
    <w:name w:val="WWNum51"/>
    <w:rsid w:val="00BB4994"/>
    <w:pPr>
      <w:numPr>
        <w:numId w:val="11"/>
      </w:numPr>
    </w:pPr>
  </w:style>
  <w:style w:type="numbering" w:customStyle="1" w:styleId="WWNum31">
    <w:name w:val="WWNum31"/>
    <w:rsid w:val="00BB4994"/>
    <w:pPr>
      <w:numPr>
        <w:numId w:val="12"/>
      </w:numPr>
    </w:pPr>
  </w:style>
  <w:style w:type="numbering" w:customStyle="1" w:styleId="Sinlista12">
    <w:name w:val="Sin lista12"/>
    <w:rsid w:val="00BB4994"/>
    <w:pPr>
      <w:numPr>
        <w:numId w:val="13"/>
      </w:numPr>
    </w:pPr>
  </w:style>
  <w:style w:type="numbering" w:customStyle="1" w:styleId="WWNum41">
    <w:name w:val="WWNum41"/>
    <w:rsid w:val="00BB4994"/>
    <w:pPr>
      <w:numPr>
        <w:numId w:val="14"/>
      </w:numPr>
    </w:pPr>
  </w:style>
  <w:style w:type="numbering" w:customStyle="1" w:styleId="WWNum11">
    <w:name w:val="WWNum11"/>
    <w:rsid w:val="00BB4994"/>
    <w:pPr>
      <w:numPr>
        <w:numId w:val="15"/>
      </w:numPr>
    </w:pPr>
  </w:style>
  <w:style w:type="numbering" w:customStyle="1" w:styleId="Sinlista6">
    <w:name w:val="Sin lista6"/>
    <w:next w:val="Sinlista"/>
    <w:uiPriority w:val="99"/>
    <w:semiHidden/>
    <w:unhideWhenUsed/>
    <w:rsid w:val="005F230F"/>
  </w:style>
  <w:style w:type="paragraph" w:styleId="ndice1">
    <w:name w:val="index 1"/>
    <w:basedOn w:val="Normal"/>
    <w:next w:val="Normal"/>
    <w:autoRedefine/>
    <w:uiPriority w:val="99"/>
    <w:unhideWhenUsed/>
    <w:qFormat/>
    <w:rsid w:val="005F230F"/>
    <w:pPr>
      <w:spacing w:after="0" w:line="276" w:lineRule="auto"/>
      <w:ind w:left="220" w:hanging="220"/>
      <w:jc w:val="both"/>
    </w:pPr>
    <w:rPr>
      <w:rFonts w:ascii="Arial" w:eastAsia="Calibri" w:hAnsi="Arial" w:cs="Calibri"/>
      <w:sz w:val="20"/>
      <w:szCs w:val="18"/>
    </w:rPr>
  </w:style>
  <w:style w:type="paragraph" w:styleId="ndice2">
    <w:name w:val="index 2"/>
    <w:basedOn w:val="Normal"/>
    <w:next w:val="Normal"/>
    <w:autoRedefine/>
    <w:uiPriority w:val="99"/>
    <w:unhideWhenUsed/>
    <w:qFormat/>
    <w:rsid w:val="005F230F"/>
    <w:pPr>
      <w:spacing w:after="0" w:line="276" w:lineRule="auto"/>
      <w:ind w:left="440" w:hanging="220"/>
      <w:jc w:val="both"/>
    </w:pPr>
    <w:rPr>
      <w:rFonts w:ascii="Calibri" w:eastAsia="Calibri" w:hAnsi="Calibri" w:cs="Calibri"/>
      <w:sz w:val="18"/>
      <w:szCs w:val="18"/>
    </w:rPr>
  </w:style>
  <w:style w:type="paragraph" w:styleId="ndice3">
    <w:name w:val="index 3"/>
    <w:basedOn w:val="Normal"/>
    <w:next w:val="Normal"/>
    <w:autoRedefine/>
    <w:uiPriority w:val="99"/>
    <w:unhideWhenUsed/>
    <w:qFormat/>
    <w:rsid w:val="005F230F"/>
    <w:pPr>
      <w:spacing w:after="0" w:line="276" w:lineRule="auto"/>
      <w:ind w:left="660" w:hanging="220"/>
      <w:jc w:val="both"/>
    </w:pPr>
    <w:rPr>
      <w:rFonts w:ascii="Calibri" w:eastAsia="Calibri" w:hAnsi="Calibri" w:cs="Calibri"/>
      <w:sz w:val="18"/>
      <w:szCs w:val="18"/>
    </w:rPr>
  </w:style>
  <w:style w:type="paragraph" w:styleId="ndice4">
    <w:name w:val="index 4"/>
    <w:basedOn w:val="Normal"/>
    <w:next w:val="Normal"/>
    <w:autoRedefine/>
    <w:uiPriority w:val="99"/>
    <w:unhideWhenUsed/>
    <w:qFormat/>
    <w:rsid w:val="005F230F"/>
    <w:pPr>
      <w:spacing w:after="0" w:line="276" w:lineRule="auto"/>
      <w:ind w:left="880" w:hanging="220"/>
      <w:jc w:val="both"/>
    </w:pPr>
    <w:rPr>
      <w:rFonts w:ascii="Calibri" w:eastAsia="Calibri" w:hAnsi="Calibri" w:cs="Calibri"/>
      <w:sz w:val="18"/>
      <w:szCs w:val="18"/>
    </w:rPr>
  </w:style>
  <w:style w:type="paragraph" w:styleId="ndice5">
    <w:name w:val="index 5"/>
    <w:basedOn w:val="Normal"/>
    <w:next w:val="Normal"/>
    <w:autoRedefine/>
    <w:uiPriority w:val="99"/>
    <w:unhideWhenUsed/>
    <w:qFormat/>
    <w:rsid w:val="005F230F"/>
    <w:pPr>
      <w:spacing w:after="0" w:line="276" w:lineRule="auto"/>
      <w:ind w:left="1100" w:hanging="220"/>
      <w:jc w:val="both"/>
    </w:pPr>
    <w:rPr>
      <w:rFonts w:ascii="Calibri" w:eastAsia="Calibri" w:hAnsi="Calibri" w:cs="Calibri"/>
      <w:sz w:val="18"/>
      <w:szCs w:val="18"/>
    </w:rPr>
  </w:style>
  <w:style w:type="paragraph" w:styleId="ndice6">
    <w:name w:val="index 6"/>
    <w:basedOn w:val="Normal"/>
    <w:next w:val="Normal"/>
    <w:autoRedefine/>
    <w:uiPriority w:val="99"/>
    <w:unhideWhenUsed/>
    <w:qFormat/>
    <w:rsid w:val="005F230F"/>
    <w:pPr>
      <w:spacing w:after="0" w:line="276" w:lineRule="auto"/>
      <w:ind w:left="1320" w:hanging="220"/>
      <w:jc w:val="both"/>
    </w:pPr>
    <w:rPr>
      <w:rFonts w:ascii="Calibri" w:eastAsia="Calibri" w:hAnsi="Calibri" w:cs="Calibri"/>
      <w:sz w:val="18"/>
      <w:szCs w:val="18"/>
    </w:rPr>
  </w:style>
  <w:style w:type="paragraph" w:styleId="ndice7">
    <w:name w:val="index 7"/>
    <w:basedOn w:val="Normal"/>
    <w:next w:val="Normal"/>
    <w:autoRedefine/>
    <w:uiPriority w:val="99"/>
    <w:unhideWhenUsed/>
    <w:qFormat/>
    <w:rsid w:val="005F230F"/>
    <w:pPr>
      <w:spacing w:after="0" w:line="276" w:lineRule="auto"/>
      <w:ind w:left="1540" w:hanging="220"/>
      <w:jc w:val="both"/>
    </w:pPr>
    <w:rPr>
      <w:rFonts w:ascii="Calibri" w:eastAsia="Calibri" w:hAnsi="Calibri" w:cs="Calibri"/>
      <w:sz w:val="18"/>
      <w:szCs w:val="18"/>
    </w:rPr>
  </w:style>
  <w:style w:type="paragraph" w:styleId="ndice8">
    <w:name w:val="index 8"/>
    <w:basedOn w:val="Normal"/>
    <w:next w:val="Normal"/>
    <w:autoRedefine/>
    <w:uiPriority w:val="99"/>
    <w:unhideWhenUsed/>
    <w:qFormat/>
    <w:rsid w:val="005F230F"/>
    <w:pPr>
      <w:spacing w:after="0" w:line="276" w:lineRule="auto"/>
      <w:ind w:left="1760" w:hanging="220"/>
      <w:jc w:val="both"/>
    </w:pPr>
    <w:rPr>
      <w:rFonts w:ascii="Calibri" w:eastAsia="Calibri" w:hAnsi="Calibri" w:cs="Calibri"/>
      <w:sz w:val="18"/>
      <w:szCs w:val="18"/>
    </w:rPr>
  </w:style>
  <w:style w:type="paragraph" w:styleId="ndice9">
    <w:name w:val="index 9"/>
    <w:basedOn w:val="Normal"/>
    <w:next w:val="Normal"/>
    <w:autoRedefine/>
    <w:uiPriority w:val="99"/>
    <w:unhideWhenUsed/>
    <w:qFormat/>
    <w:rsid w:val="005F230F"/>
    <w:pPr>
      <w:spacing w:after="0" w:line="276" w:lineRule="auto"/>
      <w:ind w:left="1980" w:hanging="220"/>
      <w:jc w:val="both"/>
    </w:pPr>
    <w:rPr>
      <w:rFonts w:ascii="Calibri" w:eastAsia="Calibri" w:hAnsi="Calibri" w:cs="Calibri"/>
      <w:sz w:val="18"/>
      <w:szCs w:val="18"/>
    </w:rPr>
  </w:style>
  <w:style w:type="paragraph" w:styleId="TDC1">
    <w:name w:val="toc 1"/>
    <w:basedOn w:val="Normal"/>
    <w:next w:val="Normal"/>
    <w:autoRedefine/>
    <w:uiPriority w:val="39"/>
    <w:unhideWhenUsed/>
    <w:qFormat/>
    <w:rsid w:val="000D0217"/>
    <w:pPr>
      <w:tabs>
        <w:tab w:val="left" w:pos="440"/>
        <w:tab w:val="right" w:leader="dot" w:pos="8212"/>
      </w:tabs>
      <w:spacing w:before="120" w:after="120"/>
      <w:jc w:val="both"/>
    </w:pPr>
    <w:rPr>
      <w:rFonts w:ascii="Arial" w:eastAsiaTheme="majorEastAsia" w:hAnsi="Arial" w:cs="Arial"/>
      <w:b/>
      <w:bCs/>
      <w:noProof/>
      <w:kern w:val="2"/>
      <w:sz w:val="20"/>
      <w:szCs w:val="20"/>
      <w:lang w:eastAsia="es-ES" w:bidi="hi-IN"/>
    </w:rPr>
  </w:style>
  <w:style w:type="paragraph" w:styleId="TDC2">
    <w:name w:val="toc 2"/>
    <w:basedOn w:val="Normal"/>
    <w:next w:val="Normal"/>
    <w:autoRedefine/>
    <w:uiPriority w:val="39"/>
    <w:unhideWhenUsed/>
    <w:qFormat/>
    <w:rsid w:val="00096F00"/>
    <w:pPr>
      <w:tabs>
        <w:tab w:val="left" w:pos="880"/>
        <w:tab w:val="right" w:leader="dot" w:pos="8212"/>
      </w:tabs>
      <w:spacing w:after="0" w:line="276" w:lineRule="auto"/>
      <w:ind w:left="220"/>
    </w:pPr>
    <w:rPr>
      <w:rFonts w:ascii="Arial" w:eastAsia="Times New Roman" w:hAnsi="Arial" w:cs="Arial"/>
      <w:noProof/>
      <w:kern w:val="2"/>
      <w:sz w:val="20"/>
      <w:lang w:eastAsia="es-ES" w:bidi="hi-IN"/>
    </w:rPr>
  </w:style>
  <w:style w:type="paragraph" w:styleId="TDC3">
    <w:name w:val="toc 3"/>
    <w:basedOn w:val="Normal"/>
    <w:next w:val="Normal"/>
    <w:autoRedefine/>
    <w:uiPriority w:val="39"/>
    <w:unhideWhenUsed/>
    <w:qFormat/>
    <w:rsid w:val="0046272B"/>
    <w:pPr>
      <w:spacing w:after="0"/>
      <w:ind w:left="440"/>
    </w:pPr>
    <w:rPr>
      <w:iCs/>
      <w:sz w:val="20"/>
      <w:szCs w:val="20"/>
    </w:rPr>
  </w:style>
  <w:style w:type="paragraph" w:styleId="Ttulodendice">
    <w:name w:val="index heading"/>
    <w:basedOn w:val="Normal"/>
    <w:next w:val="ndice1"/>
    <w:uiPriority w:val="99"/>
    <w:unhideWhenUsed/>
    <w:qFormat/>
    <w:rsid w:val="005F230F"/>
    <w:pPr>
      <w:pBdr>
        <w:top w:val="single" w:sz="12" w:space="0" w:color="000000"/>
      </w:pBdr>
      <w:spacing w:before="360" w:after="240" w:line="276" w:lineRule="auto"/>
      <w:jc w:val="both"/>
    </w:pPr>
    <w:rPr>
      <w:rFonts w:ascii="Calibri" w:eastAsia="Calibri" w:hAnsi="Calibri" w:cs="Calibri"/>
      <w:b/>
      <w:bCs/>
      <w:i/>
      <w:iCs/>
      <w:sz w:val="26"/>
      <w:szCs w:val="26"/>
    </w:rPr>
  </w:style>
  <w:style w:type="paragraph" w:styleId="Tabladeilustraciones">
    <w:name w:val="table of figures"/>
    <w:basedOn w:val="Normal"/>
    <w:next w:val="Normal"/>
    <w:uiPriority w:val="99"/>
    <w:unhideWhenUsed/>
    <w:qFormat/>
    <w:rsid w:val="004E3698"/>
    <w:pPr>
      <w:spacing w:after="0" w:line="276" w:lineRule="auto"/>
    </w:pPr>
    <w:rPr>
      <w:rFonts w:ascii="Arial" w:eastAsia="Calibri" w:hAnsi="Arial" w:cs="Calibri"/>
      <w:bCs/>
      <w:sz w:val="20"/>
      <w:szCs w:val="20"/>
    </w:rPr>
  </w:style>
  <w:style w:type="character" w:customStyle="1" w:styleId="TtuloTDCCar">
    <w:name w:val="Título TDC Car"/>
    <w:basedOn w:val="Ttulo1Car"/>
    <w:link w:val="TtuloTDC"/>
    <w:uiPriority w:val="39"/>
    <w:qFormat/>
    <w:locked/>
    <w:rsid w:val="005F230F"/>
    <w:rPr>
      <w:rFonts w:asciiTheme="majorHAnsi" w:eastAsiaTheme="majorEastAsia" w:hAnsiTheme="majorHAnsi" w:cstheme="majorBidi"/>
      <w:color w:val="4E111A" w:themeColor="accent1" w:themeShade="80"/>
      <w:sz w:val="36"/>
      <w:szCs w:val="36"/>
    </w:rPr>
  </w:style>
  <w:style w:type="paragraph" w:customStyle="1" w:styleId="Estilo3">
    <w:name w:val="Estilo3"/>
    <w:basedOn w:val="Normal"/>
    <w:uiPriority w:val="99"/>
    <w:qFormat/>
    <w:rsid w:val="005F230F"/>
    <w:pPr>
      <w:spacing w:after="0" w:line="276" w:lineRule="auto"/>
      <w:jc w:val="both"/>
    </w:pPr>
    <w:rPr>
      <w:rFonts w:ascii="Open Sans" w:eastAsia="Times New Roman" w:hAnsi="Open Sans" w:cs="Open Sans"/>
      <w:b/>
      <w:bCs/>
      <w:smallCaps/>
      <w:color w:val="94070A"/>
      <w:sz w:val="24"/>
      <w:szCs w:val="24"/>
      <w:lang w:eastAsia="es-ES"/>
    </w:rPr>
  </w:style>
  <w:style w:type="paragraph" w:customStyle="1" w:styleId="Estilotitulo">
    <w:name w:val="Estilo_titulo"/>
    <w:basedOn w:val="Normal"/>
    <w:uiPriority w:val="99"/>
    <w:qFormat/>
    <w:rsid w:val="005F230F"/>
    <w:pPr>
      <w:spacing w:after="0" w:line="240" w:lineRule="auto"/>
      <w:jc w:val="both"/>
    </w:pPr>
    <w:rPr>
      <w:rFonts w:ascii="Open Sans" w:eastAsia="Times New Roman" w:hAnsi="Open Sans" w:cs="Open Sans"/>
      <w:b/>
      <w:bCs/>
      <w:smallCaps/>
      <w:color w:val="94070A"/>
      <w:spacing w:val="-14"/>
      <w:sz w:val="200"/>
      <w:szCs w:val="200"/>
      <w:lang w:eastAsia="es-ES"/>
    </w:rPr>
  </w:style>
  <w:style w:type="paragraph" w:customStyle="1" w:styleId="Estilo2">
    <w:name w:val="Estilo2"/>
    <w:basedOn w:val="Normal"/>
    <w:uiPriority w:val="99"/>
    <w:qFormat/>
    <w:rsid w:val="005F230F"/>
    <w:pPr>
      <w:spacing w:after="0" w:line="276" w:lineRule="auto"/>
      <w:jc w:val="both"/>
    </w:pPr>
    <w:rPr>
      <w:rFonts w:ascii="Open Sans" w:eastAsia="Times New Roman" w:hAnsi="Open Sans" w:cs="Open Sans"/>
      <w:b/>
      <w:bCs/>
      <w:smallCaps/>
      <w:color w:val="94070A"/>
      <w:sz w:val="28"/>
      <w:szCs w:val="28"/>
      <w:lang w:eastAsia="es-ES"/>
    </w:rPr>
  </w:style>
  <w:style w:type="paragraph" w:customStyle="1" w:styleId="Estilo4Lugaryfecha">
    <w:name w:val="Estilo4_Lugar_y_fecha"/>
    <w:basedOn w:val="Normal"/>
    <w:uiPriority w:val="99"/>
    <w:qFormat/>
    <w:rsid w:val="005F230F"/>
    <w:pPr>
      <w:spacing w:after="0" w:line="276" w:lineRule="auto"/>
      <w:jc w:val="both"/>
    </w:pPr>
    <w:rPr>
      <w:rFonts w:ascii="Open Sans" w:eastAsia="Times New Roman" w:hAnsi="Open Sans" w:cs="Open Sans"/>
      <w:b/>
      <w:color w:val="000000"/>
      <w:sz w:val="21"/>
      <w:szCs w:val="21"/>
      <w:lang w:eastAsia="es-ES"/>
    </w:rPr>
  </w:style>
  <w:style w:type="paragraph" w:customStyle="1" w:styleId="Texto">
    <w:name w:val="Texto"/>
    <w:basedOn w:val="Normal"/>
    <w:uiPriority w:val="99"/>
    <w:qFormat/>
    <w:rsid w:val="005F230F"/>
    <w:pPr>
      <w:spacing w:after="0" w:line="276" w:lineRule="auto"/>
      <w:jc w:val="both"/>
    </w:pPr>
    <w:rPr>
      <w:rFonts w:ascii="Open Sans" w:eastAsia="Times New Roman" w:hAnsi="Open Sans" w:cs="Open Sans"/>
      <w:sz w:val="21"/>
      <w:szCs w:val="21"/>
      <w:lang w:eastAsia="es-ES"/>
    </w:rPr>
  </w:style>
  <w:style w:type="character" w:customStyle="1" w:styleId="INDICESCar">
    <w:name w:val="INDICES Car"/>
    <w:basedOn w:val="TtuloTDCCar"/>
    <w:link w:val="INDICES"/>
    <w:qFormat/>
    <w:locked/>
    <w:rsid w:val="005F230F"/>
    <w:rPr>
      <w:rFonts w:ascii="Open Sans" w:eastAsiaTheme="majorEastAsia" w:hAnsi="Open Sans" w:cs="Open Sans"/>
      <w:smallCaps/>
      <w:color w:val="4E111A" w:themeColor="accent1" w:themeShade="80"/>
      <w:sz w:val="21"/>
      <w:szCs w:val="21"/>
    </w:rPr>
  </w:style>
  <w:style w:type="paragraph" w:customStyle="1" w:styleId="INDICES">
    <w:name w:val="INDICES"/>
    <w:basedOn w:val="Ttulo1"/>
    <w:link w:val="INDICESCar"/>
    <w:qFormat/>
    <w:rsid w:val="005F230F"/>
    <w:pPr>
      <w:keepNext w:val="0"/>
      <w:keepLines w:val="0"/>
      <w:spacing w:before="300" w:line="276" w:lineRule="auto"/>
    </w:pPr>
    <w:rPr>
      <w:rFonts w:ascii="Open Sans" w:hAnsi="Open Sans" w:cs="Open Sans"/>
      <w:smallCaps/>
      <w:sz w:val="21"/>
      <w:szCs w:val="21"/>
    </w:rPr>
  </w:style>
  <w:style w:type="paragraph" w:customStyle="1" w:styleId="text-base">
    <w:name w:val="text-base"/>
    <w:basedOn w:val="Normal"/>
    <w:uiPriority w:val="99"/>
    <w:qFormat/>
    <w:rsid w:val="005F230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haroverride-1">
    <w:name w:val="charoverride-1"/>
    <w:basedOn w:val="Fuentedeprrafopredeter"/>
    <w:qFormat/>
    <w:rsid w:val="005F230F"/>
  </w:style>
  <w:style w:type="character" w:customStyle="1" w:styleId="charoverride-5">
    <w:name w:val="charoverride-5"/>
    <w:basedOn w:val="Fuentedeprrafopredeter"/>
    <w:qFormat/>
    <w:rsid w:val="005F230F"/>
  </w:style>
  <w:style w:type="character" w:customStyle="1" w:styleId="Enlacedelndice">
    <w:name w:val="Enlace del índice"/>
    <w:qFormat/>
    <w:rsid w:val="005F230F"/>
  </w:style>
  <w:style w:type="character" w:customStyle="1" w:styleId="TtuloCar1">
    <w:name w:val="Título Car1"/>
    <w:basedOn w:val="Fuentedeprrafopredeter"/>
    <w:uiPriority w:val="10"/>
    <w:rsid w:val="005F230F"/>
    <w:rPr>
      <w:rFonts w:ascii="Calibri Light" w:eastAsia="Calibri Light" w:hAnsi="Calibri Light" w:cs="Calibri Light" w:hint="default"/>
      <w:spacing w:val="-10"/>
      <w:kern w:val="28"/>
      <w:sz w:val="56"/>
      <w:szCs w:val="56"/>
    </w:rPr>
  </w:style>
  <w:style w:type="character" w:customStyle="1" w:styleId="TextodegloboCar2">
    <w:name w:val="Texto de globo Car2"/>
    <w:basedOn w:val="Fuentedeprrafopredeter"/>
    <w:uiPriority w:val="99"/>
    <w:semiHidden/>
    <w:rsid w:val="005F230F"/>
    <w:rPr>
      <w:rFonts w:ascii="Segoe UI" w:hAnsi="Segoe UI" w:cs="Segoe UI" w:hint="default"/>
      <w:sz w:val="18"/>
      <w:szCs w:val="18"/>
    </w:rPr>
  </w:style>
  <w:style w:type="character" w:customStyle="1" w:styleId="SubttuloCar1">
    <w:name w:val="Subtítulo Car1"/>
    <w:basedOn w:val="Fuentedeprrafopredeter"/>
    <w:uiPriority w:val="11"/>
    <w:rsid w:val="005F230F"/>
    <w:rPr>
      <w:color w:val="5A5A5A"/>
      <w:spacing w:val="15"/>
      <w:sz w:val="22"/>
      <w:szCs w:val="22"/>
    </w:rPr>
  </w:style>
  <w:style w:type="character" w:customStyle="1" w:styleId="CitaCar1">
    <w:name w:val="Cita Car1"/>
    <w:basedOn w:val="Fuentedeprrafopredeter"/>
    <w:uiPriority w:val="29"/>
    <w:rsid w:val="005F230F"/>
    <w:rPr>
      <w:i/>
      <w:iCs/>
      <w:color w:val="404040"/>
    </w:rPr>
  </w:style>
  <w:style w:type="character" w:customStyle="1" w:styleId="CitadestacadaCar1">
    <w:name w:val="Cita destacada Car1"/>
    <w:basedOn w:val="Fuentedeprrafopredeter"/>
    <w:uiPriority w:val="30"/>
    <w:rsid w:val="005F230F"/>
    <w:rPr>
      <w:i/>
      <w:iCs/>
      <w:color w:val="9D2235"/>
    </w:rPr>
  </w:style>
  <w:style w:type="paragraph" w:styleId="TDC4">
    <w:name w:val="toc 4"/>
    <w:basedOn w:val="Normal"/>
    <w:next w:val="Normal"/>
    <w:autoRedefine/>
    <w:uiPriority w:val="39"/>
    <w:unhideWhenUsed/>
    <w:qFormat/>
    <w:rsid w:val="0046272B"/>
    <w:pPr>
      <w:spacing w:after="0"/>
      <w:ind w:left="660"/>
    </w:pPr>
    <w:rPr>
      <w:sz w:val="20"/>
      <w:szCs w:val="18"/>
    </w:rPr>
  </w:style>
  <w:style w:type="paragraph" w:styleId="TDC5">
    <w:name w:val="toc 5"/>
    <w:basedOn w:val="Normal"/>
    <w:next w:val="Normal"/>
    <w:autoRedefine/>
    <w:uiPriority w:val="39"/>
    <w:unhideWhenUsed/>
    <w:qFormat/>
    <w:rsid w:val="0046272B"/>
    <w:pPr>
      <w:spacing w:after="0"/>
      <w:ind w:left="880"/>
    </w:pPr>
    <w:rPr>
      <w:sz w:val="20"/>
      <w:szCs w:val="18"/>
    </w:rPr>
  </w:style>
  <w:style w:type="paragraph" w:styleId="TDC6">
    <w:name w:val="toc 6"/>
    <w:basedOn w:val="Normal"/>
    <w:next w:val="Normal"/>
    <w:autoRedefine/>
    <w:uiPriority w:val="39"/>
    <w:unhideWhenUsed/>
    <w:qFormat/>
    <w:rsid w:val="0046272B"/>
    <w:pPr>
      <w:spacing w:after="0"/>
      <w:ind w:left="1100"/>
    </w:pPr>
    <w:rPr>
      <w:sz w:val="20"/>
      <w:szCs w:val="18"/>
    </w:rPr>
  </w:style>
  <w:style w:type="paragraph" w:styleId="TDC7">
    <w:name w:val="toc 7"/>
    <w:basedOn w:val="Normal"/>
    <w:next w:val="Normal"/>
    <w:autoRedefine/>
    <w:uiPriority w:val="39"/>
    <w:unhideWhenUsed/>
    <w:qFormat/>
    <w:rsid w:val="00FB44DE"/>
    <w:pPr>
      <w:spacing w:after="0"/>
      <w:ind w:left="1320"/>
    </w:pPr>
    <w:rPr>
      <w:sz w:val="18"/>
      <w:szCs w:val="18"/>
    </w:rPr>
  </w:style>
  <w:style w:type="paragraph" w:styleId="TDC8">
    <w:name w:val="toc 8"/>
    <w:basedOn w:val="Normal"/>
    <w:next w:val="Normal"/>
    <w:autoRedefine/>
    <w:uiPriority w:val="39"/>
    <w:unhideWhenUsed/>
    <w:qFormat/>
    <w:rsid w:val="00FB44DE"/>
    <w:pPr>
      <w:spacing w:after="0"/>
      <w:ind w:left="1540"/>
    </w:pPr>
    <w:rPr>
      <w:sz w:val="18"/>
      <w:szCs w:val="18"/>
    </w:rPr>
  </w:style>
  <w:style w:type="paragraph" w:styleId="TDC9">
    <w:name w:val="toc 9"/>
    <w:basedOn w:val="Normal"/>
    <w:next w:val="Normal"/>
    <w:autoRedefine/>
    <w:uiPriority w:val="39"/>
    <w:unhideWhenUsed/>
    <w:qFormat/>
    <w:rsid w:val="00FB44DE"/>
    <w:pPr>
      <w:spacing w:after="0"/>
      <w:ind w:left="1760"/>
    </w:pPr>
    <w:rPr>
      <w:sz w:val="18"/>
      <w:szCs w:val="18"/>
    </w:rPr>
  </w:style>
  <w:style w:type="character" w:customStyle="1" w:styleId="SourceText">
    <w:name w:val="Source Text"/>
    <w:rsid w:val="002A47AA"/>
    <w:rPr>
      <w:rFonts w:ascii="Liberation Mono" w:eastAsia="NSimSun" w:hAnsi="Liberation Mono" w:cs="Liberation Mono"/>
    </w:rPr>
  </w:style>
  <w:style w:type="character" w:customStyle="1" w:styleId="StrongEmphasis">
    <w:name w:val="Strong Emphasis"/>
    <w:rsid w:val="002A47AA"/>
    <w:rPr>
      <w:b/>
      <w:bCs/>
    </w:rPr>
  </w:style>
  <w:style w:type="character" w:customStyle="1" w:styleId="May">
    <w:name w:val="May"/>
    <w:rsid w:val="002A47AA"/>
    <w:rPr>
      <w:rFonts w:ascii="Open Sans" w:eastAsia="Open Sans" w:hAnsi="Open Sans" w:cs="Arial"/>
      <w:b/>
      <w:bCs/>
      <w:caps/>
      <w:sz w:val="20"/>
      <w:szCs w:val="20"/>
    </w:rPr>
  </w:style>
  <w:style w:type="paragraph" w:styleId="HTMLconformatoprevio">
    <w:name w:val="HTML Preformatted"/>
    <w:basedOn w:val="Normal"/>
    <w:link w:val="HTMLconformatoprevioCar"/>
    <w:uiPriority w:val="99"/>
    <w:semiHidden/>
    <w:unhideWhenUsed/>
    <w:rsid w:val="006B51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6B510A"/>
    <w:rPr>
      <w:rFonts w:ascii="Courier New" w:eastAsia="Times New Roman" w:hAnsi="Courier New" w:cs="Courier New"/>
      <w:sz w:val="20"/>
      <w:szCs w:val="20"/>
      <w:lang w:eastAsia="es-ES"/>
    </w:rPr>
  </w:style>
  <w:style w:type="paragraph" w:styleId="Textonotaalfinal">
    <w:name w:val="endnote text"/>
    <w:basedOn w:val="Normal"/>
    <w:link w:val="TextonotaalfinalCar"/>
    <w:uiPriority w:val="99"/>
    <w:semiHidden/>
    <w:unhideWhenUsed/>
    <w:qFormat/>
    <w:rsid w:val="006B510A"/>
    <w:pPr>
      <w:suppressAutoHyphens/>
      <w:spacing w:after="0" w:line="240" w:lineRule="auto"/>
    </w:pPr>
    <w:rPr>
      <w:rFonts w:ascii="Calibri" w:eastAsia="Calibri" w:hAnsi="Calibri" w:cs="Calibri"/>
      <w:sz w:val="20"/>
      <w:szCs w:val="20"/>
      <w:lang w:eastAsia="zh-CN"/>
    </w:rPr>
  </w:style>
  <w:style w:type="character" w:customStyle="1" w:styleId="TextonotaalfinalCar">
    <w:name w:val="Texto nota al final Car"/>
    <w:basedOn w:val="Fuentedeprrafopredeter"/>
    <w:link w:val="Textonotaalfinal"/>
    <w:uiPriority w:val="99"/>
    <w:semiHidden/>
    <w:rsid w:val="006B510A"/>
    <w:rPr>
      <w:rFonts w:ascii="Calibri" w:eastAsia="Calibri" w:hAnsi="Calibri" w:cs="Calibri"/>
      <w:sz w:val="20"/>
      <w:szCs w:val="20"/>
      <w:lang w:eastAsia="zh-CN"/>
    </w:rPr>
  </w:style>
  <w:style w:type="character" w:styleId="Refdenotaalfinal">
    <w:name w:val="endnote reference"/>
    <w:basedOn w:val="Fuentedeprrafopredeter"/>
    <w:uiPriority w:val="99"/>
    <w:semiHidden/>
    <w:unhideWhenUsed/>
    <w:rsid w:val="006B510A"/>
    <w:rPr>
      <w:vertAlign w:val="superscript"/>
    </w:rPr>
  </w:style>
  <w:style w:type="paragraph" w:styleId="Textonotapie">
    <w:name w:val="footnote text"/>
    <w:basedOn w:val="Normal"/>
    <w:link w:val="TextonotapieCar"/>
    <w:uiPriority w:val="99"/>
    <w:semiHidden/>
    <w:unhideWhenUsed/>
    <w:qFormat/>
    <w:rsid w:val="006B510A"/>
    <w:pPr>
      <w:suppressAutoHyphens/>
      <w:spacing w:after="0" w:line="240" w:lineRule="auto"/>
    </w:pPr>
    <w:rPr>
      <w:rFonts w:ascii="Calibri" w:eastAsia="Calibri" w:hAnsi="Calibri" w:cs="Calibri"/>
      <w:sz w:val="20"/>
      <w:szCs w:val="20"/>
      <w:lang w:eastAsia="zh-CN"/>
    </w:rPr>
  </w:style>
  <w:style w:type="character" w:customStyle="1" w:styleId="TextonotapieCar">
    <w:name w:val="Texto nota pie Car"/>
    <w:basedOn w:val="Fuentedeprrafopredeter"/>
    <w:link w:val="Textonotapie"/>
    <w:uiPriority w:val="99"/>
    <w:semiHidden/>
    <w:rsid w:val="006B510A"/>
    <w:rPr>
      <w:rFonts w:ascii="Calibri" w:eastAsia="Calibri" w:hAnsi="Calibri" w:cs="Calibri"/>
      <w:sz w:val="20"/>
      <w:szCs w:val="20"/>
      <w:lang w:eastAsia="zh-CN"/>
    </w:rPr>
  </w:style>
  <w:style w:type="paragraph" w:customStyle="1" w:styleId="Standarduseruseruser">
    <w:name w:val="Standard (user) (user) (user)"/>
    <w:uiPriority w:val="99"/>
    <w:qFormat/>
    <w:rsid w:val="006B510A"/>
    <w:pPr>
      <w:widowControl w:val="0"/>
      <w:suppressAutoHyphens/>
      <w:autoSpaceDN w:val="0"/>
      <w:spacing w:after="0" w:line="240" w:lineRule="auto"/>
      <w:textAlignment w:val="baseline"/>
    </w:pPr>
    <w:rPr>
      <w:rFonts w:ascii="Calibri" w:eastAsia="Calibri" w:hAnsi="Calibri" w:cs="Calibri"/>
      <w:kern w:val="3"/>
      <w:szCs w:val="20"/>
      <w:lang w:eastAsia="zh-CN"/>
    </w:rPr>
  </w:style>
  <w:style w:type="table" w:styleId="Tablanormal2">
    <w:name w:val="Plain Table 2"/>
    <w:basedOn w:val="Tablanormal"/>
    <w:uiPriority w:val="42"/>
    <w:rsid w:val="006B510A"/>
    <w:pPr>
      <w:spacing w:after="0" w:line="240" w:lineRule="auto"/>
    </w:pPr>
    <w:rPr>
      <w:rFonts w:ascii="Liberation Serif" w:eastAsia="NSimSun" w:hAnsi="Liberation Serif" w:cs="Arial"/>
      <w:sz w:val="24"/>
      <w:szCs w:val="24"/>
      <w:lang w:eastAsia="zh-CN" w:bidi="hi-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nlladInternet">
    <w:name w:val="Enllaç d'Internet"/>
    <w:basedOn w:val="Fuentedeprrafopredeter"/>
    <w:uiPriority w:val="99"/>
    <w:unhideWhenUsed/>
    <w:rsid w:val="006B510A"/>
    <w:rPr>
      <w:color w:val="000080"/>
      <w:u w:val="single"/>
    </w:rPr>
  </w:style>
  <w:style w:type="character" w:styleId="CitaHTML">
    <w:name w:val="HTML Cite"/>
    <w:uiPriority w:val="99"/>
    <w:unhideWhenUsed/>
    <w:rsid w:val="006B510A"/>
    <w:rPr>
      <w:i/>
      <w:iCs/>
    </w:rPr>
  </w:style>
  <w:style w:type="character" w:customStyle="1" w:styleId="acopre">
    <w:name w:val="acopre"/>
    <w:basedOn w:val="Fuentedeprrafopredeter"/>
    <w:rsid w:val="006B510A"/>
  </w:style>
  <w:style w:type="paragraph" w:customStyle="1" w:styleId="xmsonormal">
    <w:name w:val="x_msonormal"/>
    <w:basedOn w:val="Normal"/>
    <w:rsid w:val="00F966B3"/>
    <w:pPr>
      <w:spacing w:after="0" w:line="240" w:lineRule="auto"/>
    </w:pPr>
    <w:rPr>
      <w:rFonts w:ascii="Calibri" w:eastAsiaTheme="minorHAnsi" w:hAnsi="Calibri" w:cs="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51426">
      <w:bodyDiv w:val="1"/>
      <w:marLeft w:val="0"/>
      <w:marRight w:val="0"/>
      <w:marTop w:val="0"/>
      <w:marBottom w:val="0"/>
      <w:divBdr>
        <w:top w:val="none" w:sz="0" w:space="0" w:color="auto"/>
        <w:left w:val="none" w:sz="0" w:space="0" w:color="auto"/>
        <w:bottom w:val="none" w:sz="0" w:space="0" w:color="auto"/>
        <w:right w:val="none" w:sz="0" w:space="0" w:color="auto"/>
      </w:divBdr>
    </w:div>
    <w:div w:id="204829446">
      <w:bodyDiv w:val="1"/>
      <w:marLeft w:val="0"/>
      <w:marRight w:val="0"/>
      <w:marTop w:val="0"/>
      <w:marBottom w:val="0"/>
      <w:divBdr>
        <w:top w:val="none" w:sz="0" w:space="0" w:color="auto"/>
        <w:left w:val="none" w:sz="0" w:space="0" w:color="auto"/>
        <w:bottom w:val="none" w:sz="0" w:space="0" w:color="auto"/>
        <w:right w:val="none" w:sz="0" w:space="0" w:color="auto"/>
      </w:divBdr>
    </w:div>
    <w:div w:id="248082151">
      <w:bodyDiv w:val="1"/>
      <w:marLeft w:val="0"/>
      <w:marRight w:val="0"/>
      <w:marTop w:val="0"/>
      <w:marBottom w:val="0"/>
      <w:divBdr>
        <w:top w:val="none" w:sz="0" w:space="0" w:color="auto"/>
        <w:left w:val="none" w:sz="0" w:space="0" w:color="auto"/>
        <w:bottom w:val="none" w:sz="0" w:space="0" w:color="auto"/>
        <w:right w:val="none" w:sz="0" w:space="0" w:color="auto"/>
      </w:divBdr>
    </w:div>
    <w:div w:id="266351850">
      <w:bodyDiv w:val="1"/>
      <w:marLeft w:val="0"/>
      <w:marRight w:val="0"/>
      <w:marTop w:val="0"/>
      <w:marBottom w:val="0"/>
      <w:divBdr>
        <w:top w:val="none" w:sz="0" w:space="0" w:color="auto"/>
        <w:left w:val="none" w:sz="0" w:space="0" w:color="auto"/>
        <w:bottom w:val="none" w:sz="0" w:space="0" w:color="auto"/>
        <w:right w:val="none" w:sz="0" w:space="0" w:color="auto"/>
      </w:divBdr>
    </w:div>
    <w:div w:id="295110080">
      <w:bodyDiv w:val="1"/>
      <w:marLeft w:val="0"/>
      <w:marRight w:val="0"/>
      <w:marTop w:val="0"/>
      <w:marBottom w:val="0"/>
      <w:divBdr>
        <w:top w:val="none" w:sz="0" w:space="0" w:color="auto"/>
        <w:left w:val="none" w:sz="0" w:space="0" w:color="auto"/>
        <w:bottom w:val="none" w:sz="0" w:space="0" w:color="auto"/>
        <w:right w:val="none" w:sz="0" w:space="0" w:color="auto"/>
      </w:divBdr>
    </w:div>
    <w:div w:id="362950341">
      <w:bodyDiv w:val="1"/>
      <w:marLeft w:val="0"/>
      <w:marRight w:val="0"/>
      <w:marTop w:val="0"/>
      <w:marBottom w:val="0"/>
      <w:divBdr>
        <w:top w:val="none" w:sz="0" w:space="0" w:color="auto"/>
        <w:left w:val="none" w:sz="0" w:space="0" w:color="auto"/>
        <w:bottom w:val="none" w:sz="0" w:space="0" w:color="auto"/>
        <w:right w:val="none" w:sz="0" w:space="0" w:color="auto"/>
      </w:divBdr>
    </w:div>
    <w:div w:id="380056595">
      <w:bodyDiv w:val="1"/>
      <w:marLeft w:val="0"/>
      <w:marRight w:val="0"/>
      <w:marTop w:val="0"/>
      <w:marBottom w:val="0"/>
      <w:divBdr>
        <w:top w:val="none" w:sz="0" w:space="0" w:color="auto"/>
        <w:left w:val="none" w:sz="0" w:space="0" w:color="auto"/>
        <w:bottom w:val="none" w:sz="0" w:space="0" w:color="auto"/>
        <w:right w:val="none" w:sz="0" w:space="0" w:color="auto"/>
      </w:divBdr>
    </w:div>
    <w:div w:id="550458981">
      <w:bodyDiv w:val="1"/>
      <w:marLeft w:val="0"/>
      <w:marRight w:val="0"/>
      <w:marTop w:val="0"/>
      <w:marBottom w:val="0"/>
      <w:divBdr>
        <w:top w:val="none" w:sz="0" w:space="0" w:color="auto"/>
        <w:left w:val="none" w:sz="0" w:space="0" w:color="auto"/>
        <w:bottom w:val="none" w:sz="0" w:space="0" w:color="auto"/>
        <w:right w:val="none" w:sz="0" w:space="0" w:color="auto"/>
      </w:divBdr>
    </w:div>
    <w:div w:id="595408839">
      <w:bodyDiv w:val="1"/>
      <w:marLeft w:val="0"/>
      <w:marRight w:val="0"/>
      <w:marTop w:val="0"/>
      <w:marBottom w:val="0"/>
      <w:divBdr>
        <w:top w:val="none" w:sz="0" w:space="0" w:color="auto"/>
        <w:left w:val="none" w:sz="0" w:space="0" w:color="auto"/>
        <w:bottom w:val="none" w:sz="0" w:space="0" w:color="auto"/>
        <w:right w:val="none" w:sz="0" w:space="0" w:color="auto"/>
      </w:divBdr>
    </w:div>
    <w:div w:id="722825601">
      <w:bodyDiv w:val="1"/>
      <w:marLeft w:val="0"/>
      <w:marRight w:val="0"/>
      <w:marTop w:val="0"/>
      <w:marBottom w:val="0"/>
      <w:divBdr>
        <w:top w:val="none" w:sz="0" w:space="0" w:color="auto"/>
        <w:left w:val="none" w:sz="0" w:space="0" w:color="auto"/>
        <w:bottom w:val="none" w:sz="0" w:space="0" w:color="auto"/>
        <w:right w:val="none" w:sz="0" w:space="0" w:color="auto"/>
      </w:divBdr>
    </w:div>
    <w:div w:id="833225769">
      <w:bodyDiv w:val="1"/>
      <w:marLeft w:val="0"/>
      <w:marRight w:val="0"/>
      <w:marTop w:val="0"/>
      <w:marBottom w:val="0"/>
      <w:divBdr>
        <w:top w:val="none" w:sz="0" w:space="0" w:color="auto"/>
        <w:left w:val="none" w:sz="0" w:space="0" w:color="auto"/>
        <w:bottom w:val="none" w:sz="0" w:space="0" w:color="auto"/>
        <w:right w:val="none" w:sz="0" w:space="0" w:color="auto"/>
      </w:divBdr>
    </w:div>
    <w:div w:id="850333355">
      <w:bodyDiv w:val="1"/>
      <w:marLeft w:val="0"/>
      <w:marRight w:val="0"/>
      <w:marTop w:val="0"/>
      <w:marBottom w:val="0"/>
      <w:divBdr>
        <w:top w:val="none" w:sz="0" w:space="0" w:color="auto"/>
        <w:left w:val="none" w:sz="0" w:space="0" w:color="auto"/>
        <w:bottom w:val="none" w:sz="0" w:space="0" w:color="auto"/>
        <w:right w:val="none" w:sz="0" w:space="0" w:color="auto"/>
      </w:divBdr>
    </w:div>
    <w:div w:id="865600478">
      <w:bodyDiv w:val="1"/>
      <w:marLeft w:val="0"/>
      <w:marRight w:val="0"/>
      <w:marTop w:val="0"/>
      <w:marBottom w:val="0"/>
      <w:divBdr>
        <w:top w:val="none" w:sz="0" w:space="0" w:color="auto"/>
        <w:left w:val="none" w:sz="0" w:space="0" w:color="auto"/>
        <w:bottom w:val="none" w:sz="0" w:space="0" w:color="auto"/>
        <w:right w:val="none" w:sz="0" w:space="0" w:color="auto"/>
      </w:divBdr>
    </w:div>
    <w:div w:id="1053623478">
      <w:bodyDiv w:val="1"/>
      <w:marLeft w:val="0"/>
      <w:marRight w:val="0"/>
      <w:marTop w:val="0"/>
      <w:marBottom w:val="0"/>
      <w:divBdr>
        <w:top w:val="none" w:sz="0" w:space="0" w:color="auto"/>
        <w:left w:val="none" w:sz="0" w:space="0" w:color="auto"/>
        <w:bottom w:val="none" w:sz="0" w:space="0" w:color="auto"/>
        <w:right w:val="none" w:sz="0" w:space="0" w:color="auto"/>
      </w:divBdr>
    </w:div>
    <w:div w:id="1131098566">
      <w:bodyDiv w:val="1"/>
      <w:marLeft w:val="0"/>
      <w:marRight w:val="0"/>
      <w:marTop w:val="0"/>
      <w:marBottom w:val="0"/>
      <w:divBdr>
        <w:top w:val="none" w:sz="0" w:space="0" w:color="auto"/>
        <w:left w:val="none" w:sz="0" w:space="0" w:color="auto"/>
        <w:bottom w:val="none" w:sz="0" w:space="0" w:color="auto"/>
        <w:right w:val="none" w:sz="0" w:space="0" w:color="auto"/>
      </w:divBdr>
    </w:div>
    <w:div w:id="1140421065">
      <w:bodyDiv w:val="1"/>
      <w:marLeft w:val="0"/>
      <w:marRight w:val="0"/>
      <w:marTop w:val="0"/>
      <w:marBottom w:val="0"/>
      <w:divBdr>
        <w:top w:val="none" w:sz="0" w:space="0" w:color="auto"/>
        <w:left w:val="none" w:sz="0" w:space="0" w:color="auto"/>
        <w:bottom w:val="none" w:sz="0" w:space="0" w:color="auto"/>
        <w:right w:val="none" w:sz="0" w:space="0" w:color="auto"/>
      </w:divBdr>
    </w:div>
    <w:div w:id="1153519705">
      <w:bodyDiv w:val="1"/>
      <w:marLeft w:val="0"/>
      <w:marRight w:val="0"/>
      <w:marTop w:val="0"/>
      <w:marBottom w:val="0"/>
      <w:divBdr>
        <w:top w:val="none" w:sz="0" w:space="0" w:color="auto"/>
        <w:left w:val="none" w:sz="0" w:space="0" w:color="auto"/>
        <w:bottom w:val="none" w:sz="0" w:space="0" w:color="auto"/>
        <w:right w:val="none" w:sz="0" w:space="0" w:color="auto"/>
      </w:divBdr>
    </w:div>
    <w:div w:id="1161850481">
      <w:bodyDiv w:val="1"/>
      <w:marLeft w:val="0"/>
      <w:marRight w:val="0"/>
      <w:marTop w:val="0"/>
      <w:marBottom w:val="0"/>
      <w:divBdr>
        <w:top w:val="none" w:sz="0" w:space="0" w:color="auto"/>
        <w:left w:val="none" w:sz="0" w:space="0" w:color="auto"/>
        <w:bottom w:val="none" w:sz="0" w:space="0" w:color="auto"/>
        <w:right w:val="none" w:sz="0" w:space="0" w:color="auto"/>
      </w:divBdr>
    </w:div>
    <w:div w:id="1172842067">
      <w:bodyDiv w:val="1"/>
      <w:marLeft w:val="0"/>
      <w:marRight w:val="0"/>
      <w:marTop w:val="0"/>
      <w:marBottom w:val="0"/>
      <w:divBdr>
        <w:top w:val="none" w:sz="0" w:space="0" w:color="auto"/>
        <w:left w:val="none" w:sz="0" w:space="0" w:color="auto"/>
        <w:bottom w:val="none" w:sz="0" w:space="0" w:color="auto"/>
        <w:right w:val="none" w:sz="0" w:space="0" w:color="auto"/>
      </w:divBdr>
    </w:div>
    <w:div w:id="1298607866">
      <w:bodyDiv w:val="1"/>
      <w:marLeft w:val="0"/>
      <w:marRight w:val="0"/>
      <w:marTop w:val="0"/>
      <w:marBottom w:val="0"/>
      <w:divBdr>
        <w:top w:val="none" w:sz="0" w:space="0" w:color="auto"/>
        <w:left w:val="none" w:sz="0" w:space="0" w:color="auto"/>
        <w:bottom w:val="none" w:sz="0" w:space="0" w:color="auto"/>
        <w:right w:val="none" w:sz="0" w:space="0" w:color="auto"/>
      </w:divBdr>
    </w:div>
    <w:div w:id="1484395126">
      <w:bodyDiv w:val="1"/>
      <w:marLeft w:val="0"/>
      <w:marRight w:val="0"/>
      <w:marTop w:val="0"/>
      <w:marBottom w:val="0"/>
      <w:divBdr>
        <w:top w:val="none" w:sz="0" w:space="0" w:color="auto"/>
        <w:left w:val="none" w:sz="0" w:space="0" w:color="auto"/>
        <w:bottom w:val="none" w:sz="0" w:space="0" w:color="auto"/>
        <w:right w:val="none" w:sz="0" w:space="0" w:color="auto"/>
      </w:divBdr>
    </w:div>
    <w:div w:id="1593008124">
      <w:bodyDiv w:val="1"/>
      <w:marLeft w:val="0"/>
      <w:marRight w:val="0"/>
      <w:marTop w:val="0"/>
      <w:marBottom w:val="0"/>
      <w:divBdr>
        <w:top w:val="none" w:sz="0" w:space="0" w:color="auto"/>
        <w:left w:val="none" w:sz="0" w:space="0" w:color="auto"/>
        <w:bottom w:val="none" w:sz="0" w:space="0" w:color="auto"/>
        <w:right w:val="none" w:sz="0" w:space="0" w:color="auto"/>
      </w:divBdr>
    </w:div>
    <w:div w:id="1665357419">
      <w:bodyDiv w:val="1"/>
      <w:marLeft w:val="0"/>
      <w:marRight w:val="0"/>
      <w:marTop w:val="0"/>
      <w:marBottom w:val="0"/>
      <w:divBdr>
        <w:top w:val="none" w:sz="0" w:space="0" w:color="auto"/>
        <w:left w:val="none" w:sz="0" w:space="0" w:color="auto"/>
        <w:bottom w:val="none" w:sz="0" w:space="0" w:color="auto"/>
        <w:right w:val="none" w:sz="0" w:space="0" w:color="auto"/>
      </w:divBdr>
    </w:div>
    <w:div w:id="1798645703">
      <w:bodyDiv w:val="1"/>
      <w:marLeft w:val="0"/>
      <w:marRight w:val="0"/>
      <w:marTop w:val="0"/>
      <w:marBottom w:val="0"/>
      <w:divBdr>
        <w:top w:val="none" w:sz="0" w:space="0" w:color="auto"/>
        <w:left w:val="none" w:sz="0" w:space="0" w:color="auto"/>
        <w:bottom w:val="none" w:sz="0" w:space="0" w:color="auto"/>
        <w:right w:val="none" w:sz="0" w:space="0" w:color="auto"/>
      </w:divBdr>
    </w:div>
    <w:div w:id="1800025635">
      <w:bodyDiv w:val="1"/>
      <w:marLeft w:val="0"/>
      <w:marRight w:val="0"/>
      <w:marTop w:val="0"/>
      <w:marBottom w:val="0"/>
      <w:divBdr>
        <w:top w:val="none" w:sz="0" w:space="0" w:color="auto"/>
        <w:left w:val="none" w:sz="0" w:space="0" w:color="auto"/>
        <w:bottom w:val="none" w:sz="0" w:space="0" w:color="auto"/>
        <w:right w:val="none" w:sz="0" w:space="0" w:color="auto"/>
      </w:divBdr>
    </w:div>
    <w:div w:id="1895313024">
      <w:bodyDiv w:val="1"/>
      <w:marLeft w:val="0"/>
      <w:marRight w:val="0"/>
      <w:marTop w:val="0"/>
      <w:marBottom w:val="0"/>
      <w:divBdr>
        <w:top w:val="none" w:sz="0" w:space="0" w:color="auto"/>
        <w:left w:val="none" w:sz="0" w:space="0" w:color="auto"/>
        <w:bottom w:val="none" w:sz="0" w:space="0" w:color="auto"/>
        <w:right w:val="none" w:sz="0" w:space="0" w:color="auto"/>
      </w:divBdr>
    </w:div>
    <w:div w:id="1901406567">
      <w:bodyDiv w:val="1"/>
      <w:marLeft w:val="0"/>
      <w:marRight w:val="0"/>
      <w:marTop w:val="0"/>
      <w:marBottom w:val="0"/>
      <w:divBdr>
        <w:top w:val="none" w:sz="0" w:space="0" w:color="auto"/>
        <w:left w:val="none" w:sz="0" w:space="0" w:color="auto"/>
        <w:bottom w:val="none" w:sz="0" w:space="0" w:color="auto"/>
        <w:right w:val="none" w:sz="0" w:space="0" w:color="auto"/>
      </w:divBdr>
    </w:div>
    <w:div w:id="203831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ngreso.es/web/guest/busqueda-de-iniciativas?p_p_id=iniciativas&amp;p_p_lifecycle=0&amp;p_p_state=normal&amp;p_p_mode=view&amp;_iniciativas_mode=mostrarDetalle&amp;_iniciativas_legislatura=XIV&amp;_iniciativas_id=122/000009" TargetMode="External"/><Relationship Id="rId21" Type="http://schemas.openxmlformats.org/officeDocument/2006/relationships/image" Target="media/image3.png"/><Relationship Id="rId63" Type="http://schemas.openxmlformats.org/officeDocument/2006/relationships/hyperlink" Target="https://www.antifraucv.es/wp-content/uploads/2020/10/20200605_GVA_DIR_TERRITORIAL_IGUALDAD_ALICANTE.pdf" TargetMode="External"/><Relationship Id="rId159" Type="http://schemas.openxmlformats.org/officeDocument/2006/relationships/hyperlink" Target="https://www.antifraucv.es/es/se-constituye-el-consejo-de-participacion-de-la-agencia-de-prevencion-y-lucha-contra-el-fraude-y-la-corrupcion-de-la-comunitat-valenciana/" TargetMode="External"/><Relationship Id="rId170" Type="http://schemas.openxmlformats.org/officeDocument/2006/relationships/image" Target="media/image18.jpeg"/><Relationship Id="rId191" Type="http://schemas.openxmlformats.org/officeDocument/2006/relationships/hyperlink" Target="https://www.fpalzira.es/web/index.php/es-es/2-uncategorised/746-semana-economia-alzira" TargetMode="External"/><Relationship Id="rId205" Type="http://schemas.openxmlformats.org/officeDocument/2006/relationships/chart" Target="charts/chart21.xml"/><Relationship Id="rId226" Type="http://schemas.openxmlformats.org/officeDocument/2006/relationships/chart" Target="charts/chart28.xml"/><Relationship Id="rId247" Type="http://schemas.openxmlformats.org/officeDocument/2006/relationships/hyperlink" Target="https://ec.europa.eu/info/sites/info/files/es_rol_country_chapter_es.pdf" TargetMode="External"/><Relationship Id="rId107" Type="http://schemas.openxmlformats.org/officeDocument/2006/relationships/hyperlink" Target="https://www.poderjudicial.es/search/AN/openDocument/e5631ef00cd5e6ce/20200213" TargetMode="External"/><Relationship Id="rId11" Type="http://schemas.openxmlformats.org/officeDocument/2006/relationships/image" Target="media/image2.png"/><Relationship Id="rId32" Type="http://schemas.openxmlformats.org/officeDocument/2006/relationships/hyperlink" Target="https://twitter.com/AntifrauCV" TargetMode="External"/><Relationship Id="rId53" Type="http://schemas.openxmlformats.org/officeDocument/2006/relationships/chart" Target="charts/chart6.xml"/><Relationship Id="rId74" Type="http://schemas.openxmlformats.org/officeDocument/2006/relationships/hyperlink" Target="https://www.antifraucv.es/wp-content/uploads/2020/10/20201026_GVA-CONSELLERIA_DE_JUSTICIA_INTERIOR_Y_ADM_PUBLICA.pdf." TargetMode="External"/><Relationship Id="rId128" Type="http://schemas.openxmlformats.org/officeDocument/2006/relationships/hyperlink" Target="https://www.antifraucv.es/wp-content/uploads/2020/10/201030_DECALOGO_PROTECCION_DENUNCIANTE.pdf" TargetMode="External"/><Relationship Id="rId149" Type="http://schemas.openxmlformats.org/officeDocument/2006/relationships/hyperlink" Target="https://www.dogv.gva.es/datos/2020/09/18/pdf/2020_7462.pdf" TargetMode="External"/><Relationship Id="rId5" Type="http://schemas.openxmlformats.org/officeDocument/2006/relationships/footnotes" Target="footnotes.xml"/><Relationship Id="rId95" Type="http://schemas.openxmlformats.org/officeDocument/2006/relationships/hyperlink" Target="http://www.dogv.gva.es/datos/2019/02/22/pdf/2019_1534.pdf" TargetMode="External"/><Relationship Id="rId160" Type="http://schemas.openxmlformats.org/officeDocument/2006/relationships/hyperlink" Target="http://www.dogv.gva.es/datos/2019/07/02/pdf/2019_6610.pdf" TargetMode="External"/><Relationship Id="rId181" Type="http://schemas.openxmlformats.org/officeDocument/2006/relationships/hyperlink" Target="https://www.antifraucv.es/wp-content/uploads/2020/07/200626_NEIWA_declaracio_roma_EN_ES.pdf" TargetMode="External"/><Relationship Id="rId216" Type="http://schemas.openxmlformats.org/officeDocument/2006/relationships/hyperlink" Target="https://www.antifraucv.es/es/el-director-de-la-avaf-comparece-en-les-corts-para-presentar-6-recomendaciones-al-nuevo-proyecto-de-ley-de-la-funcion-publica-valenciana/" TargetMode="External"/><Relationship Id="rId237" Type="http://schemas.openxmlformats.org/officeDocument/2006/relationships/chart" Target="charts/chart38.xml"/><Relationship Id="rId258" Type="http://schemas.openxmlformats.org/officeDocument/2006/relationships/header" Target="header7.xml"/><Relationship Id="rId22" Type="http://schemas.openxmlformats.org/officeDocument/2006/relationships/hyperlink" Target="https://t.me/AgenciaValencianaAntifraude" TargetMode="External"/><Relationship Id="rId43" Type="http://schemas.openxmlformats.org/officeDocument/2006/relationships/image" Target="media/image11.jpeg"/><Relationship Id="rId64" Type="http://schemas.openxmlformats.org/officeDocument/2006/relationships/hyperlink" Target="https://www.antifraucv.es/wp-content/uploads/2020/10/20200720_AYUNTAMIENTO_DE_ALDAIA.pdf." TargetMode="External"/><Relationship Id="rId118" Type="http://schemas.openxmlformats.org/officeDocument/2006/relationships/hyperlink" Target="http://www.congreso.es/public_oficiales/L14/CONG/BOCG/B/BOCG-14-B-56-1.PDF" TargetMode="External"/><Relationship Id="rId139" Type="http://schemas.openxmlformats.org/officeDocument/2006/relationships/hyperlink" Target="https://www.antifraucv.es/wp-content/uploads/2020/09/200324_NOTA_N_1_DAJ_estado_alarma_WEB.pdf" TargetMode="External"/><Relationship Id="rId85" Type="http://schemas.openxmlformats.org/officeDocument/2006/relationships/hyperlink" Target="https://www.antifraucv.es/wp-content/uploads/2021/01/20201223_AYUNTAMIENTO_DE_BENICASSIM.pdf" TargetMode="External"/><Relationship Id="rId150" Type="http://schemas.openxmlformats.org/officeDocument/2006/relationships/hyperlink" Target="https://www.antifraucv.es/wp-content/uploads/2021/01/05_RES_%C3%A1mbito_actuaci%C3%B3n-material_avaf-FDO.pdf" TargetMode="External"/><Relationship Id="rId171" Type="http://schemas.openxmlformats.org/officeDocument/2006/relationships/hyperlink" Target="https://www.antifraucv.es/es/la-red-estatal-de-oficinas-y-agencias-antifraude-ha-celebrado-su-6o-encuentro-semestral/" TargetMode="External"/><Relationship Id="rId192" Type="http://schemas.openxmlformats.org/officeDocument/2006/relationships/hyperlink" Target="https://www.cortsvalencianes.es/es/consulta_boc" TargetMode="External"/><Relationship Id="rId206" Type="http://schemas.openxmlformats.org/officeDocument/2006/relationships/image" Target="media/image21.png"/><Relationship Id="rId227" Type="http://schemas.openxmlformats.org/officeDocument/2006/relationships/chart" Target="charts/chart29.xml"/><Relationship Id="rId248" Type="http://schemas.openxmlformats.org/officeDocument/2006/relationships/hyperlink" Target="https://www.antifraucv.es/wp-content/uploads/2021/02/AVAF_Alegaciones-consulta-p%C3%BAblica-FDO.pdf" TargetMode="External"/><Relationship Id="rId12" Type="http://schemas.openxmlformats.org/officeDocument/2006/relationships/hyperlink" Target="http://www.antifraucv.es/" TargetMode="External"/><Relationship Id="rId33" Type="http://schemas.openxmlformats.org/officeDocument/2006/relationships/image" Target="media/image9.png"/><Relationship Id="rId108" Type="http://schemas.openxmlformats.org/officeDocument/2006/relationships/hyperlink" Target="https://www.poderjudicial.es/search/AN/openDocument/1ef1d8f6e2465047/20190211" TargetMode="External"/><Relationship Id="rId129" Type="http://schemas.openxmlformats.org/officeDocument/2006/relationships/hyperlink" Target="https://www.antifraucv.es/" TargetMode="External"/><Relationship Id="rId54" Type="http://schemas.openxmlformats.org/officeDocument/2006/relationships/chart" Target="charts/chart7.xml"/><Relationship Id="rId75" Type="http://schemas.openxmlformats.org/officeDocument/2006/relationships/hyperlink" Target="https://www.antifraucv.es/wp-content/uploads/2020/10/20201030_AYUNTAMIENTO_DE_LLIRIA.pdf" TargetMode="External"/><Relationship Id="rId96" Type="http://schemas.openxmlformats.org/officeDocument/2006/relationships/hyperlink" Target="http://gvaoberta.gva.es/documents/7843050/172236069/RESOL_20190627_cas.pdf/88905c8f-26fb-46f8-9ebc-4546aaea51a7" TargetMode="External"/><Relationship Id="rId140" Type="http://schemas.openxmlformats.org/officeDocument/2006/relationships/hyperlink" Target="https://www.antifraucv.es/wp-content/uploads/2020/09/200505_NOTA_N_2_DAJ_estado_alarma_WEB.pdf" TargetMode="External"/><Relationship Id="rId161" Type="http://schemas.openxmlformats.org/officeDocument/2006/relationships/image" Target="media/image14.jpeg"/><Relationship Id="rId182" Type="http://schemas.openxmlformats.org/officeDocument/2006/relationships/hyperlink" Target="https://www.antifraucv.es/es/organizaciones-antifraude-de-toda-europa-reclaman-que-se-proteja-a-las-personas-denunciantes-de-corrupcion/" TargetMode="External"/><Relationship Id="rId217" Type="http://schemas.openxmlformats.org/officeDocument/2006/relationships/hyperlink" Target="https://www.parlament.cat/web/activitat-parlamentaria/siap/index.html?STRUTSANCHOR1=detallExpedient.do&amp;criteri=202-00022/12&amp;ad=1" TargetMode="External"/><Relationship Id="rId6" Type="http://schemas.openxmlformats.org/officeDocument/2006/relationships/endnotes" Target="endnotes.xml"/><Relationship Id="rId238" Type="http://schemas.openxmlformats.org/officeDocument/2006/relationships/hyperlink" Target="https://www.antifraucv.es/es/portal-transparencia/contratacion-castellano/" TargetMode="External"/><Relationship Id="rId259" Type="http://schemas.openxmlformats.org/officeDocument/2006/relationships/footer" Target="footer4.xml"/><Relationship Id="rId23" Type="http://schemas.openxmlformats.org/officeDocument/2006/relationships/image" Target="media/image4.png"/><Relationship Id="rId119" Type="http://schemas.openxmlformats.org/officeDocument/2006/relationships/hyperlink" Target="https://www.congreso.es/web/guest/busqueda-de-iniciativas?p_p_id=iniciativas&amp;p_p_lifecycle=0&amp;p_p_state=normal&amp;p_p_mode=view&amp;_iniciativas_mode=mostrarDetalle&amp;_iniciativas_legislatura=XIV&amp;_iniciativas_id=122%2F000031" TargetMode="External"/><Relationship Id="rId44" Type="http://schemas.openxmlformats.org/officeDocument/2006/relationships/image" Target="media/image12.jpeg"/><Relationship Id="rId65" Type="http://schemas.openxmlformats.org/officeDocument/2006/relationships/hyperlink" Target="https://www.antifraucv.es/wp-content/uploads/2020/10/20200721_AYUNTAMIENTO_DE_CALLOSA_D_EN_SARRIA.pdf" TargetMode="External"/><Relationship Id="rId86" Type="http://schemas.openxmlformats.org/officeDocument/2006/relationships/hyperlink" Target="https://www.antifraucv.es/wp-content/uploads/2021/01/20201228_AEROPUERTO_DE_CASTELL%C3%93N.pdf" TargetMode="External"/><Relationship Id="rId130" Type="http://schemas.openxmlformats.org/officeDocument/2006/relationships/hyperlink" Target="https://www.boe.es/buscar/pdf/2016/BOE-A-2016-12048-consolidado.pdf" TargetMode="External"/><Relationship Id="rId151" Type="http://schemas.openxmlformats.org/officeDocument/2006/relationships/hyperlink" Target="https://www.antifraucv.es/wp-content/uploads/2020/10/201023-NOTAS-b%C3%A1sicas-incompatibilidades.pdf" TargetMode="External"/><Relationship Id="rId172" Type="http://schemas.openxmlformats.org/officeDocument/2006/relationships/hyperlink" Target="https://www.cortsvalencianes.es/es/consulta_boc" TargetMode="External"/><Relationship Id="rId193" Type="http://schemas.openxmlformats.org/officeDocument/2006/relationships/hyperlink" Target="https://forinvest.feriavalencia.com/" TargetMode="External"/><Relationship Id="rId207" Type="http://schemas.openxmlformats.org/officeDocument/2006/relationships/chart" Target="charts/chart22.xml"/><Relationship Id="rId228" Type="http://schemas.openxmlformats.org/officeDocument/2006/relationships/chart" Target="charts/chart30.xml"/><Relationship Id="rId249" Type="http://schemas.openxmlformats.org/officeDocument/2006/relationships/hyperlink" Target="https://www.antifraucv.es/wp-content/uploads/2021/03/AVAF_Alegaciones-Informaci%C3%B3n-P%C3%BAblica-LECRIM-WEB.pdf" TargetMode="External"/><Relationship Id="rId13" Type="http://schemas.openxmlformats.org/officeDocument/2006/relationships/hyperlink" Target="http://www.antifraucv.es/" TargetMode="External"/><Relationship Id="rId109" Type="http://schemas.openxmlformats.org/officeDocument/2006/relationships/hyperlink" Target="http://www.poderjudicial.es/search/AN/openDocument/74f9b45cfd3d5585/20060831" TargetMode="External"/><Relationship Id="rId260" Type="http://schemas.openxmlformats.org/officeDocument/2006/relationships/fontTable" Target="fontTable.xml"/><Relationship Id="rId34" Type="http://schemas.openxmlformats.org/officeDocument/2006/relationships/hyperlink" Target="file:///C:\Users\federico.rey\Desktop\MEMORIA%202020\MEMORIA%202020%20CAS%20V%20definitiva%20REV5.docx" TargetMode="External"/><Relationship Id="rId55" Type="http://schemas.openxmlformats.org/officeDocument/2006/relationships/chart" Target="charts/chart8.xml"/><Relationship Id="rId76" Type="http://schemas.openxmlformats.org/officeDocument/2006/relationships/hyperlink" Target="https://www.antifraucv.es/wp-content/uploads/2020/10/20201109_AYUNTAMIENTO_DE_GODELLA.pdf." TargetMode="External"/><Relationship Id="rId97" Type="http://schemas.openxmlformats.org/officeDocument/2006/relationships/hyperlink" Target="https://www.cortsvalencianes.es/es/consulta_boc" TargetMode="External"/><Relationship Id="rId120" Type="http://schemas.openxmlformats.org/officeDocument/2006/relationships/hyperlink" Target="https://www.congreso.es/public_oficiales/L14/CONG/BOCG/B/BOCG-14-B-142-1.PDF" TargetMode="External"/><Relationship Id="rId141" Type="http://schemas.openxmlformats.org/officeDocument/2006/relationships/hyperlink" Target="https://www.antifraucv.es/wp-content/uploads/2020/09/200529_NOTA_N_3_estado_alarma_WEB.pdf" TargetMode="External"/><Relationship Id="rId7" Type="http://schemas.openxmlformats.org/officeDocument/2006/relationships/header" Target="header1.xml"/><Relationship Id="rId162" Type="http://schemas.openxmlformats.org/officeDocument/2006/relationships/hyperlink" Target="https://www.antifraucv.es/es/14-organizaciones-de-lucha-contra-el-fraude-y-la-corrupcion-se-reunen-por-segunda-vez-en-el-consejo-de-participacion-de-la-agencia-valenciana-antifraude-avaf/" TargetMode="External"/><Relationship Id="rId183" Type="http://schemas.openxmlformats.org/officeDocument/2006/relationships/hyperlink" Target="https://www.antifraucv.es/wp-content/uploads/2020/12/201214-Declaraci%C3%B3n-de-Bruselas-ENG-ESP-FINAL.pdf" TargetMode="External"/><Relationship Id="rId218" Type="http://schemas.openxmlformats.org/officeDocument/2006/relationships/image" Target="media/image24.png"/><Relationship Id="rId239" Type="http://schemas.openxmlformats.org/officeDocument/2006/relationships/hyperlink" Target="https://www.antifraucv.es/es/portal-transparencia/gestio-economica/" TargetMode="External"/><Relationship Id="rId250" Type="http://schemas.openxmlformats.org/officeDocument/2006/relationships/hyperlink" Target="https://e00-elmundo.uecdn.es/documentos/2014/12/03/conclusiones_jueces_decanos.pdf" TargetMode="External"/><Relationship Id="rId24" Type="http://schemas.openxmlformats.org/officeDocument/2006/relationships/hyperlink" Target="https://www.linkedin.com/company/antifraucv/" TargetMode="External"/><Relationship Id="rId45" Type="http://schemas.openxmlformats.org/officeDocument/2006/relationships/image" Target="media/image13.png"/><Relationship Id="rId66" Type="http://schemas.openxmlformats.org/officeDocument/2006/relationships/hyperlink" Target="https://www.antifraucv.es/wp-content/uploads/2020/10/20200724_GVA-DIRECCI%c3%93N_GENERAL_DIVERSIDAD_FUNCIONAL.pdf" TargetMode="External"/><Relationship Id="rId87" Type="http://schemas.openxmlformats.org/officeDocument/2006/relationships/hyperlink" Target="https://www.antifraucv.es/wp-content/uploads/2021/01/20201230_AYUNTAMIENTO_DE_CASTELL%C3%93N.pdf." TargetMode="External"/><Relationship Id="rId110" Type="http://schemas.openxmlformats.org/officeDocument/2006/relationships/hyperlink" Target="http://www.poderjudicial.es/search/AN/openDocument/c1fcb366a9bcdd57/20060914" TargetMode="External"/><Relationship Id="rId131" Type="http://schemas.openxmlformats.org/officeDocument/2006/relationships/chart" Target="charts/chart12.xml"/><Relationship Id="rId152" Type="http://schemas.openxmlformats.org/officeDocument/2006/relationships/hyperlink" Target="https://www.dogv.gva.es/datos/2021/01/08/pdf/2021_29.pdf" TargetMode="External"/><Relationship Id="rId173" Type="http://schemas.openxmlformats.org/officeDocument/2006/relationships/image" Target="media/image19.jpeg"/><Relationship Id="rId194" Type="http://schemas.openxmlformats.org/officeDocument/2006/relationships/hyperlink" Target="https://postgrado.adeituv.es/es/cursos/area_juridica_y_social-2/20211390/datos_generales.htm" TargetMode="External"/><Relationship Id="rId208" Type="http://schemas.openxmlformats.org/officeDocument/2006/relationships/image" Target="media/image22.png"/><Relationship Id="rId229" Type="http://schemas.openxmlformats.org/officeDocument/2006/relationships/chart" Target="charts/chart31.xml"/><Relationship Id="rId240" Type="http://schemas.openxmlformats.org/officeDocument/2006/relationships/hyperlink" Target="https://www.antifraucv.es/wp-content/uploads/2020/03/MEMORIA_2019_CAS.pdf" TargetMode="External"/><Relationship Id="rId261" Type="http://schemas.openxmlformats.org/officeDocument/2006/relationships/theme" Target="theme/theme1.xml"/><Relationship Id="rId14" Type="http://schemas.openxmlformats.org/officeDocument/2006/relationships/hyperlink" Target="http://www.antifraucv.es/" TargetMode="External"/><Relationship Id="rId35" Type="http://schemas.openxmlformats.org/officeDocument/2006/relationships/hyperlink" Target="file:///C:\Users\federico.rey\Desktop\MEMORIA%202020\MEMORIA%202020%20CAS%20V%20definitiva%20REV5.docx" TargetMode="External"/><Relationship Id="rId56" Type="http://schemas.openxmlformats.org/officeDocument/2006/relationships/chart" Target="charts/chart9.xml"/><Relationship Id="rId77" Type="http://schemas.openxmlformats.org/officeDocument/2006/relationships/hyperlink" Target="https://www.antifraucv.es/wp-content/uploads/2020/10/20201111_AYUNTAMIENTO_DE_VALENCIA.pdf" TargetMode="External"/><Relationship Id="rId100" Type="http://schemas.openxmlformats.org/officeDocument/2006/relationships/hyperlink" Target="https://www.antifraucv.es/wp-content/uploads/2020/09/200310_Propuesta_enmiendas_a_PL_FPV_CAS.pdf" TargetMode="External"/><Relationship Id="rId8" Type="http://schemas.openxmlformats.org/officeDocument/2006/relationships/header" Target="header2.xml"/><Relationship Id="rId98" Type="http://schemas.openxmlformats.org/officeDocument/2006/relationships/hyperlink" Target="https://www.gazzettaufficiale.it/eli/gu/2012/11/13/265/sg/pdf" TargetMode="External"/><Relationship Id="rId121" Type="http://schemas.openxmlformats.org/officeDocument/2006/relationships/hyperlink" Target="https://www.congreso.es/web/guest/busqueda-de-iniciativas?p_p_id=iniciativas&amp;p_p_lifecycle=0&amp;p_p_state=normal&amp;p_p_mode=view&amp;_iniciativas_mode=mostrarDetalle&amp;_iniciativas_legislatura=XIV&amp;_iniciativas_id=122/000116" TargetMode="External"/><Relationship Id="rId142" Type="http://schemas.openxmlformats.org/officeDocument/2006/relationships/hyperlink" Target="https://www.antifraucv.es/wp-content/uploads/2020/09/200508_Guia_tramitacion_de_convenios_FDO.pdf" TargetMode="External"/><Relationship Id="rId163" Type="http://schemas.openxmlformats.org/officeDocument/2006/relationships/image" Target="media/image15.jpeg"/><Relationship Id="rId184" Type="http://schemas.openxmlformats.org/officeDocument/2006/relationships/hyperlink" Target="https://www.antifraucv.es/es/la-xarxa-europea-dautoritats-dintegritat-i-alertadores-neiwa-adverteix-que-nomes-mancada-un-any-per-a-la-transposicio-de-la-directiva-europea-de-proteccio-a-les-persones-denunciants-de-corrupcio/" TargetMode="External"/><Relationship Id="rId219" Type="http://schemas.openxmlformats.org/officeDocument/2006/relationships/hyperlink" Target="https://www.antifraucv.es/es/la-agencia/organigrama" TargetMode="External"/><Relationship Id="rId230" Type="http://schemas.openxmlformats.org/officeDocument/2006/relationships/chart" Target="charts/chart32.xml"/><Relationship Id="rId251" Type="http://schemas.openxmlformats.org/officeDocument/2006/relationships/hyperlink" Target="https://www.juntadeandalucia.es/export/drupaljda/normativa_en_elaboracion/19/10/101.%20Informe%20CGPJ.pdf" TargetMode="External"/><Relationship Id="rId25" Type="http://schemas.openxmlformats.org/officeDocument/2006/relationships/image" Target="media/image5.png"/><Relationship Id="rId46" Type="http://schemas.openxmlformats.org/officeDocument/2006/relationships/hyperlink" Target="https://www.antifraucv.es/es/portal-transparencia/informacion-de-relevancia-juridica/" TargetMode="External"/><Relationship Id="rId67" Type="http://schemas.openxmlformats.org/officeDocument/2006/relationships/hyperlink" Target="https://www.antifraucv.es/wp-content/uploads/2020/10/20200731_AYUNTAMIENTO_DE_ALCOI.pdf" TargetMode="External"/><Relationship Id="rId88" Type="http://schemas.openxmlformats.org/officeDocument/2006/relationships/hyperlink" Target="https://www.boe.es/buscar/pdf/2016/BOE-A-2016-12048-consolidado.pdf" TargetMode="External"/><Relationship Id="rId111" Type="http://schemas.openxmlformats.org/officeDocument/2006/relationships/hyperlink" Target="http://www.poderjudicial.es/search/AN/openDocument/2b4a12171c3a3a31/20131204" TargetMode="External"/><Relationship Id="rId132" Type="http://schemas.openxmlformats.org/officeDocument/2006/relationships/chart" Target="charts/chart13.xml"/><Relationship Id="rId153" Type="http://schemas.openxmlformats.org/officeDocument/2006/relationships/hyperlink" Target="https://www.antifraucv.es/wp-content/uploads/2021/01/RES-PLAN-NORMATIVO-AVAF_CAS.pdf" TargetMode="External"/><Relationship Id="rId174" Type="http://schemas.openxmlformats.org/officeDocument/2006/relationships/hyperlink" Target="https://www.cortsvalencianes.es/es/consulta_boc" TargetMode="External"/><Relationship Id="rId195" Type="http://schemas.openxmlformats.org/officeDocument/2006/relationships/hyperlink" Target="https://www.uv.es/universitat-estiu-uvgandia/ca/edicio-2020/cursos.html" TargetMode="External"/><Relationship Id="rId209" Type="http://schemas.openxmlformats.org/officeDocument/2006/relationships/image" Target="media/image23.png"/><Relationship Id="rId220" Type="http://schemas.openxmlformats.org/officeDocument/2006/relationships/hyperlink" Target="https://www.antifraucv.es/wp-content/uploads/2020/12/2020_12_29_-DOGV8985.pdf" TargetMode="External"/><Relationship Id="rId241" Type="http://schemas.openxmlformats.org/officeDocument/2006/relationships/hyperlink" Target="https://www.antifraucv.es/wp-content/uploads/2019/06/Memoria-2018_CAS_AVA.pdf" TargetMode="External"/><Relationship Id="rId15" Type="http://schemas.openxmlformats.org/officeDocument/2006/relationships/hyperlink" Target="http://www.antifraucv.es/" TargetMode="External"/><Relationship Id="rId36" Type="http://schemas.openxmlformats.org/officeDocument/2006/relationships/hyperlink" Target="file:///C:\Users\federico.rey\Desktop\MEMORIA%202020\MEMORIA%202020%20CAS%20V%20definitiva%20REV5.docx" TargetMode="External"/><Relationship Id="rId57" Type="http://schemas.openxmlformats.org/officeDocument/2006/relationships/chart" Target="charts/chart10.xml"/><Relationship Id="rId78" Type="http://schemas.openxmlformats.org/officeDocument/2006/relationships/hyperlink" Target="https://www.antifraucv.es/wp-content/uploads/2020/11/20201117_AYUNTAMIENTO_DE_VALENCIA.pdf" TargetMode="External"/><Relationship Id="rId99" Type="http://schemas.openxmlformats.org/officeDocument/2006/relationships/hyperlink" Target="https://www.gazzettaufficiale.it/eli/gu/2014/08/18/190/so/70/sg/pdf" TargetMode="External"/><Relationship Id="rId101" Type="http://schemas.openxmlformats.org/officeDocument/2006/relationships/hyperlink" Target="https://www.antifraucv.es/wp-content/uploads/2021/01/2020-03-11-Justificante-documentaci%C3%B3-rebuda-Corts.pdf" TargetMode="External"/><Relationship Id="rId122" Type="http://schemas.openxmlformats.org/officeDocument/2006/relationships/hyperlink" Target="https://www.jcyl.es/junta/cp/20200210-anteproyecto-agencia-lucha-fraude.pdf" TargetMode="External"/><Relationship Id="rId143" Type="http://schemas.openxmlformats.org/officeDocument/2006/relationships/hyperlink" Target="https://www.antifraucv.es/wp-content/uploads/2020/09/200910-informe-sobre-solicitud-informacion-ayto-valencia_FDO_Anonimizado.pdf" TargetMode="External"/><Relationship Id="rId164" Type="http://schemas.openxmlformats.org/officeDocument/2006/relationships/hyperlink" Target="https://www.antifraucv.es/es/tercera-reunion-del-consejo-de-participacion-de-la-agencia-valenciana-antifraude/" TargetMode="External"/><Relationship Id="rId185" Type="http://schemas.openxmlformats.org/officeDocument/2006/relationships/hyperlink" Target="https://tenders.guru/" TargetMode="External"/><Relationship Id="rId9" Type="http://schemas.openxmlformats.org/officeDocument/2006/relationships/footer" Target="footer1.xml"/><Relationship Id="rId210" Type="http://schemas.openxmlformats.org/officeDocument/2006/relationships/chart" Target="charts/chart23.xml"/><Relationship Id="rId26" Type="http://schemas.openxmlformats.org/officeDocument/2006/relationships/hyperlink" Target="https://www.youtube.com/channel/UCkDS5OEUZu3iTEWg7gu8XXQ" TargetMode="External"/><Relationship Id="rId231" Type="http://schemas.openxmlformats.org/officeDocument/2006/relationships/chart" Target="charts/chart33.xml"/><Relationship Id="rId252" Type="http://schemas.openxmlformats.org/officeDocument/2006/relationships/hyperlink" Target="http://www.dogv.gva.es/datos/2018/05/23/pdf/2018_4529.pdf" TargetMode="External"/><Relationship Id="rId47" Type="http://schemas.openxmlformats.org/officeDocument/2006/relationships/chart" Target="charts/chart1.xml"/><Relationship Id="rId68" Type="http://schemas.openxmlformats.org/officeDocument/2006/relationships/hyperlink" Target="https://www.antifraucv.es/wp-content/uploads/2020/10/UNION_MUSICAL_CASINENSE_E.pdf" TargetMode="External"/><Relationship Id="rId89" Type="http://schemas.openxmlformats.org/officeDocument/2006/relationships/hyperlink" Target="https://www.boe.es/boe/dias/2006/07/19/pdfs/A27132-27153.pdf" TargetMode="External"/><Relationship Id="rId112" Type="http://schemas.openxmlformats.org/officeDocument/2006/relationships/hyperlink" Target="http://www.poderjudicial.es/search/AN/openDocument/897805aaa929b905/20140929" TargetMode="External"/><Relationship Id="rId133" Type="http://schemas.openxmlformats.org/officeDocument/2006/relationships/chart" Target="charts/chart14.xml"/><Relationship Id="rId154" Type="http://schemas.openxmlformats.org/officeDocument/2006/relationships/hyperlink" Target="https://www.antifraucv.es/wp-content/uploads/2020/11/201102_DECALOGO_PROTECCION_DENUNCIANTE_R.pdf" TargetMode="External"/><Relationship Id="rId175" Type="http://schemas.openxmlformats.org/officeDocument/2006/relationships/hyperlink" Target="https://www.cortsvalencianes.es/es/consulta_boc" TargetMode="External"/><Relationship Id="rId196" Type="http://schemas.openxmlformats.org/officeDocument/2006/relationships/hyperlink" Target="https://canal.uned.es/video/5f759ab55578f21a2d1fdcc5" TargetMode="External"/><Relationship Id="rId200" Type="http://schemas.openxmlformats.org/officeDocument/2006/relationships/hyperlink" Target="https://cybersecuritymonth.eu/" TargetMode="External"/><Relationship Id="rId16" Type="http://schemas.openxmlformats.org/officeDocument/2006/relationships/hyperlink" Target="http://www.antifraucv.es/" TargetMode="External"/><Relationship Id="rId221" Type="http://schemas.openxmlformats.org/officeDocument/2006/relationships/hyperlink" Target="https://www.antifraucv.es/wp-content/uploads/2021/01/20_12_30_BOCV.pdf" TargetMode="External"/><Relationship Id="rId242" Type="http://schemas.openxmlformats.org/officeDocument/2006/relationships/hyperlink" Target="https://www.sindicom.gva.es/public/Attachment/2021/1/informe_sobre_las_cuentas_anuales_de_les_corts_valencianes_2019_cast_signed.pdf" TargetMode="External"/><Relationship Id="rId37" Type="http://schemas.openxmlformats.org/officeDocument/2006/relationships/hyperlink" Target="file:///C:\Users\federico.rey\Desktop\MEMORIA%202020\MEMORIA%202020%20CAS%20V%20definitiva%20REV5.docx" TargetMode="External"/><Relationship Id="rId58" Type="http://schemas.openxmlformats.org/officeDocument/2006/relationships/chart" Target="charts/chart11.xml"/><Relationship Id="rId79" Type="http://schemas.openxmlformats.org/officeDocument/2006/relationships/hyperlink" Target="https://www.antifraucv.es/wp-content/uploads/2021/01/20201123_AYUNTAMIENTO_DE_VALENCIA.pdf" TargetMode="External"/><Relationship Id="rId102" Type="http://schemas.openxmlformats.org/officeDocument/2006/relationships/hyperlink" Target="https://www.boe.es/boe/dias/2006/07/19/pdfs/A27132-27153.pdf" TargetMode="External"/><Relationship Id="rId123" Type="http://schemas.openxmlformats.org/officeDocument/2006/relationships/hyperlink" Target="http://participa.jcyl.es/forums/927286--2020-02-anteproyecto-de-ley-por-la-que-se-regula" TargetMode="External"/><Relationship Id="rId144" Type="http://schemas.openxmlformats.org/officeDocument/2006/relationships/hyperlink" Target="https://www.antifraucv.es/wp-content/uploads/2020/06/2020-05-05-Resolucion-director-creaci%C3%B3n-rat-con-n%C3%BAmero-resolucion.pdf" TargetMode="External"/><Relationship Id="rId90" Type="http://schemas.openxmlformats.org/officeDocument/2006/relationships/hyperlink" Target="http://gvaoberta.gva.es/documents/7843050/172236069/RESOL_20190627_cas.pdf/88905c8f-26fb-46f8-9ebc-4546aaea51a7" TargetMode="External"/><Relationship Id="rId165" Type="http://schemas.openxmlformats.org/officeDocument/2006/relationships/image" Target="media/image16.jpeg"/><Relationship Id="rId186" Type="http://schemas.openxmlformats.org/officeDocument/2006/relationships/hyperlink" Target="http://congresoantifraude.eventocompliance.com/" TargetMode="External"/><Relationship Id="rId211" Type="http://schemas.openxmlformats.org/officeDocument/2006/relationships/chart" Target="charts/chart24.xml"/><Relationship Id="rId232" Type="http://schemas.openxmlformats.org/officeDocument/2006/relationships/chart" Target="charts/chart34.xml"/><Relationship Id="rId253" Type="http://schemas.openxmlformats.org/officeDocument/2006/relationships/hyperlink" Target="https://www.boe.es/doue/2019/305/L00017-00056.pdf" TargetMode="External"/><Relationship Id="rId27" Type="http://schemas.openxmlformats.org/officeDocument/2006/relationships/image" Target="media/image6.png"/><Relationship Id="rId48" Type="http://schemas.openxmlformats.org/officeDocument/2006/relationships/hyperlink" Target="https://www.antifraucv.es/es/denuncia/buzon-de-denuncias/" TargetMode="External"/><Relationship Id="rId69" Type="http://schemas.openxmlformats.org/officeDocument/2006/relationships/hyperlink" Target="https://www.antifraucv.es/wp-content/uploads/2020/10/20201007_AYUNTAMIENTO_DE_VALENCIA.pdf" TargetMode="External"/><Relationship Id="rId113" Type="http://schemas.openxmlformats.org/officeDocument/2006/relationships/hyperlink" Target="https://www.boe.es/doue/2019/305/L00017-00056.pdf" TargetMode="External"/><Relationship Id="rId134" Type="http://schemas.openxmlformats.org/officeDocument/2006/relationships/chart" Target="charts/chart15.xml"/><Relationship Id="rId80" Type="http://schemas.openxmlformats.org/officeDocument/2006/relationships/hyperlink" Target="https://www.antifraucv.es/wp-content/uploads/2021/01/20201130_DIPUTACI%C3%93N_DE_VALENCIA.pdf" TargetMode="External"/><Relationship Id="rId155" Type="http://schemas.openxmlformats.org/officeDocument/2006/relationships/hyperlink" Target="https://boe.es/diario_boe/txt.php?id=BOE-A-2007-2954" TargetMode="External"/><Relationship Id="rId176" Type="http://schemas.openxmlformats.org/officeDocument/2006/relationships/image" Target="media/image20.jpeg"/><Relationship Id="rId197" Type="http://schemas.openxmlformats.org/officeDocument/2006/relationships/hyperlink" Target="https://congresotransparencia.com/" TargetMode="External"/><Relationship Id="rId201" Type="http://schemas.openxmlformats.org/officeDocument/2006/relationships/hyperlink" Target="https://www.congresonovagob.com/programa-2020/" TargetMode="External"/><Relationship Id="rId222" Type="http://schemas.openxmlformats.org/officeDocument/2006/relationships/chart" Target="charts/chart25.xml"/><Relationship Id="rId243" Type="http://schemas.openxmlformats.org/officeDocument/2006/relationships/hyperlink" Target="https://www.tcu.es/repositorio/9cddcc82-7b19-4cb0-8045-558c04d03bbe/I1378.pdf" TargetMode="External"/><Relationship Id="rId17" Type="http://schemas.openxmlformats.org/officeDocument/2006/relationships/hyperlink" Target="http://www.antifraucv.es/" TargetMode="External"/><Relationship Id="rId38" Type="http://schemas.openxmlformats.org/officeDocument/2006/relationships/hyperlink" Target="file:///C:\Users\federico.rey\Desktop\MEMORIA%202020\MEMORIA%202020%20CAS%20V%20definitiva%20REV4.docx" TargetMode="External"/><Relationship Id="rId59" Type="http://schemas.openxmlformats.org/officeDocument/2006/relationships/hyperlink" Target="https://www.antifraucv.es/es/portal-transparencia/informacion-de-relevancia-juridica/" TargetMode="External"/><Relationship Id="rId103" Type="http://schemas.openxmlformats.org/officeDocument/2006/relationships/hyperlink" Target="https://www.boe.es/doue/2019/305/L00017-00056.pdf" TargetMode="External"/><Relationship Id="rId124" Type="http://schemas.openxmlformats.org/officeDocument/2006/relationships/hyperlink" Target="https://www.asambleamadrid.es/static/docs/registro-ep/RGEP27067-20.pdf" TargetMode="External"/><Relationship Id="rId70" Type="http://schemas.openxmlformats.org/officeDocument/2006/relationships/hyperlink" Target="https://www.antifraucv.es/wp-content/uploads/2020/10/20201014_AYUNTAMIENTO_DE_SUECA.pdf." TargetMode="External"/><Relationship Id="rId91" Type="http://schemas.openxmlformats.org/officeDocument/2006/relationships/hyperlink" Target="https://www.antifraucv.es/wp-content/uploads/2021/01/05_RES_%C3%A1mbito_actuaci%C3%B3n-material_avaf-FDO.pdf" TargetMode="External"/><Relationship Id="rId145" Type="http://schemas.openxmlformats.org/officeDocument/2006/relationships/hyperlink" Target="https://www.antifraucv.es/wp-content/uploads/2020/06/200615-Resoluci%C3%B3n-pol%C3%ADtica-privacidad.pdf" TargetMode="External"/><Relationship Id="rId166" Type="http://schemas.openxmlformats.org/officeDocument/2006/relationships/hyperlink" Target="https://www.youtube.com/watch?v=MpKGeFK4G3o&amp;feature=youtu.be" TargetMode="External"/><Relationship Id="rId187" Type="http://schemas.openxmlformats.org/officeDocument/2006/relationships/hyperlink" Target="https://www.acicom.org/wp-content/uploads/20200625-Reflexiones-y-Propuestas-para-una-sociedad-mejor-def_compressed.pdf" TargetMode="External"/><Relationship Id="rId1" Type="http://schemas.openxmlformats.org/officeDocument/2006/relationships/numbering" Target="numbering.xml"/><Relationship Id="rId212" Type="http://schemas.openxmlformats.org/officeDocument/2006/relationships/hyperlink" Target="https://www.youtube.com/watch?v=YZeXawhmMqQ" TargetMode="External"/><Relationship Id="rId233" Type="http://schemas.openxmlformats.org/officeDocument/2006/relationships/header" Target="header4.xml"/><Relationship Id="rId254" Type="http://schemas.openxmlformats.org/officeDocument/2006/relationships/hyperlink" Target="https://www.juntadeandalucia.es/export/drupaljda/normativa_en_elaboracion/19/10/101.%20Informe%20CGPJ.pdf" TargetMode="External"/><Relationship Id="rId28" Type="http://schemas.openxmlformats.org/officeDocument/2006/relationships/hyperlink" Target="https://www.instagram.com/antifraude_avaf/" TargetMode="External"/><Relationship Id="rId49" Type="http://schemas.openxmlformats.org/officeDocument/2006/relationships/chart" Target="charts/chart2.xml"/><Relationship Id="rId114" Type="http://schemas.openxmlformats.org/officeDocument/2006/relationships/hyperlink" Target="https://transparencia.gob.es/transparencia/dam/jcr:d306cd62-cc0f-40a1-9be8-fe24eeeee10d/IVPlanGobiernoAbierto_ES_vdef.pdf" TargetMode="External"/><Relationship Id="rId60" Type="http://schemas.openxmlformats.org/officeDocument/2006/relationships/hyperlink" Target="https://www.antifraucv.es/wp-content/uploads/2020/10/20200217_AYUNTAMIENTO_DE_PAIPORTA.pdf" TargetMode="External"/><Relationship Id="rId81" Type="http://schemas.openxmlformats.org/officeDocument/2006/relationships/hyperlink" Target="https://www.antifraucv.es/wp-content/uploads/2021/01/20201203_DIPUTACI%C3%93N_DE_VALENCIA.pdf" TargetMode="External"/><Relationship Id="rId135" Type="http://schemas.openxmlformats.org/officeDocument/2006/relationships/chart" Target="charts/chart16.xml"/><Relationship Id="rId156" Type="http://schemas.openxmlformats.org/officeDocument/2006/relationships/hyperlink" Target="https://www.boe.es/buscar/pdf/2016/BOE-A-2016-12048-consolidado.pdf" TargetMode="External"/><Relationship Id="rId177" Type="http://schemas.openxmlformats.org/officeDocument/2006/relationships/hyperlink" Target="https://www.cortsvalencianes.es/es/consulta_boc" TargetMode="External"/><Relationship Id="rId198" Type="http://schemas.openxmlformats.org/officeDocument/2006/relationships/hyperlink" Target="https://www.uv.es/uvweb/catedras-institucionales/es/relacion-catedras-institucionales/catedra-gobierno-abierto-participacion-open-data/presentacion-1286005423084.html" TargetMode="External"/><Relationship Id="rId202" Type="http://schemas.openxmlformats.org/officeDocument/2006/relationships/hyperlink" Target="http://peruanticorrupcion.eventocompliance.com/" TargetMode="External"/><Relationship Id="rId223" Type="http://schemas.openxmlformats.org/officeDocument/2006/relationships/hyperlink" Target="https://www.antifraucv.es/es/portal-transparencia/informacion-institucional/" TargetMode="External"/><Relationship Id="rId244" Type="http://schemas.openxmlformats.org/officeDocument/2006/relationships/hyperlink" Target="http://www.dogv.gva.es/datos/2021/03/15/pdf/2021_2542.pdf" TargetMode="External"/><Relationship Id="rId18" Type="http://schemas.openxmlformats.org/officeDocument/2006/relationships/hyperlink" Target="https://www.antifraucv.es/" TargetMode="External"/><Relationship Id="rId39" Type="http://schemas.openxmlformats.org/officeDocument/2006/relationships/hyperlink" Target="file:///C:\Users\federico.rey\Desktop\MEMORIA%202020\MEMORIA%202020%20CAS%20V%20definitiva%20REV4.docx" TargetMode="External"/><Relationship Id="rId50" Type="http://schemas.openxmlformats.org/officeDocument/2006/relationships/chart" Target="charts/chart3.xml"/><Relationship Id="rId104" Type="http://schemas.openxmlformats.org/officeDocument/2006/relationships/hyperlink" Target="https://www.boe.es/buscar/pdf/2016/BOE-A-2016-12048-consolidado.pdf" TargetMode="External"/><Relationship Id="rId125" Type="http://schemas.openxmlformats.org/officeDocument/2006/relationships/hyperlink" Target="https://www.juntadeandalucia.es/export/drupaljda/normativa_en_elaboracion/19/10/939_19-TRJA%20Proyecto%20de%20Ley%20Fraude%20Firma.pdf" TargetMode="External"/><Relationship Id="rId146" Type="http://schemas.openxmlformats.org/officeDocument/2006/relationships/hyperlink" Target="http://www.dogv.gva.es/datos/2020/07/06/pdf/2020_5007.pdf" TargetMode="External"/><Relationship Id="rId167" Type="http://schemas.openxmlformats.org/officeDocument/2006/relationships/hyperlink" Target="https://www.antifraucv.es/es/mas-150-personas-participan-en-la-jornada-organizada-por-la-agencia-valenciana-antifraude-con-motivo-del-dia-internacional-contra-la-corrupcion/" TargetMode="External"/><Relationship Id="rId188" Type="http://schemas.openxmlformats.org/officeDocument/2006/relationships/hyperlink" Target="https://www.infoparticipa.com/uploads/arxius/invitacion245.pdf" TargetMode="External"/><Relationship Id="rId71" Type="http://schemas.openxmlformats.org/officeDocument/2006/relationships/hyperlink" Target="https://www.antifraucv.es/wp-content/uploads/2020/10/20201019_AYUNTAMIENTO_DAYA_NUEVA.pdf" TargetMode="External"/><Relationship Id="rId92" Type="http://schemas.openxmlformats.org/officeDocument/2006/relationships/hyperlink" Target="http://www.dogv.gva.es/datos/2018/05/23/pdf/2018_4529.pdf" TargetMode="External"/><Relationship Id="rId213" Type="http://schemas.openxmlformats.org/officeDocument/2006/relationships/hyperlink" Target="https://www.cortsvalencianes.es/es/parlament-obert/participa/iniciativa/proyecto-de-ley-de-generalitat-de-funcion-publica-valenciana" TargetMode="External"/><Relationship Id="rId234" Type="http://schemas.openxmlformats.org/officeDocument/2006/relationships/chart" Target="charts/chart35.xml"/><Relationship Id="rId2" Type="http://schemas.openxmlformats.org/officeDocument/2006/relationships/styles" Target="styles.xml"/><Relationship Id="rId29" Type="http://schemas.openxmlformats.org/officeDocument/2006/relationships/image" Target="media/image7.png"/><Relationship Id="rId255" Type="http://schemas.openxmlformats.org/officeDocument/2006/relationships/image" Target="media/image25.png"/><Relationship Id="rId40" Type="http://schemas.openxmlformats.org/officeDocument/2006/relationships/header" Target="header3.xml"/><Relationship Id="rId115" Type="http://schemas.openxmlformats.org/officeDocument/2006/relationships/hyperlink" Target="https://www.antifraucv.es/wp-content/uploads/2021/02/AVAF_Alegaciones-consulta-p%C3%BAblica-FDO.pdf" TargetMode="External"/><Relationship Id="rId136" Type="http://schemas.openxmlformats.org/officeDocument/2006/relationships/chart" Target="charts/chart17.xml"/><Relationship Id="rId157" Type="http://schemas.openxmlformats.org/officeDocument/2006/relationships/hyperlink" Target="https://www.corrupcionorganismonocivo.com/" TargetMode="External"/><Relationship Id="rId178" Type="http://schemas.openxmlformats.org/officeDocument/2006/relationships/hyperlink" Target="https://www.epac-eacn.org/" TargetMode="External"/><Relationship Id="rId61" Type="http://schemas.openxmlformats.org/officeDocument/2006/relationships/hyperlink" Target="https://www.antifraucv.es/wp-content/uploads/2020/10/20200427-20200609_AYUNTAMIENTO_DE_SUECA.pdf" TargetMode="External"/><Relationship Id="rId82" Type="http://schemas.openxmlformats.org/officeDocument/2006/relationships/hyperlink" Target="https://www.antifraucv.es/wp-content/uploads/2021/01/20201210_GVA_IML.pdf" TargetMode="External"/><Relationship Id="rId199" Type="http://schemas.openxmlformats.org/officeDocument/2006/relationships/hyperlink" Target="https://www.ub.edu/livinglabub/es/projectes_llub/soluciones-en-el-ambito-del-buen-gobierno-y-la-regulacion/" TargetMode="External"/><Relationship Id="rId203" Type="http://schemas.openxmlformats.org/officeDocument/2006/relationships/hyperlink" Target="http://www.worldcomplianceassociation.com/evento.php?id=925" TargetMode="External"/><Relationship Id="rId19" Type="http://schemas.openxmlformats.org/officeDocument/2006/relationships/hyperlink" Target="https://www.antifraucv.es/es/portal-transparencia/acceso-a-la-informacion/" TargetMode="External"/><Relationship Id="rId224" Type="http://schemas.openxmlformats.org/officeDocument/2006/relationships/chart" Target="charts/chart26.xml"/><Relationship Id="rId245" Type="http://schemas.openxmlformats.org/officeDocument/2006/relationships/hyperlink" Target="https://www.boe.es/eli/es/ai/2003/10/31/(1)/dof/spa/pdf" TargetMode="External"/><Relationship Id="rId30" Type="http://schemas.openxmlformats.org/officeDocument/2006/relationships/hyperlink" Target="https://www.facebook.com/AgenciaValencianaAntifraude/" TargetMode="External"/><Relationship Id="rId105" Type="http://schemas.openxmlformats.org/officeDocument/2006/relationships/hyperlink" Target="http://www.dogv.gva.es/datos/2018/11/08/pdf/2018_10294.pdf" TargetMode="External"/><Relationship Id="rId126" Type="http://schemas.openxmlformats.org/officeDocument/2006/relationships/hyperlink" Target="https://www.juntadeandalucia.es/servicios/normas-elaboracion/detalle/181568.html" TargetMode="External"/><Relationship Id="rId147" Type="http://schemas.openxmlformats.org/officeDocument/2006/relationships/hyperlink" Target="https://www.antifraucv.es/wp-content/uploads/2020/07/2020-07-08-resoluci%C3%B3n-tramitaci%C3%B3n-quejas-y-sugerencias-FDO.pdf" TargetMode="External"/><Relationship Id="rId168" Type="http://schemas.openxmlformats.org/officeDocument/2006/relationships/image" Target="media/image17.png"/><Relationship Id="rId51" Type="http://schemas.openxmlformats.org/officeDocument/2006/relationships/chart" Target="charts/chart4.xml"/><Relationship Id="rId72" Type="http://schemas.openxmlformats.org/officeDocument/2006/relationships/hyperlink" Target="https://www.antifraucv.es/wp-content/uploads/2020/10/20201021_INSTITUCION_FERIAL_ALICANTINA_PARTIDO_POPULAR_DE_ALICANTE_E.pdf" TargetMode="External"/><Relationship Id="rId93" Type="http://schemas.openxmlformats.org/officeDocument/2006/relationships/hyperlink" Target="https://www.antifraucv.es" TargetMode="External"/><Relationship Id="rId189" Type="http://schemas.openxmlformats.org/officeDocument/2006/relationships/hyperlink" Target="https://www.antifraucv.es/es/programa-del-curs-integritat-i-prevencio-en-la-contractacio-publica-a-la-comunitat-valenciana/" TargetMode="External"/><Relationship Id="rId3" Type="http://schemas.openxmlformats.org/officeDocument/2006/relationships/settings" Target="settings.xml"/><Relationship Id="rId214" Type="http://schemas.openxmlformats.org/officeDocument/2006/relationships/hyperlink" Target="https://www.cortsvalencianes.es/sites/default/files/initiative/files/esmenes_participaci%C3%B3_ciutadana_2_0.pdf" TargetMode="External"/><Relationship Id="rId235" Type="http://schemas.openxmlformats.org/officeDocument/2006/relationships/chart" Target="charts/chart36.xml"/><Relationship Id="rId256" Type="http://schemas.openxmlformats.org/officeDocument/2006/relationships/header" Target="header5.xml"/><Relationship Id="rId116" Type="http://schemas.openxmlformats.org/officeDocument/2006/relationships/hyperlink" Target="http://www.congreso.es/public_oficiales/L14/CONG/BOCG/B/BOCG-14-B-35-1.PDF" TargetMode="External"/><Relationship Id="rId137" Type="http://schemas.openxmlformats.org/officeDocument/2006/relationships/chart" Target="charts/chart18.xml"/><Relationship Id="rId158" Type="http://schemas.openxmlformats.org/officeDocument/2006/relationships/hyperlink" Target="https://www.dogv.gva.es/portal/ficha_disposicion_pc.jsp?sig=001789/2019&amp;L=1" TargetMode="External"/><Relationship Id="rId20" Type="http://schemas.openxmlformats.org/officeDocument/2006/relationships/hyperlink" Target="https://www.antifraucv.es/es/denuncia/buzon-de-denuncias/" TargetMode="External"/><Relationship Id="rId41" Type="http://schemas.openxmlformats.org/officeDocument/2006/relationships/footer" Target="footer3.xml"/><Relationship Id="rId62" Type="http://schemas.openxmlformats.org/officeDocument/2006/relationships/hyperlink" Target="https://www.antifraucv.es/wp-content/uploads/2020/10/20200525_FVMP-DIVALTERRA.pdf" TargetMode="External"/><Relationship Id="rId83" Type="http://schemas.openxmlformats.org/officeDocument/2006/relationships/hyperlink" Target="https://www.antifraucv.es/wp-content/uploads/2021/01/20201221_AYUNTAMIENTO_DE_VALENCIA_EMT.pdf" TargetMode="External"/><Relationship Id="rId179" Type="http://schemas.openxmlformats.org/officeDocument/2006/relationships/hyperlink" Target="https://www.epac-eacn.org/latest-news/259-18th-epac-eacn-conference" TargetMode="External"/><Relationship Id="rId190" Type="http://schemas.openxmlformats.org/officeDocument/2006/relationships/hyperlink" Target="https://www.cnmc.es/ca/node/378731" TargetMode="External"/><Relationship Id="rId204" Type="http://schemas.openxmlformats.org/officeDocument/2006/relationships/chart" Target="charts/chart20.xml"/><Relationship Id="rId225" Type="http://schemas.openxmlformats.org/officeDocument/2006/relationships/chart" Target="charts/chart27.xml"/><Relationship Id="rId246" Type="http://schemas.openxmlformats.org/officeDocument/2006/relationships/hyperlink" Target="https://eur-lex.europa.eu/resource.html?uri=cellar:f42cadc5-eddf-11ea-991b-01aa75ed71a1.0010.02/DOC_1&amp;format=PDF" TargetMode="External"/><Relationship Id="rId106" Type="http://schemas.openxmlformats.org/officeDocument/2006/relationships/hyperlink" Target="http://www.dogv.gva.es/datos/2020/03/09/pdf/2020_2097.pdf" TargetMode="External"/><Relationship Id="rId127" Type="http://schemas.openxmlformats.org/officeDocument/2006/relationships/hyperlink" Target="https://ec.europa.eu/info/sites/info/files/es_rol_country_chapter_es.pdf" TargetMode="External"/><Relationship Id="rId10" Type="http://schemas.openxmlformats.org/officeDocument/2006/relationships/footer" Target="footer2.xml"/><Relationship Id="rId31" Type="http://schemas.openxmlformats.org/officeDocument/2006/relationships/image" Target="media/image8.png"/><Relationship Id="rId52" Type="http://schemas.openxmlformats.org/officeDocument/2006/relationships/chart" Target="charts/chart5.xml"/><Relationship Id="rId73" Type="http://schemas.openxmlformats.org/officeDocument/2006/relationships/hyperlink" Target="https://www.antifraucv.es/wp-content/uploads/2020/10/20201023_AYUNTAMIENTO_DE_PATERNA.pdf" TargetMode="External"/><Relationship Id="rId94" Type="http://schemas.openxmlformats.org/officeDocument/2006/relationships/hyperlink" Target="http://www.dogv.gva.es/datos/2019/10/28/pdf/2019_10039.pdf" TargetMode="External"/><Relationship Id="rId148" Type="http://schemas.openxmlformats.org/officeDocument/2006/relationships/hyperlink" Target="https://www.antifraucv.es/wp-content/uploads/2021/03/Res_petici%C3%B3_adhesi%C3%B3n_con_soluciones_basicas_adm_electr.pdf" TargetMode="External"/><Relationship Id="rId169" Type="http://schemas.openxmlformats.org/officeDocument/2006/relationships/hyperlink" Target="https://www.antifraucv.es/es/las-agencias-y-oficinas-anticorrupcion-de-espana-se-reunen-en-un-encuentro-virtual/" TargetMode="External"/><Relationship Id="rId4" Type="http://schemas.openxmlformats.org/officeDocument/2006/relationships/webSettings" Target="webSettings.xml"/><Relationship Id="rId180" Type="http://schemas.openxmlformats.org/officeDocument/2006/relationships/hyperlink" Target="https://www.huisvoorklokkenluiders.nl/Publicaties/publicaties/2019/12/03/neiwa-declaration-2-december-2019" TargetMode="External"/><Relationship Id="rId215" Type="http://schemas.openxmlformats.org/officeDocument/2006/relationships/hyperlink" Target="https://www.cortsvalencianes.es/sites/default/files/initiative/files/esmenes_participaci%C3%B3_ciutadana_3_0.pdf" TargetMode="External"/><Relationship Id="rId236" Type="http://schemas.openxmlformats.org/officeDocument/2006/relationships/chart" Target="charts/chart37.xml"/><Relationship Id="rId257" Type="http://schemas.openxmlformats.org/officeDocument/2006/relationships/header" Target="header6.xml"/><Relationship Id="rId42" Type="http://schemas.openxmlformats.org/officeDocument/2006/relationships/image" Target="media/image10.png"/><Relationship Id="rId84" Type="http://schemas.openxmlformats.org/officeDocument/2006/relationships/hyperlink" Target="https://www.antifraucv.es/wp-content/uploads/2021/01/20201221_DIPUTACI%C3%93N_DE_ALICANTE_SUMA.pdf" TargetMode="External"/><Relationship Id="rId138" Type="http://schemas.openxmlformats.org/officeDocument/2006/relationships/chart" Target="charts/chart19.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8.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federico.rey\Desktop\MEMORIA%202020\Gr&#225;ficas%20datos%20acumulados%202017-2018-2019-2020%20V_1_2.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einstein.antifraucv.es\juridico\MEMORIA\2020\4.%20ASUNTOS%20JUR&#205;DICOS\Gr&#225;ficos%20datos%20acumulados%202017%20a%202020\Gr&#225;ficas%20datos%20acumulados%202017-2018-2019-2020%20V_1_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federico.rey\Desktop\MEMORIA%202020\Gr&#225;ficas%20datos%20acumulados%202017-2018-2019-2020%20V_1_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federico.rey\Desktop\MEMORIA%202020\Gr&#225;ficas%20datos%20acumulados%202017-2018-2019-2020%20V_1_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federico.rey\Desktop\MEMORIA%202020\Gr&#225;ficas%20datos%20acumulados%202017-2018-2019-2020%20V_1_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federico.rey\Desktop\MEMORIA%202020\Gr&#225;ficas%20datos%20acumulados%202017-2018-2019-2020%20V_1_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federico.rey\Desktop\MEMORIA%202020\Gr&#225;ficas%20datos%20acumulados%202017-2018-2019-2020%20V_1_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federico.rey\Desktop\MEMORIA%202020\Gr&#225;ficas%20datos%20acumulados%202017-2018-2019-2020%20V_1_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2.xlsx" TargetMode="External"/><Relationship Id="rId2" Type="http://schemas.microsoft.com/office/2011/relationships/chartColorStyle" Target="colors2.xml"/><Relationship Id="rId1" Type="http://schemas.microsoft.com/office/2011/relationships/chartStyle" Target="style2.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5.xml.rels><?xml version="1.0" encoding="UTF-8" standalone="yes"?>
<Relationships xmlns="http://schemas.openxmlformats.org/package/2006/relationships"><Relationship Id="rId1" Type="http://schemas.openxmlformats.org/officeDocument/2006/relationships/oleObject" Target="file:///C:\Users\federico.rey\Desktop\MEMORIA%202020\20200220_vdef_uga_Graficas%20RP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federico.rey\Desktop\MEMORIA%202020\20200220_vdef_uga_Graficas%20RPT.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C:\Users\federico.rey\Desktop\MEMORIA%202020\20200220_vdef_uga_Graficas%20RPT.xlsx" TargetMode="External"/><Relationship Id="rId2" Type="http://schemas.microsoft.com/office/2011/relationships/chartColorStyle" Target="colors19.xml"/><Relationship Id="rId1" Type="http://schemas.microsoft.com/office/2011/relationships/chartStyle" Target="style19.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federico.rey\Desktop\MEMORIA%202020\20200220_vdef_uga_Graficas%20RPT.xlsx" TargetMode="External"/><Relationship Id="rId2" Type="http://schemas.microsoft.com/office/2011/relationships/chartColorStyle" Target="colors20.xml"/><Relationship Id="rId1" Type="http://schemas.microsoft.com/office/2011/relationships/chartStyle" Target="style20.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federico.rey\Desktop\MEMORIA%202020\20200220_vdef_uga_Graficas%20RPT.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3.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federico.rey\Desktop\MEMORIA%202020\20200220_vdef_uga_Graficas%20RPT.xlsx" TargetMode="External"/><Relationship Id="rId2" Type="http://schemas.microsoft.com/office/2011/relationships/chartColorStyle" Target="colors22.xml"/><Relationship Id="rId1" Type="http://schemas.microsoft.com/office/2011/relationships/chartStyle" Target="style22.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federico.rey\Desktop\MEMORIA%202020\20200220_vdef_uga_Graficas%20RPT.xlsx" TargetMode="External"/><Relationship Id="rId2" Type="http://schemas.microsoft.com/office/2011/relationships/chartColorStyle" Target="colors23.xml"/><Relationship Id="rId1" Type="http://schemas.microsoft.com/office/2011/relationships/chartStyle" Target="style23.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federico.rey\Desktop\MEMORIA%202020\20200220_vdef_uga_Graficas%20RPT.xlsx" TargetMode="External"/><Relationship Id="rId2" Type="http://schemas.microsoft.com/office/2011/relationships/chartColorStyle" Target="colors24.xml"/><Relationship Id="rId1" Type="http://schemas.microsoft.com/office/2011/relationships/chartStyle" Target="style24.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federico.rey\Desktop\MEMORIA%202020\20200220_vdef_uga_Graficas%20RPT.xlsx" TargetMode="External"/><Relationship Id="rId2" Type="http://schemas.microsoft.com/office/2011/relationships/chartColorStyle" Target="colors25.xml"/><Relationship Id="rId1" Type="http://schemas.microsoft.com/office/2011/relationships/chartStyle" Target="style25.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federico.rey\Desktop\MEMORIA%202020\20200220_vdef_uga_Graficas%20RPT.xlsx" TargetMode="External"/><Relationship Id="rId2" Type="http://schemas.microsoft.com/office/2011/relationships/chartColorStyle" Target="colors26.xml"/><Relationship Id="rId1" Type="http://schemas.microsoft.com/office/2011/relationships/chartStyle" Target="style26.xml"/></Relationships>
</file>

<file path=word/charts/_rels/chart3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7.xml"/><Relationship Id="rId1" Type="http://schemas.microsoft.com/office/2011/relationships/chartStyle" Target="style27.xml"/></Relationships>
</file>

<file path=word/charts/_rels/chart3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8.xml"/><Relationship Id="rId1" Type="http://schemas.microsoft.com/office/2011/relationships/chartStyle" Target="style28.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federico.rey\Desktop\MEMORIA%202020\20210308_MEMORIA%20UGE\Graficos%20UGE%20Fede.xlsx" TargetMode="External"/><Relationship Id="rId2" Type="http://schemas.microsoft.com/office/2011/relationships/chartColorStyle" Target="colors29.xml"/><Relationship Id="rId1" Type="http://schemas.microsoft.com/office/2011/relationships/chartStyle" Target="style29.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federico.rey\Desktop\MEMORIA%202020\20210308_MEMORIA%20UGE\Graficos%20UGE%20Fede.xlsx"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federico.rey\Desktop\MEMORIA%202020\antiguos\210305%20Graficos%20DAI%20modificados%20para%20integrar\Tabla%20%20y%20grafico%20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graf'!$F$27</c:f>
              <c:strCache>
                <c:ptCount val="1"/>
                <c:pt idx="0">
                  <c:v>Acumulado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graf'!$A$28:$A$49</c:f>
              <c:strCache>
                <c:ptCount val="22"/>
                <c:pt idx="0">
                  <c:v>Administración municipal</c:v>
                </c:pt>
                <c:pt idx="1">
                  <c:v>Administración de la Generalitat</c:v>
                </c:pt>
                <c:pt idx="2">
                  <c:v>Sector público local</c:v>
                </c:pt>
                <c:pt idx="3">
                  <c:v>Diputaciones provinciales</c:v>
                </c:pt>
                <c:pt idx="4">
                  <c:v>Privado</c:v>
                </c:pt>
                <c:pt idx="5">
                  <c:v>Universidades</c:v>
                </c:pt>
                <c:pt idx="6">
                  <c:v>Sector público Generalitat</c:v>
                </c:pt>
                <c:pt idx="7">
                  <c:v>Entidades de derecho público de la Generalitat</c:v>
                </c:pt>
                <c:pt idx="8">
                  <c:v>Corporación de derecho público</c:v>
                </c:pt>
                <c:pt idx="9">
                  <c:v>Sector público provincial</c:v>
                </c:pt>
                <c:pt idx="10">
                  <c:v>Fundaciones del sector público de la Generalitat</c:v>
                </c:pt>
                <c:pt idx="11">
                  <c:v>Instituciones estatutarias</c:v>
                </c:pt>
                <c:pt idx="12">
                  <c:v>Partidos políticos</c:v>
                </c:pt>
                <c:pt idx="13">
                  <c:v>Organismos del Estado</c:v>
                </c:pt>
                <c:pt idx="14">
                  <c:v>Consorcios de la Generalitat</c:v>
                </c:pt>
                <c:pt idx="15">
                  <c:v>Fundaciones del sector público local</c:v>
                </c:pt>
                <c:pt idx="16">
                  <c:v>Administración de Justicia</c:v>
                </c:pt>
                <c:pt idx="17">
                  <c:v>Organismos autónomos de la Generalitat</c:v>
                </c:pt>
                <c:pt idx="18">
                  <c:v>Empresas contratistas de la Generalitat</c:v>
                </c:pt>
                <c:pt idx="19">
                  <c:v>Sindicatos</c:v>
                </c:pt>
                <c:pt idx="20">
                  <c:v>Sociedades mercantiles de la Generalitat</c:v>
                </c:pt>
                <c:pt idx="21">
                  <c:v>Otros </c:v>
                </c:pt>
              </c:strCache>
            </c:strRef>
          </c:cat>
          <c:val>
            <c:numRef>
              <c:f>'Datos graf'!$F$28:$F$49</c:f>
              <c:numCache>
                <c:formatCode>General</c:formatCode>
                <c:ptCount val="22"/>
                <c:pt idx="0">
                  <c:v>322</c:v>
                </c:pt>
                <c:pt idx="1">
                  <c:v>128</c:v>
                </c:pt>
                <c:pt idx="2">
                  <c:v>33</c:v>
                </c:pt>
                <c:pt idx="3">
                  <c:v>31</c:v>
                </c:pt>
                <c:pt idx="4">
                  <c:v>29</c:v>
                </c:pt>
                <c:pt idx="5">
                  <c:v>13</c:v>
                </c:pt>
                <c:pt idx="6">
                  <c:v>12</c:v>
                </c:pt>
                <c:pt idx="7">
                  <c:v>5</c:v>
                </c:pt>
                <c:pt idx="8">
                  <c:v>5</c:v>
                </c:pt>
                <c:pt idx="9">
                  <c:v>5</c:v>
                </c:pt>
                <c:pt idx="10">
                  <c:v>4</c:v>
                </c:pt>
                <c:pt idx="11">
                  <c:v>4</c:v>
                </c:pt>
                <c:pt idx="12">
                  <c:v>3</c:v>
                </c:pt>
                <c:pt idx="13">
                  <c:v>3</c:v>
                </c:pt>
                <c:pt idx="14">
                  <c:v>3</c:v>
                </c:pt>
                <c:pt idx="15">
                  <c:v>2</c:v>
                </c:pt>
                <c:pt idx="16">
                  <c:v>2</c:v>
                </c:pt>
                <c:pt idx="17">
                  <c:v>2</c:v>
                </c:pt>
                <c:pt idx="18">
                  <c:v>1</c:v>
                </c:pt>
                <c:pt idx="19">
                  <c:v>1</c:v>
                </c:pt>
                <c:pt idx="20">
                  <c:v>1</c:v>
                </c:pt>
                <c:pt idx="21">
                  <c:v>1</c:v>
                </c:pt>
              </c:numCache>
            </c:numRef>
          </c:val>
          <c:extLst>
            <c:ext xmlns:c16="http://schemas.microsoft.com/office/drawing/2014/chart" uri="{C3380CC4-5D6E-409C-BE32-E72D297353CC}">
              <c16:uniqueId val="{00000000-20FC-4CD1-9951-7E0FE69EB325}"/>
            </c:ext>
          </c:extLst>
        </c:ser>
        <c:dLbls>
          <c:dLblPos val="outEnd"/>
          <c:showLegendKey val="0"/>
          <c:showVal val="1"/>
          <c:showCatName val="0"/>
          <c:showSerName val="0"/>
          <c:showPercent val="0"/>
          <c:showBubbleSize val="0"/>
        </c:dLbls>
        <c:gapWidth val="30"/>
        <c:overlap val="-27"/>
        <c:axId val="87083839"/>
        <c:axId val="128328559"/>
      </c:barChart>
      <c:catAx>
        <c:axId val="87083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8328559"/>
        <c:crosses val="autoZero"/>
        <c:auto val="1"/>
        <c:lblAlgn val="ctr"/>
        <c:lblOffset val="100"/>
        <c:noMultiLvlLbl val="0"/>
      </c:catAx>
      <c:valAx>
        <c:axId val="128328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70838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Graf'!$A$4</c:f>
              <c:strCache>
                <c:ptCount val="1"/>
                <c:pt idx="0">
                  <c:v>Acuerdo Consejo de Dirección</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Graf'!$B$2:$C$2</c:f>
              <c:numCache>
                <c:formatCode>General</c:formatCode>
                <c:ptCount val="2"/>
                <c:pt idx="0">
                  <c:v>2019</c:v>
                </c:pt>
                <c:pt idx="1">
                  <c:v>2020</c:v>
                </c:pt>
              </c:numCache>
            </c:numRef>
          </c:cat>
          <c:val>
            <c:numRef>
              <c:f>'Datos Graf'!$B$4:$C$4</c:f>
              <c:numCache>
                <c:formatCode>General</c:formatCode>
                <c:ptCount val="2"/>
                <c:pt idx="0">
                  <c:v>2</c:v>
                </c:pt>
                <c:pt idx="1">
                  <c:v>0</c:v>
                </c:pt>
              </c:numCache>
            </c:numRef>
          </c:val>
          <c:extLst>
            <c:ext xmlns:c16="http://schemas.microsoft.com/office/drawing/2014/chart" uri="{C3380CC4-5D6E-409C-BE32-E72D297353CC}">
              <c16:uniqueId val="{00000000-9224-40EF-B4A4-E531FC850B09}"/>
            </c:ext>
          </c:extLst>
        </c:ser>
        <c:ser>
          <c:idx val="1"/>
          <c:order val="1"/>
          <c:tx>
            <c:strRef>
              <c:f>'Datos Graf'!$A$5</c:f>
              <c:strCache>
                <c:ptCount val="1"/>
                <c:pt idx="0">
                  <c:v>Archivo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Graf'!$B$2:$C$2</c:f>
              <c:numCache>
                <c:formatCode>General</c:formatCode>
                <c:ptCount val="2"/>
                <c:pt idx="0">
                  <c:v>2019</c:v>
                </c:pt>
                <c:pt idx="1">
                  <c:v>2020</c:v>
                </c:pt>
              </c:numCache>
            </c:numRef>
          </c:cat>
          <c:val>
            <c:numRef>
              <c:f>'Datos Graf'!$B$5:$C$5</c:f>
              <c:numCache>
                <c:formatCode>General</c:formatCode>
                <c:ptCount val="2"/>
                <c:pt idx="0">
                  <c:v>51</c:v>
                </c:pt>
                <c:pt idx="1">
                  <c:v>72</c:v>
                </c:pt>
              </c:numCache>
            </c:numRef>
          </c:val>
          <c:extLst>
            <c:ext xmlns:c16="http://schemas.microsoft.com/office/drawing/2014/chart" uri="{C3380CC4-5D6E-409C-BE32-E72D297353CC}">
              <c16:uniqueId val="{00000001-9224-40EF-B4A4-E531FC850B09}"/>
            </c:ext>
          </c:extLst>
        </c:ser>
        <c:ser>
          <c:idx val="2"/>
          <c:order val="2"/>
          <c:tx>
            <c:strRef>
              <c:f>'Datos Graf'!$A$6</c:f>
              <c:strCache>
                <c:ptCount val="1"/>
                <c:pt idx="0">
                  <c:v>Inadmisión</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Graf'!$B$2:$C$2</c:f>
              <c:numCache>
                <c:formatCode>General</c:formatCode>
                <c:ptCount val="2"/>
                <c:pt idx="0">
                  <c:v>2019</c:v>
                </c:pt>
                <c:pt idx="1">
                  <c:v>2020</c:v>
                </c:pt>
              </c:numCache>
            </c:numRef>
          </c:cat>
          <c:val>
            <c:numRef>
              <c:f>'Datos Graf'!$B$6:$C$6</c:f>
              <c:numCache>
                <c:formatCode>General</c:formatCode>
                <c:ptCount val="2"/>
                <c:pt idx="0">
                  <c:v>61</c:v>
                </c:pt>
                <c:pt idx="1">
                  <c:v>51</c:v>
                </c:pt>
              </c:numCache>
            </c:numRef>
          </c:val>
          <c:extLst>
            <c:ext xmlns:c16="http://schemas.microsoft.com/office/drawing/2014/chart" uri="{C3380CC4-5D6E-409C-BE32-E72D297353CC}">
              <c16:uniqueId val="{00000002-9224-40EF-B4A4-E531FC850B09}"/>
            </c:ext>
          </c:extLst>
        </c:ser>
        <c:ser>
          <c:idx val="3"/>
          <c:order val="3"/>
          <c:tx>
            <c:strRef>
              <c:f>'Datos Graf'!$A$7</c:f>
              <c:strCache>
                <c:ptCount val="1"/>
                <c:pt idx="0">
                  <c:v>Inicio de actuaciones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Graf'!$B$2:$C$2</c:f>
              <c:numCache>
                <c:formatCode>General</c:formatCode>
                <c:ptCount val="2"/>
                <c:pt idx="0">
                  <c:v>2019</c:v>
                </c:pt>
                <c:pt idx="1">
                  <c:v>2020</c:v>
                </c:pt>
              </c:numCache>
            </c:numRef>
          </c:cat>
          <c:val>
            <c:numRef>
              <c:f>'Datos Graf'!$B$7:$C$7</c:f>
              <c:numCache>
                <c:formatCode>General</c:formatCode>
                <c:ptCount val="2"/>
                <c:pt idx="0">
                  <c:v>21</c:v>
                </c:pt>
                <c:pt idx="1">
                  <c:v>60</c:v>
                </c:pt>
              </c:numCache>
            </c:numRef>
          </c:val>
          <c:extLst>
            <c:ext xmlns:c16="http://schemas.microsoft.com/office/drawing/2014/chart" uri="{C3380CC4-5D6E-409C-BE32-E72D297353CC}">
              <c16:uniqueId val="{00000003-9224-40EF-B4A4-E531FC850B09}"/>
            </c:ext>
          </c:extLst>
        </c:ser>
        <c:dLbls>
          <c:dLblPos val="outEnd"/>
          <c:showLegendKey val="0"/>
          <c:showVal val="1"/>
          <c:showCatName val="0"/>
          <c:showSerName val="0"/>
          <c:showPercent val="0"/>
          <c:showBubbleSize val="0"/>
        </c:dLbls>
        <c:gapWidth val="50"/>
        <c:axId val="1430987087"/>
        <c:axId val="1385157839"/>
      </c:barChart>
      <c:catAx>
        <c:axId val="143098708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s-ES"/>
          </a:p>
        </c:txPr>
        <c:crossAx val="1385157839"/>
        <c:crosses val="autoZero"/>
        <c:auto val="1"/>
        <c:lblAlgn val="ctr"/>
        <c:lblOffset val="100"/>
        <c:noMultiLvlLbl val="0"/>
      </c:catAx>
      <c:valAx>
        <c:axId val="138515783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430987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Graf'!$A$10</c:f>
              <c:strCache>
                <c:ptCount val="1"/>
                <c:pt idx="0">
                  <c:v>Reapertura expedientes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Graf'!$B$2:$C$2</c:f>
              <c:numCache>
                <c:formatCode>General</c:formatCode>
                <c:ptCount val="2"/>
                <c:pt idx="0">
                  <c:v>2019</c:v>
                </c:pt>
                <c:pt idx="1">
                  <c:v>2020</c:v>
                </c:pt>
              </c:numCache>
            </c:numRef>
          </c:cat>
          <c:val>
            <c:numRef>
              <c:f>'Datos Graf'!$B$10:$C$10</c:f>
              <c:numCache>
                <c:formatCode>General</c:formatCode>
                <c:ptCount val="2"/>
                <c:pt idx="0">
                  <c:v>0</c:v>
                </c:pt>
                <c:pt idx="1">
                  <c:v>2</c:v>
                </c:pt>
              </c:numCache>
            </c:numRef>
          </c:val>
          <c:extLst>
            <c:ext xmlns:c16="http://schemas.microsoft.com/office/drawing/2014/chart" uri="{C3380CC4-5D6E-409C-BE32-E72D297353CC}">
              <c16:uniqueId val="{00000000-345A-4CF4-B3DB-14F3CF7E5F47}"/>
            </c:ext>
          </c:extLst>
        </c:ser>
        <c:ser>
          <c:idx val="1"/>
          <c:order val="1"/>
          <c:tx>
            <c:strRef>
              <c:f>'Datos Graf'!$A$11</c:f>
              <c:strCache>
                <c:ptCount val="1"/>
                <c:pt idx="0">
                  <c:v>Archivo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Graf'!$B$2:$C$2</c:f>
              <c:numCache>
                <c:formatCode>General</c:formatCode>
                <c:ptCount val="2"/>
                <c:pt idx="0">
                  <c:v>2019</c:v>
                </c:pt>
                <c:pt idx="1">
                  <c:v>2020</c:v>
                </c:pt>
              </c:numCache>
            </c:numRef>
          </c:cat>
          <c:val>
            <c:numRef>
              <c:f>'Datos Graf'!$B$11:$C$11</c:f>
              <c:numCache>
                <c:formatCode>General</c:formatCode>
                <c:ptCount val="2"/>
                <c:pt idx="0">
                  <c:v>6</c:v>
                </c:pt>
                <c:pt idx="1">
                  <c:v>14</c:v>
                </c:pt>
              </c:numCache>
            </c:numRef>
          </c:val>
          <c:extLst>
            <c:ext xmlns:c16="http://schemas.microsoft.com/office/drawing/2014/chart" uri="{C3380CC4-5D6E-409C-BE32-E72D297353CC}">
              <c16:uniqueId val="{00000001-345A-4CF4-B3DB-14F3CF7E5F47}"/>
            </c:ext>
          </c:extLst>
        </c:ser>
        <c:ser>
          <c:idx val="2"/>
          <c:order val="2"/>
          <c:tx>
            <c:strRef>
              <c:f>'Datos Graf'!$A$12</c:f>
              <c:strCache>
                <c:ptCount val="1"/>
                <c:pt idx="0">
                  <c:v>Recomendaciones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Graf'!$B$2:$C$2</c:f>
              <c:numCache>
                <c:formatCode>General</c:formatCode>
                <c:ptCount val="2"/>
                <c:pt idx="0">
                  <c:v>2019</c:v>
                </c:pt>
                <c:pt idx="1">
                  <c:v>2020</c:v>
                </c:pt>
              </c:numCache>
            </c:numRef>
          </c:cat>
          <c:val>
            <c:numRef>
              <c:f>'Datos Graf'!$B$12:$C$12</c:f>
              <c:numCache>
                <c:formatCode>General</c:formatCode>
                <c:ptCount val="2"/>
                <c:pt idx="0">
                  <c:v>8</c:v>
                </c:pt>
                <c:pt idx="1">
                  <c:v>23</c:v>
                </c:pt>
              </c:numCache>
            </c:numRef>
          </c:val>
          <c:extLst>
            <c:ext xmlns:c16="http://schemas.microsoft.com/office/drawing/2014/chart" uri="{C3380CC4-5D6E-409C-BE32-E72D297353CC}">
              <c16:uniqueId val="{00000002-345A-4CF4-B3DB-14F3CF7E5F47}"/>
            </c:ext>
          </c:extLst>
        </c:ser>
        <c:ser>
          <c:idx val="3"/>
          <c:order val="3"/>
          <c:tx>
            <c:strRef>
              <c:f>'Datos Graf'!$A$13</c:f>
              <c:strCache>
                <c:ptCount val="1"/>
                <c:pt idx="0">
                  <c:v>Traslado órgano judicial</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Graf'!$B$2:$C$2</c:f>
              <c:numCache>
                <c:formatCode>General</c:formatCode>
                <c:ptCount val="2"/>
                <c:pt idx="0">
                  <c:v>2019</c:v>
                </c:pt>
                <c:pt idx="1">
                  <c:v>2020</c:v>
                </c:pt>
              </c:numCache>
            </c:numRef>
          </c:cat>
          <c:val>
            <c:numRef>
              <c:f>'Datos Graf'!$B$13:$C$13</c:f>
              <c:numCache>
                <c:formatCode>General</c:formatCode>
                <c:ptCount val="2"/>
                <c:pt idx="0">
                  <c:v>17</c:v>
                </c:pt>
                <c:pt idx="1">
                  <c:v>2</c:v>
                </c:pt>
              </c:numCache>
            </c:numRef>
          </c:val>
          <c:extLst>
            <c:ext xmlns:c16="http://schemas.microsoft.com/office/drawing/2014/chart" uri="{C3380CC4-5D6E-409C-BE32-E72D297353CC}">
              <c16:uniqueId val="{00000003-345A-4CF4-B3DB-14F3CF7E5F47}"/>
            </c:ext>
          </c:extLst>
        </c:ser>
        <c:ser>
          <c:idx val="4"/>
          <c:order val="4"/>
          <c:tx>
            <c:strRef>
              <c:f>'Datos Graf'!$A$14</c:f>
              <c:strCache>
                <c:ptCount val="1"/>
                <c:pt idx="0">
                  <c:v>Traslado Tribunal de Cuentas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Graf'!$B$2:$C$2</c:f>
              <c:numCache>
                <c:formatCode>General</c:formatCode>
                <c:ptCount val="2"/>
                <c:pt idx="0">
                  <c:v>2019</c:v>
                </c:pt>
                <c:pt idx="1">
                  <c:v>2020</c:v>
                </c:pt>
              </c:numCache>
            </c:numRef>
          </c:cat>
          <c:val>
            <c:numRef>
              <c:f>'Datos Graf'!$B$14:$C$14</c:f>
              <c:numCache>
                <c:formatCode>General</c:formatCode>
                <c:ptCount val="2"/>
                <c:pt idx="0">
                  <c:v>2</c:v>
                </c:pt>
                <c:pt idx="1">
                  <c:v>4</c:v>
                </c:pt>
              </c:numCache>
            </c:numRef>
          </c:val>
          <c:extLst>
            <c:ext xmlns:c16="http://schemas.microsoft.com/office/drawing/2014/chart" uri="{C3380CC4-5D6E-409C-BE32-E72D297353CC}">
              <c16:uniqueId val="{00000004-345A-4CF4-B3DB-14F3CF7E5F47}"/>
            </c:ext>
          </c:extLst>
        </c:ser>
        <c:dLbls>
          <c:dLblPos val="outEnd"/>
          <c:showLegendKey val="0"/>
          <c:showVal val="1"/>
          <c:showCatName val="0"/>
          <c:showSerName val="0"/>
          <c:showPercent val="0"/>
          <c:showBubbleSize val="0"/>
        </c:dLbls>
        <c:gapWidth val="50"/>
        <c:axId val="1430987087"/>
        <c:axId val="1385157839"/>
      </c:barChart>
      <c:catAx>
        <c:axId val="143098708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s-ES"/>
          </a:p>
        </c:txPr>
        <c:crossAx val="1385157839"/>
        <c:crosses val="autoZero"/>
        <c:auto val="1"/>
        <c:lblAlgn val="ctr"/>
        <c:lblOffset val="100"/>
        <c:noMultiLvlLbl val="0"/>
      </c:catAx>
      <c:valAx>
        <c:axId val="138515783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430987087"/>
        <c:crosses val="autoZero"/>
        <c:crossBetween val="between"/>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hPercent val="40"/>
      <c:rotY val="30"/>
      <c:depthPercent val="100"/>
      <c:rAngAx val="1"/>
    </c:view3D>
    <c:floor>
      <c:thickness val="0"/>
      <c:spPr>
        <a:solidFill>
          <a:sysClr val="window" lastClr="FFFFFF">
            <a:lumMod val="85000"/>
          </a:sys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rgbClr val="B5540B"/>
            </a:soli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BCA6A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B41-496C-B171-2FF85FD699DF}"/>
              </c:ext>
            </c:extLst>
          </c:dPt>
          <c:dPt>
            <c:idx val="1"/>
            <c:invertIfNegative val="0"/>
            <c:bubble3D val="0"/>
            <c:spPr>
              <a:solidFill>
                <a:srgbClr val="9D2235"/>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B41-496C-B171-2FF85FD699D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Hoja1!$J$6:$J$7</c:f>
              <c:strCache>
                <c:ptCount val="2"/>
                <c:pt idx="0">
                  <c:v>Solicitudes en trámite</c:v>
                </c:pt>
                <c:pt idx="1">
                  <c:v>Solicitudes resueltas</c:v>
                </c:pt>
              </c:strCache>
            </c:strRef>
          </c:cat>
          <c:val>
            <c:numRef>
              <c:f>Hoja1!$K$6:$K$7</c:f>
              <c:numCache>
                <c:formatCode>General</c:formatCode>
                <c:ptCount val="2"/>
                <c:pt idx="0">
                  <c:v>4</c:v>
                </c:pt>
                <c:pt idx="1">
                  <c:v>31</c:v>
                </c:pt>
              </c:numCache>
            </c:numRef>
          </c:val>
          <c:extLst>
            <c:ext xmlns:c16="http://schemas.microsoft.com/office/drawing/2014/chart" uri="{C3380CC4-5D6E-409C-BE32-E72D297353CC}">
              <c16:uniqueId val="{00000004-2B41-496C-B171-2FF85FD699DF}"/>
            </c:ext>
          </c:extLst>
        </c:ser>
        <c:dLbls>
          <c:showLegendKey val="0"/>
          <c:showVal val="0"/>
          <c:showCatName val="0"/>
          <c:showSerName val="0"/>
          <c:showPercent val="0"/>
          <c:showBubbleSize val="0"/>
        </c:dLbls>
        <c:gapWidth val="75"/>
        <c:shape val="cylinder"/>
        <c:axId val="1290816000"/>
        <c:axId val="1"/>
        <c:axId val="0"/>
      </c:bar3DChart>
      <c:catAx>
        <c:axId val="1290816000"/>
        <c:scaling>
          <c:orientation val="minMax"/>
        </c:scaling>
        <c:delete val="1"/>
        <c:axPos val="b"/>
        <c:numFmt formatCode="General" sourceLinked="1"/>
        <c:majorTickMark val="none"/>
        <c:minorTickMark val="none"/>
        <c:tickLblPos val="nextTo"/>
        <c:crossAx val="1"/>
        <c:crossesAt val="0"/>
        <c:auto val="1"/>
        <c:lblAlgn val="ctr"/>
        <c:lblOffset val="100"/>
        <c:noMultiLvlLbl val="0"/>
      </c:catAx>
      <c:valAx>
        <c:axId val="1"/>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290816000"/>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ysClr val="window" lastClr="FFFFFF">
        <a:lumMod val="95000"/>
      </a:sysClr>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w="25400" cmpd="dbl">
              <a:noFill/>
            </a:ln>
            <a:effectLst>
              <a:outerShdw blurRad="50800" dist="38100" dir="2700000" algn="tl" rotWithShape="0">
                <a:prstClr val="black">
                  <a:alpha val="40000"/>
                </a:prstClr>
              </a:outerShdw>
            </a:effectLst>
            <a:scene3d>
              <a:camera prst="orthographicFront"/>
              <a:lightRig rig="threePt" dir="t"/>
            </a:scene3d>
            <a:sp3d prstMaterial="matte"/>
          </c:spPr>
          <c:explosion val="9"/>
          <c:dPt>
            <c:idx val="0"/>
            <c:bubble3D val="0"/>
            <c:spPr>
              <a:solidFill>
                <a:srgbClr val="613D35"/>
              </a:solidFill>
              <a:ln w="25400" cmpd="dbl">
                <a:noFill/>
              </a:ln>
              <a:effectLst>
                <a:outerShdw blurRad="50800" dist="38100" dir="2700000" algn="tl" rotWithShape="0">
                  <a:prstClr val="black">
                    <a:alpha val="40000"/>
                  </a:prstClr>
                </a:outerShdw>
              </a:effectLst>
              <a:scene3d>
                <a:camera prst="orthographicFront"/>
                <a:lightRig rig="threePt" dir="t"/>
              </a:scene3d>
              <a:sp3d prstMaterial="matte"/>
            </c:spPr>
            <c:extLst>
              <c:ext xmlns:c16="http://schemas.microsoft.com/office/drawing/2014/chart" uri="{C3380CC4-5D6E-409C-BE32-E72D297353CC}">
                <c16:uniqueId val="{00000001-C8B5-44C3-B800-96E5E2DF06F4}"/>
              </c:ext>
            </c:extLst>
          </c:dPt>
          <c:dPt>
            <c:idx val="1"/>
            <c:bubble3D val="0"/>
            <c:spPr>
              <a:solidFill>
                <a:srgbClr val="C6C6C6"/>
              </a:solidFill>
              <a:ln w="25400" cmpd="dbl">
                <a:noFill/>
              </a:ln>
              <a:effectLst>
                <a:outerShdw blurRad="50800" dist="38100" dir="2700000" algn="tl" rotWithShape="0">
                  <a:prstClr val="black">
                    <a:alpha val="40000"/>
                  </a:prstClr>
                </a:outerShdw>
              </a:effectLst>
              <a:scene3d>
                <a:camera prst="orthographicFront"/>
                <a:lightRig rig="threePt" dir="t"/>
              </a:scene3d>
              <a:sp3d prstMaterial="matte"/>
            </c:spPr>
            <c:extLst>
              <c:ext xmlns:c16="http://schemas.microsoft.com/office/drawing/2014/chart" uri="{C3380CC4-5D6E-409C-BE32-E72D297353CC}">
                <c16:uniqueId val="{00000003-C8B5-44C3-B800-96E5E2DF06F4}"/>
              </c:ext>
            </c:extLst>
          </c:dPt>
          <c:dPt>
            <c:idx val="2"/>
            <c:bubble3D val="0"/>
            <c:spPr>
              <a:solidFill>
                <a:srgbClr val="EABAC2"/>
              </a:solidFill>
              <a:ln w="25400" cmpd="dbl">
                <a:noFill/>
              </a:ln>
              <a:effectLst>
                <a:outerShdw blurRad="50800" dist="38100" dir="2700000" algn="tl" rotWithShape="0">
                  <a:prstClr val="black">
                    <a:alpha val="40000"/>
                  </a:prstClr>
                </a:outerShdw>
              </a:effectLst>
              <a:scene3d>
                <a:camera prst="orthographicFront"/>
                <a:lightRig rig="threePt" dir="t"/>
              </a:scene3d>
              <a:sp3d prstMaterial="matte"/>
            </c:spPr>
            <c:extLst>
              <c:ext xmlns:c16="http://schemas.microsoft.com/office/drawing/2014/chart" uri="{C3380CC4-5D6E-409C-BE32-E72D297353CC}">
                <c16:uniqueId val="{00000005-C8B5-44C3-B800-96E5E2DF06F4}"/>
              </c:ext>
            </c:extLst>
          </c:dPt>
          <c:dPt>
            <c:idx val="3"/>
            <c:bubble3D val="0"/>
            <c:spPr>
              <a:solidFill>
                <a:srgbClr val="9D2235"/>
              </a:solidFill>
              <a:ln w="25400" cmpd="dbl">
                <a:noFill/>
              </a:ln>
              <a:effectLst>
                <a:outerShdw blurRad="50800" dist="38100" dir="2700000" algn="tl" rotWithShape="0">
                  <a:prstClr val="black">
                    <a:alpha val="40000"/>
                  </a:prstClr>
                </a:outerShdw>
              </a:effectLst>
              <a:scene3d>
                <a:camera prst="orthographicFront"/>
                <a:lightRig rig="threePt" dir="t"/>
              </a:scene3d>
              <a:sp3d prstMaterial="matte"/>
            </c:spPr>
            <c:extLst>
              <c:ext xmlns:c16="http://schemas.microsoft.com/office/drawing/2014/chart" uri="{C3380CC4-5D6E-409C-BE32-E72D297353CC}">
                <c16:uniqueId val="{00000007-C8B5-44C3-B800-96E5E2DF06F4}"/>
              </c:ext>
            </c:extLst>
          </c:dPt>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Hoja1!$L$32:$L$35</c:f>
              <c:strCache>
                <c:ptCount val="4"/>
                <c:pt idx="0">
                  <c:v>Remisió fiscalia</c:v>
                </c:pt>
                <c:pt idx="1">
                  <c:v>Bústia denúncies</c:v>
                </c:pt>
                <c:pt idx="2">
                  <c:v>Correu electrònic</c:v>
                </c:pt>
                <c:pt idx="3">
                  <c:v>Registre Agència</c:v>
                </c:pt>
              </c:strCache>
            </c:strRef>
          </c:cat>
          <c:val>
            <c:numRef>
              <c:f>Hoja1!$N$32:$N$35</c:f>
              <c:numCache>
                <c:formatCode>General</c:formatCode>
                <c:ptCount val="4"/>
                <c:pt idx="0">
                  <c:v>2</c:v>
                </c:pt>
                <c:pt idx="1">
                  <c:v>5</c:v>
                </c:pt>
                <c:pt idx="2">
                  <c:v>9</c:v>
                </c:pt>
                <c:pt idx="3">
                  <c:v>19</c:v>
                </c:pt>
              </c:numCache>
            </c:numRef>
          </c:val>
          <c:extLst>
            <c:ext xmlns:c16="http://schemas.microsoft.com/office/drawing/2014/chart" uri="{C3380CC4-5D6E-409C-BE32-E72D297353CC}">
              <c16:uniqueId val="{00000008-C8B5-44C3-B800-96E5E2DF06F4}"/>
            </c:ext>
          </c:extLst>
        </c:ser>
        <c:dLbls>
          <c:showLegendKey val="0"/>
          <c:showVal val="0"/>
          <c:showCatName val="0"/>
          <c:showSerName val="0"/>
          <c:showPercent val="1"/>
          <c:showBubbleSize val="0"/>
          <c:showLeaderLines val="1"/>
        </c:dLbls>
        <c:firstSliceAng val="61"/>
        <c:holeSize val="50"/>
      </c:doughnutChart>
      <c:spPr>
        <a:noFill/>
        <a:ln>
          <a:noFill/>
        </a:ln>
        <a:effectLst/>
      </c:spPr>
    </c:plotArea>
    <c:legend>
      <c:legendPos val="r"/>
      <c:overlay val="0"/>
      <c:spPr>
        <a:solidFill>
          <a:schemeClr val="bg1">
            <a:lumMod val="95000"/>
          </a:schemeClr>
        </a:solidFill>
        <a:ln>
          <a:solidFill>
            <a:schemeClr val="bg2">
              <a:lumMod val="50000"/>
            </a:schemeClr>
          </a:solidFill>
        </a:ln>
        <a:effectLst/>
      </c:spPr>
      <c:txPr>
        <a:bodyPr rot="0" spcFirstLastPara="1" vertOverflow="ellipsis" vert="horz" wrap="square" anchor="ctr" anchorCtr="1"/>
        <a:lstStyle/>
        <a:p>
          <a:pPr rtl="0">
            <a:defRPr sz="800" b="1" i="0" u="none" strike="noStrike" kern="1200" baseline="0">
              <a:ln>
                <a:noFill/>
              </a:ln>
              <a:solidFill>
                <a:schemeClr val="tx1">
                  <a:lumMod val="65000"/>
                  <a:lumOff val="35000"/>
                </a:schemeClr>
              </a:solidFill>
              <a:effectLst/>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25"/>
      <c:depthPercent val="100"/>
      <c:rAngAx val="1"/>
    </c:view3D>
    <c:floor>
      <c:thickness val="0"/>
      <c:spPr>
        <a:solidFill>
          <a:schemeClr val="bg2">
            <a:alpha val="72000"/>
          </a:schemeClr>
        </a:solidFill>
        <a:ln>
          <a:noFill/>
        </a:ln>
        <a:effectLst>
          <a:outerShdw blurRad="50800" dist="38100" dir="5400000" algn="ctr" rotWithShape="0">
            <a:srgbClr val="000000">
              <a:alpha val="43137"/>
            </a:srgbClr>
          </a:outerShdw>
        </a:effectLst>
        <a:scene3d>
          <a:camera prst="orthographicFront"/>
          <a:lightRig rig="threePt" dir="t"/>
        </a:scene3d>
        <a:sp3d/>
      </c:spPr>
    </c:floor>
    <c:sideWall>
      <c:thickness val="0"/>
      <c:spPr>
        <a:solidFill>
          <a:schemeClr val="bg1">
            <a:lumMod val="95000"/>
          </a:schemeClr>
        </a:solidFill>
        <a:ln>
          <a:noFill/>
        </a:ln>
        <a:effectLst>
          <a:outerShdw blurRad="50800" dist="38100" algn="l" rotWithShape="0">
            <a:prstClr val="black">
              <a:alpha val="40000"/>
            </a:prstClr>
          </a:outerShdw>
        </a:effectLst>
        <a:sp3d/>
      </c:spPr>
    </c:sideWall>
    <c:backWall>
      <c:thickness val="0"/>
      <c:spPr>
        <a:solidFill>
          <a:schemeClr val="bg1">
            <a:lumMod val="95000"/>
          </a:schemeClr>
        </a:solidFill>
        <a:ln>
          <a:noFill/>
        </a:ln>
        <a:effectLst>
          <a:outerShdw blurRad="50800" dist="38100" algn="l" rotWithShape="0">
            <a:prstClr val="black">
              <a:alpha val="40000"/>
            </a:prstClr>
          </a:outerShdw>
        </a:effectLst>
        <a:sp3d/>
      </c:spPr>
    </c:backWall>
    <c:plotArea>
      <c:layout/>
      <c:bar3DChart>
        <c:barDir val="col"/>
        <c:grouping val="clustered"/>
        <c:varyColors val="0"/>
        <c:ser>
          <c:idx val="0"/>
          <c:order val="0"/>
          <c:spPr>
            <a:solidFill>
              <a:srgbClr val="9D2235"/>
            </a:solidFill>
            <a:ln>
              <a:noFill/>
            </a:ln>
            <a:effectLst>
              <a:outerShdw blurRad="50800" dist="38100" dir="10800000" algn="r" rotWithShape="0">
                <a:prstClr val="black">
                  <a:alpha val="14000"/>
                </a:prstClr>
              </a:outerShdw>
            </a:effectLst>
            <a:sp3d/>
          </c:spPr>
          <c:invertIfNegative val="0"/>
          <c:dPt>
            <c:idx val="0"/>
            <c:invertIfNegative val="0"/>
            <c:bubble3D val="0"/>
            <c:spPr>
              <a:solidFill>
                <a:srgbClr val="EABAC2"/>
              </a:solidFill>
              <a:ln>
                <a:noFill/>
              </a:ln>
              <a:effectLst>
                <a:outerShdw blurRad="50800" dist="38100" dir="10800000" algn="r" rotWithShape="0">
                  <a:prstClr val="black">
                    <a:alpha val="14000"/>
                  </a:prstClr>
                </a:outerShdw>
              </a:effectLst>
              <a:sp3d/>
            </c:spPr>
            <c:extLst>
              <c:ext xmlns:c16="http://schemas.microsoft.com/office/drawing/2014/chart" uri="{C3380CC4-5D6E-409C-BE32-E72D297353CC}">
                <c16:uniqueId val="{00000001-A703-48DE-8E60-477AB8DAD337}"/>
              </c:ext>
            </c:extLst>
          </c:dPt>
          <c:dPt>
            <c:idx val="2"/>
            <c:invertIfNegative val="0"/>
            <c:bubble3D val="0"/>
            <c:spPr>
              <a:solidFill>
                <a:srgbClr val="D17486"/>
              </a:solidFill>
              <a:ln>
                <a:noFill/>
              </a:ln>
              <a:effectLst>
                <a:outerShdw blurRad="50800" dist="38100" dir="10800000" algn="r" rotWithShape="0">
                  <a:prstClr val="black">
                    <a:alpha val="14000"/>
                  </a:prstClr>
                </a:outerShdw>
              </a:effectLst>
              <a:sp3d/>
            </c:spPr>
            <c:extLst>
              <c:ext xmlns:c16="http://schemas.microsoft.com/office/drawing/2014/chart" uri="{C3380CC4-5D6E-409C-BE32-E72D297353CC}">
                <c16:uniqueId val="{00000003-A703-48DE-8E60-477AB8DAD337}"/>
              </c:ext>
            </c:extLst>
          </c:dPt>
          <c:dPt>
            <c:idx val="3"/>
            <c:invertIfNegative val="0"/>
            <c:bubble3D val="0"/>
            <c:spPr>
              <a:solidFill>
                <a:srgbClr val="BBA7A1"/>
              </a:solidFill>
              <a:ln>
                <a:noFill/>
              </a:ln>
              <a:effectLst>
                <a:outerShdw blurRad="50800" dist="38100" dir="10800000" algn="r" rotWithShape="0">
                  <a:prstClr val="black">
                    <a:alpha val="14000"/>
                  </a:prstClr>
                </a:outerShdw>
              </a:effectLst>
              <a:sp3d/>
            </c:spPr>
            <c:extLst>
              <c:ext xmlns:c16="http://schemas.microsoft.com/office/drawing/2014/chart" uri="{C3380CC4-5D6E-409C-BE32-E72D297353CC}">
                <c16:uniqueId val="{00000005-A703-48DE-8E60-477AB8DAD337}"/>
              </c:ext>
            </c:extLst>
          </c:dPt>
          <c:dPt>
            <c:idx val="5"/>
            <c:invertIfNegative val="0"/>
            <c:bubble3D val="0"/>
            <c:spPr>
              <a:solidFill>
                <a:srgbClr val="B5540B"/>
              </a:solidFill>
              <a:ln>
                <a:noFill/>
              </a:ln>
              <a:effectLst>
                <a:outerShdw blurRad="50800" dist="38100" dir="10800000" algn="r" rotWithShape="0">
                  <a:prstClr val="black">
                    <a:alpha val="14000"/>
                  </a:prstClr>
                </a:outerShdw>
              </a:effectLst>
              <a:sp3d/>
            </c:spPr>
            <c:extLst>
              <c:ext xmlns:c16="http://schemas.microsoft.com/office/drawing/2014/chart" uri="{C3380CC4-5D6E-409C-BE32-E72D297353CC}">
                <c16:uniqueId val="{00000007-A703-48DE-8E60-477AB8DAD337}"/>
              </c:ext>
            </c:extLst>
          </c:dPt>
          <c:dPt>
            <c:idx val="7"/>
            <c:invertIfNegative val="0"/>
            <c:bubble3D val="0"/>
            <c:spPr>
              <a:solidFill>
                <a:srgbClr val="C17F78"/>
              </a:solidFill>
              <a:ln>
                <a:noFill/>
              </a:ln>
              <a:effectLst>
                <a:outerShdw blurRad="50800" dist="38100" dir="10800000" algn="r" rotWithShape="0">
                  <a:prstClr val="black">
                    <a:alpha val="14000"/>
                  </a:prstClr>
                </a:outerShdw>
              </a:effectLst>
              <a:sp3d/>
            </c:spPr>
            <c:extLst>
              <c:ext xmlns:c16="http://schemas.microsoft.com/office/drawing/2014/chart" uri="{C3380CC4-5D6E-409C-BE32-E72D297353CC}">
                <c16:uniqueId val="{00000009-A703-48DE-8E60-477AB8DAD337}"/>
              </c:ext>
            </c:extLst>
          </c:dPt>
          <c:dPt>
            <c:idx val="9"/>
            <c:invertIfNegative val="0"/>
            <c:bubble3D val="0"/>
            <c:spPr>
              <a:solidFill>
                <a:schemeClr val="tx1">
                  <a:lumMod val="65000"/>
                  <a:lumOff val="35000"/>
                </a:schemeClr>
              </a:solidFill>
              <a:ln>
                <a:noFill/>
              </a:ln>
              <a:effectLst>
                <a:outerShdw blurRad="50800" dist="38100" dir="10800000" algn="r" rotWithShape="0">
                  <a:prstClr val="black">
                    <a:alpha val="14000"/>
                  </a:prstClr>
                </a:outerShdw>
              </a:effectLst>
              <a:sp3d/>
            </c:spPr>
            <c:extLst>
              <c:ext xmlns:c16="http://schemas.microsoft.com/office/drawing/2014/chart" uri="{C3380CC4-5D6E-409C-BE32-E72D297353CC}">
                <c16:uniqueId val="{0000000B-A703-48DE-8E60-477AB8DAD337}"/>
              </c:ext>
            </c:extLst>
          </c:dPt>
          <c:dLbls>
            <c:dLbl>
              <c:idx val="0"/>
              <c:layout>
                <c:manualLayout>
                  <c:x val="1.8076644974692531E-3"/>
                  <c:y val="6.7518679661712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03-48DE-8E60-477AB8DAD337}"/>
                </c:ext>
              </c:extLst>
            </c:dLbl>
            <c:dLbl>
              <c:idx val="1"/>
              <c:layout>
                <c:manualLayout>
                  <c:x val="3.6153289949385063E-3"/>
                  <c:y val="3.8582102663835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703-48DE-8E60-477AB8DAD337}"/>
                </c:ext>
              </c:extLst>
            </c:dLbl>
            <c:dLbl>
              <c:idx val="2"/>
              <c:layout>
                <c:manualLayout>
                  <c:x val="3.6153289949385392E-3"/>
                  <c:y val="3.8582102663835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03-48DE-8E60-477AB8DAD337}"/>
                </c:ext>
              </c:extLst>
            </c:dLbl>
            <c:dLbl>
              <c:idx val="3"/>
              <c:layout>
                <c:manualLayout>
                  <c:x val="5.4229934924078091E-3"/>
                  <c:y val="3.5366927441849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03-48DE-8E60-477AB8DAD337}"/>
                </c:ext>
              </c:extLst>
            </c:dLbl>
            <c:dLbl>
              <c:idx val="4"/>
              <c:layout>
                <c:manualLayout>
                  <c:x val="5.4229934924078091E-3"/>
                  <c:y val="6.43035044397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703-48DE-8E60-477AB8DAD337}"/>
                </c:ext>
              </c:extLst>
            </c:dLbl>
            <c:dLbl>
              <c:idx val="5"/>
              <c:layout>
                <c:manualLayout>
                  <c:x val="7.2306579898770125E-3"/>
                  <c:y val="3.5366927441849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03-48DE-8E60-477AB8DAD337}"/>
                </c:ext>
              </c:extLst>
            </c:dLbl>
            <c:dLbl>
              <c:idx val="6"/>
              <c:layout>
                <c:manualLayout>
                  <c:x val="5.4229934924078091E-3"/>
                  <c:y val="0.221847090317056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703-48DE-8E60-477AB8DAD337}"/>
                </c:ext>
              </c:extLst>
            </c:dLbl>
            <c:dLbl>
              <c:idx val="7"/>
              <c:layout>
                <c:manualLayout>
                  <c:x val="7.2306579898770785E-3"/>
                  <c:y val="7.7164205327671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03-48DE-8E60-477AB8DAD337}"/>
                </c:ext>
              </c:extLst>
            </c:dLbl>
            <c:dLbl>
              <c:idx val="8"/>
              <c:layout>
                <c:manualLayout>
                  <c:x val="5.4229934924078091E-3"/>
                  <c:y val="3.8582102663835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703-48DE-8E60-477AB8DAD337}"/>
                </c:ext>
              </c:extLst>
            </c:dLbl>
            <c:dLbl>
              <c:idx val="9"/>
              <c:layout>
                <c:manualLayout>
                  <c:x val="5.4229934924076763E-3"/>
                  <c:y val="3.5366927441849633E-2"/>
                </c:manualLayout>
              </c:layout>
              <c:tx>
                <c:rich>
                  <a:bodyPr/>
                  <a:lstStyle/>
                  <a:p>
                    <a:r>
                      <a:rPr lang="en-US" baseline="0"/>
                      <a:t> </a:t>
                    </a:r>
                    <a:fld id="{B3BD708A-47B4-4BC5-B298-BD38CB25C4D9}" type="VALUE">
                      <a:rPr lang="en-US" baseline="0"/>
                      <a:pPr/>
                      <a:t>[VALOR]</a:t>
                    </a:fld>
                    <a:endParaRPr lang="en-US"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703-48DE-8E60-477AB8DAD33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Hoja1!$L$59:$L$68</c:f>
              <c:strCache>
                <c:ptCount val="10"/>
                <c:pt idx="0">
                  <c:v>Admin. GVA</c:v>
                </c:pt>
                <c:pt idx="1">
                  <c:v>Empresa pública GVA</c:v>
                </c:pt>
                <c:pt idx="2">
                  <c:v>Fundaciones S.P. GVA</c:v>
                </c:pt>
                <c:pt idx="3">
                  <c:v>Entidades derecho público GVA</c:v>
                </c:pt>
                <c:pt idx="4">
                  <c:v>Empresas contratistas GVA</c:v>
                </c:pt>
                <c:pt idx="5">
                  <c:v>Sector público intrumental GVA</c:v>
                </c:pt>
                <c:pt idx="6">
                  <c:v>Ayuntamientos</c:v>
                </c:pt>
                <c:pt idx="7">
                  <c:v>Soc. mercantiles Admin. Local</c:v>
                </c:pt>
                <c:pt idx="8">
                  <c:v>Corporaciones de derecho público</c:v>
                </c:pt>
                <c:pt idx="9">
                  <c:v>Otras</c:v>
                </c:pt>
              </c:strCache>
            </c:strRef>
          </c:cat>
          <c:val>
            <c:numRef>
              <c:f>Hoja1!$M$59:$M$68</c:f>
              <c:numCache>
                <c:formatCode>General</c:formatCode>
                <c:ptCount val="10"/>
                <c:pt idx="0">
                  <c:v>3</c:v>
                </c:pt>
                <c:pt idx="1">
                  <c:v>1</c:v>
                </c:pt>
                <c:pt idx="2">
                  <c:v>1</c:v>
                </c:pt>
                <c:pt idx="3">
                  <c:v>1</c:v>
                </c:pt>
                <c:pt idx="4">
                  <c:v>3</c:v>
                </c:pt>
                <c:pt idx="5">
                  <c:v>1</c:v>
                </c:pt>
                <c:pt idx="6">
                  <c:v>19</c:v>
                </c:pt>
                <c:pt idx="7">
                  <c:v>4</c:v>
                </c:pt>
                <c:pt idx="8">
                  <c:v>1</c:v>
                </c:pt>
                <c:pt idx="9">
                  <c:v>1</c:v>
                </c:pt>
              </c:numCache>
            </c:numRef>
          </c:val>
          <c:shape val="cylinder"/>
          <c:extLst>
            <c:ext xmlns:c16="http://schemas.microsoft.com/office/drawing/2014/chart" uri="{C3380CC4-5D6E-409C-BE32-E72D297353CC}">
              <c16:uniqueId val="{00000010-A703-48DE-8E60-477AB8DAD337}"/>
            </c:ext>
          </c:extLst>
        </c:ser>
        <c:dLbls>
          <c:showLegendKey val="0"/>
          <c:showVal val="0"/>
          <c:showCatName val="0"/>
          <c:showSerName val="0"/>
          <c:showPercent val="0"/>
          <c:showBubbleSize val="0"/>
        </c:dLbls>
        <c:gapWidth val="150"/>
        <c:shape val="box"/>
        <c:axId val="1262437407"/>
        <c:axId val="1262689343"/>
        <c:axId val="0"/>
      </c:bar3DChart>
      <c:catAx>
        <c:axId val="1262437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9D2235"/>
                </a:solidFill>
                <a:latin typeface="Arial" panose="020B0604020202020204" pitchFamily="34" charset="0"/>
                <a:ea typeface="+mn-ea"/>
                <a:cs typeface="Arial" panose="020B0604020202020204" pitchFamily="34" charset="0"/>
              </a:defRPr>
            </a:pPr>
            <a:endParaRPr lang="es-ES"/>
          </a:p>
        </c:txPr>
        <c:crossAx val="1262689343"/>
        <c:crosses val="autoZero"/>
        <c:auto val="1"/>
        <c:lblAlgn val="ctr"/>
        <c:lblOffset val="100"/>
        <c:noMultiLvlLbl val="0"/>
      </c:catAx>
      <c:valAx>
        <c:axId val="1262689343"/>
        <c:scaling>
          <c:orientation val="minMax"/>
          <c:min val="0"/>
        </c:scaling>
        <c:delete val="1"/>
        <c:axPos val="l"/>
        <c:majorGridlines>
          <c:spPr>
            <a:ln w="9525" cap="flat" cmpd="sng" algn="ctr">
              <a:noFill/>
              <a:round/>
            </a:ln>
            <a:effectLst/>
          </c:spPr>
        </c:majorGridlines>
        <c:numFmt formatCode="General" sourceLinked="1"/>
        <c:majorTickMark val="none"/>
        <c:minorTickMark val="none"/>
        <c:tickLblPos val="nextTo"/>
        <c:crossAx val="1262437407"/>
        <c:crosses val="autoZero"/>
        <c:crossBetween val="between"/>
        <c:majorUnit val="1"/>
      </c:valAx>
      <c:spPr>
        <a:noFill/>
        <a:ln w="6350">
          <a:solidFill>
            <a:schemeClr val="bg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w="9525">
              <a:noFill/>
            </a:ln>
            <a:effectLst>
              <a:outerShdw blurRad="50800" dist="38100" dir="2700000" algn="tl" rotWithShape="0">
                <a:prstClr val="black">
                  <a:alpha val="40000"/>
                </a:prstClr>
              </a:outerShdw>
            </a:effectLst>
          </c:spPr>
          <c:explosion val="15"/>
          <c:dPt>
            <c:idx val="0"/>
            <c:bubble3D val="0"/>
            <c:spPr>
              <a:solidFill>
                <a:srgbClr val="9D2235"/>
              </a:solidFill>
              <a:ln w="9525">
                <a:noFill/>
              </a:ln>
              <a:effectLst>
                <a:outerShdw blurRad="50800" dist="38100" dir="2700000" algn="tl" rotWithShape="0">
                  <a:prstClr val="black">
                    <a:alpha val="40000"/>
                  </a:prstClr>
                </a:outerShdw>
              </a:effectLst>
              <a:sp3d>
                <a:contourClr>
                  <a:schemeClr val="tx1"/>
                </a:contourClr>
              </a:sp3d>
            </c:spPr>
            <c:extLst>
              <c:ext xmlns:c16="http://schemas.microsoft.com/office/drawing/2014/chart" uri="{C3380CC4-5D6E-409C-BE32-E72D297353CC}">
                <c16:uniqueId val="{00000001-70DC-494A-9F40-6210A00DDE9E}"/>
              </c:ext>
            </c:extLst>
          </c:dPt>
          <c:dPt>
            <c:idx val="1"/>
            <c:bubble3D val="0"/>
            <c:spPr>
              <a:solidFill>
                <a:srgbClr val="EABAC2"/>
              </a:solidFill>
              <a:ln w="9525">
                <a:noFill/>
              </a:ln>
              <a:effectLst>
                <a:outerShdw blurRad="50800" dist="38100" dir="2700000" algn="tl" rotWithShape="0">
                  <a:prstClr val="black">
                    <a:alpha val="40000"/>
                  </a:prstClr>
                </a:outerShdw>
              </a:effectLst>
              <a:sp3d>
                <a:contourClr>
                  <a:schemeClr val="tx1"/>
                </a:contourClr>
              </a:sp3d>
            </c:spPr>
            <c:extLst>
              <c:ext xmlns:c16="http://schemas.microsoft.com/office/drawing/2014/chart" uri="{C3380CC4-5D6E-409C-BE32-E72D297353CC}">
                <c16:uniqueId val="{00000003-70DC-494A-9F40-6210A00DDE9E}"/>
              </c:ext>
            </c:extLst>
          </c:dPt>
          <c:dPt>
            <c:idx val="2"/>
            <c:bubble3D val="0"/>
            <c:spPr>
              <a:solidFill>
                <a:srgbClr val="666666"/>
              </a:solidFill>
              <a:ln w="9525">
                <a:noFill/>
              </a:ln>
              <a:effectLst>
                <a:outerShdw blurRad="50800" dist="38100" dir="2700000" algn="tl" rotWithShape="0">
                  <a:prstClr val="black">
                    <a:alpha val="40000"/>
                  </a:prstClr>
                </a:outerShdw>
              </a:effectLst>
              <a:sp3d>
                <a:contourClr>
                  <a:schemeClr val="tx1"/>
                </a:contourClr>
              </a:sp3d>
            </c:spPr>
            <c:extLst>
              <c:ext xmlns:c16="http://schemas.microsoft.com/office/drawing/2014/chart" uri="{C3380CC4-5D6E-409C-BE32-E72D297353CC}">
                <c16:uniqueId val="{00000005-70DC-494A-9F40-6210A00DDE9E}"/>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Hoja1!$L$87:$L$89</c:f>
              <c:strCache>
                <c:ptCount val="3"/>
                <c:pt idx="0">
                  <c:v>Alacant</c:v>
                </c:pt>
                <c:pt idx="1">
                  <c:v>Castelló</c:v>
                </c:pt>
                <c:pt idx="2">
                  <c:v>València</c:v>
                </c:pt>
              </c:strCache>
            </c:strRef>
          </c:cat>
          <c:val>
            <c:numRef>
              <c:f>Hoja1!$N$87:$N$89</c:f>
              <c:numCache>
                <c:formatCode>General</c:formatCode>
                <c:ptCount val="3"/>
                <c:pt idx="0">
                  <c:v>16</c:v>
                </c:pt>
                <c:pt idx="1">
                  <c:v>5</c:v>
                </c:pt>
                <c:pt idx="2">
                  <c:v>14</c:v>
                </c:pt>
              </c:numCache>
            </c:numRef>
          </c:val>
          <c:extLst>
            <c:ext xmlns:c16="http://schemas.microsoft.com/office/drawing/2014/chart" uri="{C3380CC4-5D6E-409C-BE32-E72D297353CC}">
              <c16:uniqueId val="{00000006-70DC-494A-9F40-6210A00DDE9E}"/>
            </c:ext>
          </c:extLst>
        </c:ser>
        <c:dLbls>
          <c:showLegendKey val="0"/>
          <c:showVal val="0"/>
          <c:showCatName val="0"/>
          <c:showSerName val="0"/>
          <c:showPercent val="1"/>
          <c:showBubbleSize val="0"/>
          <c:showLeaderLines val="1"/>
        </c:dLbls>
      </c:pie3DChart>
      <c:spPr>
        <a:noFill/>
        <a:ln>
          <a:noFill/>
        </a:ln>
        <a:effectLst>
          <a:glow>
            <a:schemeClr val="accent1">
              <a:alpha val="40000"/>
            </a:schemeClr>
          </a:glow>
        </a:effectLst>
      </c:spPr>
    </c:plotArea>
    <c:legend>
      <c:legendPos val="r"/>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1">
            <a:lumMod val="95000"/>
          </a:schemeClr>
        </a:solidFill>
        <a:ln>
          <a:noFill/>
        </a:ln>
        <a:effectLst/>
        <a:sp3d/>
      </c:spPr>
    </c:floor>
    <c:sideWall>
      <c:thickness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a:outerShdw blurRad="50800" dist="38100" dir="2700000" algn="tl" rotWithShape="0">
            <a:prstClr val="black">
              <a:alpha val="40000"/>
            </a:prstClr>
          </a:outerShdw>
        </a:effectLst>
        <a:sp3d/>
      </c:spPr>
    </c:sideWall>
    <c:backWall>
      <c:thickness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a:outerShdw blurRad="50800" dist="38100" dir="2700000" algn="tl" rotWithShape="0">
            <a:prstClr val="black">
              <a:alpha val="40000"/>
            </a:prstClr>
          </a:outerShdw>
        </a:effectLst>
        <a:sp3d/>
      </c:spPr>
    </c:backWall>
    <c:plotArea>
      <c:layout/>
      <c:bar3DChart>
        <c:barDir val="bar"/>
        <c:grouping val="clustered"/>
        <c:varyColors val="0"/>
        <c:ser>
          <c:idx val="0"/>
          <c:order val="0"/>
          <c:spPr>
            <a:solidFill>
              <a:schemeClr val="accent1"/>
            </a:solidFill>
            <a:ln>
              <a:noFill/>
            </a:ln>
            <a:effectLst>
              <a:outerShdw blurRad="50800" dist="38100" dir="13500000" algn="br" rotWithShape="0">
                <a:prstClr val="black">
                  <a:alpha val="40000"/>
                </a:prstClr>
              </a:outerShdw>
            </a:effectLst>
            <a:sp3d/>
          </c:spPr>
          <c:invertIfNegative val="0"/>
          <c:dPt>
            <c:idx val="0"/>
            <c:invertIfNegative val="0"/>
            <c:bubble3D val="0"/>
            <c:spPr>
              <a:solidFill>
                <a:srgbClr val="976B73"/>
              </a:solidFill>
              <a:ln>
                <a:noFill/>
              </a:ln>
              <a:effectLst>
                <a:outerShdw blurRad="50800" dist="38100" dir="13500000" algn="br" rotWithShape="0">
                  <a:prstClr val="black">
                    <a:alpha val="40000"/>
                  </a:prstClr>
                </a:outerShdw>
              </a:effectLst>
              <a:sp3d/>
            </c:spPr>
            <c:extLst>
              <c:ext xmlns:c16="http://schemas.microsoft.com/office/drawing/2014/chart" uri="{C3380CC4-5D6E-409C-BE32-E72D297353CC}">
                <c16:uniqueId val="{00000001-EE8F-47AF-AEC5-53387C56F072}"/>
              </c:ext>
            </c:extLst>
          </c:dPt>
          <c:dPt>
            <c:idx val="1"/>
            <c:invertIfNegative val="0"/>
            <c:bubble3D val="0"/>
            <c:spPr>
              <a:solidFill>
                <a:schemeClr val="bg2">
                  <a:lumMod val="50000"/>
                </a:schemeClr>
              </a:solidFill>
              <a:ln>
                <a:noFill/>
              </a:ln>
              <a:effectLst>
                <a:outerShdw blurRad="50800" dist="38100" dir="13500000" algn="br" rotWithShape="0">
                  <a:prstClr val="black">
                    <a:alpha val="40000"/>
                  </a:prstClr>
                </a:outerShdw>
              </a:effectLst>
              <a:sp3d/>
            </c:spPr>
            <c:extLst>
              <c:ext xmlns:c16="http://schemas.microsoft.com/office/drawing/2014/chart" uri="{C3380CC4-5D6E-409C-BE32-E72D297353CC}">
                <c16:uniqueId val="{00000003-EE8F-47AF-AEC5-53387C56F072}"/>
              </c:ext>
            </c:extLst>
          </c:dPt>
          <c:dPt>
            <c:idx val="2"/>
            <c:invertIfNegative val="0"/>
            <c:bubble3D val="0"/>
            <c:spPr>
              <a:solidFill>
                <a:srgbClr val="BCA6A2"/>
              </a:solidFill>
              <a:ln>
                <a:noFill/>
              </a:ln>
              <a:effectLst>
                <a:outerShdw blurRad="50800" dist="38100" dir="13500000" algn="br" rotWithShape="0">
                  <a:prstClr val="black">
                    <a:alpha val="40000"/>
                  </a:prstClr>
                </a:outerShdw>
              </a:effectLst>
              <a:sp3d/>
            </c:spPr>
            <c:extLst>
              <c:ext xmlns:c16="http://schemas.microsoft.com/office/drawing/2014/chart" uri="{C3380CC4-5D6E-409C-BE32-E72D297353CC}">
                <c16:uniqueId val="{00000005-EE8F-47AF-AEC5-53387C56F072}"/>
              </c:ext>
            </c:extLst>
          </c:dPt>
          <c:dPt>
            <c:idx val="3"/>
            <c:invertIfNegative val="0"/>
            <c:bubble3D val="0"/>
            <c:spPr>
              <a:solidFill>
                <a:srgbClr val="F1D3D8"/>
              </a:solidFill>
              <a:ln>
                <a:noFill/>
              </a:ln>
              <a:effectLst>
                <a:outerShdw blurRad="50800" dist="38100" dir="13500000" algn="br" rotWithShape="0">
                  <a:prstClr val="black">
                    <a:alpha val="40000"/>
                  </a:prstClr>
                </a:outerShdw>
              </a:effectLst>
              <a:sp3d/>
            </c:spPr>
            <c:extLst>
              <c:ext xmlns:c16="http://schemas.microsoft.com/office/drawing/2014/chart" uri="{C3380CC4-5D6E-409C-BE32-E72D297353CC}">
                <c16:uniqueId val="{00000007-EE8F-47AF-AEC5-53387C56F072}"/>
              </c:ext>
            </c:extLst>
          </c:dPt>
          <c:dPt>
            <c:idx val="4"/>
            <c:invertIfNegative val="0"/>
            <c:bubble3D val="0"/>
            <c:spPr>
              <a:solidFill>
                <a:srgbClr val="C2505D"/>
              </a:solidFill>
              <a:ln>
                <a:noFill/>
              </a:ln>
              <a:effectLst>
                <a:outerShdw blurRad="50800" dist="38100" dir="13500000" algn="br" rotWithShape="0">
                  <a:prstClr val="black">
                    <a:alpha val="40000"/>
                  </a:prstClr>
                </a:outerShdw>
              </a:effectLst>
              <a:sp3d/>
            </c:spPr>
            <c:extLst>
              <c:ext xmlns:c16="http://schemas.microsoft.com/office/drawing/2014/chart" uri="{C3380CC4-5D6E-409C-BE32-E72D297353CC}">
                <c16:uniqueId val="{00000009-EE8F-47AF-AEC5-53387C56F072}"/>
              </c:ext>
            </c:extLst>
          </c:dPt>
          <c:dPt>
            <c:idx val="5"/>
            <c:invertIfNegative val="0"/>
            <c:bubble3D val="0"/>
            <c:spPr>
              <a:solidFill>
                <a:srgbClr val="E7957F"/>
              </a:solidFill>
              <a:ln>
                <a:noFill/>
              </a:ln>
              <a:effectLst>
                <a:outerShdw blurRad="50800" dist="38100" dir="13500000" algn="br" rotWithShape="0">
                  <a:prstClr val="black">
                    <a:alpha val="40000"/>
                  </a:prstClr>
                </a:outerShdw>
              </a:effectLst>
              <a:sp3d/>
            </c:spPr>
            <c:extLst>
              <c:ext xmlns:c16="http://schemas.microsoft.com/office/drawing/2014/chart" uri="{C3380CC4-5D6E-409C-BE32-E72D297353CC}">
                <c16:uniqueId val="{0000000B-EE8F-47AF-AEC5-53387C56F072}"/>
              </c:ext>
            </c:extLst>
          </c:dPt>
          <c:dPt>
            <c:idx val="6"/>
            <c:invertIfNegative val="0"/>
            <c:bubble3D val="0"/>
            <c:spPr>
              <a:solidFill>
                <a:srgbClr val="D83A23"/>
              </a:solidFill>
              <a:ln>
                <a:noFill/>
              </a:ln>
              <a:effectLst>
                <a:outerShdw blurRad="50800" dist="38100" dir="13500000" algn="br" rotWithShape="0">
                  <a:prstClr val="black">
                    <a:alpha val="40000"/>
                  </a:prstClr>
                </a:outerShdw>
              </a:effectLst>
              <a:sp3d/>
            </c:spPr>
            <c:extLst>
              <c:ext xmlns:c16="http://schemas.microsoft.com/office/drawing/2014/chart" uri="{C3380CC4-5D6E-409C-BE32-E72D297353CC}">
                <c16:uniqueId val="{0000000D-EE8F-47AF-AEC5-53387C56F072}"/>
              </c:ext>
            </c:extLst>
          </c:dPt>
          <c:dPt>
            <c:idx val="7"/>
            <c:invertIfNegative val="0"/>
            <c:bubble3D val="0"/>
            <c:spPr>
              <a:solidFill>
                <a:srgbClr val="C17F78"/>
              </a:solidFill>
              <a:ln>
                <a:noFill/>
              </a:ln>
              <a:effectLst>
                <a:outerShdw blurRad="50800" dist="38100" dir="13500000" algn="br" rotWithShape="0">
                  <a:prstClr val="black">
                    <a:alpha val="40000"/>
                  </a:prstClr>
                </a:outerShdw>
              </a:effectLst>
              <a:sp3d/>
            </c:spPr>
            <c:extLst>
              <c:ext xmlns:c16="http://schemas.microsoft.com/office/drawing/2014/chart" uri="{C3380CC4-5D6E-409C-BE32-E72D297353CC}">
                <c16:uniqueId val="{0000000F-EE8F-47AF-AEC5-53387C56F072}"/>
              </c:ext>
            </c:extLst>
          </c:dPt>
          <c:dPt>
            <c:idx val="8"/>
            <c:invertIfNegative val="0"/>
            <c:bubble3D val="0"/>
            <c:spPr>
              <a:solidFill>
                <a:srgbClr val="9D2235"/>
              </a:solidFill>
              <a:ln>
                <a:noFill/>
              </a:ln>
              <a:effectLst>
                <a:outerShdw blurRad="50800" dist="38100" dir="13500000" algn="br" rotWithShape="0">
                  <a:prstClr val="black">
                    <a:alpha val="40000"/>
                  </a:prstClr>
                </a:outerShdw>
              </a:effectLst>
              <a:sp3d/>
            </c:spPr>
            <c:extLst>
              <c:ext xmlns:c16="http://schemas.microsoft.com/office/drawing/2014/chart" uri="{C3380CC4-5D6E-409C-BE32-E72D297353CC}">
                <c16:uniqueId val="{00000011-EE8F-47AF-AEC5-53387C56F072}"/>
              </c:ext>
            </c:extLst>
          </c:dPt>
          <c:dLbls>
            <c:dLbl>
              <c:idx val="0"/>
              <c:layout>
                <c:manualLayout>
                  <c:x val="-8.1719607906747482E-2"/>
                  <c:y val="-3.4114171805953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8F-47AF-AEC5-53387C56F072}"/>
                </c:ext>
              </c:extLst>
            </c:dLbl>
            <c:dLbl>
              <c:idx val="1"/>
              <c:layout>
                <c:manualLayout>
                  <c:x val="-3.0644852965030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8F-47AF-AEC5-53387C56F072}"/>
                </c:ext>
              </c:extLst>
            </c:dLbl>
            <c:dLbl>
              <c:idx val="2"/>
              <c:layout>
                <c:manualLayout>
                  <c:x val="-3.0644852965030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8F-47AF-AEC5-53387C56F072}"/>
                </c:ext>
              </c:extLst>
            </c:dLbl>
            <c:dLbl>
              <c:idx val="3"/>
              <c:layout>
                <c:manualLayout>
                  <c:x val="-3.2347344796420853E-2"/>
                  <c:y val="-3.4114171805953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8F-47AF-AEC5-53387C56F072}"/>
                </c:ext>
              </c:extLst>
            </c:dLbl>
            <c:dLbl>
              <c:idx val="4"/>
              <c:layout>
                <c:manualLayout>
                  <c:x val="-4.76697712789359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8F-47AF-AEC5-53387C56F072}"/>
                </c:ext>
              </c:extLst>
            </c:dLbl>
            <c:dLbl>
              <c:idx val="5"/>
              <c:layout>
                <c:manualLayout>
                  <c:x val="-0.13279436284846455"/>
                  <c:y val="-3.41141718059538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8F-47AF-AEC5-53387C56F072}"/>
                </c:ext>
              </c:extLst>
            </c:dLbl>
            <c:dLbl>
              <c:idx val="6"/>
              <c:layout>
                <c:manualLayout>
                  <c:x val="-3.0644852965030282E-2"/>
                  <c:y val="-3.41141718059538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E8F-47AF-AEC5-53387C56F072}"/>
                </c:ext>
              </c:extLst>
            </c:dLbl>
            <c:dLbl>
              <c:idx val="7"/>
              <c:layout>
                <c:manualLayout>
                  <c:x val="-3.0644852965030282E-2"/>
                  <c:y val="3.12709629106251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E8F-47AF-AEC5-53387C56F072}"/>
                </c:ext>
              </c:extLst>
            </c:dLbl>
            <c:dLbl>
              <c:idx val="8"/>
              <c:layout>
                <c:manualLayout>
                  <c:x val="-0.30474603781891224"/>
                  <c:y val="-3.4114171805953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E8F-47AF-AEC5-53387C56F0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Hoja1!$L$115:$L$123</c:f>
              <c:strCache>
                <c:ptCount val="9"/>
                <c:pt idx="0">
                  <c:v>Ninguno de los anteriores</c:v>
                </c:pt>
                <c:pt idx="1">
                  <c:v>Sindicato</c:v>
                </c:pt>
                <c:pt idx="2">
                  <c:v>Personal laboral empresas públicas GVA</c:v>
                </c:pt>
                <c:pt idx="3">
                  <c:v>Personal laboral corporación de derecho público</c:v>
                </c:pt>
                <c:pt idx="4">
                  <c:v>Personal laboral empresas contratistas GVA</c:v>
                </c:pt>
                <c:pt idx="5">
                  <c:v>Personal laboral sector público instrumental GVA</c:v>
                </c:pt>
                <c:pt idx="6">
                  <c:v>Personal eventual</c:v>
                </c:pt>
                <c:pt idx="7">
                  <c:v>Funcionarios interinos</c:v>
                </c:pt>
                <c:pt idx="8">
                  <c:v>Funcionarios de carrera</c:v>
                </c:pt>
              </c:strCache>
            </c:strRef>
          </c:cat>
          <c:val>
            <c:numRef>
              <c:f>Hoja1!$M$115:$M$123</c:f>
              <c:numCache>
                <c:formatCode>General</c:formatCode>
                <c:ptCount val="9"/>
                <c:pt idx="0">
                  <c:v>4</c:v>
                </c:pt>
                <c:pt idx="1">
                  <c:v>1</c:v>
                </c:pt>
                <c:pt idx="2">
                  <c:v>1</c:v>
                </c:pt>
                <c:pt idx="3">
                  <c:v>1</c:v>
                </c:pt>
                <c:pt idx="4">
                  <c:v>2</c:v>
                </c:pt>
                <c:pt idx="5">
                  <c:v>7</c:v>
                </c:pt>
                <c:pt idx="6">
                  <c:v>1</c:v>
                </c:pt>
                <c:pt idx="7">
                  <c:v>1</c:v>
                </c:pt>
                <c:pt idx="8">
                  <c:v>17</c:v>
                </c:pt>
              </c:numCache>
            </c:numRef>
          </c:val>
          <c:shape val="cylinder"/>
          <c:extLst>
            <c:ext xmlns:c16="http://schemas.microsoft.com/office/drawing/2014/chart" uri="{C3380CC4-5D6E-409C-BE32-E72D297353CC}">
              <c16:uniqueId val="{00000012-EE8F-47AF-AEC5-53387C56F072}"/>
            </c:ext>
          </c:extLst>
        </c:ser>
        <c:dLbls>
          <c:showLegendKey val="0"/>
          <c:showVal val="0"/>
          <c:showCatName val="0"/>
          <c:showSerName val="0"/>
          <c:showPercent val="0"/>
          <c:showBubbleSize val="0"/>
        </c:dLbls>
        <c:gapWidth val="150"/>
        <c:shape val="box"/>
        <c:axId val="1507626416"/>
        <c:axId val="1464656752"/>
        <c:axId val="0"/>
      </c:bar3DChart>
      <c:catAx>
        <c:axId val="1507626416"/>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wrap="square" anchor="ctr" anchorCtr="0"/>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crossAx val="1464656752"/>
        <c:crosses val="autoZero"/>
        <c:auto val="1"/>
        <c:lblAlgn val="ctr"/>
        <c:lblOffset val="100"/>
        <c:noMultiLvlLbl val="0"/>
      </c:catAx>
      <c:valAx>
        <c:axId val="1464656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507626416"/>
        <c:crosses val="autoZero"/>
        <c:crossBetween val="between"/>
        <c:majorUnit val="3"/>
      </c:valAx>
      <c:spPr>
        <a:solidFill>
          <a:sysClr val="window" lastClr="FFFFFF"/>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hPercent val="40"/>
      <c:rotY val="30"/>
      <c:depthPercent val="100"/>
      <c:rAngAx val="1"/>
    </c:view3D>
    <c:floor>
      <c:thickness val="0"/>
      <c:spPr>
        <a:solidFill>
          <a:schemeClr val="bg1">
            <a:lumMod val="85000"/>
          </a:schemeClr>
        </a:solidFill>
        <a:ln>
          <a:noFill/>
        </a:ln>
        <a:effectLst>
          <a:outerShdw blurRad="50800" dist="50800" dir="5400000" algn="ctr" rotWithShape="0">
            <a:schemeClr val="tx1">
              <a:lumMod val="50000"/>
              <a:lumOff val="50000"/>
            </a:schemeClr>
          </a:outerShdw>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0800" dist="38100" dir="2700000" algn="tl" rotWithShape="0">
                <a:schemeClr val="tx1">
                  <a:alpha val="40000"/>
                </a:schemeClr>
              </a:outerShdw>
            </a:effectLst>
            <a:sp3d>
              <a:contourClr>
                <a:srgbClr val="EABAC2"/>
              </a:contourClr>
            </a:sp3d>
          </c:spPr>
          <c:invertIfNegative val="0"/>
          <c:dPt>
            <c:idx val="0"/>
            <c:invertIfNegative val="0"/>
            <c:bubble3D val="0"/>
            <c:spPr>
              <a:solidFill>
                <a:schemeClr val="accent1"/>
              </a:solidFill>
              <a:ln w="6350">
                <a:noFill/>
              </a:ln>
              <a:effectLst>
                <a:outerShdw blurRad="50800" dist="38100" dir="2700000" algn="tl" rotWithShape="0">
                  <a:schemeClr val="tx1">
                    <a:alpha val="40000"/>
                  </a:schemeClr>
                </a:outerShdw>
              </a:effectLst>
              <a:sp3d>
                <a:contourClr>
                  <a:srgbClr val="666666"/>
                </a:contourClr>
              </a:sp3d>
            </c:spPr>
            <c:extLst>
              <c:ext xmlns:c16="http://schemas.microsoft.com/office/drawing/2014/chart" uri="{C3380CC4-5D6E-409C-BE32-E72D297353CC}">
                <c16:uniqueId val="{00000001-F989-41FB-91A2-29A8C41DDDB2}"/>
              </c:ext>
            </c:extLst>
          </c:dPt>
          <c:dPt>
            <c:idx val="1"/>
            <c:invertIfNegative val="0"/>
            <c:bubble3D val="0"/>
            <c:spPr>
              <a:solidFill>
                <a:srgbClr val="5B6770"/>
              </a:solidFill>
              <a:ln w="6350">
                <a:noFill/>
              </a:ln>
              <a:effectLst>
                <a:outerShdw blurRad="50800" dist="38100" dir="2700000" algn="tl" rotWithShape="0">
                  <a:schemeClr val="tx1">
                    <a:alpha val="40000"/>
                  </a:schemeClr>
                </a:outerShdw>
              </a:effectLst>
              <a:sp3d>
                <a:contourClr>
                  <a:srgbClr val="EABAC2"/>
                </a:contourClr>
              </a:sp3d>
            </c:spPr>
            <c:extLst>
              <c:ext xmlns:c16="http://schemas.microsoft.com/office/drawing/2014/chart" uri="{C3380CC4-5D6E-409C-BE32-E72D297353CC}">
                <c16:uniqueId val="{00000003-F989-41FB-91A2-29A8C41DDDB2}"/>
              </c:ext>
            </c:extLst>
          </c:dPt>
          <c:dLbls>
            <c:dLbl>
              <c:idx val="0"/>
              <c:layout>
                <c:manualLayout>
                  <c:x val="2.28700811317628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89-41FB-91A2-29A8C41DDDB2}"/>
                </c:ext>
              </c:extLst>
            </c:dLbl>
            <c:dLbl>
              <c:idx val="1"/>
              <c:layout>
                <c:manualLayout>
                  <c:x val="2.03289610060114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89-41FB-91A2-29A8C41DDDB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Hoja1!$N$131:$N$132</c:f>
              <c:strCache>
                <c:ptCount val="2"/>
                <c:pt idx="0">
                  <c:v>Resoluciones estimatorias</c:v>
                </c:pt>
                <c:pt idx="1">
                  <c:v>Expedientes en tramitación</c:v>
                </c:pt>
              </c:strCache>
            </c:strRef>
          </c:cat>
          <c:val>
            <c:numRef>
              <c:f>Hoja1!$O$131:$O$132</c:f>
              <c:numCache>
                <c:formatCode>General</c:formatCode>
                <c:ptCount val="2"/>
                <c:pt idx="0">
                  <c:v>21</c:v>
                </c:pt>
                <c:pt idx="1">
                  <c:v>4</c:v>
                </c:pt>
              </c:numCache>
            </c:numRef>
          </c:val>
          <c:extLst>
            <c:ext xmlns:c16="http://schemas.microsoft.com/office/drawing/2014/chart" uri="{C3380CC4-5D6E-409C-BE32-E72D297353CC}">
              <c16:uniqueId val="{00000004-F989-41FB-91A2-29A8C41DDDB2}"/>
            </c:ext>
          </c:extLst>
        </c:ser>
        <c:dLbls>
          <c:showLegendKey val="0"/>
          <c:showVal val="0"/>
          <c:showCatName val="0"/>
          <c:showSerName val="0"/>
          <c:showPercent val="0"/>
          <c:showBubbleSize val="0"/>
        </c:dLbls>
        <c:gapWidth val="75"/>
        <c:shape val="cylinder"/>
        <c:axId val="1290816000"/>
        <c:axId val="1"/>
        <c:axId val="0"/>
      </c:bar3DChart>
      <c:catAx>
        <c:axId val="1290816000"/>
        <c:scaling>
          <c:orientation val="minMax"/>
        </c:scaling>
        <c:delete val="1"/>
        <c:axPos val="b"/>
        <c:numFmt formatCode="General" sourceLinked="1"/>
        <c:majorTickMark val="none"/>
        <c:minorTickMark val="none"/>
        <c:tickLblPos val="nextTo"/>
        <c:crossAx val="1"/>
        <c:crossesAt val="0"/>
        <c:auto val="1"/>
        <c:lblAlgn val="ctr"/>
        <c:lblOffset val="100"/>
        <c:noMultiLvlLbl val="0"/>
      </c:catAx>
      <c:valAx>
        <c:axId val="1"/>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290816000"/>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33"/>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666666"/>
            </a:solidFill>
            <a:ln>
              <a:noFill/>
            </a:ln>
            <a:effectLst>
              <a:outerShdw blurRad="50800" dist="38100" dir="2700000" algn="tl" rotWithShape="0">
                <a:prstClr val="black">
                  <a:alpha val="40000"/>
                </a:prstClr>
              </a:outerShdw>
            </a:effectLst>
          </c:spPr>
          <c:explosion val="20"/>
          <c:dPt>
            <c:idx val="0"/>
            <c:bubble3D val="0"/>
            <c:spPr>
              <a:noFill/>
              <a:ln w="25400">
                <a:noFill/>
              </a:ln>
              <a:effectLst>
                <a:outerShdw blurRad="50800" dist="38100" dir="2700000" algn="tl" rotWithShape="0">
                  <a:prstClr val="black">
                    <a:alpha val="40000"/>
                  </a:prstClr>
                </a:outerShdw>
              </a:effectLst>
              <a:sp3d/>
            </c:spPr>
            <c:extLst>
              <c:ext xmlns:c16="http://schemas.microsoft.com/office/drawing/2014/chart" uri="{C3380CC4-5D6E-409C-BE32-E72D297353CC}">
                <c16:uniqueId val="{00000001-37E0-45BA-AD8B-F5F50AF4A2ED}"/>
              </c:ext>
            </c:extLst>
          </c:dPt>
          <c:dPt>
            <c:idx val="1"/>
            <c:bubble3D val="0"/>
            <c:spPr>
              <a:solidFill>
                <a:srgbClr val="9D2235"/>
              </a:solidFill>
              <a:ln w="12700">
                <a:noFill/>
              </a:ln>
              <a:effectLst>
                <a:outerShdw blurRad="50800" dist="38100" dir="2700000" algn="tl" rotWithShape="0">
                  <a:prstClr val="black">
                    <a:alpha val="40000"/>
                  </a:prstClr>
                </a:outerShdw>
              </a:effectLst>
              <a:sp3d>
                <a:contourClr>
                  <a:schemeClr val="lt1"/>
                </a:contourClr>
              </a:sp3d>
            </c:spPr>
            <c:extLst>
              <c:ext xmlns:c16="http://schemas.microsoft.com/office/drawing/2014/chart" uri="{C3380CC4-5D6E-409C-BE32-E72D297353CC}">
                <c16:uniqueId val="{00000003-37E0-45BA-AD8B-F5F50AF4A2ED}"/>
              </c:ext>
            </c:extLst>
          </c:dPt>
          <c:dPt>
            <c:idx val="2"/>
            <c:bubble3D val="0"/>
            <c:spPr>
              <a:solidFill>
                <a:schemeClr val="accent4"/>
              </a:solidFill>
              <a:ln w="12700">
                <a:noFill/>
              </a:ln>
              <a:effectLst>
                <a:outerShdw blurRad="50800" dist="38100" dir="2700000" algn="tl" rotWithShape="0">
                  <a:prstClr val="black">
                    <a:alpha val="40000"/>
                  </a:prstClr>
                </a:outerShdw>
              </a:effectLst>
              <a:sp3d>
                <a:contourClr>
                  <a:schemeClr val="lt1"/>
                </a:contourClr>
              </a:sp3d>
            </c:spPr>
            <c:extLst>
              <c:ext xmlns:c16="http://schemas.microsoft.com/office/drawing/2014/chart" uri="{C3380CC4-5D6E-409C-BE32-E72D297353CC}">
                <c16:uniqueId val="{00000005-37E0-45BA-AD8B-F5F50AF4A2ED}"/>
              </c:ext>
            </c:extLst>
          </c:dPt>
          <c:dPt>
            <c:idx val="3"/>
            <c:bubble3D val="0"/>
            <c:spPr>
              <a:solidFill>
                <a:srgbClr val="666666"/>
              </a:solidFill>
              <a:ln w="12700">
                <a:noFill/>
              </a:ln>
              <a:effectLst>
                <a:outerShdw blurRad="50800" dist="38100" dir="2700000" algn="tl" rotWithShape="0">
                  <a:prstClr val="black">
                    <a:alpha val="40000"/>
                  </a:prstClr>
                </a:outerShdw>
              </a:effectLst>
              <a:sp3d>
                <a:contourClr>
                  <a:schemeClr val="lt1"/>
                </a:contourClr>
              </a:sp3d>
            </c:spPr>
            <c:extLst>
              <c:ext xmlns:c16="http://schemas.microsoft.com/office/drawing/2014/chart" uri="{C3380CC4-5D6E-409C-BE32-E72D297353CC}">
                <c16:uniqueId val="{00000007-37E0-45BA-AD8B-F5F50AF4A2ED}"/>
              </c:ext>
            </c:extLst>
          </c:dPt>
          <c:dLbls>
            <c:dLbl>
              <c:idx val="3"/>
              <c:layout>
                <c:manualLayout>
                  <c:x val="-3.5528344390022115E-2"/>
                  <c:y val="-0.12837469021793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E0-45BA-AD8B-F5F50AF4A2E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Hoja1!$M$156:$M$159</c:f>
              <c:strCache>
                <c:ptCount val="4"/>
                <c:pt idx="1">
                  <c:v>Hombres</c:v>
                </c:pt>
                <c:pt idx="2">
                  <c:v>Mujeres</c:v>
                </c:pt>
                <c:pt idx="3">
                  <c:v>Persona jurídica</c:v>
                </c:pt>
              </c:strCache>
            </c:strRef>
          </c:cat>
          <c:val>
            <c:numRef>
              <c:f>Hoja1!$N$156:$N$159</c:f>
              <c:numCache>
                <c:formatCode>General</c:formatCode>
                <c:ptCount val="4"/>
                <c:pt idx="1">
                  <c:v>23</c:v>
                </c:pt>
                <c:pt idx="2">
                  <c:v>11</c:v>
                </c:pt>
                <c:pt idx="3">
                  <c:v>1</c:v>
                </c:pt>
              </c:numCache>
            </c:numRef>
          </c:val>
          <c:extLst>
            <c:ext xmlns:c16="http://schemas.microsoft.com/office/drawing/2014/chart" uri="{C3380CC4-5D6E-409C-BE32-E72D297353CC}">
              <c16:uniqueId val="{00000008-37E0-45BA-AD8B-F5F50AF4A2ED}"/>
            </c:ext>
          </c:extLst>
        </c:ser>
        <c:dLbls>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legendEntry>
      <c:legendEntry>
        <c:idx val="1"/>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Entry>
      <c:overlay val="0"/>
      <c:spPr>
        <a:solidFill>
          <a:srgbClr val="F0F0F0"/>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10"/>
    </c:view3D>
    <c:floor>
      <c:thickness val="0"/>
    </c:floor>
    <c:sideWall>
      <c:thickness val="0"/>
      <c:spPr>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5400000" scaled="1"/>
          <a:tileRect/>
        </a:gradFill>
      </c:spPr>
    </c:sideWall>
    <c:backWall>
      <c:thickness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c:spPr>
    </c:backWall>
    <c:plotArea>
      <c:layout/>
      <c:bar3DChart>
        <c:barDir val="bar"/>
        <c:grouping val="clustered"/>
        <c:varyColors val="0"/>
        <c:ser>
          <c:idx val="0"/>
          <c:order val="0"/>
          <c:spPr>
            <a:solidFill>
              <a:schemeClr val="bg2">
                <a:lumMod val="50000"/>
              </a:schemeClr>
            </a:solidFill>
          </c:spPr>
          <c:invertIfNegative val="0"/>
          <c:dPt>
            <c:idx val="0"/>
            <c:invertIfNegative val="0"/>
            <c:bubble3D val="0"/>
            <c:spPr>
              <a:solidFill>
                <a:srgbClr val="613D35"/>
              </a:solidFill>
            </c:spPr>
            <c:extLst>
              <c:ext xmlns:c16="http://schemas.microsoft.com/office/drawing/2014/chart" uri="{C3380CC4-5D6E-409C-BE32-E72D297353CC}">
                <c16:uniqueId val="{00000001-9C0B-4DFF-AFE5-006C8237DE4B}"/>
              </c:ext>
            </c:extLst>
          </c:dPt>
          <c:dPt>
            <c:idx val="1"/>
            <c:invertIfNegative val="0"/>
            <c:bubble3D val="0"/>
            <c:spPr>
              <a:solidFill>
                <a:srgbClr val="C2505D"/>
              </a:solidFill>
            </c:spPr>
            <c:extLst>
              <c:ext xmlns:c16="http://schemas.microsoft.com/office/drawing/2014/chart" uri="{C3380CC4-5D6E-409C-BE32-E72D297353CC}">
                <c16:uniqueId val="{00000003-9C0B-4DFF-AFE5-006C8237DE4B}"/>
              </c:ext>
            </c:extLst>
          </c:dPt>
          <c:dPt>
            <c:idx val="2"/>
            <c:invertIfNegative val="0"/>
            <c:bubble3D val="0"/>
            <c:spPr>
              <a:solidFill>
                <a:srgbClr val="BCA6A2"/>
              </a:solidFill>
            </c:spPr>
            <c:extLst>
              <c:ext xmlns:c16="http://schemas.microsoft.com/office/drawing/2014/chart" uri="{C3380CC4-5D6E-409C-BE32-E72D297353CC}">
                <c16:uniqueId val="{00000005-9C0B-4DFF-AFE5-006C8237DE4B}"/>
              </c:ext>
            </c:extLst>
          </c:dPt>
          <c:dPt>
            <c:idx val="3"/>
            <c:invertIfNegative val="0"/>
            <c:bubble3D val="0"/>
            <c:spPr>
              <a:solidFill>
                <a:srgbClr val="9D2235"/>
              </a:solidFill>
            </c:spPr>
            <c:extLst>
              <c:ext xmlns:c16="http://schemas.microsoft.com/office/drawing/2014/chart" uri="{C3380CC4-5D6E-409C-BE32-E72D297353CC}">
                <c16:uniqueId val="{00000007-9C0B-4DFF-AFE5-006C8237DE4B}"/>
              </c:ext>
            </c:extLst>
          </c:dPt>
          <c:dPt>
            <c:idx val="4"/>
            <c:invertIfNegative val="0"/>
            <c:bubble3D val="0"/>
            <c:spPr>
              <a:solidFill>
                <a:schemeClr val="bg2">
                  <a:lumMod val="75000"/>
                </a:schemeClr>
              </a:solidFill>
            </c:spPr>
            <c:extLst>
              <c:ext xmlns:c16="http://schemas.microsoft.com/office/drawing/2014/chart" uri="{C3380CC4-5D6E-409C-BE32-E72D297353CC}">
                <c16:uniqueId val="{00000009-9C0B-4DFF-AFE5-006C8237DE4B}"/>
              </c:ext>
            </c:extLst>
          </c:dPt>
          <c:dPt>
            <c:idx val="5"/>
            <c:invertIfNegative val="0"/>
            <c:bubble3D val="0"/>
            <c:spPr>
              <a:solidFill>
                <a:srgbClr val="976B73"/>
              </a:solidFill>
            </c:spPr>
            <c:extLst>
              <c:ext xmlns:c16="http://schemas.microsoft.com/office/drawing/2014/chart" uri="{C3380CC4-5D6E-409C-BE32-E72D297353CC}">
                <c16:uniqueId val="{0000000B-9C0B-4DFF-AFE5-006C8237DE4B}"/>
              </c:ext>
            </c:extLst>
          </c:dPt>
          <c:dPt>
            <c:idx val="6"/>
            <c:invertIfNegative val="0"/>
            <c:bubble3D val="0"/>
            <c:spPr>
              <a:solidFill>
                <a:srgbClr val="D9C1C1"/>
              </a:solidFill>
            </c:spPr>
            <c:extLst>
              <c:ext xmlns:c16="http://schemas.microsoft.com/office/drawing/2014/chart" uri="{C3380CC4-5D6E-409C-BE32-E72D297353CC}">
                <c16:uniqueId val="{0000000D-9C0B-4DFF-AFE5-006C8237DE4B}"/>
              </c:ext>
            </c:extLst>
          </c:dPt>
          <c:dPt>
            <c:idx val="7"/>
            <c:invertIfNegative val="0"/>
            <c:bubble3D val="0"/>
            <c:spPr>
              <a:solidFill>
                <a:schemeClr val="bg2">
                  <a:lumMod val="90000"/>
                </a:schemeClr>
              </a:solidFill>
            </c:spPr>
            <c:extLst>
              <c:ext xmlns:c16="http://schemas.microsoft.com/office/drawing/2014/chart" uri="{C3380CC4-5D6E-409C-BE32-E72D297353CC}">
                <c16:uniqueId val="{0000000F-9C0B-4DFF-AFE5-006C8237DE4B}"/>
              </c:ext>
            </c:extLst>
          </c:dPt>
          <c:dLbls>
            <c:dLbl>
              <c:idx val="0"/>
              <c:layout>
                <c:manualLayout>
                  <c:x val="-0.16506010261519657"/>
                  <c:y val="-3.40997727129322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0B-4DFF-AFE5-006C8237DE4B}"/>
                </c:ext>
              </c:extLst>
            </c:dLbl>
            <c:dLbl>
              <c:idx val="1"/>
              <c:layout>
                <c:manualLayout>
                  <c:x val="-0.23217245203016657"/>
                  <c:y val="-3.40997727129335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0B-4DFF-AFE5-006C8237DE4B}"/>
                </c:ext>
              </c:extLst>
            </c:dLbl>
            <c:dLbl>
              <c:idx val="2"/>
              <c:layout>
                <c:manualLayout>
                  <c:x val="-0.17231549174113928"/>
                  <c:y val="-3.40997727129322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0B-4DFF-AFE5-006C8237DE4B}"/>
                </c:ext>
              </c:extLst>
            </c:dLbl>
            <c:dLbl>
              <c:idx val="3"/>
              <c:layout>
                <c:manualLayout>
                  <c:x val="-0.28840171775622236"/>
                  <c:y val="-6.81995454258645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0B-4DFF-AFE5-006C8237DE4B}"/>
                </c:ext>
              </c:extLst>
            </c:dLbl>
            <c:dLbl>
              <c:idx val="4"/>
              <c:layout>
                <c:manualLayout>
                  <c:x val="-8.52508222298268E-2"/>
                  <c:y val="-3.40997727129328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0B-4DFF-AFE5-006C8237DE4B}"/>
                </c:ext>
              </c:extLst>
            </c:dLbl>
            <c:dLbl>
              <c:idx val="5"/>
              <c:layout>
                <c:manualLayout>
                  <c:x val="-0.10701698960765491"/>
                  <c:y val="-6.81995454258645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0B-4DFF-AFE5-006C8237DE4B}"/>
                </c:ext>
              </c:extLst>
            </c:dLbl>
            <c:dLbl>
              <c:idx val="6"/>
              <c:layout>
                <c:manualLayout>
                  <c:x val="-7.9809280385369705E-2"/>
                  <c:y val="-3.40997727129322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C0B-4DFF-AFE5-006C8237DE4B}"/>
                </c:ext>
              </c:extLst>
            </c:dLbl>
            <c:dLbl>
              <c:idx val="7"/>
              <c:layout>
                <c:manualLayout>
                  <c:x val="-4.5346182037141948E-2"/>
                  <c:y val="-3.40997727129322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C0B-4DFF-AFE5-006C8237DE4B}"/>
                </c:ext>
              </c:extLst>
            </c:dLbl>
            <c:dLbl>
              <c:idx val="8"/>
              <c:layout>
                <c:manualLayout>
                  <c:x val="-7.0740043977941328E-2"/>
                  <c:y val="-3.40997727129322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C0B-4DFF-AFE5-006C8237DE4B}"/>
                </c:ext>
              </c:extLst>
            </c:dLbl>
            <c:spPr>
              <a:noFill/>
              <a:ln>
                <a:noFill/>
              </a:ln>
              <a:effectLst/>
            </c:spPr>
            <c:txPr>
              <a:bodyPr wrap="square" lIns="38100" tIns="19050" rIns="38100" bIns="19050" anchor="ctr">
                <a:spAutoFit/>
              </a:bodyPr>
              <a:lstStyle/>
              <a:p>
                <a:pPr>
                  <a:defRPr b="1">
                    <a:solidFill>
                      <a:schemeClr val="bg1"/>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Hoja1!$M$172:$M$180</c:f>
              <c:strCache>
                <c:ptCount val="9"/>
                <c:pt idx="0">
                  <c:v>Acceso función pública y selección personal</c:v>
                </c:pt>
                <c:pt idx="1">
                  <c:v>Gestión de personal (provisión, retribuciones, etc)</c:v>
                </c:pt>
                <c:pt idx="2">
                  <c:v>Funcionamiento Servicios Públicos Policía local</c:v>
                </c:pt>
                <c:pt idx="3">
                  <c:v>Contratación administrativa</c:v>
                </c:pt>
                <c:pt idx="4">
                  <c:v>Urbanismo</c:v>
                </c:pt>
                <c:pt idx="5">
                  <c:v>Subvenciones</c:v>
                </c:pt>
                <c:pt idx="6">
                  <c:v>Funcionamiento de Servicios Sociales</c:v>
                </c:pt>
                <c:pt idx="7">
                  <c:v>Funcionamiento Servicios de salud</c:v>
                </c:pt>
                <c:pt idx="8">
                  <c:v>Fuera del ámbito de la AVAF</c:v>
                </c:pt>
              </c:strCache>
            </c:strRef>
          </c:cat>
          <c:val>
            <c:numRef>
              <c:f>Hoja1!$N$172:$N$180</c:f>
              <c:numCache>
                <c:formatCode>General</c:formatCode>
                <c:ptCount val="9"/>
                <c:pt idx="0">
                  <c:v>5</c:v>
                </c:pt>
                <c:pt idx="1">
                  <c:v>7</c:v>
                </c:pt>
                <c:pt idx="2">
                  <c:v>5</c:v>
                </c:pt>
                <c:pt idx="3">
                  <c:v>8</c:v>
                </c:pt>
                <c:pt idx="4">
                  <c:v>2</c:v>
                </c:pt>
                <c:pt idx="5">
                  <c:v>3</c:v>
                </c:pt>
                <c:pt idx="6">
                  <c:v>2</c:v>
                </c:pt>
                <c:pt idx="7">
                  <c:v>1</c:v>
                </c:pt>
                <c:pt idx="8">
                  <c:v>2</c:v>
                </c:pt>
              </c:numCache>
            </c:numRef>
          </c:val>
          <c:shape val="cylinder"/>
          <c:extLst>
            <c:ext xmlns:c16="http://schemas.microsoft.com/office/drawing/2014/chart" uri="{C3380CC4-5D6E-409C-BE32-E72D297353CC}">
              <c16:uniqueId val="{00000011-9C0B-4DFF-AFE5-006C8237DE4B}"/>
            </c:ext>
          </c:extLst>
        </c:ser>
        <c:dLbls>
          <c:showLegendKey val="0"/>
          <c:showVal val="0"/>
          <c:showCatName val="0"/>
          <c:showSerName val="0"/>
          <c:showPercent val="0"/>
          <c:showBubbleSize val="0"/>
        </c:dLbls>
        <c:gapWidth val="150"/>
        <c:shape val="box"/>
        <c:axId val="1290807200"/>
        <c:axId val="1"/>
        <c:axId val="0"/>
      </c:bar3DChart>
      <c:catAx>
        <c:axId val="1290807200"/>
        <c:scaling>
          <c:orientation val="minMax"/>
        </c:scaling>
        <c:delete val="0"/>
        <c:axPos val="l"/>
        <c:numFmt formatCode="General" sourceLinked="1"/>
        <c:majorTickMark val="none"/>
        <c:minorTickMark val="none"/>
        <c:tickLblPos val="nextTo"/>
        <c:spPr>
          <a:ln w="3175">
            <a:solidFill>
              <a:srgbClr val="C0C0C0"/>
            </a:solidFill>
            <a:prstDash val="solid"/>
          </a:ln>
        </c:spPr>
        <c:txPr>
          <a:bodyPr rot="0" vert="horz"/>
          <a:lstStyle/>
          <a:p>
            <a:pPr>
              <a:defRPr sz="900" b="1" i="0" u="none" strike="noStrike" baseline="0">
                <a:solidFill>
                  <a:srgbClr val="9D2235"/>
                </a:solidFill>
                <a:latin typeface="Arial" panose="020B0604020202020204" pitchFamily="34" charset="0"/>
                <a:ea typeface="Calibri"/>
                <a:cs typeface="Arial" panose="020B0604020202020204" pitchFamily="34" charset="0"/>
              </a:defRPr>
            </a:pPr>
            <a:endParaRPr lang="es-ES"/>
          </a:p>
        </c:txPr>
        <c:crossAx val="1"/>
        <c:crossesAt val="0"/>
        <c:auto val="1"/>
        <c:lblAlgn val="ctr"/>
        <c:lblOffset val="100"/>
        <c:noMultiLvlLbl val="0"/>
      </c:catAx>
      <c:valAx>
        <c:axId val="1"/>
        <c:scaling>
          <c:orientation val="minMax"/>
          <c:max val="9"/>
          <c:min val="0"/>
        </c:scaling>
        <c:delete val="1"/>
        <c:axPos val="b"/>
        <c:majorGridlines>
          <c:spPr>
            <a:effectLst>
              <a:outerShdw blurRad="50800" dist="50800" dir="5400000" sx="1000" sy="1000" algn="ctr" rotWithShape="0">
                <a:srgbClr val="000000">
                  <a:alpha val="43137"/>
                </a:srgbClr>
              </a:outerShdw>
              <a:softEdge rad="0"/>
            </a:effectLst>
          </c:spPr>
        </c:majorGridlines>
        <c:numFmt formatCode="General" sourceLinked="1"/>
        <c:majorTickMark val="out"/>
        <c:minorTickMark val="none"/>
        <c:tickLblPos val="nextTo"/>
        <c:crossAx val="1290807200"/>
        <c:crossesAt val="1"/>
        <c:crossBetween val="between"/>
        <c:majorUnit val="3"/>
        <c:minorUnit val="0.5"/>
      </c:valAx>
      <c:spPr>
        <a:noFill/>
        <a:ln w="25400">
          <a:noFill/>
        </a:ln>
        <a:effectLst/>
      </c:spPr>
    </c:plotArea>
    <c:plotVisOnly val="1"/>
    <c:dispBlanksAs val="gap"/>
    <c:showDLblsOverMax val="0"/>
  </c:chart>
  <c:spPr>
    <a:solidFill>
      <a:schemeClr val="bg1"/>
    </a:solidFill>
    <a:ln>
      <a:solidFill>
        <a:schemeClr val="bg1">
          <a:lumMod val="85000"/>
        </a:schemeClr>
      </a:solidFill>
    </a:ln>
    <a:effectLst/>
  </c:spPr>
  <c:txPr>
    <a:bodyPr/>
    <a:lstStyle/>
    <a:p>
      <a:pPr>
        <a:defRPr sz="1100" b="0" i="0" u="none" strike="noStrike" baseline="0">
          <a:solidFill>
            <a:srgbClr val="000000"/>
          </a:solidFill>
          <a:latin typeface="Arial"/>
          <a:ea typeface="Arial"/>
          <a:cs typeface="Arial"/>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graf'!$B$2</c:f>
              <c:strCache>
                <c:ptCount val="1"/>
                <c:pt idx="0">
                  <c:v>2017</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graf'!$A$3:$A$8</c:f>
              <c:strCache>
                <c:ptCount val="6"/>
                <c:pt idx="0">
                  <c:v>Buzón de denuncias</c:v>
                </c:pt>
                <c:pt idx="1">
                  <c:v>Correo electrónico</c:v>
                </c:pt>
                <c:pt idx="2">
                  <c:v>Registro General</c:v>
                </c:pt>
                <c:pt idx="3">
                  <c:v>Sede electrónica</c:v>
                </c:pt>
                <c:pt idx="4">
                  <c:v>Acta comparecencia</c:v>
                </c:pt>
                <c:pt idx="5">
                  <c:v>Abiertos de oficio/otros</c:v>
                </c:pt>
              </c:strCache>
            </c:strRef>
          </c:cat>
          <c:val>
            <c:numRef>
              <c:f>'Datos graf'!$B$3:$B$8</c:f>
              <c:numCache>
                <c:formatCode>General</c:formatCode>
                <c:ptCount val="6"/>
                <c:pt idx="0">
                  <c:v>0</c:v>
                </c:pt>
                <c:pt idx="1">
                  <c:v>25</c:v>
                </c:pt>
                <c:pt idx="2">
                  <c:v>10</c:v>
                </c:pt>
                <c:pt idx="3">
                  <c:v>0</c:v>
                </c:pt>
                <c:pt idx="4">
                  <c:v>0</c:v>
                </c:pt>
                <c:pt idx="5">
                  <c:v>0</c:v>
                </c:pt>
              </c:numCache>
            </c:numRef>
          </c:val>
          <c:extLst>
            <c:ext xmlns:c16="http://schemas.microsoft.com/office/drawing/2014/chart" uri="{C3380CC4-5D6E-409C-BE32-E72D297353CC}">
              <c16:uniqueId val="{00000000-A5AF-4A56-89BB-4C5651BD4DCD}"/>
            </c:ext>
          </c:extLst>
        </c:ser>
        <c:ser>
          <c:idx val="1"/>
          <c:order val="1"/>
          <c:tx>
            <c:strRef>
              <c:f>'Datos graf'!$C$2</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graf'!$A$3:$A$8</c:f>
              <c:strCache>
                <c:ptCount val="6"/>
                <c:pt idx="0">
                  <c:v>Buzón de denuncias</c:v>
                </c:pt>
                <c:pt idx="1">
                  <c:v>Correo electrónico</c:v>
                </c:pt>
                <c:pt idx="2">
                  <c:v>Registro General</c:v>
                </c:pt>
                <c:pt idx="3">
                  <c:v>Sede electrónica</c:v>
                </c:pt>
                <c:pt idx="4">
                  <c:v>Acta comparecencia</c:v>
                </c:pt>
                <c:pt idx="5">
                  <c:v>Abiertos de oficio/otros</c:v>
                </c:pt>
              </c:strCache>
            </c:strRef>
          </c:cat>
          <c:val>
            <c:numRef>
              <c:f>'Datos graf'!$C$3:$C$8</c:f>
              <c:numCache>
                <c:formatCode>General</c:formatCode>
                <c:ptCount val="6"/>
                <c:pt idx="0">
                  <c:v>97</c:v>
                </c:pt>
                <c:pt idx="1">
                  <c:v>34</c:v>
                </c:pt>
                <c:pt idx="2">
                  <c:v>50</c:v>
                </c:pt>
                <c:pt idx="3">
                  <c:v>0</c:v>
                </c:pt>
                <c:pt idx="4">
                  <c:v>0</c:v>
                </c:pt>
                <c:pt idx="5">
                  <c:v>0</c:v>
                </c:pt>
              </c:numCache>
            </c:numRef>
          </c:val>
          <c:extLst>
            <c:ext xmlns:c16="http://schemas.microsoft.com/office/drawing/2014/chart" uri="{C3380CC4-5D6E-409C-BE32-E72D297353CC}">
              <c16:uniqueId val="{00000001-A5AF-4A56-89BB-4C5651BD4DCD}"/>
            </c:ext>
          </c:extLst>
        </c:ser>
        <c:ser>
          <c:idx val="2"/>
          <c:order val="2"/>
          <c:tx>
            <c:strRef>
              <c:f>'Datos graf'!$D$2</c:f>
              <c:strCache>
                <c:ptCount val="1"/>
                <c:pt idx="0">
                  <c:v>2019</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graf'!$A$3:$A$8</c:f>
              <c:strCache>
                <c:ptCount val="6"/>
                <c:pt idx="0">
                  <c:v>Buzón de denuncias</c:v>
                </c:pt>
                <c:pt idx="1">
                  <c:v>Correo electrónico</c:v>
                </c:pt>
                <c:pt idx="2">
                  <c:v>Registro General</c:v>
                </c:pt>
                <c:pt idx="3">
                  <c:v>Sede electrónica</c:v>
                </c:pt>
                <c:pt idx="4">
                  <c:v>Acta comparecencia</c:v>
                </c:pt>
                <c:pt idx="5">
                  <c:v>Abiertos de oficio/otros</c:v>
                </c:pt>
              </c:strCache>
            </c:strRef>
          </c:cat>
          <c:val>
            <c:numRef>
              <c:f>'Datos graf'!$D$3:$D$8</c:f>
              <c:numCache>
                <c:formatCode>General</c:formatCode>
                <c:ptCount val="6"/>
                <c:pt idx="0">
                  <c:v>127</c:v>
                </c:pt>
                <c:pt idx="1">
                  <c:v>15</c:v>
                </c:pt>
                <c:pt idx="2">
                  <c:v>26</c:v>
                </c:pt>
                <c:pt idx="3">
                  <c:v>0</c:v>
                </c:pt>
                <c:pt idx="4">
                  <c:v>0</c:v>
                </c:pt>
                <c:pt idx="5">
                  <c:v>0</c:v>
                </c:pt>
              </c:numCache>
            </c:numRef>
          </c:val>
          <c:extLst>
            <c:ext xmlns:c16="http://schemas.microsoft.com/office/drawing/2014/chart" uri="{C3380CC4-5D6E-409C-BE32-E72D297353CC}">
              <c16:uniqueId val="{00000002-A5AF-4A56-89BB-4C5651BD4DCD}"/>
            </c:ext>
          </c:extLst>
        </c:ser>
        <c:ser>
          <c:idx val="3"/>
          <c:order val="3"/>
          <c:tx>
            <c:strRef>
              <c:f>'Datos graf'!$E$2</c:f>
              <c:strCache>
                <c:ptCount val="1"/>
                <c:pt idx="0">
                  <c:v>2020</c:v>
                </c:pt>
              </c:strCache>
            </c:strRef>
          </c:tx>
          <c:spPr>
            <a:solidFill>
              <a:schemeClr val="accent6">
                <a:lumMod val="75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0"/>
              <c:showBubbleSize val="0"/>
              <c:extLst>
                <c:ext xmlns:c16="http://schemas.microsoft.com/office/drawing/2014/chart" uri="{C3380CC4-5D6E-409C-BE32-E72D297353CC}">
                  <c16:uniqueId val="{00000003-A5AF-4A56-89BB-4C5651BD4DCD}"/>
                </c:ext>
              </c:extLst>
            </c:dLbl>
            <c:dLbl>
              <c:idx val="2"/>
              <c:layout>
                <c:manualLayout>
                  <c:x val="-5.9970956975952864E-17"/>
                  <c:y val="-2.42517669936171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AF-4A56-89BB-4C5651BD4DCD}"/>
                </c:ext>
              </c:extLst>
            </c:dLbl>
            <c:dLbl>
              <c:idx val="3"/>
              <c:layout>
                <c:manualLayout>
                  <c:x val="0"/>
                  <c:y val="-2.53575548737801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AF-4A56-89BB-4C5651BD4D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graf'!$A$3:$A$8</c:f>
              <c:strCache>
                <c:ptCount val="6"/>
                <c:pt idx="0">
                  <c:v>Buzón de denuncias</c:v>
                </c:pt>
                <c:pt idx="1">
                  <c:v>Correo electrónico</c:v>
                </c:pt>
                <c:pt idx="2">
                  <c:v>Registro General</c:v>
                </c:pt>
                <c:pt idx="3">
                  <c:v>Sede electrónica</c:v>
                </c:pt>
                <c:pt idx="4">
                  <c:v>Acta comparecencia</c:v>
                </c:pt>
                <c:pt idx="5">
                  <c:v>Abiertos de oficio/otros</c:v>
                </c:pt>
              </c:strCache>
            </c:strRef>
          </c:cat>
          <c:val>
            <c:numRef>
              <c:f>'Datos graf'!$E$3:$E$8</c:f>
              <c:numCache>
                <c:formatCode>General</c:formatCode>
                <c:ptCount val="6"/>
                <c:pt idx="0">
                  <c:v>191</c:v>
                </c:pt>
                <c:pt idx="1">
                  <c:v>3</c:v>
                </c:pt>
                <c:pt idx="2">
                  <c:v>14</c:v>
                </c:pt>
                <c:pt idx="3">
                  <c:v>12</c:v>
                </c:pt>
                <c:pt idx="4">
                  <c:v>2</c:v>
                </c:pt>
                <c:pt idx="5">
                  <c:v>4</c:v>
                </c:pt>
              </c:numCache>
            </c:numRef>
          </c:val>
          <c:extLst>
            <c:ext xmlns:c16="http://schemas.microsoft.com/office/drawing/2014/chart" uri="{C3380CC4-5D6E-409C-BE32-E72D297353CC}">
              <c16:uniqueId val="{00000006-A5AF-4A56-89BB-4C5651BD4DCD}"/>
            </c:ext>
          </c:extLst>
        </c:ser>
        <c:dLbls>
          <c:dLblPos val="ctr"/>
          <c:showLegendKey val="0"/>
          <c:showVal val="1"/>
          <c:showCatName val="0"/>
          <c:showSerName val="0"/>
          <c:showPercent val="0"/>
          <c:showBubbleSize val="0"/>
        </c:dLbls>
        <c:gapWidth val="50"/>
        <c:axId val="697517951"/>
        <c:axId val="533624991"/>
      </c:barChart>
      <c:catAx>
        <c:axId val="697517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33624991"/>
        <c:crosses val="autoZero"/>
        <c:auto val="1"/>
        <c:lblAlgn val="ctr"/>
        <c:lblOffset val="100"/>
        <c:noMultiLvlLbl val="0"/>
      </c:catAx>
      <c:valAx>
        <c:axId val="533624991"/>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97517951"/>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w="6480">
          <a:noFill/>
        </a:ln>
      </c:spPr>
    </c:floor>
    <c:sideWall>
      <c:thickness val="0"/>
      <c:spPr>
        <a:noFill/>
        <a:ln w="6480">
          <a:noFill/>
        </a:ln>
      </c:spPr>
    </c:sideWall>
    <c:backWall>
      <c:thickness val="0"/>
      <c:spPr>
        <a:noFill/>
        <a:ln w="6480">
          <a:noFill/>
        </a:ln>
      </c:spPr>
    </c:backWall>
    <c:plotArea>
      <c:layout/>
      <c:bar3DChart>
        <c:barDir val="col"/>
        <c:grouping val="clustered"/>
        <c:varyColors val="0"/>
        <c:ser>
          <c:idx val="0"/>
          <c:order val="0"/>
          <c:tx>
            <c:strRef>
              <c:f>label 0</c:f>
              <c:strCache>
                <c:ptCount val="1"/>
                <c:pt idx="0">
                  <c:v>Usuarios de la web</c:v>
                </c:pt>
              </c:strCache>
            </c:strRef>
          </c:tx>
          <c:spPr>
            <a:solidFill>
              <a:srgbClr val="9D2235">
                <a:alpha val="85000"/>
              </a:srgbClr>
            </a:solidFill>
            <a:ln w="9360">
              <a:solidFill>
                <a:srgbClr val="FFFFFF">
                  <a:alpha val="50000"/>
                </a:srgbClr>
              </a:solidFill>
              <a:round/>
            </a:ln>
          </c:spPr>
          <c:invertIfNegative val="0"/>
          <c:dPt>
            <c:idx val="0"/>
            <c:invertIfNegative val="0"/>
            <c:bubble3D val="0"/>
            <c:spPr>
              <a:solidFill>
                <a:srgbClr val="D8C1BD">
                  <a:alpha val="85000"/>
                </a:srgbClr>
              </a:solidFill>
              <a:ln w="9360">
                <a:noFill/>
                <a:round/>
              </a:ln>
            </c:spPr>
            <c:extLst>
              <c:ext xmlns:c16="http://schemas.microsoft.com/office/drawing/2014/chart" uri="{C3380CC4-5D6E-409C-BE32-E72D297353CC}">
                <c16:uniqueId val="{00000001-B20C-43D2-8521-2F03432A963E}"/>
              </c:ext>
            </c:extLst>
          </c:dPt>
          <c:dPt>
            <c:idx val="1"/>
            <c:invertIfNegative val="0"/>
            <c:bubble3D val="0"/>
            <c:spPr>
              <a:solidFill>
                <a:srgbClr val="9D2235">
                  <a:alpha val="85000"/>
                </a:srgbClr>
              </a:solidFill>
              <a:ln w="9360">
                <a:noFill/>
                <a:round/>
              </a:ln>
            </c:spPr>
            <c:extLst>
              <c:ext xmlns:c16="http://schemas.microsoft.com/office/drawing/2014/chart" uri="{C3380CC4-5D6E-409C-BE32-E72D297353CC}">
                <c16:uniqueId val="{00000002-D570-4624-B5DC-F7F43599FFAB}"/>
              </c:ext>
            </c:extLst>
          </c:dPt>
          <c:dLbls>
            <c:dLbl>
              <c:idx val="0"/>
              <c:layout>
                <c:manualLayout>
                  <c:x val="2.116650987770461E-2"/>
                  <c:y val="1.4762871378483047E-2"/>
                </c:manualLayout>
              </c:layout>
              <c:numFmt formatCode="General" sourceLinked="0"/>
              <c:spPr/>
              <c:txPr>
                <a:bodyPr/>
                <a:lstStyle/>
                <a:p>
                  <a:pPr>
                    <a:defRPr sz="1100" b="1" strike="noStrike" spc="-1">
                      <a:solidFill>
                        <a:srgbClr val="FFFFFF"/>
                      </a:solidFill>
                      <a:latin typeface="Calibri"/>
                    </a:defRPr>
                  </a:pPr>
                  <a:endParaRPr lang="es-ES"/>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B20C-43D2-8521-2F03432A963E}"/>
                </c:ext>
              </c:extLst>
            </c:dLbl>
            <c:dLbl>
              <c:idx val="1"/>
              <c:layout>
                <c:manualLayout>
                  <c:x val="2.116650987770461E-2"/>
                  <c:y val="2.2144307067724672E-2"/>
                </c:manualLayout>
              </c:layout>
              <c:tx>
                <c:rich>
                  <a:bodyPr/>
                  <a:lstStyle/>
                  <a:p>
                    <a:pPr>
                      <a:defRPr sz="1100" b="1" strike="noStrike" spc="-1">
                        <a:solidFill>
                          <a:srgbClr val="FFFFFF"/>
                        </a:solidFill>
                        <a:latin typeface="Calibri"/>
                      </a:defRPr>
                    </a:pPr>
                    <a:fld id="{1756CDB6-C5EF-4340-AE8A-4FB73A6D4CE9}" type="VALUE">
                      <a:rPr lang="en-US" sz="1100"/>
                      <a:pPr>
                        <a:defRPr sz="1100" b="1" strike="noStrike" spc="-1">
                          <a:solidFill>
                            <a:srgbClr val="FFFFFF"/>
                          </a:solidFill>
                          <a:latin typeface="Calibri"/>
                        </a:defRPr>
                      </a:pPr>
                      <a:t>[VALOR]</a:t>
                    </a:fld>
                    <a:endParaRPr lang="es-ES"/>
                  </a:p>
                </c:rich>
              </c:tx>
              <c:numFmt formatCode="General" sourceLinked="0"/>
              <c:spPr>
                <a:noFill/>
                <a:ln>
                  <a:noFill/>
                </a:ln>
                <a:effectLst/>
              </c:spPr>
              <c:showLegendKey val="0"/>
              <c:showVal val="1"/>
              <c:showCatName val="0"/>
              <c:showSerName val="0"/>
              <c:showPercent val="0"/>
              <c:showBubbleSize val="1"/>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D570-4624-B5DC-F7F43599FFAB}"/>
                </c:ext>
              </c:extLst>
            </c:dLbl>
            <c:numFmt formatCode="General" sourceLinked="0"/>
            <c:spPr>
              <a:noFill/>
              <a:ln>
                <a:noFill/>
              </a:ln>
              <a:effectLst/>
            </c:spPr>
            <c:txPr>
              <a:bodyPr/>
              <a:lstStyle/>
              <a:p>
                <a:pPr>
                  <a:defRPr sz="900" b="1" strike="noStrike" spc="-1">
                    <a:solidFill>
                      <a:srgbClr val="FFFFFF"/>
                    </a:solidFill>
                    <a:latin typeface="Calibri"/>
                  </a:defRPr>
                </a:pPr>
                <a:endParaRPr lang="es-ES"/>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2"/>
                <c:pt idx="0">
                  <c:v>2019</c:v>
                </c:pt>
                <c:pt idx="1">
                  <c:v>2020</c:v>
                </c:pt>
              </c:strCache>
            </c:strRef>
          </c:cat>
          <c:val>
            <c:numRef>
              <c:f>0</c:f>
              <c:numCache>
                <c:formatCode>General</c:formatCode>
                <c:ptCount val="2"/>
                <c:pt idx="0">
                  <c:v>7323</c:v>
                </c:pt>
                <c:pt idx="1">
                  <c:v>11509</c:v>
                </c:pt>
              </c:numCache>
            </c:numRef>
          </c:val>
          <c:extLst>
            <c:ext xmlns:c16="http://schemas.microsoft.com/office/drawing/2014/chart" uri="{C3380CC4-5D6E-409C-BE32-E72D297353CC}">
              <c16:uniqueId val="{00000002-B20C-43D2-8521-2F03432A963E}"/>
            </c:ext>
          </c:extLst>
        </c:ser>
        <c:dLbls>
          <c:showLegendKey val="0"/>
          <c:showVal val="0"/>
          <c:showCatName val="0"/>
          <c:showSerName val="0"/>
          <c:showPercent val="0"/>
          <c:showBubbleSize val="0"/>
        </c:dLbls>
        <c:gapWidth val="65"/>
        <c:shape val="box"/>
        <c:axId val="34411986"/>
        <c:axId val="23018837"/>
        <c:axId val="0"/>
      </c:bar3DChart>
      <c:catAx>
        <c:axId val="34411986"/>
        <c:scaling>
          <c:orientation val="minMax"/>
        </c:scaling>
        <c:delete val="0"/>
        <c:axPos val="b"/>
        <c:numFmt formatCode="General" sourceLinked="1"/>
        <c:majorTickMark val="none"/>
        <c:minorTickMark val="none"/>
        <c:tickLblPos val="nextTo"/>
        <c:spPr>
          <a:ln w="19080">
            <a:solidFill>
              <a:srgbClr val="404040"/>
            </a:solidFill>
            <a:round/>
          </a:ln>
        </c:spPr>
        <c:txPr>
          <a:bodyPr/>
          <a:lstStyle/>
          <a:p>
            <a:pPr>
              <a:defRPr sz="900" b="0" strike="noStrike" spc="-1">
                <a:solidFill>
                  <a:srgbClr val="404040"/>
                </a:solidFill>
                <a:latin typeface="Calibri"/>
              </a:defRPr>
            </a:pPr>
            <a:endParaRPr lang="es-ES"/>
          </a:p>
        </c:txPr>
        <c:crossAx val="23018837"/>
        <c:crosses val="autoZero"/>
        <c:auto val="1"/>
        <c:lblAlgn val="ctr"/>
        <c:lblOffset val="100"/>
        <c:noMultiLvlLbl val="1"/>
      </c:catAx>
      <c:valAx>
        <c:axId val="23018837"/>
        <c:scaling>
          <c:orientation val="minMax"/>
        </c:scaling>
        <c:delete val="1"/>
        <c:axPos val="l"/>
        <c:majorGridlines>
          <c:spPr>
            <a:ln w="9360">
              <a:solidFill>
                <a:srgbClr val="BFBFBF">
                  <a:alpha val="36000"/>
                </a:srgbClr>
              </a:solidFill>
              <a:round/>
            </a:ln>
          </c:spPr>
        </c:majorGridlines>
        <c:numFmt formatCode="General" sourceLinked="0"/>
        <c:majorTickMark val="none"/>
        <c:minorTickMark val="none"/>
        <c:tickLblPos val="nextTo"/>
        <c:crossAx val="34411986"/>
        <c:crosses val="autoZero"/>
        <c:crossBetween val="between"/>
        <c:dispUnits>
          <c:builtInUnit val="thousands"/>
          <c:dispUnitsLbl/>
        </c:dispUnits>
      </c:valAx>
    </c:plotArea>
    <c:plotVisOnly val="1"/>
    <c:dispBlanksAs val="gap"/>
    <c:showDLblsOverMax val="1"/>
  </c:chart>
  <c:spPr>
    <a:solidFill>
      <a:schemeClr val="bg1">
        <a:lumMod val="95000"/>
      </a:schemeClr>
    </a:solidFill>
    <a:ln w="9360">
      <a:solidFill>
        <a:srgbClr val="BFBFBF"/>
      </a:solidFill>
      <a:round/>
    </a:ln>
  </c:spPr>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43730787179355"/>
          <c:y val="8.8924322220294227E-2"/>
          <c:w val="0.75887499999999997"/>
          <c:h val="0.79911111111111099"/>
        </c:manualLayout>
      </c:layout>
      <c:barChart>
        <c:barDir val="bar"/>
        <c:grouping val="clustered"/>
        <c:varyColors val="0"/>
        <c:ser>
          <c:idx val="0"/>
          <c:order val="0"/>
          <c:tx>
            <c:strRef>
              <c:f>Hoja1!$B$1</c:f>
              <c:strCache>
                <c:ptCount val="1"/>
                <c:pt idx="0">
                  <c:v>Usuarios</c:v>
                </c:pt>
              </c:strCache>
            </c:strRef>
          </c:tx>
          <c:spPr>
            <a:solidFill>
              <a:srgbClr val="9D2235"/>
            </a:solidFill>
            <a:ln>
              <a:noFill/>
            </a:ln>
          </c:spPr>
          <c:invertIfNegative val="0"/>
          <c:dLbls>
            <c:spPr>
              <a:noFill/>
              <a:ln>
                <a:noFill/>
              </a:ln>
              <a:effectLst/>
            </c:spPr>
            <c:txPr>
              <a:bodyPr/>
              <a:lstStyle/>
              <a:p>
                <a:pPr>
                  <a:defRPr sz="1000" b="1" strike="noStrike" spc="-1">
                    <a:solidFill>
                      <a:schemeClr val="accent6"/>
                    </a:solidFill>
                    <a:latin typeface="Calibri"/>
                  </a:defRPr>
                </a:pPr>
                <a:endParaRPr lang="es-ES"/>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Hoja1!$A$2:$A$10</c:f>
              <c:strCache>
                <c:ptCount val="9"/>
                <c:pt idx="0">
                  <c:v>Estados Unidos</c:v>
                </c:pt>
                <c:pt idx="1">
                  <c:v>Países Bajos</c:v>
                </c:pt>
                <c:pt idx="2">
                  <c:v>Francia</c:v>
                </c:pt>
                <c:pt idx="3">
                  <c:v>México</c:v>
                </c:pt>
                <c:pt idx="4">
                  <c:v>Perú</c:v>
                </c:pt>
                <c:pt idx="5">
                  <c:v>Alemania</c:v>
                </c:pt>
                <c:pt idx="6">
                  <c:v>Reino Unido</c:v>
                </c:pt>
                <c:pt idx="7">
                  <c:v>Canadá</c:v>
                </c:pt>
                <c:pt idx="8">
                  <c:v>Argentina</c:v>
                </c:pt>
              </c:strCache>
            </c:strRef>
          </c:cat>
          <c:val>
            <c:numRef>
              <c:f>Hoja1!$B$2:$B$10</c:f>
              <c:numCache>
                <c:formatCode>General</c:formatCode>
                <c:ptCount val="9"/>
                <c:pt idx="0">
                  <c:v>668</c:v>
                </c:pt>
                <c:pt idx="1">
                  <c:v>84</c:v>
                </c:pt>
                <c:pt idx="2">
                  <c:v>77</c:v>
                </c:pt>
                <c:pt idx="3">
                  <c:v>47</c:v>
                </c:pt>
                <c:pt idx="4">
                  <c:v>46</c:v>
                </c:pt>
                <c:pt idx="5">
                  <c:v>43</c:v>
                </c:pt>
                <c:pt idx="6">
                  <c:v>42</c:v>
                </c:pt>
                <c:pt idx="7">
                  <c:v>39</c:v>
                </c:pt>
                <c:pt idx="8">
                  <c:v>37</c:v>
                </c:pt>
              </c:numCache>
            </c:numRef>
          </c:val>
          <c:extLst>
            <c:ext xmlns:c16="http://schemas.microsoft.com/office/drawing/2014/chart" uri="{C3380CC4-5D6E-409C-BE32-E72D297353CC}">
              <c16:uniqueId val="{00000000-43B5-40A1-A529-0EE660CCF680}"/>
            </c:ext>
          </c:extLst>
        </c:ser>
        <c:dLbls>
          <c:showLegendKey val="0"/>
          <c:showVal val="0"/>
          <c:showCatName val="0"/>
          <c:showSerName val="0"/>
          <c:showPercent val="0"/>
          <c:showBubbleSize val="0"/>
        </c:dLbls>
        <c:gapWidth val="100"/>
        <c:axId val="16263119"/>
        <c:axId val="99747884"/>
      </c:barChart>
      <c:catAx>
        <c:axId val="16263119"/>
        <c:scaling>
          <c:orientation val="minMax"/>
        </c:scaling>
        <c:delete val="0"/>
        <c:axPos val="l"/>
        <c:numFmt formatCode="General" sourceLinked="1"/>
        <c:majorTickMark val="out"/>
        <c:minorTickMark val="none"/>
        <c:tickLblPos val="nextTo"/>
        <c:spPr>
          <a:ln w="19080">
            <a:solidFill>
              <a:srgbClr val="404040"/>
            </a:solidFill>
            <a:round/>
          </a:ln>
        </c:spPr>
        <c:txPr>
          <a:bodyPr/>
          <a:lstStyle/>
          <a:p>
            <a:pPr>
              <a:defRPr sz="900" b="0" strike="noStrike" spc="-1">
                <a:solidFill>
                  <a:srgbClr val="404040"/>
                </a:solidFill>
                <a:latin typeface="Calibri"/>
              </a:defRPr>
            </a:pPr>
            <a:endParaRPr lang="es-ES"/>
          </a:p>
        </c:txPr>
        <c:crossAx val="99747884"/>
        <c:crosses val="autoZero"/>
        <c:auto val="1"/>
        <c:lblAlgn val="ctr"/>
        <c:lblOffset val="100"/>
        <c:noMultiLvlLbl val="1"/>
      </c:catAx>
      <c:valAx>
        <c:axId val="99747884"/>
        <c:scaling>
          <c:orientation val="minMax"/>
        </c:scaling>
        <c:delete val="0"/>
        <c:axPos val="b"/>
        <c:majorGridlines>
          <c:spPr>
            <a:ln w="9360">
              <a:solidFill>
                <a:srgbClr val="BFBFBF">
                  <a:alpha val="36000"/>
                </a:srgbClr>
              </a:solidFill>
              <a:round/>
            </a:ln>
          </c:spPr>
        </c:majorGridlines>
        <c:numFmt formatCode="General" sourceLinked="0"/>
        <c:majorTickMark val="out"/>
        <c:minorTickMark val="none"/>
        <c:tickLblPos val="nextTo"/>
        <c:spPr>
          <a:ln w="6480">
            <a:noFill/>
          </a:ln>
        </c:spPr>
        <c:txPr>
          <a:bodyPr/>
          <a:lstStyle/>
          <a:p>
            <a:pPr>
              <a:defRPr sz="900" b="0" strike="noStrike" spc="-1">
                <a:solidFill>
                  <a:srgbClr val="404040"/>
                </a:solidFill>
                <a:latin typeface="Calibri"/>
              </a:defRPr>
            </a:pPr>
            <a:endParaRPr lang="es-ES"/>
          </a:p>
        </c:txPr>
        <c:crossAx val="16263119"/>
        <c:crosses val="autoZero"/>
        <c:crossBetween val="between"/>
      </c:valAx>
      <c:spPr>
        <a:noFill/>
        <a:ln>
          <a:noFill/>
        </a:ln>
      </c:spPr>
    </c:plotArea>
    <c:legend>
      <c:legendPos val="r"/>
      <c:overlay val="0"/>
    </c:legend>
    <c:plotVisOnly val="1"/>
    <c:dispBlanksAs val="gap"/>
    <c:showDLblsOverMax val="1"/>
  </c:chart>
  <c:spPr>
    <a:solidFill>
      <a:schemeClr val="bg1">
        <a:lumMod val="95000"/>
      </a:schemeClr>
    </a:solidFill>
    <a:ln w="9360">
      <a:solidFill>
        <a:srgbClr val="BFBFBF"/>
      </a:solidFill>
      <a:round/>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label 0</c:f>
              <c:strCache>
                <c:ptCount val="1"/>
                <c:pt idx="0">
                  <c:v>Usuarios</c:v>
                </c:pt>
              </c:strCache>
            </c:strRef>
          </c:tx>
          <c:spPr>
            <a:ln w="31680">
              <a:solidFill>
                <a:srgbClr val="9D2235"/>
              </a:solidFill>
              <a:round/>
            </a:ln>
          </c:spPr>
          <c:marker>
            <c:symbol val="circle"/>
            <c:size val="17"/>
            <c:spPr>
              <a:solidFill>
                <a:srgbClr val="9D2235"/>
              </a:solidFill>
            </c:spPr>
          </c:marker>
          <c:dLbls>
            <c:spPr>
              <a:noFill/>
              <a:ln>
                <a:noFill/>
              </a:ln>
              <a:effectLst/>
            </c:spPr>
            <c:txPr>
              <a:bodyPr/>
              <a:lstStyle/>
              <a:p>
                <a:pPr>
                  <a:defRPr sz="900" b="1" strike="noStrike" spc="-1">
                    <a:solidFill>
                      <a:srgbClr val="FFFFFF"/>
                    </a:solidFill>
                    <a:latin typeface="Calibri"/>
                  </a:defRPr>
                </a:pPr>
                <a:endParaRPr lang="es-ES"/>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0</c:f>
              <c:numCache>
                <c:formatCode>General</c:formatCode>
                <c:ptCount val="12"/>
                <c:pt idx="0">
                  <c:v>1052</c:v>
                </c:pt>
                <c:pt idx="1">
                  <c:v>918</c:v>
                </c:pt>
                <c:pt idx="2">
                  <c:v>831</c:v>
                </c:pt>
                <c:pt idx="3">
                  <c:v>681</c:v>
                </c:pt>
                <c:pt idx="4">
                  <c:v>1256</c:v>
                </c:pt>
                <c:pt idx="5">
                  <c:v>1461</c:v>
                </c:pt>
                <c:pt idx="6">
                  <c:v>917</c:v>
                </c:pt>
                <c:pt idx="7">
                  <c:v>588</c:v>
                </c:pt>
                <c:pt idx="8">
                  <c:v>1076</c:v>
                </c:pt>
                <c:pt idx="9">
                  <c:v>1414</c:v>
                </c:pt>
                <c:pt idx="10">
                  <c:v>1912</c:v>
                </c:pt>
                <c:pt idx="11">
                  <c:v>1481</c:v>
                </c:pt>
              </c:numCache>
            </c:numRef>
          </c:val>
          <c:smooth val="0"/>
          <c:extLst>
            <c:ext xmlns:c16="http://schemas.microsoft.com/office/drawing/2014/chart" uri="{C3380CC4-5D6E-409C-BE32-E72D297353CC}">
              <c16:uniqueId val="{00000000-4689-4709-B429-F40D310FF7C0}"/>
            </c:ext>
          </c:extLst>
        </c:ser>
        <c:dLbls>
          <c:showLegendKey val="0"/>
          <c:showVal val="0"/>
          <c:showCatName val="0"/>
          <c:showSerName val="0"/>
          <c:showPercent val="0"/>
          <c:showBubbleSize val="0"/>
        </c:dLbls>
        <c:hiLowLines>
          <c:spPr>
            <a:ln>
              <a:noFill/>
            </a:ln>
          </c:spPr>
        </c:hiLowLines>
        <c:marker val="1"/>
        <c:smooth val="0"/>
        <c:axId val="42631029"/>
        <c:axId val="47508638"/>
      </c:lineChart>
      <c:catAx>
        <c:axId val="42631029"/>
        <c:scaling>
          <c:orientation val="minMax"/>
        </c:scaling>
        <c:delete val="0"/>
        <c:axPos val="b"/>
        <c:numFmt formatCode="General" sourceLinked="1"/>
        <c:majorTickMark val="none"/>
        <c:minorTickMark val="none"/>
        <c:tickLblPos val="nextTo"/>
        <c:spPr>
          <a:ln w="19080">
            <a:solidFill>
              <a:srgbClr val="404040"/>
            </a:solidFill>
            <a:round/>
          </a:ln>
        </c:spPr>
        <c:txPr>
          <a:bodyPr/>
          <a:lstStyle/>
          <a:p>
            <a:pPr>
              <a:defRPr sz="900" b="0" strike="noStrike" spc="-1">
                <a:solidFill>
                  <a:srgbClr val="404040"/>
                </a:solidFill>
                <a:latin typeface="Calibri"/>
              </a:defRPr>
            </a:pPr>
            <a:endParaRPr lang="es-ES"/>
          </a:p>
        </c:txPr>
        <c:crossAx val="47508638"/>
        <c:crosses val="autoZero"/>
        <c:auto val="1"/>
        <c:lblAlgn val="ctr"/>
        <c:lblOffset val="100"/>
        <c:noMultiLvlLbl val="1"/>
      </c:catAx>
      <c:valAx>
        <c:axId val="47508638"/>
        <c:scaling>
          <c:orientation val="minMax"/>
        </c:scaling>
        <c:delete val="1"/>
        <c:axPos val="l"/>
        <c:majorGridlines>
          <c:spPr>
            <a:ln w="9360">
              <a:solidFill>
                <a:srgbClr val="BFBFBF">
                  <a:alpha val="36000"/>
                </a:srgbClr>
              </a:solidFill>
              <a:round/>
            </a:ln>
          </c:spPr>
        </c:majorGridlines>
        <c:numFmt formatCode="General" sourceLinked="0"/>
        <c:majorTickMark val="none"/>
        <c:minorTickMark val="none"/>
        <c:tickLblPos val="nextTo"/>
        <c:crossAx val="42631029"/>
        <c:crosses val="autoZero"/>
        <c:crossBetween val="midCat"/>
      </c:valAx>
      <c:spPr>
        <a:noFill/>
        <a:ln>
          <a:noFill/>
        </a:ln>
      </c:spPr>
    </c:plotArea>
    <c:plotVisOnly val="1"/>
    <c:dispBlanksAs val="gap"/>
    <c:showDLblsOverMax val="1"/>
  </c:chart>
  <c:spPr>
    <a:solidFill>
      <a:schemeClr val="bg1">
        <a:lumMod val="95000"/>
      </a:schemeClr>
    </a:solidFill>
    <a:ln w="9360">
      <a:solidFill>
        <a:srgbClr val="BFBFBF"/>
      </a:solidFill>
      <a:round/>
    </a:ln>
  </c:spPr>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view3D>
    <c:floor>
      <c:thickness val="0"/>
      <c:spPr>
        <a:solidFill>
          <a:srgbClr val="D9D9D9"/>
        </a:solidFill>
        <a:ln>
          <a:noFill/>
        </a:ln>
      </c:spPr>
    </c:floor>
    <c:sideWall>
      <c:thickness val="0"/>
      <c:spPr>
        <a:solidFill>
          <a:srgbClr val="D9D9D9"/>
        </a:solidFill>
        <a:ln>
          <a:noFill/>
        </a:ln>
      </c:spPr>
    </c:sideWall>
    <c:backWall>
      <c:thickness val="0"/>
      <c:spPr>
        <a:solidFill>
          <a:srgbClr val="D9D9D9"/>
        </a:solidFill>
        <a:ln>
          <a:noFill/>
        </a:ln>
      </c:spPr>
    </c:backWall>
    <c:plotArea>
      <c:layout/>
      <c:pie3DChart>
        <c:varyColors val="1"/>
        <c:ser>
          <c:idx val="0"/>
          <c:order val="0"/>
          <c:tx>
            <c:strRef>
              <c:f>label 0</c:f>
              <c:strCache>
                <c:ptCount val="1"/>
                <c:pt idx="0">
                  <c:v>N.º de menciones</c:v>
                </c:pt>
              </c:strCache>
            </c:strRef>
          </c:tx>
          <c:spPr>
            <a:solidFill>
              <a:srgbClr val="9D2235"/>
            </a:solidFill>
            <a:ln>
              <a:noFill/>
            </a:ln>
            <a:effectLst>
              <a:outerShdw blurRad="50800" dist="38100" dir="2700000" algn="tl" rotWithShape="0">
                <a:prstClr val="black">
                  <a:alpha val="40000"/>
                </a:prstClr>
              </a:outerShdw>
            </a:effectLst>
          </c:spPr>
          <c:explosion val="26"/>
          <c:dPt>
            <c:idx val="0"/>
            <c:bubble3D val="0"/>
            <c:extLst>
              <c:ext xmlns:c16="http://schemas.microsoft.com/office/drawing/2014/chart" uri="{C3380CC4-5D6E-409C-BE32-E72D297353CC}">
                <c16:uniqueId val="{00000000-8168-46F4-9733-78CD8C726971}"/>
              </c:ext>
            </c:extLst>
          </c:dPt>
          <c:dPt>
            <c:idx val="1"/>
            <c:bubble3D val="0"/>
            <c:spPr>
              <a:solidFill>
                <a:schemeClr val="accent6">
                  <a:lumMod val="60000"/>
                  <a:lumOff val="40000"/>
                </a:schemeClr>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2-8168-46F4-9733-78CD8C726971}"/>
              </c:ext>
            </c:extLst>
          </c:dPt>
          <c:dPt>
            <c:idx val="2"/>
            <c:bubble3D val="0"/>
            <c:spPr>
              <a:solidFill>
                <a:schemeClr val="accent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4-8168-46F4-9733-78CD8C726971}"/>
              </c:ext>
            </c:extLst>
          </c:dPt>
          <c:dPt>
            <c:idx val="3"/>
            <c:bubble3D val="0"/>
            <c:spPr>
              <a:solidFill>
                <a:srgbClr val="EABAC2"/>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6-8168-46F4-9733-78CD8C726971}"/>
              </c:ext>
            </c:extLst>
          </c:dPt>
          <c:dPt>
            <c:idx val="4"/>
            <c:bubble3D val="0"/>
            <c:spPr>
              <a:solidFill>
                <a:srgbClr val="CE9FA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8-8168-46F4-9733-78CD8C726971}"/>
              </c:ext>
            </c:extLst>
          </c:dPt>
          <c:dPt>
            <c:idx val="5"/>
            <c:bubble3D val="0"/>
            <c:spPr>
              <a:solidFill>
                <a:schemeClr val="bg2"/>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A-8168-46F4-9733-78CD8C726971}"/>
              </c:ext>
            </c:extLst>
          </c:dPt>
          <c:dPt>
            <c:idx val="6"/>
            <c:bubble3D val="0"/>
            <c:spPr>
              <a:solidFill>
                <a:srgbClr val="5E142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C-8168-46F4-9733-78CD8C726971}"/>
              </c:ext>
            </c:extLst>
          </c:dPt>
          <c:dPt>
            <c:idx val="7"/>
            <c:bubble3D val="0"/>
            <c:spPr>
              <a:solidFill>
                <a:srgbClr val="171613"/>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E-8168-46F4-9733-78CD8C726971}"/>
              </c:ext>
            </c:extLst>
          </c:dPt>
          <c:dLbls>
            <c:dLbl>
              <c:idx val="0"/>
              <c:spPr/>
              <c:txPr>
                <a:bodyPr/>
                <a:lstStyle/>
                <a:p>
                  <a:pPr>
                    <a:defRPr sz="1000" b="1" strike="noStrike" spc="-1">
                      <a:solidFill>
                        <a:srgbClr val="FFFFFF"/>
                      </a:solidFill>
                      <a:latin typeface="Arial"/>
                    </a:defRPr>
                  </a:pPr>
                  <a:endParaRPr lang="es-ES"/>
                </a:p>
              </c:txPr>
              <c:dLblPos val="ctr"/>
              <c:showLegendKey val="0"/>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0-8168-46F4-9733-78CD8C726971}"/>
                </c:ext>
              </c:extLst>
            </c:dLbl>
            <c:dLbl>
              <c:idx val="1"/>
              <c:spPr/>
              <c:txPr>
                <a:bodyPr/>
                <a:lstStyle/>
                <a:p>
                  <a:pPr>
                    <a:defRPr sz="1000" b="1" strike="noStrike" spc="-1">
                      <a:solidFill>
                        <a:srgbClr val="FFFFFF"/>
                      </a:solidFill>
                      <a:latin typeface="Arial"/>
                    </a:defRPr>
                  </a:pPr>
                  <a:endParaRPr lang="es-ES"/>
                </a:p>
              </c:txPr>
              <c:dLblPos val="ctr"/>
              <c:showLegendKey val="0"/>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2-8168-46F4-9733-78CD8C726971}"/>
                </c:ext>
              </c:extLst>
            </c:dLbl>
            <c:dLbl>
              <c:idx val="2"/>
              <c:spPr/>
              <c:txPr>
                <a:bodyPr/>
                <a:lstStyle/>
                <a:p>
                  <a:pPr>
                    <a:defRPr sz="1000" b="1" strike="noStrike" spc="-1">
                      <a:solidFill>
                        <a:srgbClr val="FFFFFF"/>
                      </a:solidFill>
                      <a:latin typeface="Arial"/>
                    </a:defRPr>
                  </a:pPr>
                  <a:endParaRPr lang="es-ES"/>
                </a:p>
              </c:txPr>
              <c:dLblPos val="ctr"/>
              <c:showLegendKey val="0"/>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4-8168-46F4-9733-78CD8C726971}"/>
                </c:ext>
              </c:extLst>
            </c:dLbl>
            <c:dLbl>
              <c:idx val="3"/>
              <c:spPr/>
              <c:txPr>
                <a:bodyPr/>
                <a:lstStyle/>
                <a:p>
                  <a:pPr>
                    <a:defRPr sz="1000" b="1" strike="noStrike" spc="-1">
                      <a:solidFill>
                        <a:srgbClr val="FFFFFF"/>
                      </a:solidFill>
                      <a:latin typeface="Arial"/>
                    </a:defRPr>
                  </a:pPr>
                  <a:endParaRPr lang="es-ES"/>
                </a:p>
              </c:txPr>
              <c:dLblPos val="ct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8168-46F4-9733-78CD8C726971}"/>
                </c:ext>
              </c:extLst>
            </c:dLbl>
            <c:dLbl>
              <c:idx val="4"/>
              <c:spPr/>
              <c:txPr>
                <a:bodyPr/>
                <a:lstStyle/>
                <a:p>
                  <a:pPr>
                    <a:defRPr sz="1000" b="1" strike="noStrike" spc="-1">
                      <a:solidFill>
                        <a:srgbClr val="FFFFFF"/>
                      </a:solidFill>
                      <a:latin typeface="Arial"/>
                    </a:defRPr>
                  </a:pPr>
                  <a:endParaRPr lang="es-ES"/>
                </a:p>
              </c:txPr>
              <c:dLblPos val="ct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8168-46F4-9733-78CD8C726971}"/>
                </c:ext>
              </c:extLst>
            </c:dLbl>
            <c:dLbl>
              <c:idx val="5"/>
              <c:spPr/>
              <c:txPr>
                <a:bodyPr/>
                <a:lstStyle/>
                <a:p>
                  <a:pPr>
                    <a:defRPr sz="1000" b="1" strike="noStrike" spc="-1">
                      <a:solidFill>
                        <a:srgbClr val="FFFFFF"/>
                      </a:solidFill>
                      <a:latin typeface="Arial"/>
                    </a:defRPr>
                  </a:pPr>
                  <a:endParaRPr lang="es-ES"/>
                </a:p>
              </c:txPr>
              <c:dLblPos val="ct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8168-46F4-9733-78CD8C726971}"/>
                </c:ext>
              </c:extLst>
            </c:dLbl>
            <c:dLbl>
              <c:idx val="6"/>
              <c:spPr/>
              <c:txPr>
                <a:bodyPr/>
                <a:lstStyle/>
                <a:p>
                  <a:pPr>
                    <a:defRPr sz="1000" b="1" strike="noStrike" spc="-1">
                      <a:solidFill>
                        <a:srgbClr val="FFFFFF"/>
                      </a:solidFill>
                      <a:latin typeface="Arial"/>
                    </a:defRPr>
                  </a:pPr>
                  <a:endParaRPr lang="es-ES"/>
                </a:p>
              </c:txPr>
              <c:dLblPos val="ct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C-8168-46F4-9733-78CD8C726971}"/>
                </c:ext>
              </c:extLst>
            </c:dLbl>
            <c:dLbl>
              <c:idx val="7"/>
              <c:spPr/>
              <c:txPr>
                <a:bodyPr/>
                <a:lstStyle/>
                <a:p>
                  <a:pPr>
                    <a:defRPr sz="1000" b="1" strike="noStrike" spc="-1">
                      <a:solidFill>
                        <a:srgbClr val="FFFFFF"/>
                      </a:solidFill>
                      <a:latin typeface="Arial"/>
                    </a:defRPr>
                  </a:pPr>
                  <a:endParaRPr lang="es-ES"/>
                </a:p>
              </c:txPr>
              <c:dLblPos val="ct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E-8168-46F4-9733-78CD8C726971}"/>
                </c:ext>
              </c:extLst>
            </c:dLbl>
            <c:spPr>
              <a:noFill/>
              <a:ln>
                <a:noFill/>
              </a:ln>
              <a:effectLst/>
            </c:spPr>
            <c:txPr>
              <a:bodyPr/>
              <a:lstStyle/>
              <a:p>
                <a:pPr>
                  <a:defRPr sz="1000" b="1" strike="noStrike" spc="-1">
                    <a:solidFill>
                      <a:srgbClr val="FFFFFF"/>
                    </a:solidFill>
                    <a:latin typeface="Arial"/>
                  </a:defRPr>
                </a:pPr>
                <a:endParaRPr lang="es-ES"/>
              </a:p>
            </c:txPr>
            <c:dLblPos val="ctr"/>
            <c:showLegendKey val="0"/>
            <c:showVal val="0"/>
            <c:showCatName val="1"/>
            <c:showSerName val="0"/>
            <c:showPercent val="1"/>
            <c:showBubbleSize val="1"/>
            <c:separator>
</c:separator>
            <c:showLeaderLines val="0"/>
            <c:extLst>
              <c:ext xmlns:c15="http://schemas.microsoft.com/office/drawing/2012/chart" uri="{CE6537A1-D6FC-4f65-9D91-7224C49458BB}"/>
            </c:extLst>
          </c:dLbls>
          <c:cat>
            <c:strRef>
              <c:f>categories</c:f>
              <c:strCache>
                <c:ptCount val="8"/>
                <c:pt idx="0">
                  <c:v>Prensa escrita</c:v>
                </c:pt>
                <c:pt idx="1">
                  <c:v>Medios digitales</c:v>
                </c:pt>
                <c:pt idx="2">
                  <c:v>Radio</c:v>
                </c:pt>
                <c:pt idx="3">
                  <c:v>Televisión</c:v>
                </c:pt>
                <c:pt idx="4">
                  <c:v>Agencias</c:v>
                </c:pt>
                <c:pt idx="5">
                  <c:v>Webs temáticas</c:v>
                </c:pt>
                <c:pt idx="6">
                  <c:v>Organismos oficiales</c:v>
                </c:pt>
                <c:pt idx="7">
                  <c:v>Otros</c:v>
                </c:pt>
              </c:strCache>
            </c:strRef>
          </c:cat>
          <c:val>
            <c:numRef>
              <c:f>0</c:f>
              <c:numCache>
                <c:formatCode>General</c:formatCode>
                <c:ptCount val="8"/>
                <c:pt idx="0">
                  <c:v>251</c:v>
                </c:pt>
                <c:pt idx="1">
                  <c:v>235</c:v>
                </c:pt>
                <c:pt idx="2">
                  <c:v>29</c:v>
                </c:pt>
                <c:pt idx="3">
                  <c:v>5</c:v>
                </c:pt>
                <c:pt idx="4">
                  <c:v>21</c:v>
                </c:pt>
                <c:pt idx="5">
                  <c:v>11</c:v>
                </c:pt>
                <c:pt idx="6">
                  <c:v>1</c:v>
                </c:pt>
                <c:pt idx="7">
                  <c:v>7</c:v>
                </c:pt>
              </c:numCache>
            </c:numRef>
          </c:val>
          <c:extLst>
            <c:ext xmlns:c16="http://schemas.microsoft.com/office/drawing/2014/chart" uri="{C3380CC4-5D6E-409C-BE32-E72D297353CC}">
              <c16:uniqueId val="{0000000F-8168-46F4-9733-78CD8C726971}"/>
            </c:ext>
          </c:extLst>
        </c:ser>
        <c:ser>
          <c:idx val="1"/>
          <c:order val="1"/>
          <c:tx>
            <c:strRef>
              <c:f>label 1</c:f>
              <c:strCache>
                <c:ptCount val="1"/>
                <c:pt idx="0">
                  <c:v>%</c:v>
                </c:pt>
              </c:strCache>
            </c:strRef>
          </c:tx>
          <c:spPr>
            <a:solidFill>
              <a:srgbClr val="27251F"/>
            </a:solidFill>
            <a:ln>
              <a:noFill/>
            </a:ln>
          </c:spPr>
          <c:dPt>
            <c:idx val="0"/>
            <c:bubble3D val="0"/>
            <c:spPr>
              <a:solidFill>
                <a:srgbClr val="9D2235"/>
              </a:solidFill>
              <a:ln>
                <a:noFill/>
              </a:ln>
            </c:spPr>
            <c:extLst>
              <c:ext xmlns:c16="http://schemas.microsoft.com/office/drawing/2014/chart" uri="{C3380CC4-5D6E-409C-BE32-E72D297353CC}">
                <c16:uniqueId val="{00000011-8168-46F4-9733-78CD8C726971}"/>
              </c:ext>
            </c:extLst>
          </c:dPt>
          <c:dPt>
            <c:idx val="1"/>
            <c:bubble3D val="0"/>
            <c:extLst>
              <c:ext xmlns:c16="http://schemas.microsoft.com/office/drawing/2014/chart" uri="{C3380CC4-5D6E-409C-BE32-E72D297353CC}">
                <c16:uniqueId val="{00000012-8168-46F4-9733-78CD8C726971}"/>
              </c:ext>
            </c:extLst>
          </c:dPt>
          <c:dPt>
            <c:idx val="2"/>
            <c:bubble3D val="0"/>
            <c:spPr>
              <a:solidFill>
                <a:srgbClr val="C6C6C6"/>
              </a:solidFill>
              <a:ln>
                <a:noFill/>
              </a:ln>
            </c:spPr>
            <c:extLst>
              <c:ext xmlns:c16="http://schemas.microsoft.com/office/drawing/2014/chart" uri="{C3380CC4-5D6E-409C-BE32-E72D297353CC}">
                <c16:uniqueId val="{00000014-8168-46F4-9733-78CD8C726971}"/>
              </c:ext>
            </c:extLst>
          </c:dPt>
          <c:dPt>
            <c:idx val="3"/>
            <c:bubble3D val="0"/>
            <c:spPr>
              <a:solidFill>
                <a:srgbClr val="EABAC2"/>
              </a:solidFill>
              <a:ln>
                <a:noFill/>
              </a:ln>
            </c:spPr>
            <c:extLst>
              <c:ext xmlns:c16="http://schemas.microsoft.com/office/drawing/2014/chart" uri="{C3380CC4-5D6E-409C-BE32-E72D297353CC}">
                <c16:uniqueId val="{00000016-8168-46F4-9733-78CD8C726971}"/>
              </c:ext>
            </c:extLst>
          </c:dPt>
          <c:dPt>
            <c:idx val="4"/>
            <c:bubble3D val="0"/>
            <c:spPr>
              <a:solidFill>
                <a:srgbClr val="CE9FA1"/>
              </a:solidFill>
              <a:ln>
                <a:noFill/>
              </a:ln>
            </c:spPr>
            <c:extLst>
              <c:ext xmlns:c16="http://schemas.microsoft.com/office/drawing/2014/chart" uri="{C3380CC4-5D6E-409C-BE32-E72D297353CC}">
                <c16:uniqueId val="{00000018-8168-46F4-9733-78CD8C726971}"/>
              </c:ext>
            </c:extLst>
          </c:dPt>
          <c:dPt>
            <c:idx val="5"/>
            <c:bubble3D val="0"/>
            <c:spPr>
              <a:solidFill>
                <a:srgbClr val="D8C1BD"/>
              </a:solidFill>
              <a:ln>
                <a:noFill/>
              </a:ln>
            </c:spPr>
            <c:extLst>
              <c:ext xmlns:c16="http://schemas.microsoft.com/office/drawing/2014/chart" uri="{C3380CC4-5D6E-409C-BE32-E72D297353CC}">
                <c16:uniqueId val="{0000001A-8168-46F4-9733-78CD8C726971}"/>
              </c:ext>
            </c:extLst>
          </c:dPt>
          <c:dPt>
            <c:idx val="6"/>
            <c:bubble3D val="0"/>
            <c:spPr>
              <a:solidFill>
                <a:srgbClr val="5E1420"/>
              </a:solidFill>
              <a:ln>
                <a:noFill/>
              </a:ln>
            </c:spPr>
            <c:extLst>
              <c:ext xmlns:c16="http://schemas.microsoft.com/office/drawing/2014/chart" uri="{C3380CC4-5D6E-409C-BE32-E72D297353CC}">
                <c16:uniqueId val="{0000001C-8168-46F4-9733-78CD8C726971}"/>
              </c:ext>
            </c:extLst>
          </c:dPt>
          <c:dPt>
            <c:idx val="7"/>
            <c:bubble3D val="0"/>
            <c:spPr>
              <a:solidFill>
                <a:srgbClr val="171613"/>
              </a:solidFill>
              <a:ln>
                <a:noFill/>
              </a:ln>
            </c:spPr>
            <c:extLst>
              <c:ext xmlns:c16="http://schemas.microsoft.com/office/drawing/2014/chart" uri="{C3380CC4-5D6E-409C-BE32-E72D297353CC}">
                <c16:uniqueId val="{0000001E-8168-46F4-9733-78CD8C726971}"/>
              </c:ext>
            </c:extLst>
          </c:dPt>
          <c:dLbls>
            <c:dLbl>
              <c:idx val="0"/>
              <c:spPr/>
              <c:txPr>
                <a:bodyPr/>
                <a:lstStyle/>
                <a:p>
                  <a:pPr>
                    <a:defRPr sz="1000" b="1" strike="noStrike" spc="-1">
                      <a:solidFill>
                        <a:srgbClr val="FFFFFF"/>
                      </a:solidFill>
                      <a:latin typeface="Calibri"/>
                    </a:defRPr>
                  </a:pPr>
                  <a:endParaRPr lang="es-ES"/>
                </a:p>
              </c:txPr>
              <c:dLblPos val="ctr"/>
              <c:showLegendKey val="0"/>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11-8168-46F4-9733-78CD8C726971}"/>
                </c:ext>
              </c:extLst>
            </c:dLbl>
            <c:dLbl>
              <c:idx val="1"/>
              <c:spPr/>
              <c:txPr>
                <a:bodyPr/>
                <a:lstStyle/>
                <a:p>
                  <a:pPr>
                    <a:defRPr sz="1000" b="1" strike="noStrike" spc="-1">
                      <a:solidFill>
                        <a:srgbClr val="FFFFFF"/>
                      </a:solidFill>
                      <a:latin typeface="Calibri"/>
                    </a:defRPr>
                  </a:pPr>
                  <a:endParaRPr lang="es-ES"/>
                </a:p>
              </c:txPr>
              <c:dLblPos val="ctr"/>
              <c:showLegendKey val="0"/>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12-8168-46F4-9733-78CD8C726971}"/>
                </c:ext>
              </c:extLst>
            </c:dLbl>
            <c:dLbl>
              <c:idx val="2"/>
              <c:spPr/>
              <c:txPr>
                <a:bodyPr/>
                <a:lstStyle/>
                <a:p>
                  <a:pPr>
                    <a:defRPr sz="1000" b="1" strike="noStrike" spc="-1">
                      <a:solidFill>
                        <a:srgbClr val="FFFFFF"/>
                      </a:solidFill>
                      <a:latin typeface="Calibri"/>
                    </a:defRPr>
                  </a:pPr>
                  <a:endParaRPr lang="es-ES"/>
                </a:p>
              </c:txPr>
              <c:dLblPos val="ctr"/>
              <c:showLegendKey val="0"/>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14-8168-46F4-9733-78CD8C726971}"/>
                </c:ext>
              </c:extLst>
            </c:dLbl>
            <c:dLbl>
              <c:idx val="3"/>
              <c:spPr/>
              <c:txPr>
                <a:bodyPr/>
                <a:lstStyle/>
                <a:p>
                  <a:pPr>
                    <a:defRPr sz="1000" b="1" strike="noStrike" spc="-1">
                      <a:solidFill>
                        <a:srgbClr val="FFFFFF"/>
                      </a:solidFill>
                      <a:latin typeface="Calibri"/>
                    </a:defRPr>
                  </a:pPr>
                  <a:endParaRPr lang="es-ES"/>
                </a:p>
              </c:txPr>
              <c:dLblPos val="ctr"/>
              <c:showLegendKey val="0"/>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16-8168-46F4-9733-78CD8C726971}"/>
                </c:ext>
              </c:extLst>
            </c:dLbl>
            <c:dLbl>
              <c:idx val="4"/>
              <c:spPr/>
              <c:txPr>
                <a:bodyPr/>
                <a:lstStyle/>
                <a:p>
                  <a:pPr>
                    <a:defRPr sz="1000" b="1" strike="noStrike" spc="-1">
                      <a:solidFill>
                        <a:srgbClr val="FFFFFF"/>
                      </a:solidFill>
                      <a:latin typeface="Calibri"/>
                    </a:defRPr>
                  </a:pPr>
                  <a:endParaRPr lang="es-ES"/>
                </a:p>
              </c:txPr>
              <c:dLblPos val="ctr"/>
              <c:showLegendKey val="0"/>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18-8168-46F4-9733-78CD8C726971}"/>
                </c:ext>
              </c:extLst>
            </c:dLbl>
            <c:dLbl>
              <c:idx val="5"/>
              <c:spPr/>
              <c:txPr>
                <a:bodyPr/>
                <a:lstStyle/>
                <a:p>
                  <a:pPr>
                    <a:defRPr sz="1000" b="1" strike="noStrike" spc="-1">
                      <a:solidFill>
                        <a:srgbClr val="FFFFFF"/>
                      </a:solidFill>
                      <a:latin typeface="Calibri"/>
                    </a:defRPr>
                  </a:pPr>
                  <a:endParaRPr lang="es-ES"/>
                </a:p>
              </c:txPr>
              <c:dLblPos val="ctr"/>
              <c:showLegendKey val="0"/>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1A-8168-46F4-9733-78CD8C726971}"/>
                </c:ext>
              </c:extLst>
            </c:dLbl>
            <c:dLbl>
              <c:idx val="6"/>
              <c:spPr/>
              <c:txPr>
                <a:bodyPr/>
                <a:lstStyle/>
                <a:p>
                  <a:pPr>
                    <a:defRPr sz="1000" b="1" strike="noStrike" spc="-1">
                      <a:solidFill>
                        <a:srgbClr val="FFFFFF"/>
                      </a:solidFill>
                      <a:latin typeface="Calibri"/>
                    </a:defRPr>
                  </a:pPr>
                  <a:endParaRPr lang="es-ES"/>
                </a:p>
              </c:txPr>
              <c:dLblPos val="ctr"/>
              <c:showLegendKey val="0"/>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1C-8168-46F4-9733-78CD8C726971}"/>
                </c:ext>
              </c:extLst>
            </c:dLbl>
            <c:dLbl>
              <c:idx val="7"/>
              <c:spPr/>
              <c:txPr>
                <a:bodyPr/>
                <a:lstStyle/>
                <a:p>
                  <a:pPr>
                    <a:defRPr sz="1000" b="1" strike="noStrike" spc="-1">
                      <a:solidFill>
                        <a:srgbClr val="FFFFFF"/>
                      </a:solidFill>
                      <a:latin typeface="Calibri"/>
                    </a:defRPr>
                  </a:pPr>
                  <a:endParaRPr lang="es-ES"/>
                </a:p>
              </c:txPr>
              <c:dLblPos val="ctr"/>
              <c:showLegendKey val="0"/>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1E-8168-46F4-9733-78CD8C726971}"/>
                </c:ext>
              </c:extLst>
            </c:dLbl>
            <c:spPr>
              <a:noFill/>
              <a:ln>
                <a:noFill/>
              </a:ln>
              <a:effectLst/>
            </c:spPr>
            <c:txPr>
              <a:bodyPr/>
              <a:lstStyle/>
              <a:p>
                <a:pPr>
                  <a:defRPr sz="1000" b="1" strike="noStrike" spc="-1">
                    <a:solidFill>
                      <a:srgbClr val="FFFFFF"/>
                    </a:solidFill>
                    <a:latin typeface="Calibri"/>
                  </a:defRPr>
                </a:pPr>
                <a:endParaRPr lang="es-ES"/>
              </a:p>
            </c:txPr>
            <c:dLblPos val="ctr"/>
            <c:showLegendKey val="0"/>
            <c:showVal val="0"/>
            <c:showCatName val="1"/>
            <c:showSerName val="0"/>
            <c:showPercent val="1"/>
            <c:showBubbleSize val="1"/>
            <c:separator>
</c:separator>
            <c:showLeaderLines val="0"/>
            <c:extLst>
              <c:ext xmlns:c15="http://schemas.microsoft.com/office/drawing/2012/chart" uri="{CE6537A1-D6FC-4f65-9D91-7224C49458BB}"/>
            </c:extLst>
          </c:dLbls>
          <c:cat>
            <c:strRef>
              <c:f>categories</c:f>
              <c:strCache>
                <c:ptCount val="8"/>
                <c:pt idx="0">
                  <c:v>Prensa escrita</c:v>
                </c:pt>
                <c:pt idx="1">
                  <c:v>Medios digitales</c:v>
                </c:pt>
                <c:pt idx="2">
                  <c:v>Radio</c:v>
                </c:pt>
                <c:pt idx="3">
                  <c:v>Televisión</c:v>
                </c:pt>
                <c:pt idx="4">
                  <c:v>Agencias</c:v>
                </c:pt>
                <c:pt idx="5">
                  <c:v>Webs temáticas</c:v>
                </c:pt>
                <c:pt idx="6">
                  <c:v>Organismos oficiales</c:v>
                </c:pt>
                <c:pt idx="7">
                  <c:v>Otros</c:v>
                </c:pt>
              </c:strCache>
            </c:strRef>
          </c:cat>
          <c:val>
            <c:numRef>
              <c:f>1</c:f>
              <c:numCache>
                <c:formatCode>General</c:formatCode>
                <c:ptCount val="8"/>
                <c:pt idx="0">
                  <c:v>45</c:v>
                </c:pt>
                <c:pt idx="1">
                  <c:v>42</c:v>
                </c:pt>
                <c:pt idx="2">
                  <c:v>5</c:v>
                </c:pt>
                <c:pt idx="3">
                  <c:v>1</c:v>
                </c:pt>
                <c:pt idx="4">
                  <c:v>4</c:v>
                </c:pt>
                <c:pt idx="5">
                  <c:v>2</c:v>
                </c:pt>
                <c:pt idx="6">
                  <c:v>0</c:v>
                </c:pt>
                <c:pt idx="7">
                  <c:v>1</c:v>
                </c:pt>
              </c:numCache>
            </c:numRef>
          </c:val>
          <c:extLst>
            <c:ext xmlns:c16="http://schemas.microsoft.com/office/drawing/2014/chart" uri="{C3380CC4-5D6E-409C-BE32-E72D297353CC}">
              <c16:uniqueId val="{0000001F-8168-46F4-9733-78CD8C726971}"/>
            </c:ext>
          </c:extLst>
        </c:ser>
        <c:dLbls>
          <c:showLegendKey val="0"/>
          <c:showVal val="0"/>
          <c:showCatName val="0"/>
          <c:showSerName val="0"/>
          <c:showPercent val="0"/>
          <c:showBubbleSize val="0"/>
          <c:showLeaderLines val="0"/>
        </c:dLbls>
      </c:pie3DChart>
    </c:plotArea>
    <c:legend>
      <c:legendPos val="r"/>
      <c:overlay val="0"/>
      <c:spPr>
        <a:solidFill>
          <a:srgbClr val="F2F2F2">
            <a:alpha val="39000"/>
          </a:srgbClr>
        </a:solidFill>
        <a:ln>
          <a:noFill/>
        </a:ln>
      </c:spPr>
      <c:txPr>
        <a:bodyPr/>
        <a:lstStyle/>
        <a:p>
          <a:pPr>
            <a:defRPr sz="900" b="0" strike="noStrike" spc="-1">
              <a:solidFill>
                <a:srgbClr val="404040"/>
              </a:solidFill>
              <a:latin typeface="Arial"/>
            </a:defRPr>
          </a:pPr>
          <a:endParaRPr lang="es-ES"/>
        </a:p>
      </c:txPr>
    </c:legend>
    <c:plotVisOnly val="1"/>
    <c:dispBlanksAs val="gap"/>
    <c:showDLblsOverMax val="1"/>
  </c:chart>
  <c:spPr>
    <a:solidFill>
      <a:schemeClr val="bg1">
        <a:lumMod val="95000"/>
      </a:schemeClr>
    </a:solidFill>
    <a:ln w="9360">
      <a:solidFill>
        <a:srgbClr val="BFBFBF"/>
      </a:solidFill>
      <a:round/>
    </a:ln>
  </c:spPr>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label 0</c:f>
              <c:strCache>
                <c:ptCount val="1"/>
                <c:pt idx="0">
                  <c:v>N.º de menciones</c:v>
                </c:pt>
              </c:strCache>
            </c:strRef>
          </c:tx>
          <c:spPr>
            <a:ln w="31680">
              <a:solidFill>
                <a:srgbClr val="9D2235"/>
              </a:solidFill>
              <a:round/>
            </a:ln>
          </c:spPr>
          <c:marker>
            <c:symbol val="circle"/>
            <c:size val="17"/>
            <c:spPr>
              <a:solidFill>
                <a:srgbClr val="9D2235"/>
              </a:solidFill>
            </c:spPr>
          </c:marker>
          <c:dLbls>
            <c:spPr>
              <a:noFill/>
              <a:ln>
                <a:noFill/>
              </a:ln>
              <a:effectLst/>
            </c:spPr>
            <c:txPr>
              <a:bodyPr/>
              <a:lstStyle/>
              <a:p>
                <a:pPr>
                  <a:defRPr sz="900" b="1" strike="noStrike" spc="-1">
                    <a:solidFill>
                      <a:srgbClr val="FFFFFF"/>
                    </a:solidFill>
                    <a:latin typeface="Calibri"/>
                  </a:defRPr>
                </a:pPr>
                <a:endParaRPr lang="es-ES"/>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0</c:f>
              <c:numCache>
                <c:formatCode>General</c:formatCode>
                <c:ptCount val="12"/>
                <c:pt idx="0">
                  <c:v>17</c:v>
                </c:pt>
                <c:pt idx="1">
                  <c:v>48</c:v>
                </c:pt>
                <c:pt idx="2">
                  <c:v>20</c:v>
                </c:pt>
                <c:pt idx="3">
                  <c:v>15</c:v>
                </c:pt>
                <c:pt idx="4">
                  <c:v>40</c:v>
                </c:pt>
                <c:pt idx="5">
                  <c:v>87</c:v>
                </c:pt>
                <c:pt idx="6">
                  <c:v>38</c:v>
                </c:pt>
                <c:pt idx="7">
                  <c:v>17</c:v>
                </c:pt>
                <c:pt idx="8">
                  <c:v>35</c:v>
                </c:pt>
                <c:pt idx="9">
                  <c:v>88</c:v>
                </c:pt>
                <c:pt idx="10">
                  <c:v>72</c:v>
                </c:pt>
                <c:pt idx="11">
                  <c:v>83</c:v>
                </c:pt>
              </c:numCache>
            </c:numRef>
          </c:val>
          <c:smooth val="0"/>
          <c:extLst>
            <c:ext xmlns:c16="http://schemas.microsoft.com/office/drawing/2014/chart" uri="{C3380CC4-5D6E-409C-BE32-E72D297353CC}">
              <c16:uniqueId val="{00000000-CD50-4862-B77D-11D27F25D6BC}"/>
            </c:ext>
          </c:extLst>
        </c:ser>
        <c:dLbls>
          <c:showLegendKey val="0"/>
          <c:showVal val="0"/>
          <c:showCatName val="0"/>
          <c:showSerName val="0"/>
          <c:showPercent val="0"/>
          <c:showBubbleSize val="0"/>
        </c:dLbls>
        <c:hiLowLines>
          <c:spPr>
            <a:ln>
              <a:noFill/>
            </a:ln>
          </c:spPr>
        </c:hiLowLines>
        <c:marker val="1"/>
        <c:smooth val="0"/>
        <c:axId val="59600927"/>
        <c:axId val="50237530"/>
      </c:lineChart>
      <c:catAx>
        <c:axId val="59600927"/>
        <c:scaling>
          <c:orientation val="minMax"/>
        </c:scaling>
        <c:delete val="0"/>
        <c:axPos val="b"/>
        <c:numFmt formatCode="General" sourceLinked="1"/>
        <c:majorTickMark val="none"/>
        <c:minorTickMark val="none"/>
        <c:tickLblPos val="nextTo"/>
        <c:spPr>
          <a:ln w="19080">
            <a:solidFill>
              <a:srgbClr val="404040"/>
            </a:solidFill>
            <a:round/>
          </a:ln>
        </c:spPr>
        <c:txPr>
          <a:bodyPr/>
          <a:lstStyle/>
          <a:p>
            <a:pPr>
              <a:defRPr sz="900" b="0" strike="noStrike" spc="-1">
                <a:solidFill>
                  <a:srgbClr val="404040"/>
                </a:solidFill>
                <a:latin typeface="Calibri"/>
              </a:defRPr>
            </a:pPr>
            <a:endParaRPr lang="es-ES"/>
          </a:p>
        </c:txPr>
        <c:crossAx val="50237530"/>
        <c:crosses val="autoZero"/>
        <c:auto val="1"/>
        <c:lblAlgn val="ctr"/>
        <c:lblOffset val="100"/>
        <c:noMultiLvlLbl val="1"/>
      </c:catAx>
      <c:valAx>
        <c:axId val="50237530"/>
        <c:scaling>
          <c:orientation val="minMax"/>
        </c:scaling>
        <c:delete val="1"/>
        <c:axPos val="l"/>
        <c:majorGridlines>
          <c:spPr>
            <a:ln w="9360">
              <a:solidFill>
                <a:srgbClr val="BFBFBF">
                  <a:alpha val="36000"/>
                </a:srgbClr>
              </a:solidFill>
              <a:round/>
            </a:ln>
          </c:spPr>
        </c:majorGridlines>
        <c:numFmt formatCode="General" sourceLinked="0"/>
        <c:majorTickMark val="none"/>
        <c:minorTickMark val="none"/>
        <c:tickLblPos val="nextTo"/>
        <c:crossAx val="59600927"/>
        <c:crosses val="autoZero"/>
        <c:crossBetween val="midCat"/>
      </c:valAx>
      <c:spPr>
        <a:noFill/>
        <a:ln>
          <a:noFill/>
        </a:ln>
      </c:spPr>
    </c:plotArea>
    <c:plotVisOnly val="1"/>
    <c:dispBlanksAs val="zero"/>
    <c:showDLblsOverMax val="1"/>
  </c:chart>
  <c:spPr>
    <a:solidFill>
      <a:schemeClr val="bg1">
        <a:lumMod val="95000"/>
      </a:schemeClr>
    </a:solidFill>
    <a:ln w="9360">
      <a:solidFill>
        <a:srgbClr val="BFBFBF"/>
      </a:solidFill>
      <a:round/>
    </a:ln>
  </c:spPr>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Areas!$A$2</c:f>
              <c:strCache>
                <c:ptCount val="1"/>
                <c:pt idx="0">
                  <c:v>Gabinete de Relaciones Institucionales, Comunicación y Participación</c:v>
                </c:pt>
              </c:strCache>
            </c:strRef>
          </c:tx>
          <c:spPr>
            <a:ln w="28440">
              <a:solidFill>
                <a:srgbClr val="903836"/>
              </a:solidFill>
              <a:round/>
            </a:ln>
          </c:spPr>
          <c:marker>
            <c:symbol val="diamond"/>
            <c:size val="5"/>
            <c:spPr>
              <a:solidFill>
                <a:srgbClr val="903836"/>
              </a:solidFill>
            </c:spPr>
          </c:marker>
          <c:dLbls>
            <c:spPr>
              <a:noFill/>
              <a:ln>
                <a:noFill/>
              </a:ln>
              <a:effectLst/>
            </c:spPr>
            <c:txPr>
              <a:bodyPr/>
              <a:lstStyle/>
              <a:p>
                <a:pPr>
                  <a:defRPr lang="es-ES" sz="1000" b="1" strike="noStrike" spc="-1">
                    <a:solidFill>
                      <a:srgbClr val="000000"/>
                    </a:solidFill>
                    <a:latin typeface="Arial" panose="020B0604020202020204" pitchFamily="34" charset="0"/>
                    <a:cs typeface="Arial" panose="020B0604020202020204" pitchFamily="34" charset="0"/>
                  </a:defRPr>
                </a:pPr>
                <a:endParaRPr lang="es-ES"/>
              </a:p>
            </c:txPr>
            <c:dLblPos val="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numRef>
              <c:f>Areas!$B$1:$E$1</c:f>
              <c:numCache>
                <c:formatCode>General</c:formatCode>
                <c:ptCount val="4"/>
                <c:pt idx="0">
                  <c:v>2017</c:v>
                </c:pt>
                <c:pt idx="1">
                  <c:v>2018</c:v>
                </c:pt>
                <c:pt idx="2">
                  <c:v>2019</c:v>
                </c:pt>
                <c:pt idx="3">
                  <c:v>2020</c:v>
                </c:pt>
              </c:numCache>
            </c:numRef>
          </c:cat>
          <c:val>
            <c:numRef>
              <c:f>Areas!$B$2:$E$2</c:f>
              <c:numCache>
                <c:formatCode>General</c:formatCode>
                <c:ptCount val="4"/>
                <c:pt idx="0">
                  <c:v>2</c:v>
                </c:pt>
                <c:pt idx="1">
                  <c:v>2</c:v>
                </c:pt>
                <c:pt idx="2">
                  <c:v>3</c:v>
                </c:pt>
                <c:pt idx="3">
                  <c:v>4</c:v>
                </c:pt>
              </c:numCache>
            </c:numRef>
          </c:val>
          <c:smooth val="0"/>
          <c:extLst>
            <c:ext xmlns:c16="http://schemas.microsoft.com/office/drawing/2014/chart" uri="{C3380CC4-5D6E-409C-BE32-E72D297353CC}">
              <c16:uniqueId val="{00000000-2C94-4D40-A879-3490E47C3E90}"/>
            </c:ext>
          </c:extLst>
        </c:ser>
        <c:ser>
          <c:idx val="1"/>
          <c:order val="1"/>
          <c:tx>
            <c:strRef>
              <c:f>Areas!$A$3</c:f>
              <c:strCache>
                <c:ptCount val="1"/>
                <c:pt idx="0">
                  <c:v>Administración, Recursos Humanos y Gestión Económica</c:v>
                </c:pt>
              </c:strCache>
            </c:strRef>
          </c:tx>
          <c:spPr>
            <a:ln w="28440">
              <a:solidFill>
                <a:srgbClr val="AA433F"/>
              </a:solidFill>
              <a:round/>
            </a:ln>
          </c:spPr>
          <c:marker>
            <c:symbol val="square"/>
            <c:size val="5"/>
            <c:spPr>
              <a:solidFill>
                <a:srgbClr val="AA433F"/>
              </a:solidFill>
            </c:spPr>
          </c:marker>
          <c:dLbls>
            <c:spPr>
              <a:noFill/>
              <a:ln>
                <a:noFill/>
              </a:ln>
              <a:effectLst/>
            </c:spPr>
            <c:txPr>
              <a:bodyPr/>
              <a:lstStyle/>
              <a:p>
                <a:pPr>
                  <a:defRPr lang="es-ES" sz="1000" b="1" strike="noStrike" spc="-1">
                    <a:solidFill>
                      <a:srgbClr val="000000"/>
                    </a:solidFill>
                    <a:latin typeface="Arial" panose="020B0604020202020204" pitchFamily="34" charset="0"/>
                    <a:cs typeface="Arial" panose="020B0604020202020204" pitchFamily="34" charset="0"/>
                  </a:defRPr>
                </a:pPr>
                <a:endParaRPr lang="es-ES"/>
              </a:p>
            </c:txPr>
            <c:dLblPos val="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numRef>
              <c:f>Areas!$B$1:$E$1</c:f>
              <c:numCache>
                <c:formatCode>General</c:formatCode>
                <c:ptCount val="4"/>
                <c:pt idx="0">
                  <c:v>2017</c:v>
                </c:pt>
                <c:pt idx="1">
                  <c:v>2018</c:v>
                </c:pt>
                <c:pt idx="2">
                  <c:v>2019</c:v>
                </c:pt>
                <c:pt idx="3">
                  <c:v>2020</c:v>
                </c:pt>
              </c:numCache>
            </c:numRef>
          </c:cat>
          <c:val>
            <c:numRef>
              <c:f>Areas!$B$3:$E$3</c:f>
              <c:numCache>
                <c:formatCode>General</c:formatCode>
                <c:ptCount val="4"/>
                <c:pt idx="0">
                  <c:v>5</c:v>
                </c:pt>
                <c:pt idx="1">
                  <c:v>6</c:v>
                </c:pt>
                <c:pt idx="2">
                  <c:v>7</c:v>
                </c:pt>
                <c:pt idx="3">
                  <c:v>8</c:v>
                </c:pt>
              </c:numCache>
            </c:numRef>
          </c:val>
          <c:smooth val="0"/>
          <c:extLst>
            <c:ext xmlns:c16="http://schemas.microsoft.com/office/drawing/2014/chart" uri="{C3380CC4-5D6E-409C-BE32-E72D297353CC}">
              <c16:uniqueId val="{00000001-2C94-4D40-A879-3490E47C3E90}"/>
            </c:ext>
          </c:extLst>
        </c:ser>
        <c:ser>
          <c:idx val="2"/>
          <c:order val="2"/>
          <c:tx>
            <c:strRef>
              <c:f>Areas!$A$4</c:f>
              <c:strCache>
                <c:ptCount val="1"/>
                <c:pt idx="0">
                  <c:v>Dirección de Análisis e Investigación</c:v>
                </c:pt>
              </c:strCache>
            </c:strRef>
          </c:tx>
          <c:spPr>
            <a:ln w="28440">
              <a:solidFill>
                <a:srgbClr val="BE4B48"/>
              </a:solidFill>
              <a:round/>
            </a:ln>
          </c:spPr>
          <c:marker>
            <c:symbol val="square"/>
            <c:size val="5"/>
            <c:spPr>
              <a:solidFill>
                <a:srgbClr val="BE4B48"/>
              </a:solidFill>
            </c:spPr>
          </c:marker>
          <c:dLbls>
            <c:spPr>
              <a:noFill/>
              <a:ln>
                <a:noFill/>
              </a:ln>
              <a:effectLst/>
            </c:spPr>
            <c:txPr>
              <a:bodyPr/>
              <a:lstStyle/>
              <a:p>
                <a:pPr>
                  <a:defRPr lang="es-ES" sz="1000" b="1" strike="noStrike" spc="-1">
                    <a:solidFill>
                      <a:srgbClr val="000000"/>
                    </a:solidFill>
                    <a:latin typeface="Arial" panose="020B0604020202020204" pitchFamily="34" charset="0"/>
                    <a:cs typeface="Arial" panose="020B0604020202020204" pitchFamily="34" charset="0"/>
                  </a:defRPr>
                </a:pPr>
                <a:endParaRPr lang="es-ES"/>
              </a:p>
            </c:txPr>
            <c:dLblPos val="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numRef>
              <c:f>Areas!$B$1:$E$1</c:f>
              <c:numCache>
                <c:formatCode>General</c:formatCode>
                <c:ptCount val="4"/>
                <c:pt idx="0">
                  <c:v>2017</c:v>
                </c:pt>
                <c:pt idx="1">
                  <c:v>2018</c:v>
                </c:pt>
                <c:pt idx="2">
                  <c:v>2019</c:v>
                </c:pt>
                <c:pt idx="3">
                  <c:v>2020</c:v>
                </c:pt>
              </c:numCache>
            </c:numRef>
          </c:cat>
          <c:val>
            <c:numRef>
              <c:f>Areas!$B$4:$E$4</c:f>
              <c:numCache>
                <c:formatCode>General</c:formatCode>
                <c:ptCount val="4"/>
                <c:pt idx="0">
                  <c:v>17</c:v>
                </c:pt>
                <c:pt idx="1">
                  <c:v>16</c:v>
                </c:pt>
                <c:pt idx="2">
                  <c:v>14</c:v>
                </c:pt>
                <c:pt idx="3">
                  <c:v>15</c:v>
                </c:pt>
              </c:numCache>
            </c:numRef>
          </c:val>
          <c:smooth val="0"/>
          <c:extLst>
            <c:ext xmlns:c16="http://schemas.microsoft.com/office/drawing/2014/chart" uri="{C3380CC4-5D6E-409C-BE32-E72D297353CC}">
              <c16:uniqueId val="{00000002-2C94-4D40-A879-3490E47C3E90}"/>
            </c:ext>
          </c:extLst>
        </c:ser>
        <c:ser>
          <c:idx val="3"/>
          <c:order val="3"/>
          <c:tx>
            <c:strRef>
              <c:f>Areas!$A$5</c:f>
              <c:strCache>
                <c:ptCount val="1"/>
                <c:pt idx="0">
                  <c:v>Dirección de Prevención, Formación y Documentación</c:v>
                </c:pt>
              </c:strCache>
            </c:strRef>
          </c:tx>
          <c:spPr>
            <a:ln w="28440">
              <a:solidFill>
                <a:srgbClr val="CC8F8E"/>
              </a:solidFill>
              <a:round/>
            </a:ln>
          </c:spPr>
          <c:marker>
            <c:symbol val="x"/>
            <c:size val="5"/>
            <c:spPr>
              <a:solidFill>
                <a:srgbClr val="CC8F8E"/>
              </a:solidFill>
            </c:spPr>
          </c:marker>
          <c:dLbls>
            <c:spPr>
              <a:noFill/>
              <a:ln>
                <a:noFill/>
              </a:ln>
              <a:effectLst/>
            </c:spPr>
            <c:txPr>
              <a:bodyPr/>
              <a:lstStyle/>
              <a:p>
                <a:pPr>
                  <a:defRPr lang="es-ES" sz="1000" b="1" strike="noStrike" spc="-1">
                    <a:solidFill>
                      <a:srgbClr val="000000"/>
                    </a:solidFill>
                    <a:latin typeface="Arial" panose="020B0604020202020204" pitchFamily="34" charset="0"/>
                    <a:cs typeface="Arial" panose="020B0604020202020204" pitchFamily="34" charset="0"/>
                  </a:defRPr>
                </a:pPr>
                <a:endParaRPr lang="es-ES"/>
              </a:p>
            </c:txPr>
            <c:dLblPos val="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numRef>
              <c:f>Areas!$B$1:$E$1</c:f>
              <c:numCache>
                <c:formatCode>General</c:formatCode>
                <c:ptCount val="4"/>
                <c:pt idx="0">
                  <c:v>2017</c:v>
                </c:pt>
                <c:pt idx="1">
                  <c:v>2018</c:v>
                </c:pt>
                <c:pt idx="2">
                  <c:v>2019</c:v>
                </c:pt>
                <c:pt idx="3">
                  <c:v>2020</c:v>
                </c:pt>
              </c:numCache>
            </c:numRef>
          </c:cat>
          <c:val>
            <c:numRef>
              <c:f>Areas!$B$5:$E$5</c:f>
              <c:numCache>
                <c:formatCode>General</c:formatCode>
                <c:ptCount val="4"/>
                <c:pt idx="0">
                  <c:v>4</c:v>
                </c:pt>
                <c:pt idx="1">
                  <c:v>4</c:v>
                </c:pt>
                <c:pt idx="2">
                  <c:v>8</c:v>
                </c:pt>
                <c:pt idx="3">
                  <c:v>12</c:v>
                </c:pt>
              </c:numCache>
            </c:numRef>
          </c:val>
          <c:smooth val="0"/>
          <c:extLst>
            <c:ext xmlns:c16="http://schemas.microsoft.com/office/drawing/2014/chart" uri="{C3380CC4-5D6E-409C-BE32-E72D297353CC}">
              <c16:uniqueId val="{00000003-2C94-4D40-A879-3490E47C3E90}"/>
            </c:ext>
          </c:extLst>
        </c:ser>
        <c:ser>
          <c:idx val="4"/>
          <c:order val="4"/>
          <c:tx>
            <c:strRef>
              <c:f>Areas!$A$6</c:f>
              <c:strCache>
                <c:ptCount val="1"/>
                <c:pt idx="0">
                  <c:v>Dirección de Asuntos Jurídicos</c:v>
                </c:pt>
              </c:strCache>
            </c:strRef>
          </c:tx>
          <c:spPr>
            <a:ln w="28440">
              <a:solidFill>
                <a:srgbClr val="DCB7B6"/>
              </a:solidFill>
              <a:round/>
            </a:ln>
          </c:spPr>
          <c:marker>
            <c:symbol val="square"/>
            <c:size val="5"/>
            <c:spPr>
              <a:solidFill>
                <a:srgbClr val="DCB7B6"/>
              </a:solidFill>
            </c:spPr>
          </c:marker>
          <c:dLbls>
            <c:spPr>
              <a:noFill/>
              <a:ln>
                <a:noFill/>
              </a:ln>
              <a:effectLst/>
            </c:spPr>
            <c:txPr>
              <a:bodyPr/>
              <a:lstStyle/>
              <a:p>
                <a:pPr>
                  <a:defRPr lang="es-ES" sz="1000" b="1" strike="noStrike" spc="-1">
                    <a:solidFill>
                      <a:srgbClr val="000000"/>
                    </a:solidFill>
                    <a:latin typeface="Arial" panose="020B0604020202020204" pitchFamily="34" charset="0"/>
                    <a:cs typeface="Arial" panose="020B0604020202020204" pitchFamily="34" charset="0"/>
                  </a:defRPr>
                </a:pPr>
                <a:endParaRPr lang="es-ES"/>
              </a:p>
            </c:txPr>
            <c:dLblPos val="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numRef>
              <c:f>Areas!$B$1:$E$1</c:f>
              <c:numCache>
                <c:formatCode>General</c:formatCode>
                <c:ptCount val="4"/>
                <c:pt idx="0">
                  <c:v>2017</c:v>
                </c:pt>
                <c:pt idx="1">
                  <c:v>2018</c:v>
                </c:pt>
                <c:pt idx="2">
                  <c:v>2019</c:v>
                </c:pt>
                <c:pt idx="3">
                  <c:v>2020</c:v>
                </c:pt>
              </c:numCache>
            </c:numRef>
          </c:cat>
          <c:val>
            <c:numRef>
              <c:f>Areas!$B$6:$E$6</c:f>
              <c:numCache>
                <c:formatCode>General</c:formatCode>
                <c:ptCount val="4"/>
                <c:pt idx="0">
                  <c:v>5</c:v>
                </c:pt>
                <c:pt idx="1">
                  <c:v>4</c:v>
                </c:pt>
                <c:pt idx="2">
                  <c:v>5</c:v>
                </c:pt>
                <c:pt idx="3">
                  <c:v>8</c:v>
                </c:pt>
              </c:numCache>
            </c:numRef>
          </c:val>
          <c:smooth val="0"/>
          <c:extLst>
            <c:ext xmlns:c16="http://schemas.microsoft.com/office/drawing/2014/chart" uri="{C3380CC4-5D6E-409C-BE32-E72D297353CC}">
              <c16:uniqueId val="{00000004-2C94-4D40-A879-3490E47C3E90}"/>
            </c:ext>
          </c:extLst>
        </c:ser>
        <c:dLbls>
          <c:showLegendKey val="0"/>
          <c:showVal val="0"/>
          <c:showCatName val="0"/>
          <c:showSerName val="0"/>
          <c:showPercent val="0"/>
          <c:showBubbleSize val="0"/>
        </c:dLbls>
        <c:hiLowLines>
          <c:spPr>
            <a:ln>
              <a:noFill/>
            </a:ln>
          </c:spPr>
        </c:hiLowLines>
        <c:marker val="1"/>
        <c:smooth val="0"/>
        <c:axId val="196653824"/>
        <c:axId val="196655360"/>
      </c:lineChart>
      <c:catAx>
        <c:axId val="196653824"/>
        <c:scaling>
          <c:orientation val="minMax"/>
        </c:scaling>
        <c:delete val="0"/>
        <c:axPos val="b"/>
        <c:numFmt formatCode="General" sourceLinked="1"/>
        <c:majorTickMark val="none"/>
        <c:minorTickMark val="none"/>
        <c:tickLblPos val="low"/>
        <c:spPr>
          <a:ln w="9360">
            <a:solidFill>
              <a:srgbClr val="878787"/>
            </a:solidFill>
            <a:round/>
          </a:ln>
        </c:spPr>
        <c:txPr>
          <a:bodyPr/>
          <a:lstStyle/>
          <a:p>
            <a:pPr>
              <a:defRPr lang="es-ES" sz="1000" b="0" strike="noStrike" spc="-1">
                <a:solidFill>
                  <a:srgbClr val="000000"/>
                </a:solidFill>
                <a:latin typeface="Arial" panose="020B0604020202020204" pitchFamily="34" charset="0"/>
                <a:cs typeface="Arial" panose="020B0604020202020204" pitchFamily="34" charset="0"/>
              </a:defRPr>
            </a:pPr>
            <a:endParaRPr lang="es-ES"/>
          </a:p>
        </c:txPr>
        <c:crossAx val="196655360"/>
        <c:crossesAt val="0"/>
        <c:auto val="1"/>
        <c:lblAlgn val="ctr"/>
        <c:lblOffset val="100"/>
        <c:noMultiLvlLbl val="1"/>
      </c:catAx>
      <c:valAx>
        <c:axId val="196655360"/>
        <c:scaling>
          <c:orientation val="minMax"/>
        </c:scaling>
        <c:delete val="0"/>
        <c:axPos val="l"/>
        <c:majorGridlines>
          <c:spPr>
            <a:ln w="9360">
              <a:solidFill>
                <a:srgbClr val="878787"/>
              </a:solidFill>
              <a:round/>
            </a:ln>
          </c:spPr>
        </c:majorGridlines>
        <c:numFmt formatCode="General" sourceLinked="0"/>
        <c:majorTickMark val="none"/>
        <c:minorTickMark val="none"/>
        <c:tickLblPos val="nextTo"/>
        <c:spPr>
          <a:ln w="9360">
            <a:solidFill>
              <a:srgbClr val="878787"/>
            </a:solidFill>
            <a:round/>
          </a:ln>
        </c:spPr>
        <c:txPr>
          <a:bodyPr/>
          <a:lstStyle/>
          <a:p>
            <a:pPr>
              <a:defRPr lang="es-ES" sz="1000" b="0" strike="noStrike" spc="-1">
                <a:solidFill>
                  <a:srgbClr val="000000"/>
                </a:solidFill>
                <a:latin typeface="Calibri"/>
              </a:defRPr>
            </a:pPr>
            <a:endParaRPr lang="es-ES"/>
          </a:p>
        </c:txPr>
        <c:crossAx val="196653824"/>
        <c:crosses val="min"/>
        <c:crossBetween val="midCat"/>
      </c:valAx>
      <c:spPr>
        <a:solidFill>
          <a:srgbClr val="FFFFFF"/>
        </a:solidFill>
        <a:ln>
          <a:noFill/>
        </a:ln>
      </c:spPr>
    </c:plotArea>
    <c:legend>
      <c:legendPos val="r"/>
      <c:overlay val="0"/>
      <c:spPr>
        <a:noFill/>
        <a:ln>
          <a:noFill/>
        </a:ln>
      </c:spPr>
      <c:txPr>
        <a:bodyPr/>
        <a:lstStyle/>
        <a:p>
          <a:pPr>
            <a:defRPr lang="es-ES" sz="800" b="0" strike="noStrike" spc="-1" baseline="0">
              <a:solidFill>
                <a:srgbClr val="000000"/>
              </a:solidFill>
              <a:latin typeface="Arial" panose="020B0604020202020204" pitchFamily="34" charset="0"/>
              <a:cs typeface="Arial" panose="020B0604020202020204" pitchFamily="34" charset="0"/>
            </a:defRPr>
          </a:pPr>
          <a:endParaRPr lang="es-ES"/>
        </a:p>
      </c:txPr>
    </c:legend>
    <c:plotVisOnly val="0"/>
    <c:dispBlanksAs val="gap"/>
    <c:showDLblsOverMax val="1"/>
  </c:chart>
  <c:spPr>
    <a:solidFill>
      <a:srgbClr val="FFFFFF"/>
    </a:solidFill>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386122719618911E-2"/>
          <c:y val="0.1270169623094756"/>
          <c:w val="0.91823746499271497"/>
          <c:h val="0.64146587082629625"/>
        </c:manualLayout>
      </c:layout>
      <c:barChart>
        <c:barDir val="col"/>
        <c:grouping val="clustered"/>
        <c:varyColors val="0"/>
        <c:ser>
          <c:idx val="0"/>
          <c:order val="0"/>
          <c:tx>
            <c:strRef>
              <c:f>Clasificacion!$B$1</c:f>
              <c:strCache>
                <c:ptCount val="1"/>
                <c:pt idx="0">
                  <c:v>2017</c:v>
                </c:pt>
              </c:strCache>
            </c:strRef>
          </c:tx>
          <c:spPr>
            <a:solidFill>
              <a:schemeClr val="bg1">
                <a:lumMod val="65000"/>
              </a:schemeClr>
            </a:solidFill>
            <a:ln>
              <a:noFill/>
            </a:ln>
          </c:spPr>
          <c:invertIfNegative val="0"/>
          <c:dLbls>
            <c:spPr>
              <a:noFill/>
              <a:ln>
                <a:noFill/>
              </a:ln>
              <a:effectLst/>
            </c:spPr>
            <c:txPr>
              <a:bodyPr/>
              <a:lstStyle/>
              <a:p>
                <a:pPr>
                  <a:defRPr lang="es-ES" sz="1000" b="1" strike="noStrike" spc="-1">
                    <a:solidFill>
                      <a:srgbClr val="000000"/>
                    </a:solidFill>
                    <a:latin typeface="Arial" panose="020B0604020202020204" pitchFamily="34" charset="0"/>
                    <a:cs typeface="Arial" panose="020B0604020202020204" pitchFamily="34" charset="0"/>
                  </a:defRPr>
                </a:pPr>
                <a:endParaRPr lang="es-ES"/>
              </a:p>
            </c:txPr>
            <c:dLblPos val="out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Clasificacion!$A$2:$A$8</c:f>
              <c:strCache>
                <c:ptCount val="7"/>
                <c:pt idx="0">
                  <c:v>A1</c:v>
                </c:pt>
                <c:pt idx="1">
                  <c:v>A1/A2</c:v>
                </c:pt>
                <c:pt idx="2">
                  <c:v>A2</c:v>
                </c:pt>
                <c:pt idx="3">
                  <c:v>C1</c:v>
                </c:pt>
                <c:pt idx="4">
                  <c:v>C1/C2</c:v>
                </c:pt>
                <c:pt idx="5">
                  <c:v>C2</c:v>
                </c:pt>
                <c:pt idx="6">
                  <c:v>APF</c:v>
                </c:pt>
              </c:strCache>
            </c:strRef>
          </c:cat>
          <c:val>
            <c:numRef>
              <c:f>Clasificacion!$B$2:$B$8</c:f>
              <c:numCache>
                <c:formatCode>General</c:formatCode>
                <c:ptCount val="7"/>
                <c:pt idx="0">
                  <c:v>18</c:v>
                </c:pt>
                <c:pt idx="1">
                  <c:v>6</c:v>
                </c:pt>
                <c:pt idx="2">
                  <c:v>0</c:v>
                </c:pt>
                <c:pt idx="3">
                  <c:v>0</c:v>
                </c:pt>
                <c:pt idx="4">
                  <c:v>5</c:v>
                </c:pt>
                <c:pt idx="5">
                  <c:v>4</c:v>
                </c:pt>
                <c:pt idx="6">
                  <c:v>0</c:v>
                </c:pt>
              </c:numCache>
            </c:numRef>
          </c:val>
          <c:extLst>
            <c:ext xmlns:c16="http://schemas.microsoft.com/office/drawing/2014/chart" uri="{C3380CC4-5D6E-409C-BE32-E72D297353CC}">
              <c16:uniqueId val="{00000000-7220-4766-8EEF-9892E535A573}"/>
            </c:ext>
          </c:extLst>
        </c:ser>
        <c:ser>
          <c:idx val="1"/>
          <c:order val="1"/>
          <c:tx>
            <c:strRef>
              <c:f>Clasificacion!$C$1</c:f>
              <c:strCache>
                <c:ptCount val="1"/>
                <c:pt idx="0">
                  <c:v>2018</c:v>
                </c:pt>
              </c:strCache>
            </c:strRef>
          </c:tx>
          <c:spPr>
            <a:solidFill>
              <a:schemeClr val="accent4">
                <a:lumMod val="75000"/>
              </a:schemeClr>
            </a:solidFill>
            <a:ln>
              <a:noFill/>
            </a:ln>
          </c:spPr>
          <c:invertIfNegative val="0"/>
          <c:dLbls>
            <c:spPr>
              <a:noFill/>
              <a:ln>
                <a:noFill/>
              </a:ln>
              <a:effectLst/>
            </c:spPr>
            <c:txPr>
              <a:bodyPr/>
              <a:lstStyle/>
              <a:p>
                <a:pPr>
                  <a:defRPr lang="es-ES" sz="1000" b="1" strike="noStrike" spc="-1">
                    <a:solidFill>
                      <a:srgbClr val="000000"/>
                    </a:solidFill>
                    <a:latin typeface="Arial" panose="020B0604020202020204" pitchFamily="34" charset="0"/>
                    <a:cs typeface="Arial" panose="020B0604020202020204" pitchFamily="34" charset="0"/>
                  </a:defRPr>
                </a:pPr>
                <a:endParaRPr lang="es-ES"/>
              </a:p>
            </c:txPr>
            <c:dLblPos val="out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Clasificacion!$A$2:$A$8</c:f>
              <c:strCache>
                <c:ptCount val="7"/>
                <c:pt idx="0">
                  <c:v>A1</c:v>
                </c:pt>
                <c:pt idx="1">
                  <c:v>A1/A2</c:v>
                </c:pt>
                <c:pt idx="2">
                  <c:v>A2</c:v>
                </c:pt>
                <c:pt idx="3">
                  <c:v>C1</c:v>
                </c:pt>
                <c:pt idx="4">
                  <c:v>C1/C2</c:v>
                </c:pt>
                <c:pt idx="5">
                  <c:v>C2</c:v>
                </c:pt>
                <c:pt idx="6">
                  <c:v>APF</c:v>
                </c:pt>
              </c:strCache>
            </c:strRef>
          </c:cat>
          <c:val>
            <c:numRef>
              <c:f>Clasificacion!$C$2:$C$8</c:f>
              <c:numCache>
                <c:formatCode>General</c:formatCode>
                <c:ptCount val="7"/>
                <c:pt idx="0">
                  <c:v>14</c:v>
                </c:pt>
                <c:pt idx="1">
                  <c:v>8</c:v>
                </c:pt>
                <c:pt idx="2">
                  <c:v>2</c:v>
                </c:pt>
                <c:pt idx="3">
                  <c:v>2</c:v>
                </c:pt>
                <c:pt idx="4">
                  <c:v>5</c:v>
                </c:pt>
                <c:pt idx="5">
                  <c:v>0</c:v>
                </c:pt>
                <c:pt idx="6">
                  <c:v>1</c:v>
                </c:pt>
              </c:numCache>
            </c:numRef>
          </c:val>
          <c:extLst>
            <c:ext xmlns:c16="http://schemas.microsoft.com/office/drawing/2014/chart" uri="{C3380CC4-5D6E-409C-BE32-E72D297353CC}">
              <c16:uniqueId val="{00000001-7220-4766-8EEF-9892E535A573}"/>
            </c:ext>
          </c:extLst>
        </c:ser>
        <c:ser>
          <c:idx val="2"/>
          <c:order val="2"/>
          <c:tx>
            <c:strRef>
              <c:f>Clasificacion!$D$1</c:f>
              <c:strCache>
                <c:ptCount val="1"/>
                <c:pt idx="0">
                  <c:v>2019</c:v>
                </c:pt>
              </c:strCache>
            </c:strRef>
          </c:tx>
          <c:spPr>
            <a:solidFill>
              <a:schemeClr val="accent1">
                <a:lumMod val="20000"/>
                <a:lumOff val="80000"/>
              </a:schemeClr>
            </a:solidFill>
            <a:ln>
              <a:noFill/>
            </a:ln>
          </c:spPr>
          <c:invertIfNegative val="0"/>
          <c:dLbls>
            <c:spPr>
              <a:noFill/>
              <a:ln>
                <a:noFill/>
              </a:ln>
              <a:effectLst/>
            </c:spPr>
            <c:txPr>
              <a:bodyPr/>
              <a:lstStyle/>
              <a:p>
                <a:pPr>
                  <a:defRPr lang="es-ES" sz="1000" b="1" strike="noStrike" spc="-1">
                    <a:solidFill>
                      <a:srgbClr val="000000"/>
                    </a:solidFill>
                    <a:latin typeface="Arial" panose="020B0604020202020204" pitchFamily="34" charset="0"/>
                    <a:cs typeface="Arial" panose="020B0604020202020204" pitchFamily="34" charset="0"/>
                  </a:defRPr>
                </a:pPr>
                <a:endParaRPr lang="es-ES"/>
              </a:p>
            </c:txPr>
            <c:dLblPos val="out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Clasificacion!$A$2:$A$8</c:f>
              <c:strCache>
                <c:ptCount val="7"/>
                <c:pt idx="0">
                  <c:v>A1</c:v>
                </c:pt>
                <c:pt idx="1">
                  <c:v>A1/A2</c:v>
                </c:pt>
                <c:pt idx="2">
                  <c:v>A2</c:v>
                </c:pt>
                <c:pt idx="3">
                  <c:v>C1</c:v>
                </c:pt>
                <c:pt idx="4">
                  <c:v>C1/C2</c:v>
                </c:pt>
                <c:pt idx="5">
                  <c:v>C2</c:v>
                </c:pt>
                <c:pt idx="6">
                  <c:v>APF</c:v>
                </c:pt>
              </c:strCache>
            </c:strRef>
          </c:cat>
          <c:val>
            <c:numRef>
              <c:f>Clasificacion!$D$2:$D$8</c:f>
              <c:numCache>
                <c:formatCode>General</c:formatCode>
                <c:ptCount val="7"/>
                <c:pt idx="0">
                  <c:v>21</c:v>
                </c:pt>
                <c:pt idx="1">
                  <c:v>8</c:v>
                </c:pt>
                <c:pt idx="2">
                  <c:v>0</c:v>
                </c:pt>
                <c:pt idx="3">
                  <c:v>3</c:v>
                </c:pt>
                <c:pt idx="4">
                  <c:v>4</c:v>
                </c:pt>
                <c:pt idx="5">
                  <c:v>0</c:v>
                </c:pt>
                <c:pt idx="6">
                  <c:v>1</c:v>
                </c:pt>
              </c:numCache>
            </c:numRef>
          </c:val>
          <c:extLst>
            <c:ext xmlns:c16="http://schemas.microsoft.com/office/drawing/2014/chart" uri="{C3380CC4-5D6E-409C-BE32-E72D297353CC}">
              <c16:uniqueId val="{00000002-7220-4766-8EEF-9892E535A573}"/>
            </c:ext>
          </c:extLst>
        </c:ser>
        <c:ser>
          <c:idx val="3"/>
          <c:order val="3"/>
          <c:tx>
            <c:strRef>
              <c:f>Clasificacion!$E$1</c:f>
              <c:strCache>
                <c:ptCount val="1"/>
                <c:pt idx="0">
                  <c:v>2020</c:v>
                </c:pt>
              </c:strCache>
            </c:strRef>
          </c:tx>
          <c:spPr>
            <a:solidFill>
              <a:schemeClr val="accent1"/>
            </a:solidFill>
          </c:spPr>
          <c:invertIfNegative val="0"/>
          <c:dLbls>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Clasificacion!$A$2:$A$8</c:f>
              <c:strCache>
                <c:ptCount val="7"/>
                <c:pt idx="0">
                  <c:v>A1</c:v>
                </c:pt>
                <c:pt idx="1">
                  <c:v>A1/A2</c:v>
                </c:pt>
                <c:pt idx="2">
                  <c:v>A2</c:v>
                </c:pt>
                <c:pt idx="3">
                  <c:v>C1</c:v>
                </c:pt>
                <c:pt idx="4">
                  <c:v>C1/C2</c:v>
                </c:pt>
                <c:pt idx="5">
                  <c:v>C2</c:v>
                </c:pt>
                <c:pt idx="6">
                  <c:v>APF</c:v>
                </c:pt>
              </c:strCache>
            </c:strRef>
          </c:cat>
          <c:val>
            <c:numRef>
              <c:f>Clasificacion!$E$2:$E$8</c:f>
              <c:numCache>
                <c:formatCode>General</c:formatCode>
                <c:ptCount val="7"/>
                <c:pt idx="0">
                  <c:v>28</c:v>
                </c:pt>
                <c:pt idx="1">
                  <c:v>8</c:v>
                </c:pt>
                <c:pt idx="2">
                  <c:v>0</c:v>
                </c:pt>
                <c:pt idx="3">
                  <c:v>4</c:v>
                </c:pt>
                <c:pt idx="4">
                  <c:v>7</c:v>
                </c:pt>
                <c:pt idx="5">
                  <c:v>0</c:v>
                </c:pt>
                <c:pt idx="6">
                  <c:v>0</c:v>
                </c:pt>
              </c:numCache>
            </c:numRef>
          </c:val>
          <c:extLst>
            <c:ext xmlns:c16="http://schemas.microsoft.com/office/drawing/2014/chart" uri="{C3380CC4-5D6E-409C-BE32-E72D297353CC}">
              <c16:uniqueId val="{00000003-7220-4766-8EEF-9892E535A573}"/>
            </c:ext>
          </c:extLst>
        </c:ser>
        <c:dLbls>
          <c:showLegendKey val="0"/>
          <c:showVal val="0"/>
          <c:showCatName val="0"/>
          <c:showSerName val="0"/>
          <c:showPercent val="0"/>
          <c:showBubbleSize val="0"/>
        </c:dLbls>
        <c:gapWidth val="150"/>
        <c:axId val="196938368"/>
        <c:axId val="196960640"/>
      </c:barChart>
      <c:catAx>
        <c:axId val="196938368"/>
        <c:scaling>
          <c:orientation val="minMax"/>
        </c:scaling>
        <c:delete val="0"/>
        <c:axPos val="b"/>
        <c:numFmt formatCode="General" sourceLinked="1"/>
        <c:majorTickMark val="none"/>
        <c:minorTickMark val="none"/>
        <c:tickLblPos val="low"/>
        <c:spPr>
          <a:ln w="9360">
            <a:solidFill>
              <a:srgbClr val="878787"/>
            </a:solidFill>
            <a:round/>
          </a:ln>
        </c:spPr>
        <c:txPr>
          <a:bodyPr/>
          <a:lstStyle/>
          <a:p>
            <a:pPr>
              <a:defRPr lang="es-ES" sz="1000" b="0" strike="noStrike" spc="-1">
                <a:solidFill>
                  <a:srgbClr val="000000"/>
                </a:solidFill>
                <a:latin typeface="Arial" panose="020B0604020202020204" pitchFamily="34" charset="0"/>
                <a:cs typeface="Arial" panose="020B0604020202020204" pitchFamily="34" charset="0"/>
              </a:defRPr>
            </a:pPr>
            <a:endParaRPr lang="es-ES"/>
          </a:p>
        </c:txPr>
        <c:crossAx val="196960640"/>
        <c:crossesAt val="0"/>
        <c:auto val="1"/>
        <c:lblAlgn val="ctr"/>
        <c:lblOffset val="100"/>
        <c:noMultiLvlLbl val="1"/>
      </c:catAx>
      <c:valAx>
        <c:axId val="196960640"/>
        <c:scaling>
          <c:orientation val="minMax"/>
        </c:scaling>
        <c:delete val="0"/>
        <c:axPos val="l"/>
        <c:majorGridlines>
          <c:spPr>
            <a:ln w="9360">
              <a:solidFill>
                <a:srgbClr val="878787"/>
              </a:solidFill>
              <a:round/>
            </a:ln>
          </c:spPr>
        </c:majorGridlines>
        <c:numFmt formatCode="General" sourceLinked="0"/>
        <c:majorTickMark val="none"/>
        <c:minorTickMark val="none"/>
        <c:tickLblPos val="nextTo"/>
        <c:spPr>
          <a:ln w="9360">
            <a:solidFill>
              <a:srgbClr val="878787"/>
            </a:solidFill>
            <a:round/>
          </a:ln>
        </c:spPr>
        <c:txPr>
          <a:bodyPr/>
          <a:lstStyle/>
          <a:p>
            <a:pPr>
              <a:defRPr lang="es-ES" sz="1000" b="0" strike="noStrike" spc="-1">
                <a:solidFill>
                  <a:srgbClr val="000000"/>
                </a:solidFill>
                <a:latin typeface="Calibri"/>
              </a:defRPr>
            </a:pPr>
            <a:endParaRPr lang="es-ES"/>
          </a:p>
        </c:txPr>
        <c:crossAx val="196938368"/>
        <c:crosses val="min"/>
        <c:crossBetween val="between"/>
      </c:valAx>
      <c:spPr>
        <a:noFill/>
        <a:ln>
          <a:noFill/>
        </a:ln>
      </c:spPr>
    </c:plotArea>
    <c:legend>
      <c:legendPos val="b"/>
      <c:overlay val="0"/>
      <c:spPr>
        <a:noFill/>
        <a:ln>
          <a:noFill/>
        </a:ln>
      </c:spPr>
      <c:txPr>
        <a:bodyPr/>
        <a:lstStyle/>
        <a:p>
          <a:pPr>
            <a:defRPr lang="es-ES" sz="1000" b="0" strike="noStrike" spc="-1">
              <a:solidFill>
                <a:srgbClr val="000000"/>
              </a:solidFill>
              <a:latin typeface="Arial" panose="020B0604020202020204" pitchFamily="34" charset="0"/>
              <a:cs typeface="Arial" panose="020B0604020202020204" pitchFamily="34" charset="0"/>
            </a:defRPr>
          </a:pPr>
          <a:endParaRPr lang="es-ES"/>
        </a:p>
      </c:txPr>
    </c:legend>
    <c:plotVisOnly val="0"/>
    <c:dispBlanksAs val="gap"/>
    <c:showDLblsOverMax val="1"/>
  </c:chart>
  <c:spPr>
    <a:solidFill>
      <a:schemeClr val="bg1">
        <a:lumMod val="95000"/>
      </a:schemeClr>
    </a:solidFill>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'2017'!$D$2</c:f>
              <c:strCache>
                <c:ptCount val="1"/>
                <c:pt idx="0">
                  <c:v>Ocupación</c:v>
                </c:pt>
              </c:strCache>
            </c:strRef>
          </c:tx>
          <c:spPr>
            <a:solidFill>
              <a:schemeClr val="accent1"/>
            </a:solidFill>
            <a:ln>
              <a:noFill/>
            </a:ln>
            <a:effectLst/>
          </c:spPr>
          <c:invertIfNegative val="0"/>
          <c:dLbls>
            <c:dLbl>
              <c:idx val="0"/>
              <c:layout>
                <c:manualLayout>
                  <c:x val="2.1073605624230066E-3"/>
                  <c:y val="2.568493150684931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77-42AE-92D4-9FFDDD9F3F36}"/>
                </c:ext>
              </c:extLst>
            </c:dLbl>
            <c:dLbl>
              <c:idx val="1"/>
              <c:layout>
                <c:manualLayout>
                  <c:x val="-7.7268994670823522E-17"/>
                  <c:y val="4.70890410958904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77-42AE-92D4-9FFDDD9F3F36}"/>
                </c:ext>
              </c:extLst>
            </c:dLbl>
            <c:dLbl>
              <c:idx val="2"/>
              <c:layout>
                <c:manualLayout>
                  <c:x val="-4.6685340802988719E-3"/>
                  <c:y val="-7.153075822603720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77-42AE-92D4-9FFDDD9F3F36}"/>
                </c:ext>
              </c:extLst>
            </c:dLbl>
            <c:dLbl>
              <c:idx val="3"/>
              <c:layout>
                <c:manualLayout>
                  <c:x val="-2.334267040149393E-3"/>
                  <c:y val="-5.722460658082988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77-42AE-92D4-9FFDDD9F3F3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'2017'!$A$3:$A$6</c:f>
              <c:strCache>
                <c:ptCount val="4"/>
                <c:pt idx="0">
                  <c:v>A1</c:v>
                </c:pt>
                <c:pt idx="1">
                  <c:v>A1/A2</c:v>
                </c:pt>
                <c:pt idx="2">
                  <c:v>C1/C2</c:v>
                </c:pt>
                <c:pt idx="3">
                  <c:v>C2</c:v>
                </c:pt>
              </c:strCache>
            </c:strRef>
          </c:cat>
          <c:val>
            <c:numRef>
              <c:f>'2017'!$D$3:$D$6</c:f>
              <c:numCache>
                <c:formatCode>General</c:formatCode>
                <c:ptCount val="4"/>
                <c:pt idx="0">
                  <c:v>5</c:v>
                </c:pt>
                <c:pt idx="1">
                  <c:v>2</c:v>
                </c:pt>
                <c:pt idx="2">
                  <c:v>0</c:v>
                </c:pt>
                <c:pt idx="3">
                  <c:v>0</c:v>
                </c:pt>
              </c:numCache>
            </c:numRef>
          </c:val>
          <c:extLst>
            <c:ext xmlns:c16="http://schemas.microsoft.com/office/drawing/2014/chart" uri="{C3380CC4-5D6E-409C-BE32-E72D297353CC}">
              <c16:uniqueId val="{00000004-E277-42AE-92D4-9FFDDD9F3F36}"/>
            </c:ext>
          </c:extLst>
        </c:ser>
        <c:ser>
          <c:idx val="1"/>
          <c:order val="1"/>
          <c:tx>
            <c:strRef>
              <c:f>'2017'!$E$2</c:f>
              <c:strCache>
                <c:ptCount val="1"/>
                <c:pt idx="0">
                  <c:v>Vacantes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'2017'!$A$3:$A$6</c:f>
              <c:strCache>
                <c:ptCount val="4"/>
                <c:pt idx="0">
                  <c:v>A1</c:v>
                </c:pt>
                <c:pt idx="1">
                  <c:v>A1/A2</c:v>
                </c:pt>
                <c:pt idx="2">
                  <c:v>C1/C2</c:v>
                </c:pt>
                <c:pt idx="3">
                  <c:v>C2</c:v>
                </c:pt>
              </c:strCache>
            </c:strRef>
          </c:cat>
          <c:val>
            <c:numRef>
              <c:f>'2017'!$E$3:$E$6</c:f>
              <c:numCache>
                <c:formatCode>General</c:formatCode>
                <c:ptCount val="4"/>
                <c:pt idx="0">
                  <c:v>13</c:v>
                </c:pt>
                <c:pt idx="1">
                  <c:v>4</c:v>
                </c:pt>
                <c:pt idx="2">
                  <c:v>5</c:v>
                </c:pt>
                <c:pt idx="3">
                  <c:v>4</c:v>
                </c:pt>
              </c:numCache>
            </c:numRef>
          </c:val>
          <c:extLst>
            <c:ext xmlns:c16="http://schemas.microsoft.com/office/drawing/2014/chart" uri="{C3380CC4-5D6E-409C-BE32-E72D297353CC}">
              <c16:uniqueId val="{00000005-E277-42AE-92D4-9FFDDD9F3F36}"/>
            </c:ext>
          </c:extLst>
        </c:ser>
        <c:dLbls>
          <c:dLblPos val="ctr"/>
          <c:showLegendKey val="0"/>
          <c:showVal val="1"/>
          <c:showCatName val="0"/>
          <c:showSerName val="0"/>
          <c:showPercent val="0"/>
          <c:showBubbleSize val="0"/>
        </c:dLbls>
        <c:gapWidth val="150"/>
        <c:overlap val="100"/>
        <c:axId val="1780503280"/>
        <c:axId val="1639694352"/>
      </c:barChart>
      <c:catAx>
        <c:axId val="17805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39694352"/>
        <c:crosses val="autoZero"/>
        <c:auto val="1"/>
        <c:lblAlgn val="ctr"/>
        <c:lblOffset val="100"/>
        <c:noMultiLvlLbl val="0"/>
      </c:catAx>
      <c:valAx>
        <c:axId val="1639694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805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'2018'!$D$1</c:f>
              <c:strCache>
                <c:ptCount val="1"/>
                <c:pt idx="0">
                  <c:v>Ocupación</c:v>
                </c:pt>
              </c:strCache>
            </c:strRef>
          </c:tx>
          <c:spPr>
            <a:solidFill>
              <a:schemeClr val="accent1"/>
            </a:solidFill>
            <a:ln>
              <a:noFill/>
            </a:ln>
            <a:effectLst/>
          </c:spPr>
          <c:invertIfNegative val="0"/>
          <c:dLbls>
            <c:dLbl>
              <c:idx val="2"/>
              <c:layout>
                <c:manualLayout>
                  <c:x val="-4.6685340802988719E-3"/>
                  <c:y val="-7.15307582260372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B9-4B4A-A6EF-F6F021162FC2}"/>
                </c:ext>
              </c:extLst>
            </c:dLbl>
            <c:dLbl>
              <c:idx val="3"/>
              <c:layout>
                <c:manualLayout>
                  <c:x val="-2.334267040149393E-3"/>
                  <c:y val="-5.72246065808298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B9-4B4A-A6EF-F6F021162FC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'2018'!$A$2:$A$7</c:f>
              <c:strCache>
                <c:ptCount val="6"/>
                <c:pt idx="0">
                  <c:v>A1</c:v>
                </c:pt>
                <c:pt idx="1">
                  <c:v>A1/A2</c:v>
                </c:pt>
                <c:pt idx="2">
                  <c:v>A2</c:v>
                </c:pt>
                <c:pt idx="3">
                  <c:v>C1</c:v>
                </c:pt>
                <c:pt idx="4">
                  <c:v>C1/C2</c:v>
                </c:pt>
                <c:pt idx="5">
                  <c:v>APF</c:v>
                </c:pt>
              </c:strCache>
            </c:strRef>
          </c:cat>
          <c:val>
            <c:numRef>
              <c:f>'2018'!$D$2:$D$7</c:f>
              <c:numCache>
                <c:formatCode>General</c:formatCode>
                <c:ptCount val="6"/>
                <c:pt idx="0">
                  <c:v>11</c:v>
                </c:pt>
                <c:pt idx="1">
                  <c:v>8</c:v>
                </c:pt>
                <c:pt idx="2">
                  <c:v>0</c:v>
                </c:pt>
                <c:pt idx="3">
                  <c:v>1</c:v>
                </c:pt>
                <c:pt idx="4">
                  <c:v>3</c:v>
                </c:pt>
                <c:pt idx="5">
                  <c:v>1</c:v>
                </c:pt>
              </c:numCache>
            </c:numRef>
          </c:val>
          <c:extLst>
            <c:ext xmlns:c16="http://schemas.microsoft.com/office/drawing/2014/chart" uri="{C3380CC4-5D6E-409C-BE32-E72D297353CC}">
              <c16:uniqueId val="{00000002-90B9-4B4A-A6EF-F6F021162FC2}"/>
            </c:ext>
          </c:extLst>
        </c:ser>
        <c:ser>
          <c:idx val="1"/>
          <c:order val="1"/>
          <c:tx>
            <c:strRef>
              <c:f>'2018'!$E$1</c:f>
              <c:strCache>
                <c:ptCount val="1"/>
                <c:pt idx="0">
                  <c:v>Vacantes</c:v>
                </c:pt>
              </c:strCache>
            </c:strRef>
          </c:tx>
          <c:spPr>
            <a:solidFill>
              <a:schemeClr val="accent2"/>
            </a:solidFill>
            <a:ln>
              <a:noFill/>
            </a:ln>
            <a:effectLst/>
          </c:spPr>
          <c:invertIfNegative val="0"/>
          <c:dLbls>
            <c:dLbl>
              <c:idx val="1"/>
              <c:layout>
                <c:manualLayout>
                  <c:x val="-5.1353874883286646E-2"/>
                  <c:y val="3.93419170243204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B9-4B4A-A6EF-F6F021162FC2}"/>
                </c:ext>
              </c:extLst>
            </c:dLbl>
            <c:dLbl>
              <c:idx val="5"/>
              <c:layout>
                <c:manualLayout>
                  <c:x val="-5.1353874883286819E-2"/>
                  <c:y val="3.93419170243204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B9-4B4A-A6EF-F6F021162FC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'2018'!$A$2:$A$7</c:f>
              <c:strCache>
                <c:ptCount val="6"/>
                <c:pt idx="0">
                  <c:v>A1</c:v>
                </c:pt>
                <c:pt idx="1">
                  <c:v>A1/A2</c:v>
                </c:pt>
                <c:pt idx="2">
                  <c:v>A2</c:v>
                </c:pt>
                <c:pt idx="3">
                  <c:v>C1</c:v>
                </c:pt>
                <c:pt idx="4">
                  <c:v>C1/C2</c:v>
                </c:pt>
                <c:pt idx="5">
                  <c:v>APF</c:v>
                </c:pt>
              </c:strCache>
            </c:strRef>
          </c:cat>
          <c:val>
            <c:numRef>
              <c:f>'2018'!$E$2:$E$7</c:f>
              <c:numCache>
                <c:formatCode>General</c:formatCode>
                <c:ptCount val="6"/>
                <c:pt idx="0">
                  <c:v>3</c:v>
                </c:pt>
                <c:pt idx="1">
                  <c:v>0</c:v>
                </c:pt>
                <c:pt idx="2">
                  <c:v>2</c:v>
                </c:pt>
                <c:pt idx="3">
                  <c:v>1</c:v>
                </c:pt>
                <c:pt idx="4">
                  <c:v>2</c:v>
                </c:pt>
                <c:pt idx="5">
                  <c:v>0</c:v>
                </c:pt>
              </c:numCache>
            </c:numRef>
          </c:val>
          <c:extLst>
            <c:ext xmlns:c16="http://schemas.microsoft.com/office/drawing/2014/chart" uri="{C3380CC4-5D6E-409C-BE32-E72D297353CC}">
              <c16:uniqueId val="{00000005-90B9-4B4A-A6EF-F6F021162FC2}"/>
            </c:ext>
          </c:extLst>
        </c:ser>
        <c:dLbls>
          <c:dLblPos val="ctr"/>
          <c:showLegendKey val="0"/>
          <c:showVal val="1"/>
          <c:showCatName val="0"/>
          <c:showSerName val="0"/>
          <c:showPercent val="0"/>
          <c:showBubbleSize val="0"/>
        </c:dLbls>
        <c:gapWidth val="150"/>
        <c:overlap val="100"/>
        <c:axId val="1780503280"/>
        <c:axId val="1639694352"/>
      </c:barChart>
      <c:catAx>
        <c:axId val="17805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639694352"/>
        <c:crosses val="autoZero"/>
        <c:auto val="1"/>
        <c:lblAlgn val="ctr"/>
        <c:lblOffset val="100"/>
        <c:noMultiLvlLbl val="0"/>
      </c:catAx>
      <c:valAx>
        <c:axId val="1639694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7805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E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123750749091485E-2"/>
          <c:y val="0.114536923029168"/>
          <c:w val="0.9025563425305354"/>
          <c:h val="0.73081989094332989"/>
        </c:manualLayout>
      </c:layout>
      <c:barChart>
        <c:barDir val="col"/>
        <c:grouping val="percentStacked"/>
        <c:varyColors val="0"/>
        <c:ser>
          <c:idx val="0"/>
          <c:order val="0"/>
          <c:tx>
            <c:strRef>
              <c:f>'2019'!$D$1</c:f>
              <c:strCache>
                <c:ptCount val="1"/>
                <c:pt idx="0">
                  <c:v>Ocupación</c:v>
                </c:pt>
              </c:strCache>
            </c:strRef>
          </c:tx>
          <c:spPr>
            <a:solidFill>
              <a:schemeClr val="accent1"/>
            </a:solidFill>
            <a:ln>
              <a:noFill/>
            </a:ln>
            <a:effectLst/>
          </c:spPr>
          <c:invertIfNegative val="0"/>
          <c:dLbls>
            <c:dLbl>
              <c:idx val="2"/>
              <c:layout>
                <c:manualLayout>
                  <c:x val="-4.6685340802988719E-3"/>
                  <c:y val="-7.15307582260372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B6-4E3C-B208-2D75AADAFC95}"/>
                </c:ext>
              </c:extLst>
            </c:dLbl>
            <c:dLbl>
              <c:idx val="3"/>
              <c:layout>
                <c:manualLayout>
                  <c:x val="-2.334267040149393E-3"/>
                  <c:y val="-5.72246065808298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B6-4E3C-B208-2D75AADAFC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'2019'!$A$2:$A$6</c:f>
              <c:strCache>
                <c:ptCount val="5"/>
                <c:pt idx="0">
                  <c:v>A1</c:v>
                </c:pt>
                <c:pt idx="1">
                  <c:v>A1/A2</c:v>
                </c:pt>
                <c:pt idx="2">
                  <c:v>C1</c:v>
                </c:pt>
                <c:pt idx="3">
                  <c:v>C1/C2</c:v>
                </c:pt>
                <c:pt idx="4">
                  <c:v>APF</c:v>
                </c:pt>
              </c:strCache>
            </c:strRef>
          </c:cat>
          <c:val>
            <c:numRef>
              <c:f>'2019'!$D$2:$D$6</c:f>
              <c:numCache>
                <c:formatCode>General</c:formatCode>
                <c:ptCount val="5"/>
                <c:pt idx="0">
                  <c:v>15</c:v>
                </c:pt>
                <c:pt idx="1">
                  <c:v>8</c:v>
                </c:pt>
                <c:pt idx="2">
                  <c:v>3</c:v>
                </c:pt>
                <c:pt idx="3">
                  <c:v>4</c:v>
                </c:pt>
                <c:pt idx="4">
                  <c:v>1</c:v>
                </c:pt>
              </c:numCache>
            </c:numRef>
          </c:val>
          <c:extLst>
            <c:ext xmlns:c16="http://schemas.microsoft.com/office/drawing/2014/chart" uri="{C3380CC4-5D6E-409C-BE32-E72D297353CC}">
              <c16:uniqueId val="{00000002-F3B6-4E3C-B208-2D75AADAFC95}"/>
            </c:ext>
          </c:extLst>
        </c:ser>
        <c:ser>
          <c:idx val="1"/>
          <c:order val="1"/>
          <c:tx>
            <c:strRef>
              <c:f>'2019'!$E$1</c:f>
              <c:strCache>
                <c:ptCount val="1"/>
                <c:pt idx="0">
                  <c:v>Vacantes</c:v>
                </c:pt>
              </c:strCache>
            </c:strRef>
          </c:tx>
          <c:spPr>
            <a:solidFill>
              <a:schemeClr val="accent2"/>
            </a:solidFill>
            <a:ln>
              <a:noFill/>
            </a:ln>
            <a:effectLst/>
          </c:spPr>
          <c:invertIfNegative val="0"/>
          <c:dLbls>
            <c:dLbl>
              <c:idx val="1"/>
              <c:layout>
                <c:manualLayout>
                  <c:x val="-5.6022408963585478E-2"/>
                  <c:y val="4.291845493562228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B6-4E3C-B208-2D75AADAFC95}"/>
                </c:ext>
              </c:extLst>
            </c:dLbl>
            <c:dLbl>
              <c:idx val="2"/>
              <c:layout>
                <c:manualLayout>
                  <c:x val="-5.8356676003734828E-2"/>
                  <c:y val="3.57653791130186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B6-4E3C-B208-2D75AADAFC95}"/>
                </c:ext>
              </c:extLst>
            </c:dLbl>
            <c:dLbl>
              <c:idx val="3"/>
              <c:layout>
                <c:manualLayout>
                  <c:x val="-5.602240896358552E-2"/>
                  <c:y val="3.21888412017167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B6-4E3C-B208-2D75AADAFC95}"/>
                </c:ext>
              </c:extLst>
            </c:dLbl>
            <c:dLbl>
              <c:idx val="4"/>
              <c:layout>
                <c:manualLayout>
                  <c:x val="-6.3025210084033612E-2"/>
                  <c:y val="3.93419170243204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B6-4E3C-B208-2D75AADAFC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'2019'!$A$2:$A$6</c:f>
              <c:strCache>
                <c:ptCount val="5"/>
                <c:pt idx="0">
                  <c:v>A1</c:v>
                </c:pt>
                <c:pt idx="1">
                  <c:v>A1/A2</c:v>
                </c:pt>
                <c:pt idx="2">
                  <c:v>C1</c:v>
                </c:pt>
                <c:pt idx="3">
                  <c:v>C1/C2</c:v>
                </c:pt>
                <c:pt idx="4">
                  <c:v>APF</c:v>
                </c:pt>
              </c:strCache>
            </c:strRef>
          </c:cat>
          <c:val>
            <c:numRef>
              <c:f>'2019'!$E$2:$E$6</c:f>
              <c:numCache>
                <c:formatCode>General</c:formatCode>
                <c:ptCount val="5"/>
                <c:pt idx="0">
                  <c:v>6</c:v>
                </c:pt>
                <c:pt idx="1">
                  <c:v>0</c:v>
                </c:pt>
                <c:pt idx="2">
                  <c:v>0</c:v>
                </c:pt>
                <c:pt idx="3">
                  <c:v>0</c:v>
                </c:pt>
                <c:pt idx="4">
                  <c:v>0</c:v>
                </c:pt>
              </c:numCache>
            </c:numRef>
          </c:val>
          <c:extLst>
            <c:ext xmlns:c16="http://schemas.microsoft.com/office/drawing/2014/chart" uri="{C3380CC4-5D6E-409C-BE32-E72D297353CC}">
              <c16:uniqueId val="{00000007-F3B6-4E3C-B208-2D75AADAFC95}"/>
            </c:ext>
          </c:extLst>
        </c:ser>
        <c:dLbls>
          <c:dLblPos val="ctr"/>
          <c:showLegendKey val="0"/>
          <c:showVal val="1"/>
          <c:showCatName val="0"/>
          <c:showSerName val="0"/>
          <c:showPercent val="0"/>
          <c:showBubbleSize val="0"/>
        </c:dLbls>
        <c:gapWidth val="150"/>
        <c:overlap val="100"/>
        <c:axId val="1780503280"/>
        <c:axId val="1639694352"/>
      </c:barChart>
      <c:catAx>
        <c:axId val="17805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639694352"/>
        <c:crosses val="autoZero"/>
        <c:auto val="1"/>
        <c:lblAlgn val="ctr"/>
        <c:lblOffset val="100"/>
        <c:noMultiLvlLbl val="0"/>
      </c:catAx>
      <c:valAx>
        <c:axId val="1639694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805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092191909689558E-2"/>
          <c:y val="6.6055045871559637E-2"/>
          <c:w val="0.92003762935089373"/>
          <c:h val="0.80963259409087607"/>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93B3-4746-AA25-643231021E9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93B3-4746-AA25-643231021E9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93B3-4746-AA25-643231021E9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93B3-4746-AA25-643231021E95}"/>
              </c:ext>
            </c:extLst>
          </c:dPt>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ES"/>
                </a:p>
              </c:txPr>
              <c:dLblPos val="ctr"/>
              <c:showLegendKey val="0"/>
              <c:showVal val="0"/>
              <c:showCatName val="1"/>
              <c:showSerName val="0"/>
              <c:showPercent val="1"/>
              <c:showBubbleSize val="0"/>
              <c:extLst>
                <c:ext xmlns:c16="http://schemas.microsoft.com/office/drawing/2014/chart" uri="{C3380CC4-5D6E-409C-BE32-E72D297353CC}">
                  <c16:uniqueId val="{00000001-93B3-4746-AA25-643231021E95}"/>
                </c:ext>
              </c:extLst>
            </c:dLbl>
            <c:dLbl>
              <c:idx val="1"/>
              <c:layout>
                <c:manualLayout>
                  <c:x val="-0.12863962759372061"/>
                  <c:y val="-0.1593047411626738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3B3-4746-AA25-643231021E95}"/>
                </c:ext>
              </c:extLst>
            </c:dLbl>
            <c:dLbl>
              <c:idx val="3"/>
              <c:layout>
                <c:manualLayout>
                  <c:x val="0.12950589254894407"/>
                  <c:y val="6.86189507210475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3B3-4746-AA25-643231021E9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es-E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'Datos Graf'!$A$3:$A$6</c:f>
              <c:strCache>
                <c:ptCount val="4"/>
                <c:pt idx="0">
                  <c:v>Alicante</c:v>
                </c:pt>
                <c:pt idx="1">
                  <c:v>Castelló</c:v>
                </c:pt>
                <c:pt idx="2">
                  <c:v>València</c:v>
                </c:pt>
                <c:pt idx="3">
                  <c:v>Comunitat Valenciana</c:v>
                </c:pt>
              </c:strCache>
            </c:strRef>
          </c:cat>
          <c:val>
            <c:numRef>
              <c:f>'Datos Graf'!$F$3:$F$6</c:f>
              <c:numCache>
                <c:formatCode>General</c:formatCode>
                <c:ptCount val="4"/>
                <c:pt idx="0">
                  <c:v>151</c:v>
                </c:pt>
                <c:pt idx="1">
                  <c:v>52</c:v>
                </c:pt>
                <c:pt idx="2">
                  <c:v>313</c:v>
                </c:pt>
                <c:pt idx="3">
                  <c:v>94</c:v>
                </c:pt>
              </c:numCache>
            </c:numRef>
          </c:val>
          <c:extLst>
            <c:ext xmlns:c16="http://schemas.microsoft.com/office/drawing/2014/chart" uri="{C3380CC4-5D6E-409C-BE32-E72D297353CC}">
              <c16:uniqueId val="{00000008-93B3-4746-AA25-643231021E95}"/>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'2020'!$D$3</c:f>
              <c:strCache>
                <c:ptCount val="1"/>
                <c:pt idx="0">
                  <c:v>Ocupación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'2020'!$A$4:$A$7</c:f>
              <c:strCache>
                <c:ptCount val="4"/>
                <c:pt idx="0">
                  <c:v>A1</c:v>
                </c:pt>
                <c:pt idx="1">
                  <c:v>A1/A2</c:v>
                </c:pt>
                <c:pt idx="2">
                  <c:v>C1</c:v>
                </c:pt>
                <c:pt idx="3">
                  <c:v>C1/C2</c:v>
                </c:pt>
              </c:strCache>
            </c:strRef>
          </c:cat>
          <c:val>
            <c:numRef>
              <c:f>'2020'!$D$4:$D$7</c:f>
              <c:numCache>
                <c:formatCode>General</c:formatCode>
                <c:ptCount val="4"/>
                <c:pt idx="0">
                  <c:v>22</c:v>
                </c:pt>
                <c:pt idx="1">
                  <c:v>7</c:v>
                </c:pt>
                <c:pt idx="2">
                  <c:v>3</c:v>
                </c:pt>
                <c:pt idx="3">
                  <c:v>4</c:v>
                </c:pt>
              </c:numCache>
            </c:numRef>
          </c:val>
          <c:extLst>
            <c:ext xmlns:c16="http://schemas.microsoft.com/office/drawing/2014/chart" uri="{C3380CC4-5D6E-409C-BE32-E72D297353CC}">
              <c16:uniqueId val="{00000000-690F-4995-B379-FFB451A803AA}"/>
            </c:ext>
          </c:extLst>
        </c:ser>
        <c:ser>
          <c:idx val="1"/>
          <c:order val="1"/>
          <c:tx>
            <c:strRef>
              <c:f>'2020'!$E$3</c:f>
              <c:strCache>
                <c:ptCount val="1"/>
                <c:pt idx="0">
                  <c:v>Vacantes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'2020'!$A$4:$A$7</c:f>
              <c:strCache>
                <c:ptCount val="4"/>
                <c:pt idx="0">
                  <c:v>A1</c:v>
                </c:pt>
                <c:pt idx="1">
                  <c:v>A1/A2</c:v>
                </c:pt>
                <c:pt idx="2">
                  <c:v>C1</c:v>
                </c:pt>
                <c:pt idx="3">
                  <c:v>C1/C2</c:v>
                </c:pt>
              </c:strCache>
            </c:strRef>
          </c:cat>
          <c:val>
            <c:numRef>
              <c:f>'2020'!$E$4:$E$7</c:f>
              <c:numCache>
                <c:formatCode>General</c:formatCode>
                <c:ptCount val="4"/>
                <c:pt idx="0">
                  <c:v>6</c:v>
                </c:pt>
                <c:pt idx="1">
                  <c:v>1</c:v>
                </c:pt>
                <c:pt idx="2">
                  <c:v>1</c:v>
                </c:pt>
                <c:pt idx="3">
                  <c:v>3</c:v>
                </c:pt>
              </c:numCache>
            </c:numRef>
          </c:val>
          <c:extLst>
            <c:ext xmlns:c16="http://schemas.microsoft.com/office/drawing/2014/chart" uri="{C3380CC4-5D6E-409C-BE32-E72D297353CC}">
              <c16:uniqueId val="{00000001-690F-4995-B379-FFB451A803AA}"/>
            </c:ext>
          </c:extLst>
        </c:ser>
        <c:dLbls>
          <c:dLblPos val="ctr"/>
          <c:showLegendKey val="0"/>
          <c:showVal val="1"/>
          <c:showCatName val="0"/>
          <c:showSerName val="0"/>
          <c:showPercent val="0"/>
          <c:showBubbleSize val="0"/>
        </c:dLbls>
        <c:gapWidth val="150"/>
        <c:overlap val="100"/>
        <c:axId val="1780503280"/>
        <c:axId val="1639694352"/>
      </c:barChart>
      <c:catAx>
        <c:axId val="17805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639694352"/>
        <c:crosses val="autoZero"/>
        <c:auto val="1"/>
        <c:lblAlgn val="ctr"/>
        <c:lblOffset val="100"/>
        <c:noMultiLvlLbl val="0"/>
      </c:catAx>
      <c:valAx>
        <c:axId val="1639694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805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Totales!$A$2</c:f>
              <c:strCache>
                <c:ptCount val="1"/>
                <c:pt idx="0">
                  <c:v>Puestos ocupados</c:v>
                </c:pt>
              </c:strCache>
            </c:strRef>
          </c:tx>
          <c:spPr>
            <a:solidFill>
              <a:schemeClr val="accent1"/>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1"/>
              <c:extLst>
                <c:ext xmlns:c16="http://schemas.microsoft.com/office/drawing/2014/chart" uri="{C3380CC4-5D6E-409C-BE32-E72D297353CC}">
                  <c16:uniqueId val="{00000000-2346-4CDB-A65E-4505AAC5BF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numRef>
              <c:f>Totales!$B$1:$E$1</c:f>
              <c:numCache>
                <c:formatCode>General</c:formatCode>
                <c:ptCount val="4"/>
                <c:pt idx="0">
                  <c:v>2017</c:v>
                </c:pt>
                <c:pt idx="1">
                  <c:v>2018</c:v>
                </c:pt>
                <c:pt idx="2">
                  <c:v>2019</c:v>
                </c:pt>
                <c:pt idx="3">
                  <c:v>2020</c:v>
                </c:pt>
              </c:numCache>
            </c:numRef>
          </c:cat>
          <c:val>
            <c:numRef>
              <c:f>Totales!$B$2:$E$2</c:f>
              <c:numCache>
                <c:formatCode>General</c:formatCode>
                <c:ptCount val="4"/>
                <c:pt idx="0">
                  <c:v>7</c:v>
                </c:pt>
                <c:pt idx="1">
                  <c:v>24</c:v>
                </c:pt>
                <c:pt idx="2">
                  <c:v>30</c:v>
                </c:pt>
                <c:pt idx="3">
                  <c:v>36</c:v>
                </c:pt>
              </c:numCache>
            </c:numRef>
          </c:val>
          <c:extLst>
            <c:ext xmlns:c16="http://schemas.microsoft.com/office/drawing/2014/chart" uri="{C3380CC4-5D6E-409C-BE32-E72D297353CC}">
              <c16:uniqueId val="{00000001-2346-4CDB-A65E-4505AAC5BF75}"/>
            </c:ext>
          </c:extLst>
        </c:ser>
        <c:ser>
          <c:idx val="1"/>
          <c:order val="1"/>
          <c:tx>
            <c:strRef>
              <c:f>Totales!$A$3</c:f>
              <c:strCache>
                <c:ptCount val="1"/>
                <c:pt idx="0">
                  <c:v>Puestos vacantes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numRef>
              <c:f>Totales!$B$1:$E$1</c:f>
              <c:numCache>
                <c:formatCode>General</c:formatCode>
                <c:ptCount val="4"/>
                <c:pt idx="0">
                  <c:v>2017</c:v>
                </c:pt>
                <c:pt idx="1">
                  <c:v>2018</c:v>
                </c:pt>
                <c:pt idx="2">
                  <c:v>2019</c:v>
                </c:pt>
                <c:pt idx="3">
                  <c:v>2020</c:v>
                </c:pt>
              </c:numCache>
            </c:numRef>
          </c:cat>
          <c:val>
            <c:numRef>
              <c:f>Totales!$B$3:$E$3</c:f>
              <c:numCache>
                <c:formatCode>General</c:formatCode>
                <c:ptCount val="4"/>
                <c:pt idx="0">
                  <c:v>26</c:v>
                </c:pt>
                <c:pt idx="1">
                  <c:v>8</c:v>
                </c:pt>
                <c:pt idx="2">
                  <c:v>7</c:v>
                </c:pt>
                <c:pt idx="3">
                  <c:v>11</c:v>
                </c:pt>
              </c:numCache>
            </c:numRef>
          </c:val>
          <c:extLst>
            <c:ext xmlns:c16="http://schemas.microsoft.com/office/drawing/2014/chart" uri="{C3380CC4-5D6E-409C-BE32-E72D297353CC}">
              <c16:uniqueId val="{00000002-2346-4CDB-A65E-4505AAC5BF75}"/>
            </c:ext>
          </c:extLst>
        </c:ser>
        <c:dLbls>
          <c:showLegendKey val="0"/>
          <c:showVal val="0"/>
          <c:showCatName val="0"/>
          <c:showSerName val="0"/>
          <c:showPercent val="0"/>
          <c:showBubbleSize val="0"/>
        </c:dLbls>
        <c:gapWidth val="150"/>
        <c:overlap val="100"/>
        <c:axId val="196199552"/>
        <c:axId val="196201088"/>
      </c:barChart>
      <c:catAx>
        <c:axId val="1961995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96201088"/>
        <c:crossesAt val="0"/>
        <c:auto val="1"/>
        <c:lblAlgn val="ctr"/>
        <c:lblOffset val="100"/>
        <c:noMultiLvlLbl val="1"/>
      </c:catAx>
      <c:valAx>
        <c:axId val="196201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6199552"/>
        <c:crosses val="min"/>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0"/>
    <c:dispBlanksAs val="gap"/>
    <c:showDLblsOverMax val="1"/>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709320724861545"/>
          <c:y val="0.16829855576293046"/>
          <c:w val="0.82236860942621404"/>
          <c:h val="0.7854781682299885"/>
        </c:manualLayout>
      </c:layout>
      <c:pie3DChart>
        <c:varyColors val="1"/>
        <c:ser>
          <c:idx val="0"/>
          <c:order val="0"/>
          <c:spPr>
            <a:scene3d>
              <a:camera prst="orthographicFront"/>
              <a:lightRig rig="threePt" dir="t"/>
            </a:scene3d>
            <a:sp3d>
              <a:bevelB w="127000" h="127000"/>
            </a:sp3d>
          </c:spPr>
          <c:explosion val="1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1-B944-448D-8150-3D275C1B0C0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3-B944-448D-8150-3D275C1B0C0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5-B944-448D-8150-3D275C1B0C0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7-B944-448D-8150-3D275C1B0C0F}"/>
              </c:ext>
            </c:extLst>
          </c:dPt>
          <c:dPt>
            <c:idx val="4"/>
            <c:bubble3D val="0"/>
            <c:spPr>
              <a:solidFill>
                <a:schemeClr val="bg1">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9-B944-448D-8150-3D275C1B0C0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B-B944-448D-8150-3D275C1B0C0F}"/>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Arial" panose="020B0604020202020204" pitchFamily="34" charset="0"/>
                        <a:ea typeface="+mn-ea"/>
                        <a:cs typeface="Arial" panose="020B0604020202020204" pitchFamily="34" charset="0"/>
                      </a:defRPr>
                    </a:pPr>
                    <a:fld id="{EACDD2F0-0D3F-4479-B9FD-2D0669AD60CE}" type="CATEGORYNAME">
                      <a:rPr lang="en-US">
                        <a:solidFill>
                          <a:schemeClr val="bg1"/>
                        </a:solidFill>
                        <a:latin typeface="Arial" panose="020B0604020202020204" pitchFamily="34" charset="0"/>
                        <a:cs typeface="Arial" panose="020B0604020202020204" pitchFamily="34" charset="0"/>
                      </a:rPr>
                      <a:pPr>
                        <a:defRPr>
                          <a:solidFill>
                            <a:schemeClr val="bg1"/>
                          </a:solidFill>
                          <a:latin typeface="Arial" panose="020B0604020202020204" pitchFamily="34" charset="0"/>
                          <a:cs typeface="Arial" panose="020B0604020202020204" pitchFamily="34" charset="0"/>
                        </a:defRPr>
                      </a:pPr>
                      <a:t>[NOMBRE DE CATEGORÍA]</a:t>
                    </a:fld>
                    <a:r>
                      <a:rPr lang="en-US">
                        <a:solidFill>
                          <a:schemeClr val="bg1"/>
                        </a:solidFill>
                        <a:latin typeface="Arial" panose="020B0604020202020204" pitchFamily="34" charset="0"/>
                        <a:cs typeface="Arial" panose="020B0604020202020204" pitchFamily="34" charset="0"/>
                      </a:rPr>
                      <a:t> </a:t>
                    </a:r>
                    <a:fld id="{2754B2DE-314A-457D-B069-67B03E6F413E}" type="PERCENTAGE">
                      <a:rPr lang="en-US">
                        <a:solidFill>
                          <a:schemeClr val="bg1"/>
                        </a:solidFill>
                        <a:latin typeface="Arial" panose="020B0604020202020204" pitchFamily="34" charset="0"/>
                        <a:cs typeface="Arial" panose="020B0604020202020204" pitchFamily="34" charset="0"/>
                      </a:rPr>
                      <a:pPr>
                        <a:defRPr>
                          <a:solidFill>
                            <a:schemeClr val="bg1"/>
                          </a:solidFill>
                          <a:latin typeface="Arial" panose="020B0604020202020204" pitchFamily="34" charset="0"/>
                          <a:cs typeface="Arial" panose="020B0604020202020204" pitchFamily="34" charset="0"/>
                        </a:defRPr>
                      </a:pPr>
                      <a:t>[PORCENTAJE]</a:t>
                    </a:fld>
                    <a:endParaRPr lang="en-US">
                      <a:solidFill>
                        <a:schemeClr val="bg1"/>
                      </a:solidFill>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1-B944-448D-8150-3D275C1B0C0F}"/>
                </c:ext>
              </c:extLst>
            </c:dLbl>
            <c:dLbl>
              <c:idx val="1"/>
              <c:layout>
                <c:manualLayout>
                  <c:x val="1.7464114832535876E-3"/>
                  <c:y val="-9.10784117397329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fld id="{976E74C7-6698-4801-9343-A3F9EC49DE71}" type="CATEGORYNAME">
                      <a:rPr lang="en-US">
                        <a:latin typeface="Arial" panose="020B0604020202020204" pitchFamily="34" charset="0"/>
                        <a:cs typeface="Arial" panose="020B0604020202020204" pitchFamily="34" charset="0"/>
                      </a:rPr>
                      <a:pPr>
                        <a:defRPr>
                          <a:solidFill>
                            <a:schemeClr val="accent1"/>
                          </a:solidFill>
                          <a:latin typeface="Arial" panose="020B0604020202020204" pitchFamily="34" charset="0"/>
                          <a:cs typeface="Arial" panose="020B0604020202020204" pitchFamily="34" charset="0"/>
                        </a:defRPr>
                      </a:pPr>
                      <a:t>[NOMBRE DE CATEGORÍA]</a:t>
                    </a:fld>
                    <a:r>
                      <a:rPr lang="en-US" baseline="0">
                        <a:latin typeface="Arial" panose="020B0604020202020204" pitchFamily="34" charset="0"/>
                        <a:cs typeface="Arial" panose="020B0604020202020204" pitchFamily="34" charset="0"/>
                      </a:rPr>
                      <a:t> </a:t>
                    </a:r>
                    <a:fld id="{C0EDBB24-6BAA-4276-A4B1-333544DA11A1}" type="PERCENTAGE">
                      <a:rPr lang="en-US" baseline="0">
                        <a:latin typeface="Arial" panose="020B0604020202020204" pitchFamily="34" charset="0"/>
                        <a:cs typeface="Arial" panose="020B0604020202020204" pitchFamily="34" charset="0"/>
                      </a:rPr>
                      <a:pPr>
                        <a:defRPr>
                          <a:solidFill>
                            <a:schemeClr val="accent1"/>
                          </a:solidFill>
                          <a:latin typeface="Arial" panose="020B0604020202020204" pitchFamily="34" charset="0"/>
                          <a:cs typeface="Arial" panose="020B0604020202020204" pitchFamily="34" charset="0"/>
                        </a:defRPr>
                      </a:pPr>
                      <a:t>[PORCENTAJE]</a:t>
                    </a:fld>
                    <a:endParaRPr lang="en-US" baseline="0">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3-B944-448D-8150-3D275C1B0C0F}"/>
                </c:ext>
              </c:extLst>
            </c:dLbl>
            <c:dLbl>
              <c:idx val="2"/>
              <c:layout>
                <c:manualLayout>
                  <c:x val="7.8016614549975508E-2"/>
                  <c:y val="-0.1146350958419109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fld id="{6D3EEC6E-938B-45FF-A5AC-C51349456310}" type="CATEGORYNAME">
                      <a:rPr lang="en-US">
                        <a:latin typeface="Arial" panose="020B0604020202020204" pitchFamily="34" charset="0"/>
                        <a:cs typeface="Arial" panose="020B0604020202020204" pitchFamily="34" charset="0"/>
                      </a:rPr>
                      <a:pPr>
                        <a:defRPr>
                          <a:solidFill>
                            <a:schemeClr val="accent1"/>
                          </a:solidFill>
                          <a:latin typeface="Arial" panose="020B0604020202020204" pitchFamily="34" charset="0"/>
                          <a:cs typeface="Arial" panose="020B0604020202020204" pitchFamily="34" charset="0"/>
                        </a:defRPr>
                      </a:pPr>
                      <a:t>[NOMBRE DE CATEGORÍA]</a:t>
                    </a:fld>
                    <a:r>
                      <a:rPr lang="en-US" baseline="0">
                        <a:latin typeface="Arial" panose="020B0604020202020204" pitchFamily="34" charset="0"/>
                        <a:cs typeface="Arial" panose="020B0604020202020204" pitchFamily="34" charset="0"/>
                      </a:rPr>
                      <a:t> </a:t>
                    </a:r>
                    <a:fld id="{F7BFAD18-B8FC-4A15-BD73-0479E57B38A6}" type="PERCENTAGE">
                      <a:rPr lang="en-US" baseline="0">
                        <a:latin typeface="Arial" panose="020B0604020202020204" pitchFamily="34" charset="0"/>
                        <a:cs typeface="Arial" panose="020B0604020202020204" pitchFamily="34" charset="0"/>
                      </a:rPr>
                      <a:pPr>
                        <a:defRPr>
                          <a:solidFill>
                            <a:schemeClr val="accent1"/>
                          </a:solidFill>
                          <a:latin typeface="Arial" panose="020B0604020202020204" pitchFamily="34" charset="0"/>
                          <a:cs typeface="Arial" panose="020B0604020202020204" pitchFamily="34" charset="0"/>
                        </a:defRPr>
                      </a:pPr>
                      <a:t>[PORCENTAJE]</a:t>
                    </a:fld>
                    <a:endParaRPr lang="en-US" baseline="0">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5-B944-448D-8150-3D275C1B0C0F}"/>
                </c:ext>
              </c:extLst>
            </c:dLbl>
            <c:dLbl>
              <c:idx val="3"/>
              <c:layout>
                <c:manualLayout>
                  <c:x val="0.42822966507177029"/>
                  <c:y val="-1.1190233977619528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fld id="{EEC7AB13-D1BC-40BC-B3BB-79EC5122C239}" type="CATEGORYNAME">
                      <a:rPr lang="en-US">
                        <a:latin typeface="Arial" panose="020B0604020202020204" pitchFamily="34" charset="0"/>
                        <a:cs typeface="Arial" panose="020B0604020202020204" pitchFamily="34" charset="0"/>
                      </a:rPr>
                      <a:pPr>
                        <a:defRPr>
                          <a:solidFill>
                            <a:schemeClr val="accent1"/>
                          </a:solidFill>
                          <a:latin typeface="Arial" panose="020B0604020202020204" pitchFamily="34" charset="0"/>
                          <a:cs typeface="Arial" panose="020B0604020202020204" pitchFamily="34" charset="0"/>
                        </a:defRPr>
                      </a:pPr>
                      <a:t>[NOMBRE DE CATEGORÍA]</a:t>
                    </a:fld>
                    <a:r>
                      <a:rPr lang="en-US" baseline="0">
                        <a:latin typeface="Arial" panose="020B0604020202020204" pitchFamily="34" charset="0"/>
                        <a:cs typeface="Arial" panose="020B0604020202020204" pitchFamily="34" charset="0"/>
                      </a:rPr>
                      <a:t> </a:t>
                    </a:r>
                    <a:fld id="{DF913E67-09E8-4283-8EA5-93C527421379}" type="PERCENTAGE">
                      <a:rPr lang="en-US" baseline="0">
                        <a:latin typeface="Arial" panose="020B0604020202020204" pitchFamily="34" charset="0"/>
                        <a:cs typeface="Arial" panose="020B0604020202020204" pitchFamily="34" charset="0"/>
                      </a:rPr>
                      <a:pPr>
                        <a:defRPr>
                          <a:solidFill>
                            <a:schemeClr val="accent1"/>
                          </a:solidFill>
                          <a:latin typeface="Arial" panose="020B0604020202020204" pitchFamily="34" charset="0"/>
                          <a:cs typeface="Arial" panose="020B0604020202020204" pitchFamily="34" charset="0"/>
                        </a:defRPr>
                      </a:pPr>
                      <a:t>[PORCENTAJE]</a:t>
                    </a:fld>
                    <a:endParaRPr lang="en-US" baseline="0">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1"/>
              <c:extLst>
                <c:ext xmlns:c15="http://schemas.microsoft.com/office/drawing/2012/chart" uri="{CE6537A1-D6FC-4f65-9D91-7224C49458BB}">
                  <c15:layout>
                    <c:manualLayout>
                      <c:w val="0.45574162679425839"/>
                      <c:h val="0.14038657171922686"/>
                    </c:manualLayout>
                  </c15:layout>
                  <c15:dlblFieldTable/>
                  <c15:showDataLabelsRange val="0"/>
                </c:ext>
                <c:ext xmlns:c16="http://schemas.microsoft.com/office/drawing/2014/chart" uri="{C3380CC4-5D6E-409C-BE32-E72D297353CC}">
                  <c16:uniqueId val="{00000007-B944-448D-8150-3D275C1B0C0F}"/>
                </c:ext>
              </c:extLst>
            </c:dLbl>
            <c:dLbl>
              <c:idx val="4"/>
              <c:layout>
                <c:manualLayout>
                  <c:x val="-0.15366028708133972"/>
                  <c:y val="5.314343845371312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Arial" panose="020B0604020202020204" pitchFamily="34" charset="0"/>
                        <a:ea typeface="+mn-ea"/>
                        <a:cs typeface="Arial" panose="020B0604020202020204" pitchFamily="34" charset="0"/>
                      </a:defRPr>
                    </a:pPr>
                    <a:fld id="{59711158-B049-4103-BCA5-696033BF3046}" type="CATEGORYNAME">
                      <a:rPr lang="en-US">
                        <a:solidFill>
                          <a:schemeClr val="bg1"/>
                        </a:solidFill>
                        <a:latin typeface="Arial" panose="020B0604020202020204" pitchFamily="34" charset="0"/>
                        <a:cs typeface="Arial" panose="020B0604020202020204" pitchFamily="34" charset="0"/>
                      </a:rPr>
                      <a:pPr>
                        <a:defRPr>
                          <a:solidFill>
                            <a:schemeClr val="bg1"/>
                          </a:solidFill>
                          <a:latin typeface="Arial" panose="020B0604020202020204" pitchFamily="34" charset="0"/>
                          <a:cs typeface="Arial" panose="020B0604020202020204" pitchFamily="34" charset="0"/>
                        </a:defRPr>
                      </a:pPr>
                      <a:t>[NOMBRE DE CATEGORÍA]</a:t>
                    </a:fld>
                    <a:r>
                      <a:rPr lang="en-US" baseline="0">
                        <a:solidFill>
                          <a:schemeClr val="bg1"/>
                        </a:solidFill>
                        <a:latin typeface="Arial" panose="020B0604020202020204" pitchFamily="34" charset="0"/>
                        <a:cs typeface="Arial" panose="020B0604020202020204" pitchFamily="34" charset="0"/>
                      </a:rPr>
                      <a:t> </a:t>
                    </a:r>
                    <a:fld id="{BC13C707-9022-435E-9DF9-5BD2472F41A4}" type="PERCENTAGE">
                      <a:rPr lang="en-US" baseline="0">
                        <a:solidFill>
                          <a:schemeClr val="bg1"/>
                        </a:solidFill>
                        <a:latin typeface="Arial" panose="020B0604020202020204" pitchFamily="34" charset="0"/>
                        <a:cs typeface="Arial" panose="020B0604020202020204" pitchFamily="34" charset="0"/>
                      </a:rPr>
                      <a:pPr>
                        <a:defRPr>
                          <a:solidFill>
                            <a:schemeClr val="bg1"/>
                          </a:solidFill>
                          <a:latin typeface="Arial" panose="020B0604020202020204" pitchFamily="34" charset="0"/>
                          <a:cs typeface="Arial" panose="020B0604020202020204" pitchFamily="34" charset="0"/>
                        </a:defRPr>
                      </a:pPr>
                      <a:t>[PORCENTAJE]</a:t>
                    </a:fld>
                    <a:endParaRPr lang="en-US" baseline="0">
                      <a:solidFill>
                        <a:schemeClr val="bg1"/>
                      </a:solidFill>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9-B944-448D-8150-3D275C1B0C0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'2020_procedencia_funcionarios'!$A$2:$A$6</c:f>
              <c:strCache>
                <c:ptCount val="5"/>
                <c:pt idx="0">
                  <c:v>Vacantes</c:v>
                </c:pt>
                <c:pt idx="1">
                  <c:v>Administración Estado</c:v>
                </c:pt>
                <c:pt idx="2">
                  <c:v>Administración Aut.Valenciana</c:v>
                </c:pt>
                <c:pt idx="3">
                  <c:v>Otras Administraciones Autonómicas</c:v>
                </c:pt>
                <c:pt idx="4">
                  <c:v>Administración Local</c:v>
                </c:pt>
              </c:strCache>
            </c:strRef>
          </c:cat>
          <c:val>
            <c:numRef>
              <c:f>'2020_procedencia_funcionarios'!$B$2:$B$6</c:f>
              <c:numCache>
                <c:formatCode>General</c:formatCode>
                <c:ptCount val="5"/>
                <c:pt idx="0">
                  <c:v>11</c:v>
                </c:pt>
                <c:pt idx="1">
                  <c:v>2</c:v>
                </c:pt>
                <c:pt idx="2">
                  <c:v>7</c:v>
                </c:pt>
                <c:pt idx="3">
                  <c:v>2</c:v>
                </c:pt>
                <c:pt idx="4">
                  <c:v>25</c:v>
                </c:pt>
              </c:numCache>
            </c:numRef>
          </c:val>
          <c:extLst>
            <c:ext xmlns:c15="http://schemas.microsoft.com/office/drawing/2012/chart" uri="{02D57815-91ED-43cb-92C2-25804820EDAC}">
              <c15:filteredSeriesTitle>
                <c15:tx>
                  <c:strRef>
                    <c:extLst>
                      <c:ext uri="{02D57815-91ED-43cb-92C2-25804820EDAC}">
                        <c15:formulaRef>
                          <c15:sqref>label 0</c15:sqref>
                        </c15:formulaRef>
                      </c:ext>
                    </c:extLst>
                    <c:strCache>
                      <c:ptCount val="1"/>
                      <c:pt idx="0">
                        <c:v>Columna B</c:v>
                      </c:pt>
                    </c:strCache>
                  </c:strRef>
                </c15:tx>
              </c15:filteredSeriesTitle>
            </c:ext>
            <c:ext xmlns:c16="http://schemas.microsoft.com/office/drawing/2014/chart" uri="{C3380CC4-5D6E-409C-BE32-E72D297353CC}">
              <c16:uniqueId val="{0000000C-B944-448D-8150-3D275C1B0C0F}"/>
            </c:ext>
          </c:extLst>
        </c:ser>
        <c:dLbls>
          <c:dLblPos val="outEnd"/>
          <c:showLegendKey val="0"/>
          <c:showVal val="0"/>
          <c:showCatName val="1"/>
          <c:showSerName val="0"/>
          <c:showPercent val="0"/>
          <c:showBubbleSize val="0"/>
          <c:showLeaderLines val="1"/>
        </c:dLbls>
      </c:pie3DChart>
      <c:spPr>
        <a:noFill/>
        <a:ln>
          <a:noFill/>
        </a:ln>
        <a:effectLst/>
      </c:spPr>
    </c:plotArea>
    <c:plotVisOnly val="0"/>
    <c:dispBlanksAs val="zero"/>
    <c:showDLblsOverMax val="1"/>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2"/>
          <c:dPt>
            <c:idx val="0"/>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1-4619-439C-89FD-20E858320D66}"/>
              </c:ext>
            </c:extLst>
          </c:dPt>
          <c:dPt>
            <c:idx val="1"/>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3-4619-439C-89FD-20E858320D66}"/>
              </c:ext>
            </c:extLst>
          </c:dPt>
          <c:dPt>
            <c:idx val="2"/>
            <c:bubble3D val="0"/>
            <c:spPr>
              <a:solidFill>
                <a:schemeClr val="bg1">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5-4619-439C-89FD-20E858320D6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7-4619-439C-89FD-20E858320D66}"/>
              </c:ext>
            </c:extLst>
          </c:dPt>
          <c:dLbls>
            <c:dLbl>
              <c:idx val="0"/>
              <c:layout>
                <c:manualLayout>
                  <c:x val="-0.15224054268868886"/>
                  <c:y val="0.10669508674940474"/>
                </c:manualLayout>
              </c:layout>
              <c:spPr>
                <a:noFill/>
                <a:ln>
                  <a:noFill/>
                </a:ln>
                <a:effectLst/>
              </c:spPr>
              <c:txPr>
                <a:bodyPr rot="0" spcFirstLastPara="1" vertOverflow="overflow" horzOverflow="overflow"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4619-439C-89FD-20E858320D66}"/>
                </c:ext>
              </c:extLst>
            </c:dLbl>
            <c:dLbl>
              <c:idx val="1"/>
              <c:layout>
                <c:manualLayout>
                  <c:x val="-0.19191616064080658"/>
                  <c:y val="-0.31521917969209073"/>
                </c:manualLayout>
              </c:layout>
              <c:spPr>
                <a:noFill/>
                <a:ln>
                  <a:noFill/>
                </a:ln>
                <a:effectLst/>
              </c:spPr>
              <c:txPr>
                <a:bodyPr rot="0" spcFirstLastPara="1" vertOverflow="overflow" horzOverflow="overflow"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4619-439C-89FD-20E858320D66}"/>
                </c:ext>
              </c:extLst>
            </c:dLbl>
            <c:dLbl>
              <c:idx val="2"/>
              <c:spPr>
                <a:noFill/>
                <a:ln>
                  <a:noFill/>
                </a:ln>
                <a:effectLst/>
              </c:spPr>
              <c:txPr>
                <a:bodyPr rot="0" spcFirstLastPara="1" vertOverflow="overflow" horzOverflow="overflow"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4619-439C-89FD-20E858320D66}"/>
                </c:ext>
              </c:extLst>
            </c:dLbl>
            <c:dLbl>
              <c:idx val="3"/>
              <c:spPr>
                <a:noFill/>
                <a:ln>
                  <a:noFill/>
                </a:ln>
                <a:effectLst/>
              </c:spPr>
              <c:txPr>
                <a:bodyPr rot="0" spcFirstLastPara="1" vertOverflow="overflow" horzOverflow="overflow"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4619-439C-89FD-20E858320D66}"/>
                </c:ext>
              </c:extLst>
            </c:dLbl>
            <c:spPr>
              <a:noFill/>
              <a:ln>
                <a:noFill/>
              </a:ln>
              <a:effectLst/>
            </c:spPr>
            <c:txPr>
              <a:bodyPr rot="0" spcFirstLastPara="1" vertOverflow="overflow" horzOverflow="overflow"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'Genero-edad'!$K$4:$K$7</c:f>
              <c:strCache>
                <c:ptCount val="4"/>
                <c:pt idx="0">
                  <c:v>menor de 40</c:v>
                </c:pt>
                <c:pt idx="1">
                  <c:v>de 41 a 50</c:v>
                </c:pt>
                <c:pt idx="2">
                  <c:v>de 51 a 60</c:v>
                </c:pt>
                <c:pt idx="3">
                  <c:v>más de 61</c:v>
                </c:pt>
              </c:strCache>
            </c:strRef>
          </c:cat>
          <c:val>
            <c:numRef>
              <c:f>'Genero-edad'!$L$4:$L$7</c:f>
              <c:numCache>
                <c:formatCode>General</c:formatCode>
                <c:ptCount val="4"/>
                <c:pt idx="0">
                  <c:v>8</c:v>
                </c:pt>
                <c:pt idx="1">
                  <c:v>14</c:v>
                </c:pt>
                <c:pt idx="2">
                  <c:v>12</c:v>
                </c:pt>
                <c:pt idx="3">
                  <c:v>3</c:v>
                </c:pt>
              </c:numCache>
            </c:numRef>
          </c:val>
          <c:extLst>
            <c:ext xmlns:c16="http://schemas.microsoft.com/office/drawing/2014/chart" uri="{C3380CC4-5D6E-409C-BE32-E72D297353CC}">
              <c16:uniqueId val="{00000008-4619-439C-89FD-20E858320D66}"/>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a:bevelB w="127000" h="127000"/>
            </a:sp3d>
          </c:spPr>
          <c:dPt>
            <c:idx val="0"/>
            <c:bubble3D val="0"/>
            <c:spPr>
              <a:solidFill>
                <a:schemeClr val="bg1">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1-4D78-496E-A927-9360010E2779}"/>
              </c:ext>
            </c:extLst>
          </c:dPt>
          <c:dPt>
            <c:idx val="1"/>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3-4D78-496E-A927-9360010E2779}"/>
              </c:ext>
            </c:extLst>
          </c:dPt>
          <c:dLbls>
            <c:dLbl>
              <c:idx val="0"/>
              <c:layout>
                <c:manualLayout>
                  <c:x val="-0.20788530465949828"/>
                  <c:y val="5.450652131594319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bg1"/>
                      </a:solidFill>
                      <a:latin typeface="Arial" panose="020B0604020202020204" pitchFamily="34" charset="0"/>
                      <a:ea typeface="+mn-ea"/>
                      <a:cs typeface="Arial" panose="020B0604020202020204" pitchFamily="34" charset="0"/>
                    </a:defRPr>
                  </a:pPr>
                  <a:endParaRPr lang="es-E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D78-496E-A927-9360010E2779}"/>
                </c:ext>
              </c:extLst>
            </c:dLbl>
            <c:dLbl>
              <c:idx val="1"/>
              <c:layout>
                <c:manualLayout>
                  <c:x val="0.27240143369175629"/>
                  <c:y val="-0.18687950165466224"/>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bg1"/>
                      </a:solidFill>
                      <a:latin typeface="Arial" panose="020B0604020202020204" pitchFamily="34" charset="0"/>
                      <a:ea typeface="+mn-ea"/>
                      <a:cs typeface="Arial" panose="020B0604020202020204" pitchFamily="34" charset="0"/>
                    </a:defRPr>
                  </a:pPr>
                  <a:endParaRPr lang="es-E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D78-496E-A927-9360010E277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bg1"/>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'Genero-edad'!$K$10:$K$11</c:f>
              <c:strCache>
                <c:ptCount val="2"/>
                <c:pt idx="0">
                  <c:v>Hombre</c:v>
                </c:pt>
                <c:pt idx="1">
                  <c:v>Mujer</c:v>
                </c:pt>
              </c:strCache>
            </c:strRef>
          </c:cat>
          <c:val>
            <c:numRef>
              <c:f>'Genero-edad'!$L$10:$L$11</c:f>
              <c:numCache>
                <c:formatCode>General</c:formatCode>
                <c:ptCount val="2"/>
                <c:pt idx="0">
                  <c:v>13</c:v>
                </c:pt>
                <c:pt idx="1">
                  <c:v>24</c:v>
                </c:pt>
              </c:numCache>
            </c:numRef>
          </c:val>
          <c:extLst>
            <c:ext xmlns:c16="http://schemas.microsoft.com/office/drawing/2014/chart" uri="{C3380CC4-5D6E-409C-BE32-E72D297353CC}">
              <c16:uniqueId val="{00000004-4D78-496E-A927-9360010E2779}"/>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chemeClr val="accent6">
                  <a:lumMod val="60000"/>
                  <a:lumOff val="40000"/>
                </a:schemeClr>
              </a:solidFill>
              <a:ln w="25400">
                <a:noFill/>
              </a:ln>
              <a:effectLst/>
              <a:sp3d/>
            </c:spPr>
            <c:extLst>
              <c:ext xmlns:c16="http://schemas.microsoft.com/office/drawing/2014/chart" uri="{C3380CC4-5D6E-409C-BE32-E72D297353CC}">
                <c16:uniqueId val="{00000001-B079-403B-948B-67EF7B0AED2A}"/>
              </c:ext>
            </c:extLst>
          </c:dPt>
          <c:dPt>
            <c:idx val="1"/>
            <c:bubble3D val="0"/>
            <c:spPr>
              <a:solidFill>
                <a:schemeClr val="accent3"/>
              </a:solidFill>
              <a:ln w="25400">
                <a:noFill/>
              </a:ln>
              <a:effectLst/>
              <a:sp3d/>
            </c:spPr>
            <c:extLst>
              <c:ext xmlns:c16="http://schemas.microsoft.com/office/drawing/2014/chart" uri="{C3380CC4-5D6E-409C-BE32-E72D297353CC}">
                <c16:uniqueId val="{00000003-B079-403B-948B-67EF7B0AED2A}"/>
              </c:ext>
            </c:extLst>
          </c:dPt>
          <c:dPt>
            <c:idx val="2"/>
            <c:bubble3D val="0"/>
            <c:spPr>
              <a:solidFill>
                <a:schemeClr val="accent1"/>
              </a:solidFill>
              <a:ln w="25400">
                <a:noFill/>
              </a:ln>
              <a:effectLst/>
              <a:sp3d/>
            </c:spPr>
            <c:extLst>
              <c:ext xmlns:c16="http://schemas.microsoft.com/office/drawing/2014/chart" uri="{C3380CC4-5D6E-409C-BE32-E72D297353CC}">
                <c16:uniqueId val="{00000005-B079-403B-948B-67EF7B0AED2A}"/>
              </c:ext>
            </c:extLst>
          </c:dPt>
          <c:dPt>
            <c:idx val="3"/>
            <c:bubble3D val="0"/>
            <c:spPr>
              <a:solidFill>
                <a:schemeClr val="accent4"/>
              </a:solidFill>
              <a:ln w="25400">
                <a:noFill/>
              </a:ln>
              <a:effectLst/>
              <a:sp3d/>
            </c:spPr>
            <c:extLst>
              <c:ext xmlns:c16="http://schemas.microsoft.com/office/drawing/2014/chart" uri="{C3380CC4-5D6E-409C-BE32-E72D297353CC}">
                <c16:uniqueId val="{00000007-B079-403B-948B-67EF7B0AED2A}"/>
              </c:ext>
            </c:extLst>
          </c:dPt>
          <c:dLbls>
            <c:dLbl>
              <c:idx val="0"/>
              <c:layout>
                <c:manualLayout>
                  <c:x val="-0.16479302587176603"/>
                  <c:y val="5.54767853331048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079-403B-948B-67EF7B0AED2A}"/>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0"/>
              <c:showSerName val="0"/>
              <c:showPercent val="1"/>
              <c:showBubbleSize val="0"/>
              <c:extLst>
                <c:ext xmlns:c16="http://schemas.microsoft.com/office/drawing/2014/chart" uri="{C3380CC4-5D6E-409C-BE32-E72D297353CC}">
                  <c16:uniqueId val="{00000003-B079-403B-948B-67EF7B0AED2A}"/>
                </c:ext>
              </c:extLst>
            </c:dLbl>
            <c:dLbl>
              <c:idx val="2"/>
              <c:layout>
                <c:manualLayout>
                  <c:x val="0.10667163479565055"/>
                  <c:y val="-0.289715675574917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079-403B-948B-67EF7B0AED2A}"/>
                </c:ext>
              </c:extLst>
            </c:dLbl>
            <c:dLbl>
              <c:idx val="3"/>
              <c:layout>
                <c:manualLayout>
                  <c:x val="0.13560639295088114"/>
                  <c:y val="8.01829754098607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079-403B-948B-67EF7B0AED2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Hoja1!$A$1:$A$4</c:f>
              <c:strCache>
                <c:ptCount val="4"/>
                <c:pt idx="0">
                  <c:v>Menor</c:v>
                </c:pt>
                <c:pt idx="1">
                  <c:v>Restringido</c:v>
                </c:pt>
                <c:pt idx="2">
                  <c:v>Abierto</c:v>
                </c:pt>
                <c:pt idx="3">
                  <c:v>Basado en Acuerdo Marco</c:v>
                </c:pt>
              </c:strCache>
            </c:strRef>
          </c:cat>
          <c:val>
            <c:numRef>
              <c:f>Hoja1!$B$1:$B$4</c:f>
              <c:numCache>
                <c:formatCode>0.00%</c:formatCode>
                <c:ptCount val="4"/>
                <c:pt idx="0">
                  <c:v>0.3619</c:v>
                </c:pt>
                <c:pt idx="1">
                  <c:v>4.0599999999999997E-2</c:v>
                </c:pt>
                <c:pt idx="2">
                  <c:v>0.30549999999999999</c:v>
                </c:pt>
                <c:pt idx="3">
                  <c:v>0.29199999999999998</c:v>
                </c:pt>
              </c:numCache>
            </c:numRef>
          </c:val>
          <c:extLst>
            <c:ext xmlns:c16="http://schemas.microsoft.com/office/drawing/2014/chart" uri="{C3380CC4-5D6E-409C-BE32-E72D297353CC}">
              <c16:uniqueId val="{00000008-B079-403B-948B-67EF7B0AED2A}"/>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chemeClr val="accent1"/>
              </a:solidFill>
              <a:ln w="25400">
                <a:noFill/>
              </a:ln>
              <a:effectLst/>
              <a:sp3d/>
            </c:spPr>
            <c:extLst>
              <c:ext xmlns:c16="http://schemas.microsoft.com/office/drawing/2014/chart" uri="{C3380CC4-5D6E-409C-BE32-E72D297353CC}">
                <c16:uniqueId val="{00000001-339A-4CE9-8A3B-AE8C3EDE4A5A}"/>
              </c:ext>
            </c:extLst>
          </c:dPt>
          <c:dPt>
            <c:idx val="1"/>
            <c:bubble3D val="0"/>
            <c:spPr>
              <a:solidFill>
                <a:schemeClr val="accent1">
                  <a:lumMod val="40000"/>
                  <a:lumOff val="60000"/>
                </a:schemeClr>
              </a:solidFill>
              <a:ln w="25400">
                <a:noFill/>
              </a:ln>
              <a:effectLst/>
              <a:sp3d/>
            </c:spPr>
            <c:extLst>
              <c:ext xmlns:c16="http://schemas.microsoft.com/office/drawing/2014/chart" uri="{C3380CC4-5D6E-409C-BE32-E72D297353CC}">
                <c16:uniqueId val="{00000003-339A-4CE9-8A3B-AE8C3EDE4A5A}"/>
              </c:ext>
            </c:extLst>
          </c:dPt>
          <c:dPt>
            <c:idx val="2"/>
            <c:bubble3D val="0"/>
            <c:spPr>
              <a:solidFill>
                <a:schemeClr val="accent5"/>
              </a:solidFill>
              <a:ln w="25400">
                <a:noFill/>
              </a:ln>
              <a:effectLst/>
              <a:sp3d/>
            </c:spPr>
            <c:extLst>
              <c:ext xmlns:c16="http://schemas.microsoft.com/office/drawing/2014/chart" uri="{C3380CC4-5D6E-409C-BE32-E72D297353CC}">
                <c16:uniqueId val="{00000005-339A-4CE9-8A3B-AE8C3EDE4A5A}"/>
              </c:ext>
            </c:extLst>
          </c:dPt>
          <c:dPt>
            <c:idx val="3"/>
            <c:bubble3D val="0"/>
            <c:spPr>
              <a:solidFill>
                <a:schemeClr val="accent6">
                  <a:lumMod val="60000"/>
                  <a:lumOff val="40000"/>
                </a:schemeClr>
              </a:solidFill>
              <a:ln w="25400">
                <a:noFill/>
              </a:ln>
              <a:effectLst/>
              <a:sp3d/>
            </c:spPr>
            <c:extLst>
              <c:ext xmlns:c16="http://schemas.microsoft.com/office/drawing/2014/chart" uri="{C3380CC4-5D6E-409C-BE32-E72D297353CC}">
                <c16:uniqueId val="{00000007-339A-4CE9-8A3B-AE8C3EDE4A5A}"/>
              </c:ext>
            </c:extLst>
          </c:dPt>
          <c:dLbls>
            <c:dLbl>
              <c:idx val="0"/>
              <c:layout>
                <c:manualLayout>
                  <c:x val="-0.18075193809329984"/>
                  <c:y val="6.1107667290398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9A-4CE9-8A3B-AE8C3EDE4A5A}"/>
                </c:ext>
              </c:extLst>
            </c:dLbl>
            <c:dLbl>
              <c:idx val="1"/>
              <c:layout>
                <c:manualLayout>
                  <c:x val="8.3800306211723533E-3"/>
                  <c:y val="6.2995771361913006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9A-4CE9-8A3B-AE8C3EDE4A5A}"/>
                </c:ext>
              </c:extLst>
            </c:dLbl>
            <c:dLbl>
              <c:idx val="2"/>
              <c:layout>
                <c:manualLayout>
                  <c:x val="9.8657066262439114E-2"/>
                  <c:y val="-0.313511245916669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9A-4CE9-8A3B-AE8C3EDE4A5A}"/>
                </c:ext>
              </c:extLst>
            </c:dLbl>
            <c:dLbl>
              <c:idx val="3"/>
              <c:layout>
                <c:manualLayout>
                  <c:x val="0.16830509822635806"/>
                  <c:y val="7.3153959929303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9A-4CE9-8A3B-AE8C3EDE4A5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Hoja1!$A$18:$A$21</c:f>
              <c:strCache>
                <c:ptCount val="4"/>
                <c:pt idx="0">
                  <c:v>Menor</c:v>
                </c:pt>
                <c:pt idx="1">
                  <c:v>Restringido</c:v>
                </c:pt>
                <c:pt idx="2">
                  <c:v>Abierto</c:v>
                </c:pt>
                <c:pt idx="3">
                  <c:v>Basado en Acuerdo Marco</c:v>
                </c:pt>
              </c:strCache>
            </c:strRef>
          </c:cat>
          <c:val>
            <c:numRef>
              <c:f>Hoja1!$B$18:$B$21</c:f>
              <c:numCache>
                <c:formatCode>0.00%</c:formatCode>
                <c:ptCount val="4"/>
                <c:pt idx="0">
                  <c:v>0.34360000000000002</c:v>
                </c:pt>
                <c:pt idx="1">
                  <c:v>4.5699999999999998E-2</c:v>
                </c:pt>
                <c:pt idx="2">
                  <c:v>0.28299999999999997</c:v>
                </c:pt>
                <c:pt idx="3">
                  <c:v>0.32769999999999999</c:v>
                </c:pt>
              </c:numCache>
            </c:numRef>
          </c:val>
          <c:extLst>
            <c:ext xmlns:c16="http://schemas.microsoft.com/office/drawing/2014/chart" uri="{C3380CC4-5D6E-409C-BE32-E72D297353CC}">
              <c16:uniqueId val="{00000008-339A-4CE9-8A3B-AE8C3EDE4A5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Hoja2!$A$8</c:f>
              <c:strCache>
                <c:ptCount val="1"/>
                <c:pt idx="0">
                  <c:v>2019</c:v>
                </c:pt>
              </c:strCache>
            </c:strRef>
          </c:tx>
          <c:spPr>
            <a:solidFill>
              <a:schemeClr val="bg1">
                <a:lumMod val="85000"/>
              </a:schemeClr>
            </a:solidFill>
            <a:ln>
              <a:noFill/>
            </a:ln>
            <a:effectLst/>
          </c:spPr>
          <c:invertIfNegative val="0"/>
          <c:dPt>
            <c:idx val="0"/>
            <c:invertIfNegative val="0"/>
            <c:bubble3D val="0"/>
            <c:spPr>
              <a:solidFill>
                <a:schemeClr val="bg1">
                  <a:lumMod val="65000"/>
                </a:schemeClr>
              </a:solidFill>
              <a:ln>
                <a:noFill/>
              </a:ln>
              <a:effectLst/>
            </c:spPr>
            <c:extLst>
              <c:ext xmlns:c16="http://schemas.microsoft.com/office/drawing/2014/chart" uri="{C3380CC4-5D6E-409C-BE32-E72D297353CC}">
                <c16:uniqueId val="{00000001-6FD7-4D52-B334-2FFE273D20AA}"/>
              </c:ext>
            </c:extLst>
          </c:dPt>
          <c:dPt>
            <c:idx val="1"/>
            <c:invertIfNegative val="0"/>
            <c:bubble3D val="0"/>
            <c:spPr>
              <a:solidFill>
                <a:schemeClr val="bg1">
                  <a:lumMod val="65000"/>
                </a:schemeClr>
              </a:solidFill>
              <a:ln>
                <a:noFill/>
              </a:ln>
              <a:effectLst/>
            </c:spPr>
            <c:extLst>
              <c:ext xmlns:c16="http://schemas.microsoft.com/office/drawing/2014/chart" uri="{C3380CC4-5D6E-409C-BE32-E72D297353CC}">
                <c16:uniqueId val="{00000003-6FD7-4D52-B334-2FFE273D20AA}"/>
              </c:ext>
            </c:extLst>
          </c:dPt>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5-6FD7-4D52-B334-2FFE273D20AA}"/>
              </c:ext>
            </c:extLst>
          </c:dPt>
          <c:dLbls>
            <c:dLbl>
              <c:idx val="2"/>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D7-4D52-B334-2FFE273D20AA}"/>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Hoja2!$B$7:$D$7</c:f>
              <c:strCache>
                <c:ptCount val="3"/>
                <c:pt idx="0">
                  <c:v>Contratos menores</c:v>
                </c:pt>
                <c:pt idx="1">
                  <c:v>Procedimientos abiertos</c:v>
                </c:pt>
                <c:pt idx="2">
                  <c:v>Contratos basados en Acuerdo Marco</c:v>
                </c:pt>
              </c:strCache>
            </c:strRef>
          </c:cat>
          <c:val>
            <c:numRef>
              <c:f>Hoja2!$B$8:$D$8</c:f>
              <c:numCache>
                <c:formatCode>#,##0.00\ "€"</c:formatCode>
                <c:ptCount val="3"/>
                <c:pt idx="0">
                  <c:v>131016.36</c:v>
                </c:pt>
                <c:pt idx="1">
                  <c:v>208823.52</c:v>
                </c:pt>
                <c:pt idx="2">
                  <c:v>29635.3</c:v>
                </c:pt>
              </c:numCache>
            </c:numRef>
          </c:val>
          <c:extLst>
            <c:ext xmlns:c16="http://schemas.microsoft.com/office/drawing/2014/chart" uri="{C3380CC4-5D6E-409C-BE32-E72D297353CC}">
              <c16:uniqueId val="{00000006-6FD7-4D52-B334-2FFE273D20AA}"/>
            </c:ext>
          </c:extLst>
        </c:ser>
        <c:ser>
          <c:idx val="1"/>
          <c:order val="1"/>
          <c:tx>
            <c:strRef>
              <c:f>Hoja2!$A$9</c:f>
              <c:strCache>
                <c:ptCount val="1"/>
                <c:pt idx="0">
                  <c:v>2020</c:v>
                </c:pt>
              </c:strCache>
            </c:strRef>
          </c:tx>
          <c:spPr>
            <a:solidFill>
              <a:schemeClr val="accent1"/>
            </a:solidFill>
            <a:ln>
              <a:noFill/>
            </a:ln>
            <a:effectLst/>
          </c:spPr>
          <c:invertIfNegative val="0"/>
          <c:dLbls>
            <c:dLbl>
              <c:idx val="0"/>
              <c:layout>
                <c:manualLayout>
                  <c:x val="2.22222222222222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D7-4D52-B334-2FFE273D20AA}"/>
                </c:ext>
              </c:extLst>
            </c:dLbl>
            <c:dLbl>
              <c:idx val="1"/>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D7-4D52-B334-2FFE273D20AA}"/>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Hoja2!$B$7:$D$7</c:f>
              <c:strCache>
                <c:ptCount val="3"/>
                <c:pt idx="0">
                  <c:v>Contratos menores</c:v>
                </c:pt>
                <c:pt idx="1">
                  <c:v>Procedimientos abiertos</c:v>
                </c:pt>
                <c:pt idx="2">
                  <c:v>Contratos basados en Acuerdo Marco</c:v>
                </c:pt>
              </c:strCache>
            </c:strRef>
          </c:cat>
          <c:val>
            <c:numRef>
              <c:f>Hoja2!$B$9:$D$9</c:f>
              <c:numCache>
                <c:formatCode>#,##0.00\ "€"</c:formatCode>
                <c:ptCount val="3"/>
                <c:pt idx="0">
                  <c:v>67551.13</c:v>
                </c:pt>
                <c:pt idx="1">
                  <c:v>64630.39</c:v>
                </c:pt>
                <c:pt idx="2">
                  <c:v>64430.37</c:v>
                </c:pt>
              </c:numCache>
            </c:numRef>
          </c:val>
          <c:extLst>
            <c:ext xmlns:c16="http://schemas.microsoft.com/office/drawing/2014/chart" uri="{C3380CC4-5D6E-409C-BE32-E72D297353CC}">
              <c16:uniqueId val="{00000009-6FD7-4D52-B334-2FFE273D20AA}"/>
            </c:ext>
          </c:extLst>
        </c:ser>
        <c:dLbls>
          <c:showLegendKey val="0"/>
          <c:showVal val="0"/>
          <c:showCatName val="0"/>
          <c:showSerName val="0"/>
          <c:showPercent val="0"/>
          <c:showBubbleSize val="0"/>
        </c:dLbls>
        <c:gapWidth val="219"/>
        <c:overlap val="-27"/>
        <c:axId val="549971136"/>
        <c:axId val="549969824"/>
      </c:barChart>
      <c:catAx>
        <c:axId val="54997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549969824"/>
        <c:crosses val="autoZero"/>
        <c:auto val="1"/>
        <c:lblAlgn val="ctr"/>
        <c:lblOffset val="100"/>
        <c:noMultiLvlLbl val="0"/>
      </c:catAx>
      <c:valAx>
        <c:axId val="549969824"/>
        <c:scaling>
          <c:orientation val="minMax"/>
        </c:scaling>
        <c:delete val="0"/>
        <c:axPos val="l"/>
        <c:majorGridlines>
          <c:spPr>
            <a:ln w="9525" cap="flat" cmpd="sng" algn="ctr">
              <a:solidFill>
                <a:schemeClr val="tx1">
                  <a:lumMod val="15000"/>
                  <a:lumOff val="85000"/>
                </a:schemeClr>
              </a:solidFill>
              <a:round/>
            </a:ln>
            <a:effectLst/>
          </c:spPr>
        </c:majorGridlines>
        <c:numFmt formatCode="#,##0.0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54997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E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Hoja2!$H$8</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Hoja2!$I$7:$K$7</c:f>
              <c:strCache>
                <c:ptCount val="3"/>
                <c:pt idx="0">
                  <c:v>Contratos menores</c:v>
                </c:pt>
                <c:pt idx="1">
                  <c:v>Procedimientos abiertos</c:v>
                </c:pt>
                <c:pt idx="2">
                  <c:v>Contratos basados en Acuerdo Marco</c:v>
                </c:pt>
              </c:strCache>
            </c:strRef>
          </c:cat>
          <c:val>
            <c:numRef>
              <c:f>Hoja2!$I$8:$K$8</c:f>
              <c:numCache>
                <c:formatCode>General</c:formatCode>
                <c:ptCount val="3"/>
                <c:pt idx="0">
                  <c:v>98</c:v>
                </c:pt>
                <c:pt idx="1">
                  <c:v>4</c:v>
                </c:pt>
                <c:pt idx="2">
                  <c:v>9</c:v>
                </c:pt>
              </c:numCache>
            </c:numRef>
          </c:val>
          <c:extLst>
            <c:ext xmlns:c16="http://schemas.microsoft.com/office/drawing/2014/chart" uri="{C3380CC4-5D6E-409C-BE32-E72D297353CC}">
              <c16:uniqueId val="{00000000-4025-43AD-936E-FC0E85DB1E14}"/>
            </c:ext>
          </c:extLst>
        </c:ser>
        <c:ser>
          <c:idx val="1"/>
          <c:order val="1"/>
          <c:tx>
            <c:strRef>
              <c:f>Hoja2!$H$9</c:f>
              <c:strCache>
                <c:ptCount val="1"/>
                <c:pt idx="0">
                  <c:v>2020</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Hoja2!$I$7:$K$7</c:f>
              <c:strCache>
                <c:ptCount val="3"/>
                <c:pt idx="0">
                  <c:v>Contratos menores</c:v>
                </c:pt>
                <c:pt idx="1">
                  <c:v>Procedimientos abiertos</c:v>
                </c:pt>
                <c:pt idx="2">
                  <c:v>Contratos basados en Acuerdo Marco</c:v>
                </c:pt>
              </c:strCache>
            </c:strRef>
          </c:cat>
          <c:val>
            <c:numRef>
              <c:f>Hoja2!$I$9:$K$9</c:f>
              <c:numCache>
                <c:formatCode>General</c:formatCode>
                <c:ptCount val="3"/>
                <c:pt idx="0">
                  <c:v>29</c:v>
                </c:pt>
                <c:pt idx="1">
                  <c:v>8</c:v>
                </c:pt>
                <c:pt idx="2">
                  <c:v>6</c:v>
                </c:pt>
              </c:numCache>
            </c:numRef>
          </c:val>
          <c:extLst>
            <c:ext xmlns:c16="http://schemas.microsoft.com/office/drawing/2014/chart" uri="{C3380CC4-5D6E-409C-BE32-E72D297353CC}">
              <c16:uniqueId val="{00000001-4025-43AD-936E-FC0E85DB1E14}"/>
            </c:ext>
          </c:extLst>
        </c:ser>
        <c:dLbls>
          <c:showLegendKey val="0"/>
          <c:showVal val="0"/>
          <c:showCatName val="0"/>
          <c:showSerName val="0"/>
          <c:showPercent val="0"/>
          <c:showBubbleSize val="0"/>
        </c:dLbls>
        <c:gapWidth val="219"/>
        <c:overlap val="-27"/>
        <c:axId val="539787400"/>
        <c:axId val="539784448"/>
      </c:barChart>
      <c:catAx>
        <c:axId val="539787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539784448"/>
        <c:crosses val="autoZero"/>
        <c:auto val="1"/>
        <c:lblAlgn val="ctr"/>
        <c:lblOffset val="100"/>
        <c:noMultiLvlLbl val="0"/>
      </c:catAx>
      <c:valAx>
        <c:axId val="53978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539787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'Datos Graf'!$B$2</c:f>
              <c:strCache>
                <c:ptCount val="1"/>
                <c:pt idx="0">
                  <c:v>2017</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'Datos Graf'!$A$3:$A$6</c:f>
              <c:strCache>
                <c:ptCount val="4"/>
                <c:pt idx="0">
                  <c:v>Alicante</c:v>
                </c:pt>
                <c:pt idx="1">
                  <c:v>Castelló</c:v>
                </c:pt>
                <c:pt idx="2">
                  <c:v>València</c:v>
                </c:pt>
                <c:pt idx="3">
                  <c:v>Comunitat Valenciana</c:v>
                </c:pt>
              </c:strCache>
            </c:strRef>
          </c:cat>
          <c:val>
            <c:numRef>
              <c:f>'Datos Graf'!$B$3:$B$6</c:f>
              <c:numCache>
                <c:formatCode>General</c:formatCode>
                <c:ptCount val="4"/>
                <c:pt idx="0">
                  <c:v>7</c:v>
                </c:pt>
                <c:pt idx="1">
                  <c:v>0</c:v>
                </c:pt>
                <c:pt idx="2">
                  <c:v>20</c:v>
                </c:pt>
                <c:pt idx="3">
                  <c:v>8</c:v>
                </c:pt>
              </c:numCache>
            </c:numRef>
          </c:val>
          <c:smooth val="0"/>
          <c:extLst>
            <c:ext xmlns:c16="http://schemas.microsoft.com/office/drawing/2014/chart" uri="{C3380CC4-5D6E-409C-BE32-E72D297353CC}">
              <c16:uniqueId val="{00000000-901A-4476-A6DF-AD4D1BAFF34A}"/>
            </c:ext>
          </c:extLst>
        </c:ser>
        <c:ser>
          <c:idx val="1"/>
          <c:order val="1"/>
          <c:tx>
            <c:strRef>
              <c:f>'Datos Graf'!$C$2</c:f>
              <c:strCache>
                <c:ptCount val="1"/>
                <c:pt idx="0">
                  <c:v>2018</c:v>
                </c:pt>
              </c:strCache>
            </c:strRef>
          </c:tx>
          <c:spPr>
            <a:ln w="31750" cap="rnd">
              <a:solidFill>
                <a:schemeClr val="accent6">
                  <a:lumMod val="75000"/>
                </a:schemeClr>
              </a:solidFill>
              <a:round/>
            </a:ln>
            <a:effectLst/>
          </c:spPr>
          <c:marker>
            <c:symbol val="circle"/>
            <c:size val="17"/>
            <c:spPr>
              <a:solidFill>
                <a:schemeClr val="accent6">
                  <a:lumMod val="7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'Datos Graf'!$A$3:$A$6</c:f>
              <c:strCache>
                <c:ptCount val="4"/>
                <c:pt idx="0">
                  <c:v>Alicante</c:v>
                </c:pt>
                <c:pt idx="1">
                  <c:v>Castelló</c:v>
                </c:pt>
                <c:pt idx="2">
                  <c:v>València</c:v>
                </c:pt>
                <c:pt idx="3">
                  <c:v>Comunitat Valenciana</c:v>
                </c:pt>
              </c:strCache>
            </c:strRef>
          </c:cat>
          <c:val>
            <c:numRef>
              <c:f>'Datos Graf'!$C$3:$C$6</c:f>
              <c:numCache>
                <c:formatCode>General</c:formatCode>
                <c:ptCount val="4"/>
                <c:pt idx="0">
                  <c:v>34</c:v>
                </c:pt>
                <c:pt idx="1">
                  <c:v>20</c:v>
                </c:pt>
                <c:pt idx="2">
                  <c:v>96</c:v>
                </c:pt>
                <c:pt idx="3">
                  <c:v>31</c:v>
                </c:pt>
              </c:numCache>
            </c:numRef>
          </c:val>
          <c:smooth val="0"/>
          <c:extLst>
            <c:ext xmlns:c16="http://schemas.microsoft.com/office/drawing/2014/chart" uri="{C3380CC4-5D6E-409C-BE32-E72D297353CC}">
              <c16:uniqueId val="{00000001-901A-4476-A6DF-AD4D1BAFF34A}"/>
            </c:ext>
          </c:extLst>
        </c:ser>
        <c:ser>
          <c:idx val="2"/>
          <c:order val="2"/>
          <c:tx>
            <c:strRef>
              <c:f>'Datos Graf'!$D$2</c:f>
              <c:strCache>
                <c:ptCount val="1"/>
                <c:pt idx="0">
                  <c:v>2019</c:v>
                </c:pt>
              </c:strCache>
            </c:strRef>
          </c:tx>
          <c:spPr>
            <a:ln w="31750" cap="rnd">
              <a:solidFill>
                <a:schemeClr val="accent3">
                  <a:lumMod val="75000"/>
                </a:schemeClr>
              </a:solidFill>
              <a:round/>
            </a:ln>
            <a:effectLst/>
          </c:spPr>
          <c:marker>
            <c:symbol val="circle"/>
            <c:size val="17"/>
            <c:spPr>
              <a:solidFill>
                <a:schemeClr val="accent3">
                  <a:lumMod val="7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'Datos Graf'!$A$3:$A$6</c:f>
              <c:strCache>
                <c:ptCount val="4"/>
                <c:pt idx="0">
                  <c:v>Alicante</c:v>
                </c:pt>
                <c:pt idx="1">
                  <c:v>Castelló</c:v>
                </c:pt>
                <c:pt idx="2">
                  <c:v>València</c:v>
                </c:pt>
                <c:pt idx="3">
                  <c:v>Comunitat Valenciana</c:v>
                </c:pt>
              </c:strCache>
            </c:strRef>
          </c:cat>
          <c:val>
            <c:numRef>
              <c:f>'Datos Graf'!$D$3:$D$6</c:f>
              <c:numCache>
                <c:formatCode>General</c:formatCode>
                <c:ptCount val="4"/>
                <c:pt idx="0">
                  <c:v>40</c:v>
                </c:pt>
                <c:pt idx="1">
                  <c:v>17</c:v>
                </c:pt>
                <c:pt idx="2">
                  <c:v>82</c:v>
                </c:pt>
                <c:pt idx="3">
                  <c:v>29</c:v>
                </c:pt>
              </c:numCache>
            </c:numRef>
          </c:val>
          <c:smooth val="0"/>
          <c:extLst>
            <c:ext xmlns:c16="http://schemas.microsoft.com/office/drawing/2014/chart" uri="{C3380CC4-5D6E-409C-BE32-E72D297353CC}">
              <c16:uniqueId val="{00000002-901A-4476-A6DF-AD4D1BAFF34A}"/>
            </c:ext>
          </c:extLst>
        </c:ser>
        <c:ser>
          <c:idx val="3"/>
          <c:order val="3"/>
          <c:tx>
            <c:strRef>
              <c:f>'Datos Graf'!$E$2</c:f>
              <c:strCache>
                <c:ptCount val="1"/>
                <c:pt idx="0">
                  <c:v>2020</c:v>
                </c:pt>
              </c:strCache>
            </c:strRef>
          </c:tx>
          <c:spPr>
            <a:ln w="31750" cap="rnd">
              <a:solidFill>
                <a:schemeClr val="accent5">
                  <a:lumMod val="75000"/>
                </a:schemeClr>
              </a:solidFill>
              <a:round/>
            </a:ln>
            <a:effectLst/>
          </c:spPr>
          <c:marker>
            <c:symbol val="circle"/>
            <c:size val="17"/>
            <c:spPr>
              <a:solidFill>
                <a:schemeClr val="accent5">
                  <a:lumMod val="7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'Datos Graf'!$A$3:$A$6</c:f>
              <c:strCache>
                <c:ptCount val="4"/>
                <c:pt idx="0">
                  <c:v>Alicante</c:v>
                </c:pt>
                <c:pt idx="1">
                  <c:v>Castelló</c:v>
                </c:pt>
                <c:pt idx="2">
                  <c:v>València</c:v>
                </c:pt>
                <c:pt idx="3">
                  <c:v>Comunitat Valenciana</c:v>
                </c:pt>
              </c:strCache>
            </c:strRef>
          </c:cat>
          <c:val>
            <c:numRef>
              <c:f>'Datos Graf'!$E$3:$E$6</c:f>
              <c:numCache>
                <c:formatCode>General</c:formatCode>
                <c:ptCount val="4"/>
                <c:pt idx="0">
                  <c:v>70</c:v>
                </c:pt>
                <c:pt idx="1">
                  <c:v>15</c:v>
                </c:pt>
                <c:pt idx="2">
                  <c:v>115</c:v>
                </c:pt>
                <c:pt idx="3">
                  <c:v>26</c:v>
                </c:pt>
              </c:numCache>
            </c:numRef>
          </c:val>
          <c:smooth val="0"/>
          <c:extLst>
            <c:ext xmlns:c16="http://schemas.microsoft.com/office/drawing/2014/chart" uri="{C3380CC4-5D6E-409C-BE32-E72D297353CC}">
              <c16:uniqueId val="{00000003-901A-4476-A6DF-AD4D1BAFF34A}"/>
            </c:ext>
          </c:extLst>
        </c:ser>
        <c:dLbls>
          <c:dLblPos val="ctr"/>
          <c:showLegendKey val="0"/>
          <c:showVal val="1"/>
          <c:showCatName val="0"/>
          <c:showSerName val="0"/>
          <c:showPercent val="0"/>
          <c:showBubbleSize val="0"/>
        </c:dLbls>
        <c:marker val="1"/>
        <c:smooth val="0"/>
        <c:axId val="807330703"/>
        <c:axId val="912967087"/>
      </c:lineChart>
      <c:catAx>
        <c:axId val="80733070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912967087"/>
        <c:crosses val="autoZero"/>
        <c:auto val="1"/>
        <c:lblAlgn val="ctr"/>
        <c:lblOffset val="100"/>
        <c:noMultiLvlLbl val="0"/>
      </c:catAx>
      <c:valAx>
        <c:axId val="912967087"/>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0733070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16716229948691"/>
          <c:y val="0.13475357247010791"/>
          <c:w val="0.45337762856840047"/>
          <c:h val="0.77119992576685492"/>
        </c:manualLayout>
      </c:layout>
      <c:doughnutChart>
        <c:varyColors val="1"/>
        <c:ser>
          <c:idx val="0"/>
          <c:order val="0"/>
          <c:spPr>
            <a:ln>
              <a:noFill/>
            </a:ln>
            <a:scene3d>
              <a:camera prst="orthographicFront"/>
              <a:lightRig rig="brightRoom" dir="t"/>
            </a:scene3d>
            <a:sp3d prstMaterial="flat">
              <a:contourClr>
                <a:srgbClr val="000000"/>
              </a:contourClr>
            </a:sp3d>
          </c:spPr>
          <c:dPt>
            <c:idx val="0"/>
            <c:bubble3D val="0"/>
            <c:spPr>
              <a:solidFill>
                <a:schemeClr val="accent1"/>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1-27EC-4992-817A-E4DA2741AC4D}"/>
              </c:ext>
            </c:extLst>
          </c:dPt>
          <c:dPt>
            <c:idx val="1"/>
            <c:bubble3D val="0"/>
            <c:spPr>
              <a:solidFill>
                <a:schemeClr val="accent2"/>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3-27EC-4992-817A-E4DA2741AC4D}"/>
              </c:ext>
            </c:extLst>
          </c:dPt>
          <c:dPt>
            <c:idx val="2"/>
            <c:bubble3D val="0"/>
            <c:spPr>
              <a:solidFill>
                <a:schemeClr val="accent3"/>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5-27EC-4992-817A-E4DA2741AC4D}"/>
              </c:ext>
            </c:extLst>
          </c:dPt>
          <c:dPt>
            <c:idx val="3"/>
            <c:bubble3D val="0"/>
            <c:spPr>
              <a:solidFill>
                <a:schemeClr val="accent4"/>
              </a:solidFill>
              <a:ln>
                <a:noFill/>
              </a:ln>
              <a:effectLst>
                <a:softEdge rad="0"/>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7-27EC-4992-817A-E4DA2741AC4D}"/>
              </c:ext>
            </c:extLst>
          </c:dPt>
          <c:dPt>
            <c:idx val="4"/>
            <c:bubble3D val="0"/>
            <c:spPr>
              <a:solidFill>
                <a:schemeClr val="accent5"/>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9-27EC-4992-817A-E4DA2741AC4D}"/>
              </c:ext>
            </c:extLst>
          </c:dPt>
          <c:dPt>
            <c:idx val="5"/>
            <c:bubble3D val="0"/>
            <c:spPr>
              <a:solidFill>
                <a:schemeClr val="accent6"/>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B-27EC-4992-817A-E4DA2741AC4D}"/>
              </c:ext>
            </c:extLst>
          </c:dPt>
          <c:dPt>
            <c:idx val="6"/>
            <c:bubble3D val="0"/>
            <c:spPr>
              <a:solidFill>
                <a:schemeClr val="accent1">
                  <a:lumMod val="60000"/>
                </a:schemeClr>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D-27EC-4992-817A-E4DA2741AC4D}"/>
              </c:ext>
            </c:extLst>
          </c:dPt>
          <c:dLbls>
            <c:dLbl>
              <c:idx val="0"/>
              <c:layout>
                <c:manualLayout>
                  <c:x val="0.20585906571654775"/>
                  <c:y val="2.02020202020202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7EC-4992-817A-E4DA2741AC4D}"/>
                </c:ext>
              </c:extLst>
            </c:dLbl>
            <c:dLbl>
              <c:idx val="1"/>
              <c:layout>
                <c:manualLayout>
                  <c:x val="0.20783847980997625"/>
                  <c:y val="1.01010101010101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7EC-4992-817A-E4DA2741AC4D}"/>
                </c:ext>
              </c:extLst>
            </c:dLbl>
            <c:dLbl>
              <c:idx val="2"/>
              <c:layout>
                <c:manualLayout>
                  <c:x val="0.15903659972889089"/>
                  <c:y val="0.17478492539644888"/>
                </c:manualLayout>
              </c:layout>
              <c:spPr>
                <a:noFill/>
                <a:ln>
                  <a:noFill/>
                </a:ln>
                <a:effectLst/>
              </c:spPr>
              <c:txPr>
                <a:bodyPr rot="0" spcFirstLastPara="1" vertOverflow="clip" horzOverflow="clip" vert="horz" wrap="square" lIns="38100" tIns="19050" rIns="38100" bIns="19050" anchor="ctr" anchorCtr="0">
                  <a:spAutoFit/>
                </a:bodyPr>
                <a:lstStyle/>
                <a:p>
                  <a:pPr algn="ctr" rtl="0">
                    <a:defRPr lang="es-ES" sz="1000" b="0" i="0" u="none" strike="noStrike" kern="1200" baseline="0">
                      <a:solidFill>
                        <a:sysClr val="windowText" lastClr="000000">
                          <a:lumMod val="65000"/>
                          <a:lumOff val="35000"/>
                        </a:sysClr>
                      </a:solidFill>
                      <a:latin typeface="+mn-lt"/>
                      <a:ea typeface="+mn-ea"/>
                      <a:cs typeface="+mn-cs"/>
                    </a:defRPr>
                  </a:pPr>
                  <a:endParaRPr lang="es-E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27EC-4992-817A-E4DA2741AC4D}"/>
                </c:ext>
              </c:extLst>
            </c:dLbl>
            <c:dLbl>
              <c:idx val="3"/>
              <c:layout>
                <c:manualLayout>
                  <c:x val="-0.25534441805225655"/>
                  <c:y val="8.75420875420874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7EC-4992-817A-E4DA2741AC4D}"/>
                </c:ext>
              </c:extLst>
            </c:dLbl>
            <c:dLbl>
              <c:idx val="4"/>
              <c:layout>
                <c:manualLayout>
                  <c:x val="-0.17814726840855108"/>
                  <c:y val="0.1313131313131311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7EC-4992-817A-E4DA2741AC4D}"/>
                </c:ext>
              </c:extLst>
            </c:dLbl>
            <c:dLbl>
              <c:idx val="5"/>
              <c:layout>
                <c:manualLayout>
                  <c:x val="-0.223673792557403"/>
                  <c:y val="-9.42760942760943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7EC-4992-817A-E4DA2741AC4D}"/>
                </c:ext>
              </c:extLst>
            </c:dLbl>
            <c:dLbl>
              <c:idx val="6"/>
              <c:layout>
                <c:manualLayout>
                  <c:x val="-0.13436548618158389"/>
                  <c:y val="-0.1864197816566096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7EC-4992-817A-E4DA2741AC4D}"/>
                </c:ext>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1"/>
            <c:showSerName val="0"/>
            <c:showPercent val="1"/>
            <c:showBubbleSize val="0"/>
            <c:showLeaderLines val="1"/>
            <c:leaderLines>
              <c:spPr>
                <a:ln w="9525" cap="flat" cmpd="sng" algn="ctr">
                  <a:solidFill>
                    <a:schemeClr val="accent6">
                      <a:lumMod val="7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('Datos Graf'!$A$3,'Datos Graf'!$A$9:$A$11,'Datos Graf'!$A$16:$A$18)</c:f>
              <c:strCache>
                <c:ptCount val="7"/>
                <c:pt idx="0">
                  <c:v>Contratación pública</c:v>
                </c:pt>
                <c:pt idx="1">
                  <c:v>Gestión de Activos/Patrimonio</c:v>
                </c:pt>
                <c:pt idx="2">
                  <c:v>Subvenciones</c:v>
                </c:pt>
                <c:pt idx="3">
                  <c:v>Gestión de RR.HH.</c:v>
                </c:pt>
                <c:pt idx="4">
                  <c:v>Urbanismos/Medio Ambiente</c:v>
                </c:pt>
                <c:pt idx="5">
                  <c:v>Uso indebido de recursos públicos</c:v>
                </c:pt>
                <c:pt idx="6">
                  <c:v>Otros</c:v>
                </c:pt>
              </c:strCache>
            </c:strRef>
          </c:cat>
          <c:val>
            <c:numRef>
              <c:f>('Datos Graf'!$F$3,'Datos Graf'!$F$9:$F$11,'Datos Graf'!$F$16:$F$18)</c:f>
              <c:numCache>
                <c:formatCode>General</c:formatCode>
                <c:ptCount val="7"/>
                <c:pt idx="0">
                  <c:v>176</c:v>
                </c:pt>
                <c:pt idx="1">
                  <c:v>24</c:v>
                </c:pt>
                <c:pt idx="2">
                  <c:v>57</c:v>
                </c:pt>
                <c:pt idx="3">
                  <c:v>199</c:v>
                </c:pt>
                <c:pt idx="4">
                  <c:v>47</c:v>
                </c:pt>
                <c:pt idx="5">
                  <c:v>31</c:v>
                </c:pt>
                <c:pt idx="6">
                  <c:v>76</c:v>
                </c:pt>
              </c:numCache>
            </c:numRef>
          </c:val>
          <c:extLst>
            <c:ext xmlns:c16="http://schemas.microsoft.com/office/drawing/2014/chart" uri="{C3380CC4-5D6E-409C-BE32-E72D297353CC}">
              <c16:uniqueId val="{0000000E-27EC-4992-817A-E4DA2741AC4D}"/>
            </c:ext>
          </c:extLst>
        </c:ser>
        <c:dLbls>
          <c:showLegendKey val="0"/>
          <c:showVal val="0"/>
          <c:showCatName val="0"/>
          <c:showSerName val="0"/>
          <c:showPercent val="0"/>
          <c:showBubbleSize val="0"/>
          <c:showLeaderLines val="1"/>
        </c:dLbls>
        <c:firstSliceAng val="0"/>
        <c:holeSize val="4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9247412982126"/>
          <c:y val="0.18318965517241378"/>
          <c:w val="0.69896519285042324"/>
          <c:h val="0.68031609195402298"/>
        </c:manualLayout>
      </c:layout>
      <c:pie3DChart>
        <c:varyColors val="1"/>
        <c:ser>
          <c:idx val="0"/>
          <c:order val="0"/>
          <c:spPr>
            <a:effectLst>
              <a:outerShdw blurRad="50800" dist="38100" dir="10200000" algn="l" rotWithShape="0">
                <a:prstClr val="black">
                  <a:alpha val="40000"/>
                </a:prstClr>
              </a:outerShdw>
            </a:effectLst>
          </c:spPr>
          <c:dPt>
            <c:idx val="0"/>
            <c:bubble3D val="0"/>
            <c:spPr>
              <a:solidFill>
                <a:schemeClr val="accent1"/>
              </a:solidFill>
              <a:ln>
                <a:noFill/>
              </a:ln>
              <a:effectLst>
                <a:outerShdw blurRad="50800" dist="38100" dir="10200000" algn="l" rotWithShape="0">
                  <a:prstClr val="black">
                    <a:alpha val="40000"/>
                  </a:prstClr>
                </a:outerShdw>
              </a:effectLst>
              <a:sp3d/>
            </c:spPr>
            <c:extLst>
              <c:ext xmlns:c16="http://schemas.microsoft.com/office/drawing/2014/chart" uri="{C3380CC4-5D6E-409C-BE32-E72D297353CC}">
                <c16:uniqueId val="{00000001-1FB5-4DC3-9922-AD0E5028F914}"/>
              </c:ext>
            </c:extLst>
          </c:dPt>
          <c:dPt>
            <c:idx val="1"/>
            <c:bubble3D val="0"/>
            <c:spPr>
              <a:solidFill>
                <a:schemeClr val="accent6">
                  <a:lumMod val="60000"/>
                  <a:lumOff val="40000"/>
                </a:schemeClr>
              </a:solidFill>
              <a:ln>
                <a:noFill/>
              </a:ln>
              <a:effectLst>
                <a:outerShdw blurRad="50800" dist="38100" dir="10200000" algn="l" rotWithShape="0">
                  <a:prstClr val="black">
                    <a:alpha val="40000"/>
                  </a:prstClr>
                </a:outerShdw>
              </a:effectLst>
              <a:sp3d/>
            </c:spPr>
            <c:extLst>
              <c:ext xmlns:c16="http://schemas.microsoft.com/office/drawing/2014/chart" uri="{C3380CC4-5D6E-409C-BE32-E72D297353CC}">
                <c16:uniqueId val="{00000003-1FB5-4DC3-9922-AD0E5028F914}"/>
              </c:ext>
            </c:extLst>
          </c:dPt>
          <c:dPt>
            <c:idx val="2"/>
            <c:bubble3D val="0"/>
            <c:spPr>
              <a:solidFill>
                <a:schemeClr val="accent1">
                  <a:lumMod val="40000"/>
                  <a:lumOff val="60000"/>
                </a:schemeClr>
              </a:solidFill>
              <a:ln>
                <a:noFill/>
              </a:ln>
              <a:effectLst>
                <a:outerShdw blurRad="50800" dist="38100" dir="10200000" algn="l" rotWithShape="0">
                  <a:prstClr val="black">
                    <a:alpha val="40000"/>
                  </a:prstClr>
                </a:outerShdw>
              </a:effectLst>
              <a:sp3d/>
            </c:spPr>
            <c:extLst>
              <c:ext xmlns:c16="http://schemas.microsoft.com/office/drawing/2014/chart" uri="{C3380CC4-5D6E-409C-BE32-E72D297353CC}">
                <c16:uniqueId val="{00000005-1FB5-4DC3-9922-AD0E5028F914}"/>
              </c:ext>
            </c:extLst>
          </c:dPt>
          <c:dLbls>
            <c:dLbl>
              <c:idx val="0"/>
              <c:layout>
                <c:manualLayout>
                  <c:x val="-2.8472381686061671E-2"/>
                  <c:y val="-0.28240112227350894"/>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1"/>
                      </a:solidFill>
                      <a:effectLst/>
                      <a:latin typeface="+mn-lt"/>
                      <a:ea typeface="+mn-ea"/>
                      <a:cs typeface="+mn-cs"/>
                    </a:defRPr>
                  </a:pPr>
                  <a:endParaRPr lang="es-E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FB5-4DC3-9922-AD0E5028F914}"/>
                </c:ext>
              </c:extLst>
            </c:dLbl>
            <c:dLbl>
              <c:idx val="1"/>
              <c:layout>
                <c:manualLayout>
                  <c:x val="-0.12229539040451561"/>
                  <c:y val="1.7959770114942528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6"/>
                      </a:solidFill>
                      <a:effectLst/>
                      <a:latin typeface="+mn-lt"/>
                      <a:ea typeface="+mn-ea"/>
                      <a:cs typeface="+mn-cs"/>
                    </a:defRPr>
                  </a:pPr>
                  <a:endParaRPr lang="es-ES"/>
                </a:p>
              </c:txPr>
              <c:dLblPos val="bestFit"/>
              <c:showLegendKey val="0"/>
              <c:showVal val="1"/>
              <c:showCatName val="1"/>
              <c:showSerName val="0"/>
              <c:showPercent val="1"/>
              <c:showBubbleSize val="0"/>
              <c:extLst>
                <c:ext xmlns:c15="http://schemas.microsoft.com/office/drawing/2012/chart" uri="{CE6537A1-D6FC-4f65-9D91-7224C49458BB}">
                  <c15:layout>
                    <c:manualLayout>
                      <c:w val="0.20359830667920978"/>
                      <c:h val="0.10725574712643678"/>
                    </c:manualLayout>
                  </c15:layout>
                </c:ext>
                <c:ext xmlns:c16="http://schemas.microsoft.com/office/drawing/2014/chart" uri="{C3380CC4-5D6E-409C-BE32-E72D297353CC}">
                  <c16:uniqueId val="{00000003-1FB5-4DC3-9922-AD0E5028F914}"/>
                </c:ext>
              </c:extLst>
            </c:dLbl>
            <c:dLbl>
              <c:idx val="2"/>
              <c:layout>
                <c:manualLayout>
                  <c:x val="2.9150524810927284E-2"/>
                  <c:y val="-0.18712581455335325"/>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accent1">
                          <a:lumMod val="60000"/>
                          <a:lumOff val="40000"/>
                        </a:schemeClr>
                      </a:solidFill>
                      <a:effectLst/>
                      <a:latin typeface="+mn-lt"/>
                      <a:ea typeface="+mn-ea"/>
                      <a:cs typeface="+mn-cs"/>
                    </a:defRPr>
                  </a:pPr>
                  <a:endParaRPr lang="es-ES"/>
                </a:p>
              </c:txPr>
              <c:dLblPos val="bestFit"/>
              <c:showLegendKey val="0"/>
              <c:showVal val="1"/>
              <c:showCatName val="1"/>
              <c:showSerName val="0"/>
              <c:showPercent val="1"/>
              <c:showBubbleSize val="0"/>
              <c:extLst>
                <c:ext xmlns:c15="http://schemas.microsoft.com/office/drawing/2012/chart" uri="{CE6537A1-D6FC-4f65-9D91-7224C49458BB}">
                  <c15:layout>
                    <c:manualLayout>
                      <c:w val="0.19340319701335543"/>
                      <c:h val="0.12880747126436781"/>
                    </c:manualLayout>
                  </c15:layout>
                </c:ext>
                <c:ext xmlns:c16="http://schemas.microsoft.com/office/drawing/2014/chart" uri="{C3380CC4-5D6E-409C-BE32-E72D297353CC}">
                  <c16:uniqueId val="{00000005-1FB5-4DC3-9922-AD0E5028F91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lt1"/>
                    </a:solidFill>
                    <a:effectLst/>
                    <a:latin typeface="+mn-lt"/>
                    <a:ea typeface="+mn-ea"/>
                    <a:cs typeface="+mn-cs"/>
                  </a:defRPr>
                </a:pPr>
                <a:endParaRPr lang="es-ES"/>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('Datos Graf'!$A$6,'Datos Graf'!$A$13:$A$14)</c:f>
              <c:strCache>
                <c:ptCount val="3"/>
                <c:pt idx="0">
                  <c:v>Persona física</c:v>
                </c:pt>
                <c:pt idx="1">
                  <c:v>Persona jurídica</c:v>
                </c:pt>
                <c:pt idx="2">
                  <c:v>Anónimos</c:v>
                </c:pt>
              </c:strCache>
            </c:strRef>
          </c:cat>
          <c:val>
            <c:numRef>
              <c:f>('Datos Graf'!$J$6,'Datos Graf'!$J$13:$J$14)</c:f>
              <c:numCache>
                <c:formatCode>0</c:formatCode>
                <c:ptCount val="3"/>
                <c:pt idx="0">
                  <c:v>300.71198368850298</c:v>
                </c:pt>
                <c:pt idx="1">
                  <c:v>40.210681399631682</c:v>
                </c:pt>
                <c:pt idx="2">
                  <c:v>272.07733491186531</c:v>
                </c:pt>
              </c:numCache>
            </c:numRef>
          </c:val>
          <c:extLst>
            <c:ext xmlns:c16="http://schemas.microsoft.com/office/drawing/2014/chart" uri="{C3380CC4-5D6E-409C-BE32-E72D297353CC}">
              <c16:uniqueId val="{00000006-1FB5-4DC3-9922-AD0E5028F914}"/>
            </c:ext>
          </c:extLst>
        </c:ser>
        <c:dLbls>
          <c:dLblPos val="ctr"/>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Graf'!$A$3</c:f>
              <c:strCache>
                <c:ptCount val="1"/>
                <c:pt idx="0">
                  <c:v>Hombre</c:v>
                </c:pt>
              </c:strCache>
            </c:strRef>
          </c:tx>
          <c:spPr>
            <a:solidFill>
              <a:schemeClr val="accent1"/>
            </a:solidFill>
            <a:ln>
              <a:solidFill>
                <a:schemeClr val="accent1"/>
              </a:solidFill>
            </a:ln>
            <a:effectLst/>
            <a:scene3d>
              <a:camera prst="orthographicFront"/>
              <a:lightRig rig="threePt" dir="t"/>
            </a:scene3d>
            <a:sp3d prstMaterial="matte"/>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'Datos Graf'!$B$2:$E$2</c:f>
              <c:numCache>
                <c:formatCode>General</c:formatCode>
                <c:ptCount val="4"/>
                <c:pt idx="0">
                  <c:v>2017</c:v>
                </c:pt>
                <c:pt idx="1">
                  <c:v>2018</c:v>
                </c:pt>
                <c:pt idx="2">
                  <c:v>2019</c:v>
                </c:pt>
                <c:pt idx="3">
                  <c:v>2020</c:v>
                </c:pt>
              </c:numCache>
            </c:numRef>
          </c:cat>
          <c:val>
            <c:numRef>
              <c:f>'Datos Graf'!$B$3:$E$3</c:f>
              <c:numCache>
                <c:formatCode>General</c:formatCode>
                <c:ptCount val="4"/>
                <c:pt idx="0">
                  <c:v>29</c:v>
                </c:pt>
                <c:pt idx="1">
                  <c:v>57</c:v>
                </c:pt>
                <c:pt idx="2">
                  <c:v>56</c:v>
                </c:pt>
                <c:pt idx="3">
                  <c:v>99</c:v>
                </c:pt>
              </c:numCache>
            </c:numRef>
          </c:val>
          <c:extLst>
            <c:ext xmlns:c16="http://schemas.microsoft.com/office/drawing/2014/chart" uri="{C3380CC4-5D6E-409C-BE32-E72D297353CC}">
              <c16:uniqueId val="{00000000-089D-40FA-9B36-8D796E17610D}"/>
            </c:ext>
          </c:extLst>
        </c:ser>
        <c:ser>
          <c:idx val="1"/>
          <c:order val="1"/>
          <c:tx>
            <c:strRef>
              <c:f>'Datos Graf'!$A$4</c:f>
              <c:strCache>
                <c:ptCount val="1"/>
                <c:pt idx="0">
                  <c:v>Mujer</c:v>
                </c:pt>
              </c:strCache>
            </c:strRef>
          </c:tx>
          <c:spPr>
            <a:solidFill>
              <a:schemeClr val="accent6">
                <a:lumMod val="60000"/>
                <a:lumOff val="40000"/>
              </a:schemeClr>
            </a:solidFill>
            <a:ln>
              <a:noFill/>
            </a:ln>
            <a:effectLst/>
          </c:spPr>
          <c:invertIfNegative val="0"/>
          <c:dLbls>
            <c:dLbl>
              <c:idx val="0"/>
              <c:tx>
                <c:rich>
                  <a:bodyPr/>
                  <a:lstStyle/>
                  <a:p>
                    <a:fld id="{78069542-B2CA-4CFF-A119-28311A458E02}" type="VALUE">
                      <a:rPr lang="en-US" b="1"/>
                      <a:pPr/>
                      <a:t>[VALOR]</a:t>
                    </a:fld>
                    <a:endParaRPr lang="es-E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B10-4EBD-B0B0-D3A606275439}"/>
                </c:ext>
              </c:extLst>
            </c:dLbl>
            <c:dLbl>
              <c:idx val="1"/>
              <c:tx>
                <c:rich>
                  <a:bodyPr/>
                  <a:lstStyle/>
                  <a:p>
                    <a:fld id="{6043D243-5D32-4BA3-A78D-084B148E71F2}" type="VALUE">
                      <a:rPr lang="en-US" b="1">
                        <a:solidFill>
                          <a:schemeClr val="bg1"/>
                        </a:solidFill>
                      </a:rPr>
                      <a:pPr/>
                      <a:t>[VALOR]</a:t>
                    </a:fld>
                    <a:endParaRPr lang="es-E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B10-4EBD-B0B0-D3A606275439}"/>
                </c:ext>
              </c:extLst>
            </c:dLbl>
            <c:dLbl>
              <c:idx val="2"/>
              <c:tx>
                <c:rich>
                  <a:bodyPr/>
                  <a:lstStyle/>
                  <a:p>
                    <a:fld id="{FFEBC49C-A0C3-4EAA-BEEC-783F16D566BB}" type="VALUE">
                      <a:rPr lang="en-US" b="1">
                        <a:solidFill>
                          <a:schemeClr val="bg1"/>
                        </a:solidFill>
                      </a:rPr>
                      <a:pPr/>
                      <a:t>[VALOR]</a:t>
                    </a:fld>
                    <a:endParaRPr lang="es-E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B10-4EBD-B0B0-D3A606275439}"/>
                </c:ext>
              </c:extLst>
            </c:dLbl>
            <c:dLbl>
              <c:idx val="3"/>
              <c:tx>
                <c:rich>
                  <a:bodyPr/>
                  <a:lstStyle/>
                  <a:p>
                    <a:fld id="{15348F16-A1EC-4B71-89F8-D3D5DBF6D54E}" type="VALUE">
                      <a:rPr lang="en-US" b="1">
                        <a:solidFill>
                          <a:schemeClr val="bg1"/>
                        </a:solidFill>
                      </a:rPr>
                      <a:pPr/>
                      <a:t>[VALOR]</a:t>
                    </a:fld>
                    <a:endParaRPr lang="es-E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B10-4EBD-B0B0-D3A6062754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'Datos Graf'!$B$2:$E$2</c:f>
              <c:numCache>
                <c:formatCode>General</c:formatCode>
                <c:ptCount val="4"/>
                <c:pt idx="0">
                  <c:v>2017</c:v>
                </c:pt>
                <c:pt idx="1">
                  <c:v>2018</c:v>
                </c:pt>
                <c:pt idx="2">
                  <c:v>2019</c:v>
                </c:pt>
                <c:pt idx="3">
                  <c:v>2020</c:v>
                </c:pt>
              </c:numCache>
            </c:numRef>
          </c:cat>
          <c:val>
            <c:numRef>
              <c:f>'Datos Graf'!$B$4:$E$4</c:f>
              <c:numCache>
                <c:formatCode>General</c:formatCode>
                <c:ptCount val="4"/>
                <c:pt idx="0">
                  <c:v>0</c:v>
                </c:pt>
                <c:pt idx="1">
                  <c:v>19</c:v>
                </c:pt>
                <c:pt idx="2">
                  <c:v>18</c:v>
                </c:pt>
                <c:pt idx="3">
                  <c:v>21</c:v>
                </c:pt>
              </c:numCache>
            </c:numRef>
          </c:val>
          <c:extLst>
            <c:ext xmlns:c16="http://schemas.microsoft.com/office/drawing/2014/chart" uri="{C3380CC4-5D6E-409C-BE32-E72D297353CC}">
              <c16:uniqueId val="{00000001-089D-40FA-9B36-8D796E17610D}"/>
            </c:ext>
          </c:extLst>
        </c:ser>
        <c:dLbls>
          <c:dLblPos val="inEnd"/>
          <c:showLegendKey val="0"/>
          <c:showVal val="1"/>
          <c:showCatName val="0"/>
          <c:showSerName val="0"/>
          <c:showPercent val="0"/>
          <c:showBubbleSize val="0"/>
        </c:dLbls>
        <c:gapWidth val="80"/>
        <c:axId val="416739904"/>
        <c:axId val="413861936"/>
      </c:barChart>
      <c:catAx>
        <c:axId val="41673990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s-ES"/>
          </a:p>
        </c:txPr>
        <c:crossAx val="413861936"/>
        <c:crosses val="autoZero"/>
        <c:auto val="1"/>
        <c:lblAlgn val="ctr"/>
        <c:lblOffset val="100"/>
        <c:noMultiLvlLbl val="0"/>
      </c:catAx>
      <c:valAx>
        <c:axId val="413861936"/>
        <c:scaling>
          <c:orientation val="minMax"/>
        </c:scaling>
        <c:delete val="0"/>
        <c:axPos val="l"/>
        <c:majorGridlines>
          <c:spPr>
            <a:ln w="952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ES"/>
          </a:p>
        </c:txPr>
        <c:crossAx val="41673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212687271636886E-2"/>
          <c:y val="8.5365238436104565E-2"/>
          <c:w val="0.92669798503677892"/>
          <c:h val="0.81953278567451793"/>
        </c:manualLayout>
      </c:layout>
      <c:pie3DChart>
        <c:varyColors val="1"/>
        <c:ser>
          <c:idx val="0"/>
          <c:order val="0"/>
          <c:explosion val="1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5D8-424D-8964-5A7CC25A6547}"/>
              </c:ext>
            </c:extLst>
          </c:dPt>
          <c:dPt>
            <c:idx val="1"/>
            <c:bubble3D val="0"/>
            <c:spPr>
              <a:solidFill>
                <a:schemeClr val="accent5">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5D8-424D-8964-5A7CC25A654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5D8-424D-8964-5A7CC25A6547}"/>
              </c:ext>
            </c:extLst>
          </c:dPt>
          <c:dPt>
            <c:idx val="3"/>
            <c:bubble3D val="0"/>
            <c:spPr>
              <a:solidFill>
                <a:schemeClr val="bg2">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5D8-424D-8964-5A7CC25A6547}"/>
              </c:ext>
            </c:extLst>
          </c:dPt>
          <c:dPt>
            <c:idx val="4"/>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5D8-424D-8964-5A7CC25A6547}"/>
              </c:ext>
            </c:extLst>
          </c:dPt>
          <c:dPt>
            <c:idx val="5"/>
            <c:bubble3D val="0"/>
            <c:spPr>
              <a:solidFill>
                <a:schemeClr val="accent6">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5D8-424D-8964-5A7CC25A6547}"/>
              </c:ext>
            </c:extLst>
          </c:dPt>
          <c:dLbls>
            <c:dLbl>
              <c:idx val="0"/>
              <c:layout>
                <c:manualLayout>
                  <c:x val="0.11096313242932081"/>
                  <c:y val="-8.98751292452080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5D8-424D-8964-5A7CC25A6547}"/>
                </c:ext>
              </c:extLst>
            </c:dLbl>
            <c:dLbl>
              <c:idx val="1"/>
              <c:layout>
                <c:manualLayout>
                  <c:x val="7.4317451541660348E-2"/>
                  <c:y val="-0.1391094763243405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5D8-424D-8964-5A7CC25A6547}"/>
                </c:ext>
              </c:extLst>
            </c:dLbl>
            <c:dLbl>
              <c:idx val="2"/>
              <c:layout>
                <c:manualLayout>
                  <c:x val="0.17732653658067071"/>
                  <c:y val="-0.1258440422219950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5D8-424D-8964-5A7CC25A6547}"/>
                </c:ext>
              </c:extLst>
            </c:dLbl>
            <c:dLbl>
              <c:idx val="3"/>
              <c:layout>
                <c:manualLayout>
                  <c:x val="-0.14749642131192214"/>
                  <c:y val="3.9560914569473204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998751861097326"/>
                      <c:h val="7.9105329225151191E-2"/>
                    </c:manualLayout>
                  </c15:layout>
                </c:ext>
                <c:ext xmlns:c16="http://schemas.microsoft.com/office/drawing/2014/chart" uri="{C3380CC4-5D6E-409C-BE32-E72D297353CC}">
                  <c16:uniqueId val="{00000007-B5D8-424D-8964-5A7CC25A6547}"/>
                </c:ext>
              </c:extLst>
            </c:dLbl>
            <c:dLbl>
              <c:idx val="4"/>
              <c:layout>
                <c:manualLayout>
                  <c:x val="-7.4242155541368135E-2"/>
                  <c:y val="-5.82474574897692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5D8-424D-8964-5A7CC25A6547}"/>
                </c:ext>
              </c:extLst>
            </c:dLbl>
            <c:dLbl>
              <c:idx val="5"/>
              <c:layout>
                <c:manualLayout>
                  <c:x val="-0.24617156987957606"/>
                  <c:y val="4.50534592266875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5D8-424D-8964-5A7CC25A654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s>
          <c:cat>
            <c:strRef>
              <c:f>'Datos Graf'!$A$3:$A$8</c:f>
              <c:strCache>
                <c:ptCount val="6"/>
                <c:pt idx="0">
                  <c:v>Pendientes</c:v>
                </c:pt>
                <c:pt idx="1">
                  <c:v>Análisis</c:v>
                </c:pt>
                <c:pt idx="2">
                  <c:v>Investigación</c:v>
                </c:pt>
                <c:pt idx="3">
                  <c:v>Interrupción</c:v>
                </c:pt>
                <c:pt idx="4">
                  <c:v>Resueltos</c:v>
                </c:pt>
                <c:pt idx="5">
                  <c:v>Seguimiento</c:v>
                </c:pt>
              </c:strCache>
            </c:strRef>
          </c:cat>
          <c:val>
            <c:numRef>
              <c:f>'Datos Graf'!$F$3:$F$8</c:f>
              <c:numCache>
                <c:formatCode>General</c:formatCode>
                <c:ptCount val="6"/>
                <c:pt idx="0">
                  <c:v>117</c:v>
                </c:pt>
                <c:pt idx="1">
                  <c:v>113</c:v>
                </c:pt>
                <c:pt idx="2">
                  <c:v>52</c:v>
                </c:pt>
                <c:pt idx="3">
                  <c:v>26</c:v>
                </c:pt>
                <c:pt idx="4">
                  <c:v>285</c:v>
                </c:pt>
                <c:pt idx="5">
                  <c:v>17</c:v>
                </c:pt>
              </c:numCache>
            </c:numRef>
          </c:val>
          <c:extLst>
            <c:ext xmlns:c16="http://schemas.microsoft.com/office/drawing/2014/chart" uri="{C3380CC4-5D6E-409C-BE32-E72D297353CC}">
              <c16:uniqueId val="{0000000C-B5D8-424D-8964-5A7CC25A6547}"/>
            </c:ext>
          </c:extLst>
        </c:ser>
        <c:dLbls>
          <c:dLblPos val="ctr"/>
          <c:showLegendKey val="0"/>
          <c:showVal val="1"/>
          <c:showCatName val="0"/>
          <c:showSerName val="0"/>
          <c:showPercent val="0"/>
          <c:showBubbleSize val="0"/>
          <c:showLeaderLines val="1"/>
        </c:dLbls>
      </c:pie3DChart>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Graf'!$B$2</c:f>
              <c:strCache>
                <c:ptCount val="1"/>
                <c:pt idx="0">
                  <c:v>2017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Graf'!$A$3:$A$8</c:f>
              <c:strCache>
                <c:ptCount val="6"/>
                <c:pt idx="0">
                  <c:v>Pendents</c:v>
                </c:pt>
                <c:pt idx="1">
                  <c:v>Anàlisi</c:v>
                </c:pt>
                <c:pt idx="2">
                  <c:v>Investigació</c:v>
                </c:pt>
                <c:pt idx="3">
                  <c:v>Interrupció</c:v>
                </c:pt>
                <c:pt idx="4">
                  <c:v>Resolts</c:v>
                </c:pt>
                <c:pt idx="5">
                  <c:v>Seguiment</c:v>
                </c:pt>
              </c:strCache>
            </c:strRef>
          </c:cat>
          <c:val>
            <c:numRef>
              <c:f>'Datos Graf'!$B$3:$B$8</c:f>
              <c:numCache>
                <c:formatCode>General</c:formatCode>
                <c:ptCount val="6"/>
                <c:pt idx="0">
                  <c:v>0</c:v>
                </c:pt>
                <c:pt idx="1">
                  <c:v>0</c:v>
                </c:pt>
                <c:pt idx="2">
                  <c:v>1</c:v>
                </c:pt>
                <c:pt idx="3">
                  <c:v>5</c:v>
                </c:pt>
                <c:pt idx="4">
                  <c:v>27</c:v>
                </c:pt>
                <c:pt idx="5">
                  <c:v>2</c:v>
                </c:pt>
              </c:numCache>
            </c:numRef>
          </c:val>
          <c:extLst>
            <c:ext xmlns:c16="http://schemas.microsoft.com/office/drawing/2014/chart" uri="{C3380CC4-5D6E-409C-BE32-E72D297353CC}">
              <c16:uniqueId val="{00000000-4F9B-4CFF-9F7B-9612B223EFE3}"/>
            </c:ext>
          </c:extLst>
        </c:ser>
        <c:ser>
          <c:idx val="1"/>
          <c:order val="1"/>
          <c:tx>
            <c:strRef>
              <c:f>'Datos Graf'!$C$2</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Graf'!$A$3:$A$8</c:f>
              <c:strCache>
                <c:ptCount val="6"/>
                <c:pt idx="0">
                  <c:v>Pendents</c:v>
                </c:pt>
                <c:pt idx="1">
                  <c:v>Anàlisi</c:v>
                </c:pt>
                <c:pt idx="2">
                  <c:v>Investigació</c:v>
                </c:pt>
                <c:pt idx="3">
                  <c:v>Interrupció</c:v>
                </c:pt>
                <c:pt idx="4">
                  <c:v>Resolts</c:v>
                </c:pt>
                <c:pt idx="5">
                  <c:v>Seguiment</c:v>
                </c:pt>
              </c:strCache>
            </c:strRef>
          </c:cat>
          <c:val>
            <c:numRef>
              <c:f>'Datos Graf'!$C$3:$C$8</c:f>
              <c:numCache>
                <c:formatCode>General</c:formatCode>
                <c:ptCount val="6"/>
                <c:pt idx="0">
                  <c:v>0</c:v>
                </c:pt>
                <c:pt idx="1">
                  <c:v>11</c:v>
                </c:pt>
                <c:pt idx="2">
                  <c:v>15</c:v>
                </c:pt>
                <c:pt idx="3">
                  <c:v>11</c:v>
                </c:pt>
                <c:pt idx="4">
                  <c:v>132</c:v>
                </c:pt>
                <c:pt idx="5">
                  <c:v>12</c:v>
                </c:pt>
              </c:numCache>
            </c:numRef>
          </c:val>
          <c:extLst>
            <c:ext xmlns:c16="http://schemas.microsoft.com/office/drawing/2014/chart" uri="{C3380CC4-5D6E-409C-BE32-E72D297353CC}">
              <c16:uniqueId val="{00000001-4F9B-4CFF-9F7B-9612B223EFE3}"/>
            </c:ext>
          </c:extLst>
        </c:ser>
        <c:ser>
          <c:idx val="2"/>
          <c:order val="2"/>
          <c:tx>
            <c:strRef>
              <c:f>'Datos Graf'!$D$2</c:f>
              <c:strCache>
                <c:ptCount val="1"/>
                <c:pt idx="0">
                  <c:v>2019</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Graf'!$A$3:$A$8</c:f>
              <c:strCache>
                <c:ptCount val="6"/>
                <c:pt idx="0">
                  <c:v>Pendents</c:v>
                </c:pt>
                <c:pt idx="1">
                  <c:v>Anàlisi</c:v>
                </c:pt>
                <c:pt idx="2">
                  <c:v>Investigació</c:v>
                </c:pt>
                <c:pt idx="3">
                  <c:v>Interrupció</c:v>
                </c:pt>
                <c:pt idx="4">
                  <c:v>Resolts</c:v>
                </c:pt>
                <c:pt idx="5">
                  <c:v>Seguiment</c:v>
                </c:pt>
              </c:strCache>
            </c:strRef>
          </c:cat>
          <c:val>
            <c:numRef>
              <c:f>'Datos Graf'!$D$3:$D$8</c:f>
              <c:numCache>
                <c:formatCode>General</c:formatCode>
                <c:ptCount val="6"/>
                <c:pt idx="0">
                  <c:v>0</c:v>
                </c:pt>
                <c:pt idx="1">
                  <c:v>44</c:v>
                </c:pt>
                <c:pt idx="2">
                  <c:v>23</c:v>
                </c:pt>
                <c:pt idx="3">
                  <c:v>9</c:v>
                </c:pt>
                <c:pt idx="4">
                  <c:v>90</c:v>
                </c:pt>
                <c:pt idx="5">
                  <c:v>2</c:v>
                </c:pt>
              </c:numCache>
            </c:numRef>
          </c:val>
          <c:extLst>
            <c:ext xmlns:c16="http://schemas.microsoft.com/office/drawing/2014/chart" uri="{C3380CC4-5D6E-409C-BE32-E72D297353CC}">
              <c16:uniqueId val="{00000002-4F9B-4CFF-9F7B-9612B223EFE3}"/>
            </c:ext>
          </c:extLst>
        </c:ser>
        <c:ser>
          <c:idx val="3"/>
          <c:order val="3"/>
          <c:tx>
            <c:strRef>
              <c:f>'Datos Graf'!$E$2</c:f>
              <c:strCache>
                <c:ptCount val="1"/>
                <c:pt idx="0">
                  <c:v>2020</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Graf'!$A$3:$A$8</c:f>
              <c:strCache>
                <c:ptCount val="6"/>
                <c:pt idx="0">
                  <c:v>Pendents</c:v>
                </c:pt>
                <c:pt idx="1">
                  <c:v>Anàlisi</c:v>
                </c:pt>
                <c:pt idx="2">
                  <c:v>Investigació</c:v>
                </c:pt>
                <c:pt idx="3">
                  <c:v>Interrupció</c:v>
                </c:pt>
                <c:pt idx="4">
                  <c:v>Resolts</c:v>
                </c:pt>
                <c:pt idx="5">
                  <c:v>Seguiment</c:v>
                </c:pt>
              </c:strCache>
            </c:strRef>
          </c:cat>
          <c:val>
            <c:numRef>
              <c:f>'Datos Graf'!$E$3:$E$8</c:f>
              <c:numCache>
                <c:formatCode>General</c:formatCode>
                <c:ptCount val="6"/>
                <c:pt idx="0">
                  <c:v>117</c:v>
                </c:pt>
                <c:pt idx="1">
                  <c:v>58</c:v>
                </c:pt>
                <c:pt idx="2">
                  <c:v>13</c:v>
                </c:pt>
                <c:pt idx="3">
                  <c:v>1</c:v>
                </c:pt>
                <c:pt idx="4">
                  <c:v>36</c:v>
                </c:pt>
                <c:pt idx="5">
                  <c:v>1</c:v>
                </c:pt>
              </c:numCache>
            </c:numRef>
          </c:val>
          <c:extLst>
            <c:ext xmlns:c16="http://schemas.microsoft.com/office/drawing/2014/chart" uri="{C3380CC4-5D6E-409C-BE32-E72D297353CC}">
              <c16:uniqueId val="{00000003-4F9B-4CFF-9F7B-9612B223EFE3}"/>
            </c:ext>
          </c:extLst>
        </c:ser>
        <c:dLbls>
          <c:dLblPos val="outEnd"/>
          <c:showLegendKey val="0"/>
          <c:showVal val="1"/>
          <c:showCatName val="0"/>
          <c:showSerName val="0"/>
          <c:showPercent val="0"/>
          <c:showBubbleSize val="0"/>
        </c:dLbls>
        <c:gapWidth val="50"/>
        <c:axId val="1318069407"/>
        <c:axId val="1318138271"/>
      </c:barChart>
      <c:catAx>
        <c:axId val="1318069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18138271"/>
        <c:crosses val="autoZero"/>
        <c:auto val="1"/>
        <c:lblAlgn val="ctr"/>
        <c:lblOffset val="100"/>
        <c:noMultiLvlLbl val="0"/>
      </c:catAx>
      <c:valAx>
        <c:axId val="1318138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18069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Gama_AVAF">
      <a:dk1>
        <a:sysClr val="windowText" lastClr="000000"/>
      </a:dk1>
      <a:lt1>
        <a:sysClr val="window" lastClr="FFFFFF"/>
      </a:lt1>
      <a:dk2>
        <a:srgbClr val="39302A"/>
      </a:dk2>
      <a:lt2>
        <a:srgbClr val="E5DEDB"/>
      </a:lt2>
      <a:accent1>
        <a:srgbClr val="9D2235"/>
      </a:accent1>
      <a:accent2>
        <a:srgbClr val="C6C6C6"/>
      </a:accent2>
      <a:accent3>
        <a:srgbClr val="EABAC2"/>
      </a:accent3>
      <a:accent4>
        <a:srgbClr val="CE9FA1"/>
      </a:accent4>
      <a:accent5>
        <a:srgbClr val="D8C1BD"/>
      </a:accent5>
      <a:accent6>
        <a:srgbClr val="5B6770"/>
      </a:accent6>
      <a:hlink>
        <a:srgbClr val="0070C0"/>
      </a:hlink>
      <a:folHlink>
        <a:srgbClr val="9D22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228</Pages>
  <Words>88443</Words>
  <Characters>486437</Characters>
  <Application>Microsoft Office Word</Application>
  <DocSecurity>0</DocSecurity>
  <Lines>4053</Lines>
  <Paragraphs>1147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2022-07-01T08:00:00Z</dcterms:created>
  <dcterms:modified xsi:type="dcterms:W3CDTF">2022-07-01T08:00:00Z</dcterms:modified>
</cp:coreProperties>
</file>